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5E97" w14:textId="41063FCD" w:rsidR="00772E76" w:rsidRPr="00772E76" w:rsidRDefault="004F0F97" w:rsidP="00B648D2">
      <w:pPr>
        <w:pStyle w:val="NAME"/>
        <w:pBdr>
          <w:bottom w:val="none" w:sz="0" w:space="0" w:color="auto"/>
        </w:pBdr>
        <w:spacing w:before="1080" w:after="300" w:line="360" w:lineRule="atLeast"/>
        <w:jc w:val="left"/>
        <w:rPr>
          <w:rFonts w:ascii="Tahoma" w:hAnsi="Tahoma" w:cs="Guttman Aharoni"/>
          <w:b/>
          <w:bCs/>
          <w:color w:val="00B0F0"/>
          <w:sz w:val="36"/>
          <w:szCs w:val="36"/>
          <w:rtl/>
        </w:rPr>
      </w:pPr>
      <w:r w:rsidRPr="004F0F97">
        <w:rPr>
          <w:rFonts w:ascii="Tahoma" w:hAnsi="Tahoma" w:cs="Guttman Aharoni"/>
          <w:b/>
          <w:bCs/>
          <w:color w:val="00B0F0"/>
          <w:sz w:val="36"/>
          <w:szCs w:val="36"/>
          <w:rtl/>
        </w:rPr>
        <w:t>על חלקה של התקשורת בתפיסת המסוכנות של חולי נפש</w:t>
      </w:r>
      <w:r w:rsidR="00772E76" w:rsidRPr="00772E76">
        <w:rPr>
          <w:rFonts w:ascii="Tahoma" w:hAnsi="Tahoma" w:cs="Guttman Aharoni" w:hint="cs"/>
          <w:b/>
          <w:bCs/>
          <w:color w:val="00B0F0"/>
          <w:sz w:val="36"/>
          <w:szCs w:val="36"/>
          <w:rtl/>
        </w:rPr>
        <w:t xml:space="preserve"> - מאמר דעה</w:t>
      </w:r>
    </w:p>
    <w:p w14:paraId="01C7A4E5" w14:textId="77777777" w:rsidR="00772E76" w:rsidRPr="00772E76" w:rsidRDefault="00772E76" w:rsidP="00772E76">
      <w:pPr>
        <w:pStyle w:val="KOT5T"/>
        <w:spacing w:after="540" w:line="360" w:lineRule="exact"/>
        <w:ind w:right="0"/>
        <w:jc w:val="left"/>
        <w:rPr>
          <w:rFonts w:cs="Guttman Aharoni"/>
          <w:color w:val="00B0F0"/>
          <w:rtl/>
        </w:rPr>
      </w:pPr>
      <w:r w:rsidRPr="00772E76">
        <w:rPr>
          <w:rFonts w:cs="Guttman Aharoni"/>
          <w:color w:val="00B0F0"/>
          <w:rtl/>
        </w:rPr>
        <w:t xml:space="preserve">יעקב יוסף </w:t>
      </w:r>
      <w:proofErr w:type="spellStart"/>
      <w:r w:rsidRPr="00772E76">
        <w:rPr>
          <w:rFonts w:cs="Guttman Aharoni"/>
          <w:color w:val="00B0F0"/>
          <w:rtl/>
        </w:rPr>
        <w:t>טייכמאן</w:t>
      </w:r>
      <w:proofErr w:type="spellEnd"/>
      <w:r w:rsidRPr="00772E76">
        <w:rPr>
          <w:rFonts w:cs="Guttman Aharoni"/>
          <w:color w:val="00B0F0"/>
          <w:vertAlign w:val="superscript"/>
          <w:rtl/>
        </w:rPr>
        <w:footnoteReference w:id="2"/>
      </w:r>
      <w:r w:rsidRPr="00772E76">
        <w:rPr>
          <w:rFonts w:cs="Guttman Aharoni" w:hint="cs"/>
          <w:color w:val="00B0F0"/>
          <w:rtl/>
        </w:rPr>
        <w:t xml:space="preserve"> </w:t>
      </w:r>
    </w:p>
    <w:p w14:paraId="1B6A4C84" w14:textId="77777777" w:rsidR="00772E76" w:rsidRPr="00772E76" w:rsidRDefault="00772E76" w:rsidP="00772E76">
      <w:pPr>
        <w:suppressAutoHyphens/>
        <w:spacing w:after="180" w:line="280" w:lineRule="exact"/>
        <w:jc w:val="both"/>
        <w:rPr>
          <w:rFonts w:eastAsia="Calibri"/>
          <w:sz w:val="18"/>
          <w:szCs w:val="20"/>
          <w:rtl/>
        </w:rPr>
      </w:pPr>
      <w:r w:rsidRPr="00772E76">
        <w:rPr>
          <w:rFonts w:eastAsia="Calibri" w:hint="cs"/>
          <w:sz w:val="18"/>
          <w:szCs w:val="20"/>
          <w:rtl/>
        </w:rPr>
        <w:t>נהוג להניח כי יש קשר סטטיסטי מובהק בין מסוכנות לבין אבחנה נפשית. הנחה זו משמשת פעמים רבות אנשי מקצוע שונים (למשל שופטים, עורכי דין, פסיכיאטרים, עובדים סוציאליים ועובדים אחרים ממקצועות פרא-רפואיים) בבואם לקבל החלטות בעניינו של האדם המאובחן כלוקה במחלה נפשית. אך ממצאי מחקרים שונים מצביעים כי אין בהכרח קשר ישיר ומובהק בין מסוכנות לבין אבחנה נפשית. להפך, מחקרים לא מעטים מורים כי מעריכי מסוכנות המאבחנים אנשים החשודים כחולי נפש טועים בחלק גדול מהמקרים. במאמר דעה זה אני מבקש לטעון כי התקשורת, בין היתר, תורמת להפצת התפיסה הסטראוטיפית בנוגע למסוכנות של המאובחנים כחולי נפש. דעה זו גם נתמכת בממצאי מחקרים המצביעים כי תקשורת נוטה להפיץ את המסר באשר למסוכנות המאובחנים כחולי נפש.</w:t>
      </w:r>
    </w:p>
    <w:p w14:paraId="5806116F" w14:textId="77777777" w:rsidR="00772E76" w:rsidRPr="00772E76" w:rsidRDefault="00772E76" w:rsidP="00772E76">
      <w:pPr>
        <w:suppressAutoHyphens/>
        <w:spacing w:after="180" w:line="280" w:lineRule="exact"/>
        <w:jc w:val="both"/>
        <w:rPr>
          <w:rFonts w:eastAsia="Calibri"/>
          <w:sz w:val="18"/>
          <w:szCs w:val="20"/>
          <w:rtl/>
        </w:rPr>
      </w:pPr>
    </w:p>
    <w:p w14:paraId="7BD7B2FA" w14:textId="77777777" w:rsidR="00772E76" w:rsidRPr="00772E76" w:rsidRDefault="00772E76" w:rsidP="00772E76">
      <w:pPr>
        <w:suppressAutoHyphens/>
        <w:spacing w:after="180" w:line="280" w:lineRule="exact"/>
        <w:jc w:val="both"/>
        <w:rPr>
          <w:rFonts w:eastAsia="Calibri"/>
          <w:sz w:val="18"/>
          <w:szCs w:val="20"/>
          <w:rtl/>
        </w:rPr>
      </w:pPr>
      <w:r w:rsidRPr="00772E76">
        <w:rPr>
          <w:rFonts w:eastAsia="Calibri" w:hint="cs"/>
          <w:b/>
          <w:bCs/>
          <w:sz w:val="18"/>
          <w:szCs w:val="20"/>
          <w:rtl/>
        </w:rPr>
        <w:t xml:space="preserve">מילות מפתח: </w:t>
      </w:r>
      <w:r w:rsidRPr="00772E76">
        <w:rPr>
          <w:rFonts w:eastAsia="Calibri" w:hint="cs"/>
          <w:sz w:val="18"/>
          <w:szCs w:val="20"/>
          <w:rtl/>
        </w:rPr>
        <w:t>מסוכנות, מחלה נפשית, הערכת מסוכנות, הבנייה חברתית, תפיסת מסוכנות</w:t>
      </w:r>
    </w:p>
    <w:p w14:paraId="1CFA10FE" w14:textId="77777777" w:rsidR="00772E76" w:rsidRPr="00772E76" w:rsidRDefault="00772E76" w:rsidP="00772E76">
      <w:pPr>
        <w:suppressAutoHyphens/>
        <w:spacing w:after="180" w:line="280" w:lineRule="exact"/>
        <w:jc w:val="both"/>
        <w:rPr>
          <w:rFonts w:eastAsia="Calibri"/>
          <w:sz w:val="18"/>
          <w:szCs w:val="20"/>
          <w:rtl/>
        </w:rPr>
      </w:pPr>
    </w:p>
    <w:p w14:paraId="596D6D43" w14:textId="77777777" w:rsidR="00F61766" w:rsidRDefault="00F61766">
      <w:pPr>
        <w:bidi w:val="0"/>
        <w:spacing w:line="240" w:lineRule="auto"/>
        <w:rPr>
          <w:rFonts w:ascii="Tahoma" w:hAnsi="Tahoma" w:cs="Guttman Aharoni"/>
          <w:b/>
          <w:bCs/>
          <w:color w:val="00B0F0"/>
          <w:sz w:val="32"/>
          <w:szCs w:val="32"/>
          <w:rtl/>
        </w:rPr>
      </w:pPr>
      <w:r>
        <w:rPr>
          <w:rFonts w:cs="Guttman Aharoni"/>
          <w:color w:val="00B0F0"/>
          <w:sz w:val="32"/>
          <w:szCs w:val="32"/>
          <w:rtl/>
        </w:rPr>
        <w:br w:type="page"/>
      </w:r>
    </w:p>
    <w:p w14:paraId="406A909A" w14:textId="52D1E5E5" w:rsidR="00772E76" w:rsidRPr="00F61766" w:rsidRDefault="00772E76" w:rsidP="00772E76">
      <w:pPr>
        <w:pStyle w:val="KOT4"/>
        <w:spacing w:after="0"/>
        <w:ind w:left="397" w:right="0" w:hanging="397"/>
        <w:rPr>
          <w:rFonts w:cs="Guttman Aharoni"/>
          <w:color w:val="00B0F0"/>
          <w:sz w:val="28"/>
          <w:szCs w:val="28"/>
          <w:rtl/>
        </w:rPr>
      </w:pPr>
      <w:r w:rsidRPr="00F61766">
        <w:rPr>
          <w:rFonts w:cs="Guttman Aharoni" w:hint="cs"/>
          <w:color w:val="00B0F0"/>
          <w:sz w:val="28"/>
          <w:szCs w:val="28"/>
          <w:rtl/>
        </w:rPr>
        <w:lastRenderedPageBreak/>
        <w:t>1.</w:t>
      </w:r>
      <w:r w:rsidRPr="00F61766">
        <w:rPr>
          <w:rFonts w:cs="Guttman Aharoni"/>
          <w:color w:val="00B0F0"/>
          <w:sz w:val="28"/>
          <w:szCs w:val="28"/>
          <w:rtl/>
        </w:rPr>
        <w:tab/>
        <w:t>אבחנה נפשית ומסוכנות</w:t>
      </w:r>
      <w:r w:rsidRPr="00F61766">
        <w:rPr>
          <w:rFonts w:cs="Guttman Aharoni"/>
          <w:color w:val="00B0F0"/>
          <w:sz w:val="28"/>
          <w:szCs w:val="28"/>
        </w:rPr>
        <w:t xml:space="preserve"> </w:t>
      </w:r>
    </w:p>
    <w:p w14:paraId="533A43DA" w14:textId="0197F094" w:rsidR="00772E76" w:rsidRPr="00772E76" w:rsidRDefault="00772E76" w:rsidP="00772E76">
      <w:pPr>
        <w:suppressAutoHyphens/>
        <w:spacing w:after="180" w:line="280" w:lineRule="exact"/>
        <w:jc w:val="both"/>
        <w:rPr>
          <w:rFonts w:eastAsia="Calibri"/>
          <w:b/>
          <w:bCs/>
          <w:sz w:val="18"/>
          <w:szCs w:val="20"/>
          <w:rtl/>
        </w:rPr>
      </w:pPr>
      <w:r w:rsidRPr="00772E76">
        <w:rPr>
          <w:rFonts w:eastAsia="Calibri"/>
          <w:sz w:val="18"/>
          <w:szCs w:val="20"/>
          <w:rtl/>
        </w:rPr>
        <w:t xml:space="preserve">אחת האוכלוסיות </w:t>
      </w:r>
      <w:r w:rsidRPr="00772E76">
        <w:rPr>
          <w:rFonts w:eastAsia="Calibri" w:hint="cs"/>
          <w:sz w:val="18"/>
          <w:szCs w:val="20"/>
          <w:rtl/>
        </w:rPr>
        <w:t>בחברה</w:t>
      </w:r>
      <w:r w:rsidRPr="00772E76">
        <w:rPr>
          <w:rFonts w:eastAsia="Calibri"/>
          <w:sz w:val="18"/>
          <w:szCs w:val="20"/>
          <w:rtl/>
        </w:rPr>
        <w:t xml:space="preserve"> המוגדרות כקבוצת סיכון</w:t>
      </w:r>
      <w:r w:rsidRPr="00772E76">
        <w:rPr>
          <w:rFonts w:eastAsia="Calibri" w:hint="cs"/>
          <w:sz w:val="18"/>
          <w:szCs w:val="20"/>
          <w:rtl/>
        </w:rPr>
        <w:t xml:space="preserve"> </w:t>
      </w:r>
      <w:r w:rsidRPr="00772E76">
        <w:rPr>
          <w:rFonts w:eastAsia="Calibri"/>
          <w:sz w:val="18"/>
          <w:szCs w:val="20"/>
          <w:rtl/>
        </w:rPr>
        <w:t xml:space="preserve">היא אוכלוסיית </w:t>
      </w:r>
      <w:r w:rsidRPr="00772E76">
        <w:rPr>
          <w:rFonts w:eastAsia="Calibri" w:hint="cs"/>
          <w:sz w:val="18"/>
          <w:szCs w:val="20"/>
          <w:rtl/>
        </w:rPr>
        <w:t>המאובחנים כ</w:t>
      </w:r>
      <w:r w:rsidRPr="00772E76">
        <w:rPr>
          <w:rFonts w:eastAsia="Calibri"/>
          <w:sz w:val="18"/>
          <w:szCs w:val="20"/>
          <w:rtl/>
        </w:rPr>
        <w:t>חולי נפש. במקרים רבים, זיהוי של אדם כחולה נפש בעל מאפיינים פסיכוטיים יזרז את מעצר</w:t>
      </w:r>
      <w:r w:rsidRPr="00772E76">
        <w:rPr>
          <w:rFonts w:eastAsia="Calibri" w:hint="cs"/>
          <w:sz w:val="18"/>
          <w:szCs w:val="20"/>
          <w:rtl/>
        </w:rPr>
        <w:t>ו</w:t>
      </w:r>
      <w:r w:rsidRPr="00772E76">
        <w:rPr>
          <w:rFonts w:eastAsia="Calibri"/>
          <w:sz w:val="18"/>
          <w:szCs w:val="20"/>
          <w:rtl/>
        </w:rPr>
        <w:t xml:space="preserve"> או את הארכת המעצר שלו</w:t>
      </w:r>
      <w:r w:rsidR="00B648D2">
        <w:rPr>
          <w:rFonts w:eastAsia="Calibri" w:hint="cs"/>
          <w:sz w:val="18"/>
          <w:szCs w:val="20"/>
          <w:rtl/>
        </w:rPr>
        <w:t>,</w:t>
      </w:r>
      <w:r w:rsidRPr="00772E76">
        <w:rPr>
          <w:rFonts w:eastAsia="Calibri"/>
          <w:sz w:val="18"/>
          <w:szCs w:val="20"/>
          <w:rtl/>
        </w:rPr>
        <w:t xml:space="preserve"> כיוון שהוא יתויג כמסוכן יותר מאדם ללא מחלת נפש</w:t>
      </w:r>
      <w:r w:rsidRPr="00772E76">
        <w:rPr>
          <w:rFonts w:eastAsia="Calibri" w:hint="cs"/>
          <w:sz w:val="18"/>
          <w:szCs w:val="20"/>
          <w:rtl/>
        </w:rPr>
        <w:t>.</w:t>
      </w:r>
      <w:r w:rsidRPr="00772E76">
        <w:rPr>
          <w:rFonts w:eastAsia="Calibri"/>
          <w:sz w:val="18"/>
          <w:szCs w:val="20"/>
          <w:rtl/>
        </w:rPr>
        <w:t xml:space="preserve"> </w:t>
      </w:r>
      <w:r w:rsidRPr="00772E76">
        <w:rPr>
          <w:rFonts w:eastAsia="Calibri" w:hint="cs"/>
          <w:sz w:val="18"/>
          <w:szCs w:val="20"/>
          <w:rtl/>
        </w:rPr>
        <w:t xml:space="preserve">ואכן נכון להיום, בין 14 ל-17% מהבאים בשערי בתי הכלא בארצות הברית מאובחנים כסובלים ממחלה נפשית חמורה, הרבה יותר משיעורם באוכלוסייה הכללית </w:t>
      </w:r>
      <w:r w:rsidRPr="009D2BFE">
        <w:rPr>
          <w:rFonts w:ascii="David" w:eastAsia="Calibri" w:hAnsi="David"/>
          <w:sz w:val="20"/>
          <w:szCs w:val="20"/>
        </w:rPr>
        <w:t>(</w:t>
      </w:r>
      <w:proofErr w:type="spellStart"/>
      <w:r w:rsidRPr="00772E76">
        <w:rPr>
          <w:rFonts w:eastAsia="Calibri"/>
          <w:sz w:val="18"/>
          <w:szCs w:val="20"/>
        </w:rPr>
        <w:t>Frailing</w:t>
      </w:r>
      <w:proofErr w:type="spellEnd"/>
      <w:r w:rsidRPr="00772E76">
        <w:rPr>
          <w:rFonts w:eastAsia="Calibri"/>
          <w:sz w:val="18"/>
          <w:szCs w:val="20"/>
        </w:rPr>
        <w:t xml:space="preserve"> &amp; Slate, 2018</w:t>
      </w:r>
      <w:r w:rsidRPr="009D2BFE">
        <w:rPr>
          <w:rFonts w:ascii="David" w:eastAsia="Calibri" w:hAnsi="David"/>
          <w:sz w:val="20"/>
          <w:szCs w:val="20"/>
        </w:rPr>
        <w:t>)</w:t>
      </w:r>
      <w:r w:rsidRPr="00772E76">
        <w:rPr>
          <w:rFonts w:eastAsia="Calibri" w:hint="cs"/>
          <w:sz w:val="18"/>
          <w:szCs w:val="20"/>
          <w:rtl/>
        </w:rPr>
        <w:t xml:space="preserve">. </w:t>
      </w:r>
    </w:p>
    <w:p w14:paraId="7D49EF36" w14:textId="7BC5CE10" w:rsidR="00772E76" w:rsidRPr="00772E76" w:rsidRDefault="00772E76" w:rsidP="009D2BFE">
      <w:pPr>
        <w:suppressAutoHyphens/>
        <w:spacing w:after="180" w:line="280" w:lineRule="exact"/>
        <w:jc w:val="both"/>
        <w:rPr>
          <w:rFonts w:eastAsia="Calibri"/>
          <w:sz w:val="18"/>
          <w:szCs w:val="20"/>
          <w:rtl/>
        </w:rPr>
      </w:pPr>
      <w:r w:rsidRPr="00772E76">
        <w:rPr>
          <w:rFonts w:eastAsia="Calibri"/>
          <w:sz w:val="18"/>
          <w:szCs w:val="20"/>
          <w:rtl/>
        </w:rPr>
        <w:t xml:space="preserve">הערכת מסוכנות של </w:t>
      </w:r>
      <w:r w:rsidRPr="00772E76">
        <w:rPr>
          <w:rFonts w:eastAsia="Calibri" w:hint="cs"/>
          <w:sz w:val="18"/>
          <w:szCs w:val="20"/>
          <w:rtl/>
        </w:rPr>
        <w:t>המאובחנים כ</w:t>
      </w:r>
      <w:r w:rsidRPr="00772E76">
        <w:rPr>
          <w:rFonts w:eastAsia="Calibri"/>
          <w:sz w:val="18"/>
          <w:szCs w:val="20"/>
          <w:rtl/>
        </w:rPr>
        <w:t>חול</w:t>
      </w:r>
      <w:r w:rsidRPr="00772E76">
        <w:rPr>
          <w:rFonts w:eastAsia="Calibri" w:hint="cs"/>
          <w:sz w:val="18"/>
          <w:szCs w:val="20"/>
          <w:rtl/>
        </w:rPr>
        <w:t>י</w:t>
      </w:r>
      <w:r w:rsidRPr="00772E76">
        <w:rPr>
          <w:rFonts w:eastAsia="Calibri"/>
          <w:sz w:val="18"/>
          <w:szCs w:val="20"/>
          <w:rtl/>
        </w:rPr>
        <w:t xml:space="preserve"> נפש נעשית </w:t>
      </w:r>
      <w:r w:rsidRPr="00772E76">
        <w:rPr>
          <w:rFonts w:eastAsia="Calibri" w:hint="cs"/>
          <w:sz w:val="18"/>
          <w:szCs w:val="20"/>
          <w:rtl/>
        </w:rPr>
        <w:t>כמעט תמיד על ידי</w:t>
      </w:r>
      <w:r w:rsidRPr="00772E76">
        <w:rPr>
          <w:rFonts w:eastAsia="Calibri"/>
          <w:sz w:val="18"/>
          <w:szCs w:val="20"/>
          <w:rtl/>
        </w:rPr>
        <w:t xml:space="preserve"> פסיכיאטר המוסמך לכך. עקב המונופול של הפסיכיאטריה על הערכת מסוכנות של מטופלים, </w:t>
      </w:r>
      <w:r w:rsidRPr="00772E76">
        <w:rPr>
          <w:rFonts w:eastAsia="Calibri" w:hint="cs"/>
          <w:sz w:val="18"/>
          <w:szCs w:val="20"/>
          <w:rtl/>
        </w:rPr>
        <w:t xml:space="preserve">והסתמכותם של בני </w:t>
      </w:r>
      <w:r w:rsidRPr="00772E76">
        <w:rPr>
          <w:rFonts w:eastAsia="Calibri"/>
          <w:sz w:val="18"/>
          <w:szCs w:val="20"/>
          <w:rtl/>
        </w:rPr>
        <w:t>משפח</w:t>
      </w:r>
      <w:r w:rsidRPr="00772E76">
        <w:rPr>
          <w:rFonts w:eastAsia="Calibri" w:hint="cs"/>
          <w:sz w:val="18"/>
          <w:szCs w:val="20"/>
          <w:rtl/>
        </w:rPr>
        <w:t>תו</w:t>
      </w:r>
      <w:r w:rsidRPr="00772E76">
        <w:rPr>
          <w:rFonts w:eastAsia="Calibri"/>
          <w:sz w:val="18"/>
          <w:szCs w:val="20"/>
          <w:rtl/>
        </w:rPr>
        <w:t xml:space="preserve"> של המטופל ומוסדות המדינה על ה</w:t>
      </w:r>
      <w:r w:rsidRPr="00772E76">
        <w:rPr>
          <w:rFonts w:eastAsia="Calibri" w:hint="cs"/>
          <w:sz w:val="18"/>
          <w:szCs w:val="20"/>
          <w:rtl/>
        </w:rPr>
        <w:t>אבחנות הפסיכיאטריות</w:t>
      </w:r>
      <w:r w:rsidRPr="00772E76">
        <w:rPr>
          <w:rFonts w:eastAsia="Calibri"/>
          <w:sz w:val="18"/>
          <w:szCs w:val="20"/>
          <w:rtl/>
        </w:rPr>
        <w:t xml:space="preserve"> כדי לקבוע כיצד נכון להתנהל עם האדם המאובחן</w:t>
      </w:r>
      <w:r w:rsidRPr="00772E76">
        <w:rPr>
          <w:rFonts w:eastAsia="Calibri" w:hint="cs"/>
          <w:sz w:val="18"/>
          <w:szCs w:val="20"/>
          <w:rtl/>
        </w:rPr>
        <w:t>, הציפייה היא שפסיכיאטרים ידעו לבצע הערכות מסוכנ</w:t>
      </w:r>
      <w:r w:rsidR="00B03D1D" w:rsidRPr="00772E76">
        <w:rPr>
          <w:rFonts w:eastAsia="Calibri"/>
          <w:sz w:val="18"/>
          <w:szCs w:val="20"/>
          <w:rtl/>
        </w:rPr>
        <w:t>ו</w:t>
      </w:r>
      <w:r w:rsidR="00B03D1D" w:rsidRPr="00772E76">
        <w:rPr>
          <w:rFonts w:eastAsia="Calibri" w:hint="cs"/>
          <w:sz w:val="18"/>
          <w:szCs w:val="20"/>
          <w:rtl/>
        </w:rPr>
        <w:t>ּ</w:t>
      </w:r>
      <w:r w:rsidRPr="00772E76">
        <w:rPr>
          <w:rFonts w:eastAsia="Calibri" w:hint="cs"/>
          <w:sz w:val="18"/>
          <w:szCs w:val="20"/>
          <w:rtl/>
        </w:rPr>
        <w:t>ת</w:t>
      </w:r>
      <w:r w:rsidRPr="00772E76">
        <w:rPr>
          <w:rFonts w:eastAsia="Calibri"/>
          <w:sz w:val="18"/>
          <w:szCs w:val="20"/>
          <w:rtl/>
        </w:rPr>
        <w:t>. אולם</w:t>
      </w:r>
      <w:r w:rsidRPr="00772E76">
        <w:rPr>
          <w:rFonts w:eastAsia="Calibri" w:hint="cs"/>
          <w:sz w:val="18"/>
          <w:szCs w:val="20"/>
          <w:rtl/>
        </w:rPr>
        <w:t xml:space="preserve"> בפועל,</w:t>
      </w:r>
      <w:r w:rsidRPr="00772E76">
        <w:rPr>
          <w:rFonts w:eastAsia="Calibri"/>
          <w:sz w:val="18"/>
          <w:szCs w:val="20"/>
          <w:rtl/>
        </w:rPr>
        <w:t xml:space="preserve"> </w:t>
      </w:r>
      <w:r w:rsidRPr="00772E76">
        <w:rPr>
          <w:rFonts w:eastAsia="Calibri" w:hint="cs"/>
          <w:sz w:val="18"/>
          <w:szCs w:val="20"/>
          <w:rtl/>
        </w:rPr>
        <w:t>מ</w:t>
      </w:r>
      <w:r w:rsidRPr="00772E76">
        <w:rPr>
          <w:rFonts w:eastAsia="Calibri"/>
          <w:sz w:val="18"/>
          <w:szCs w:val="20"/>
          <w:rtl/>
        </w:rPr>
        <w:t>מחקרים</w:t>
      </w:r>
      <w:r w:rsidRPr="00772E76">
        <w:rPr>
          <w:rFonts w:eastAsia="Calibri" w:hint="cs"/>
          <w:sz w:val="18"/>
          <w:szCs w:val="20"/>
          <w:rtl/>
        </w:rPr>
        <w:t xml:space="preserve"> מסוימים</w:t>
      </w:r>
      <w:r w:rsidRPr="00772E76">
        <w:rPr>
          <w:rFonts w:eastAsia="Calibri"/>
          <w:sz w:val="18"/>
          <w:szCs w:val="20"/>
          <w:rtl/>
        </w:rPr>
        <w:t xml:space="preserve"> שבחנו את היעילות והתוקף של האבחון שמבצעים פסיכיאטרים </w:t>
      </w:r>
      <w:r w:rsidRPr="00772E76">
        <w:rPr>
          <w:rFonts w:eastAsia="Calibri" w:hint="cs"/>
          <w:sz w:val="18"/>
          <w:szCs w:val="20"/>
          <w:rtl/>
        </w:rPr>
        <w:t xml:space="preserve">עולה כי </w:t>
      </w:r>
      <w:r w:rsidRPr="00772E76">
        <w:rPr>
          <w:rFonts w:eastAsia="Calibri"/>
          <w:sz w:val="18"/>
          <w:szCs w:val="20"/>
          <w:rtl/>
        </w:rPr>
        <w:t xml:space="preserve">במקרים </w:t>
      </w:r>
      <w:r w:rsidRPr="00772E76">
        <w:rPr>
          <w:rFonts w:eastAsia="Calibri" w:hint="cs"/>
          <w:sz w:val="18"/>
          <w:szCs w:val="20"/>
          <w:rtl/>
        </w:rPr>
        <w:t>לא מעטים</w:t>
      </w:r>
      <w:r w:rsidRPr="00772E76">
        <w:rPr>
          <w:rFonts w:eastAsia="Calibri"/>
          <w:sz w:val="18"/>
          <w:szCs w:val="20"/>
          <w:rtl/>
        </w:rPr>
        <w:t xml:space="preserve"> הפסיכיאטרים טועים באבחון המסוכנות של המטופל</w:t>
      </w:r>
      <w:r w:rsidRPr="00772E76">
        <w:rPr>
          <w:rFonts w:eastAsia="Calibri" w:hint="cs"/>
          <w:sz w:val="18"/>
          <w:szCs w:val="20"/>
          <w:rtl/>
        </w:rPr>
        <w:t>.</w:t>
      </w:r>
      <w:r w:rsidRPr="00772E76">
        <w:rPr>
          <w:rFonts w:eastAsia="Calibri"/>
          <w:sz w:val="18"/>
          <w:szCs w:val="20"/>
          <w:rtl/>
        </w:rPr>
        <w:t xml:space="preserve"> יתרה מזאת, </w:t>
      </w:r>
      <w:r w:rsidRPr="00772E76">
        <w:rPr>
          <w:rFonts w:eastAsia="Calibri" w:hint="cs"/>
          <w:sz w:val="18"/>
          <w:szCs w:val="20"/>
          <w:rtl/>
        </w:rPr>
        <w:t xml:space="preserve">יש </w:t>
      </w:r>
      <w:r w:rsidRPr="00772E76">
        <w:rPr>
          <w:rFonts w:eastAsia="Calibri"/>
          <w:sz w:val="18"/>
          <w:szCs w:val="20"/>
          <w:rtl/>
        </w:rPr>
        <w:t xml:space="preserve">חוקרים </w:t>
      </w:r>
      <w:r w:rsidRPr="00772E76">
        <w:rPr>
          <w:rFonts w:eastAsia="Calibri" w:hint="cs"/>
          <w:sz w:val="18"/>
          <w:szCs w:val="20"/>
          <w:rtl/>
        </w:rPr>
        <w:t xml:space="preserve">הטוענים כי </w:t>
      </w:r>
      <w:r w:rsidRPr="00772E76">
        <w:rPr>
          <w:rFonts w:eastAsia="Calibri"/>
          <w:sz w:val="18"/>
          <w:szCs w:val="20"/>
          <w:rtl/>
        </w:rPr>
        <w:t>יכולתו של רופא פסיכיאטר להגדיר מסוכנו</w:t>
      </w:r>
      <w:r w:rsidRPr="00772E76">
        <w:rPr>
          <w:rFonts w:eastAsia="Calibri" w:hint="cs"/>
          <w:sz w:val="18"/>
          <w:szCs w:val="20"/>
          <w:rtl/>
        </w:rPr>
        <w:t>ּ</w:t>
      </w:r>
      <w:r w:rsidRPr="00772E76">
        <w:rPr>
          <w:rFonts w:eastAsia="Calibri"/>
          <w:sz w:val="18"/>
          <w:szCs w:val="20"/>
          <w:rtl/>
        </w:rPr>
        <w:t>ת של מטופל אינה עולה בהרבה על יכולתו של אדם מן השורה לעשות זאת</w:t>
      </w:r>
      <w:r w:rsidRPr="00772E76">
        <w:rPr>
          <w:rFonts w:eastAsia="Calibri" w:hint="cs"/>
          <w:sz w:val="18"/>
          <w:szCs w:val="20"/>
          <w:rtl/>
        </w:rPr>
        <w:t xml:space="preserve"> </w:t>
      </w:r>
      <w:r w:rsidRPr="00772E76">
        <w:rPr>
          <w:rFonts w:eastAsia="Calibri"/>
          <w:sz w:val="18"/>
          <w:szCs w:val="20"/>
          <w:shd w:val="clear" w:color="auto" w:fill="FFFFFF"/>
          <w:rtl/>
        </w:rPr>
        <w:t>(</w:t>
      </w:r>
      <w:proofErr w:type="spellStart"/>
      <w:r w:rsidRPr="00772E76">
        <w:rPr>
          <w:rFonts w:eastAsia="Calibri"/>
          <w:sz w:val="18"/>
          <w:szCs w:val="20"/>
          <w:shd w:val="clear" w:color="auto" w:fill="FFFFFF"/>
        </w:rPr>
        <w:t>McNiel</w:t>
      </w:r>
      <w:proofErr w:type="spellEnd"/>
      <w:r w:rsidRPr="00772E76">
        <w:rPr>
          <w:rFonts w:eastAsia="Calibri"/>
          <w:sz w:val="18"/>
          <w:szCs w:val="20"/>
          <w:shd w:val="clear" w:color="auto" w:fill="FFFFFF"/>
        </w:rPr>
        <w:t xml:space="preserve"> &amp; Binder</w:t>
      </w:r>
      <w:r w:rsidRPr="00772E76">
        <w:rPr>
          <w:kern w:val="36"/>
          <w:sz w:val="18"/>
          <w:szCs w:val="20"/>
        </w:rPr>
        <w:t>, 1987;</w:t>
      </w:r>
      <w:r w:rsidRPr="00772E76">
        <w:rPr>
          <w:i/>
          <w:iCs/>
          <w:kern w:val="36"/>
          <w:sz w:val="18"/>
          <w:szCs w:val="20"/>
        </w:rPr>
        <w:t xml:space="preserve"> </w:t>
      </w:r>
      <w:r w:rsidRPr="00772E76">
        <w:rPr>
          <w:rFonts w:eastAsia="Calibri"/>
          <w:sz w:val="18"/>
          <w:szCs w:val="20"/>
          <w:shd w:val="clear" w:color="auto" w:fill="FFFFFF"/>
        </w:rPr>
        <w:t xml:space="preserve">Mulvey &amp; </w:t>
      </w:r>
      <w:proofErr w:type="spellStart"/>
      <w:r w:rsidRPr="00772E76">
        <w:rPr>
          <w:rFonts w:eastAsia="Calibri"/>
          <w:sz w:val="18"/>
          <w:szCs w:val="20"/>
          <w:shd w:val="clear" w:color="auto" w:fill="FFFFFF"/>
        </w:rPr>
        <w:t>Lidz</w:t>
      </w:r>
      <w:proofErr w:type="spellEnd"/>
      <w:r w:rsidRPr="00772E76">
        <w:rPr>
          <w:rFonts w:eastAsia="Calibri"/>
          <w:sz w:val="18"/>
          <w:szCs w:val="20"/>
          <w:shd w:val="clear" w:color="auto" w:fill="FFFFFF"/>
        </w:rPr>
        <w:t>, 1995</w:t>
      </w:r>
      <w:r w:rsidR="00B648D2">
        <w:rPr>
          <w:rFonts w:eastAsia="Calibri" w:hint="cs"/>
          <w:sz w:val="18"/>
          <w:szCs w:val="20"/>
          <w:shd w:val="clear" w:color="auto" w:fill="FFFFFF"/>
          <w:rtl/>
        </w:rPr>
        <w:t>)</w:t>
      </w:r>
      <w:r w:rsidRPr="00772E76">
        <w:rPr>
          <w:rFonts w:eastAsia="Calibri" w:hint="cs"/>
          <w:sz w:val="18"/>
          <w:szCs w:val="20"/>
          <w:rtl/>
        </w:rPr>
        <w:t xml:space="preserve">. </w:t>
      </w:r>
      <w:r w:rsidRPr="00772E76">
        <w:rPr>
          <w:rFonts w:eastAsia="Calibri"/>
          <w:sz w:val="18"/>
          <w:szCs w:val="20"/>
          <w:rtl/>
        </w:rPr>
        <w:t xml:space="preserve">אדרבה, לדברי </w:t>
      </w:r>
      <w:proofErr w:type="spellStart"/>
      <w:r w:rsidRPr="00772E76">
        <w:rPr>
          <w:rFonts w:eastAsia="Calibri"/>
          <w:sz w:val="18"/>
          <w:szCs w:val="20"/>
          <w:rtl/>
        </w:rPr>
        <w:t>דוגלוס</w:t>
      </w:r>
      <w:proofErr w:type="spellEnd"/>
      <w:r w:rsidRPr="00772E76">
        <w:rPr>
          <w:rFonts w:eastAsia="Calibri"/>
          <w:sz w:val="18"/>
          <w:szCs w:val="20"/>
          <w:rtl/>
        </w:rPr>
        <w:t xml:space="preserve"> </w:t>
      </w:r>
      <w:proofErr w:type="spellStart"/>
      <w:r w:rsidRPr="00772E76">
        <w:rPr>
          <w:rFonts w:eastAsia="Calibri"/>
          <w:sz w:val="18"/>
          <w:szCs w:val="20"/>
          <w:rtl/>
        </w:rPr>
        <w:t>מוסמן</w:t>
      </w:r>
      <w:proofErr w:type="spellEnd"/>
      <w:r w:rsidRPr="00772E76">
        <w:rPr>
          <w:rFonts w:eastAsia="Calibri"/>
          <w:sz w:val="18"/>
          <w:szCs w:val="20"/>
          <w:rtl/>
        </w:rPr>
        <w:t xml:space="preserve"> (</w:t>
      </w:r>
      <w:r w:rsidRPr="00772E76">
        <w:rPr>
          <w:rFonts w:eastAsia="Calibri"/>
          <w:sz w:val="18"/>
          <w:szCs w:val="20"/>
        </w:rPr>
        <w:t>Mossman, 2013</w:t>
      </w:r>
      <w:r w:rsidRPr="00772E76">
        <w:rPr>
          <w:rFonts w:eastAsia="Calibri"/>
          <w:sz w:val="18"/>
          <w:szCs w:val="20"/>
          <w:rtl/>
        </w:rPr>
        <w:t xml:space="preserve">), חוקרים </w:t>
      </w:r>
      <w:r w:rsidRPr="00772E76">
        <w:rPr>
          <w:rFonts w:eastAsia="Calibri" w:hint="cs"/>
          <w:sz w:val="18"/>
          <w:szCs w:val="20"/>
          <w:rtl/>
        </w:rPr>
        <w:t>לא מעטים</w:t>
      </w:r>
      <w:r w:rsidRPr="00772E76">
        <w:rPr>
          <w:rFonts w:eastAsia="Calibri"/>
          <w:sz w:val="18"/>
          <w:szCs w:val="20"/>
          <w:rtl/>
        </w:rPr>
        <w:t xml:space="preserve"> סבורים שלפסיכיאטרים אין כלל כלים לחיזוי התנהגות אלימה אצל מטופליהם</w:t>
      </w:r>
      <w:r w:rsidRPr="00772E76">
        <w:rPr>
          <w:rFonts w:eastAsia="Calibri" w:hint="cs"/>
          <w:sz w:val="18"/>
          <w:szCs w:val="20"/>
          <w:rtl/>
        </w:rPr>
        <w:t>.</w:t>
      </w:r>
      <w:r w:rsidRPr="00772E76">
        <w:rPr>
          <w:rFonts w:eastAsia="Calibri"/>
          <w:sz w:val="18"/>
          <w:szCs w:val="20"/>
          <w:rtl/>
        </w:rPr>
        <w:t xml:space="preserve"> </w:t>
      </w:r>
    </w:p>
    <w:p w14:paraId="186AF5D6" w14:textId="77777777" w:rsidR="00772E76" w:rsidRPr="00772E76" w:rsidRDefault="00772E76" w:rsidP="00772E76">
      <w:pPr>
        <w:suppressAutoHyphens/>
        <w:spacing w:after="180" w:line="280" w:lineRule="exact"/>
        <w:jc w:val="both"/>
        <w:rPr>
          <w:rFonts w:eastAsia="Calibri"/>
          <w:b/>
          <w:bCs/>
          <w:sz w:val="18"/>
          <w:szCs w:val="20"/>
          <w:rtl/>
        </w:rPr>
      </w:pPr>
      <w:r w:rsidRPr="00772E76">
        <w:rPr>
          <w:rFonts w:eastAsia="Calibri" w:hint="cs"/>
          <w:sz w:val="18"/>
          <w:szCs w:val="20"/>
          <w:rtl/>
        </w:rPr>
        <w:t xml:space="preserve">בפועל, ועל אף חילוקי הדעות הניכרים בדבר </w:t>
      </w:r>
      <w:r w:rsidRPr="00772E76">
        <w:rPr>
          <w:rFonts w:eastAsia="Calibri"/>
          <w:sz w:val="18"/>
          <w:szCs w:val="20"/>
          <w:rtl/>
        </w:rPr>
        <w:t>יכולתם של פסיכיאטרים להעריך מסוכנות של מטופל</w:t>
      </w:r>
      <w:r w:rsidRPr="00772E76">
        <w:rPr>
          <w:rFonts w:eastAsia="Calibri" w:hint="cs"/>
          <w:sz w:val="18"/>
          <w:szCs w:val="20"/>
          <w:rtl/>
        </w:rPr>
        <w:t>,</w:t>
      </w:r>
      <w:r w:rsidRPr="00772E76">
        <w:rPr>
          <w:rFonts w:eastAsia="Calibri"/>
          <w:sz w:val="18"/>
          <w:szCs w:val="20"/>
          <w:rtl/>
        </w:rPr>
        <w:t xml:space="preserve"> </w:t>
      </w:r>
      <w:r w:rsidRPr="00772E76">
        <w:rPr>
          <w:rFonts w:eastAsia="Calibri" w:hint="cs"/>
          <w:sz w:val="18"/>
          <w:szCs w:val="20"/>
          <w:rtl/>
        </w:rPr>
        <w:t>הרי בקרב הציבור הרחב</w:t>
      </w:r>
      <w:r w:rsidRPr="00772E76">
        <w:rPr>
          <w:rFonts w:eastAsia="Calibri"/>
          <w:sz w:val="18"/>
          <w:szCs w:val="20"/>
          <w:rtl/>
        </w:rPr>
        <w:t xml:space="preserve">, </w:t>
      </w:r>
      <w:r w:rsidRPr="00772E76">
        <w:rPr>
          <w:rFonts w:eastAsia="Calibri" w:hint="cs"/>
          <w:sz w:val="18"/>
          <w:szCs w:val="20"/>
          <w:rtl/>
        </w:rPr>
        <w:t>ואף</w:t>
      </w:r>
      <w:r w:rsidRPr="00772E76">
        <w:rPr>
          <w:rFonts w:eastAsia="Calibri"/>
          <w:sz w:val="18"/>
          <w:szCs w:val="20"/>
          <w:rtl/>
        </w:rPr>
        <w:t xml:space="preserve"> בקרב</w:t>
      </w:r>
      <w:r w:rsidRPr="00772E76">
        <w:rPr>
          <w:rFonts w:eastAsia="Calibri" w:hint="cs"/>
          <w:sz w:val="18"/>
          <w:szCs w:val="20"/>
          <w:rtl/>
        </w:rPr>
        <w:t xml:space="preserve"> לא מעט</w:t>
      </w:r>
      <w:r w:rsidRPr="00772E76">
        <w:rPr>
          <w:rFonts w:eastAsia="Calibri"/>
          <w:sz w:val="18"/>
          <w:szCs w:val="20"/>
          <w:rtl/>
        </w:rPr>
        <w:t xml:space="preserve"> רופאים פסיכיאטרים, עדיין רווחת הדעה שאנשים ש</w:t>
      </w:r>
      <w:r w:rsidRPr="00772E76">
        <w:rPr>
          <w:rFonts w:eastAsia="Calibri" w:hint="cs"/>
          <w:sz w:val="18"/>
          <w:szCs w:val="20"/>
          <w:rtl/>
        </w:rPr>
        <w:t>אובחנו בעבר או בהווה כלוקים במחלה נפשית</w:t>
      </w:r>
      <w:r w:rsidRPr="00772E76">
        <w:rPr>
          <w:rFonts w:eastAsia="Calibri"/>
          <w:sz w:val="18"/>
          <w:szCs w:val="20"/>
          <w:rtl/>
        </w:rPr>
        <w:t xml:space="preserve"> נמצאים בקבוצת מסוכנות לסביבה</w:t>
      </w:r>
      <w:r w:rsidRPr="00772E76">
        <w:rPr>
          <w:rFonts w:eastAsia="Calibri" w:hint="cs"/>
          <w:sz w:val="18"/>
          <w:szCs w:val="20"/>
          <w:rtl/>
        </w:rPr>
        <w:t xml:space="preserve"> (</w:t>
      </w:r>
      <w:proofErr w:type="spellStart"/>
      <w:r w:rsidRPr="00772E76">
        <w:rPr>
          <w:rFonts w:eastAsia="Calibri"/>
          <w:sz w:val="18"/>
          <w:szCs w:val="20"/>
        </w:rPr>
        <w:t>Frailing</w:t>
      </w:r>
      <w:proofErr w:type="spellEnd"/>
      <w:r w:rsidRPr="00772E76">
        <w:rPr>
          <w:rFonts w:eastAsia="Calibri"/>
          <w:sz w:val="18"/>
          <w:szCs w:val="20"/>
        </w:rPr>
        <w:t xml:space="preserve"> &amp; </w:t>
      </w:r>
      <w:r w:rsidRPr="00772E76">
        <w:rPr>
          <w:rFonts w:eastAsia="Calibri" w:hint="cs"/>
          <w:sz w:val="18"/>
          <w:szCs w:val="20"/>
        </w:rPr>
        <w:t>S</w:t>
      </w:r>
      <w:r w:rsidRPr="00772E76">
        <w:rPr>
          <w:rFonts w:eastAsia="Calibri"/>
          <w:sz w:val="18"/>
          <w:szCs w:val="20"/>
        </w:rPr>
        <w:t>late, 2018</w:t>
      </w:r>
      <w:r w:rsidRPr="00772E76">
        <w:rPr>
          <w:rFonts w:eastAsia="Calibri" w:hint="cs"/>
          <w:sz w:val="18"/>
          <w:szCs w:val="20"/>
          <w:rtl/>
        </w:rPr>
        <w:t>).</w:t>
      </w:r>
    </w:p>
    <w:p w14:paraId="5A65D919" w14:textId="2F6C52A9" w:rsidR="00772E76" w:rsidRPr="00772E76" w:rsidRDefault="00772E76" w:rsidP="00772E76">
      <w:pPr>
        <w:suppressAutoHyphens/>
        <w:spacing w:after="180" w:line="280" w:lineRule="exact"/>
        <w:jc w:val="both"/>
        <w:rPr>
          <w:rFonts w:eastAsia="Calibri"/>
          <w:sz w:val="18"/>
          <w:szCs w:val="20"/>
          <w:rtl/>
        </w:rPr>
      </w:pPr>
      <w:r w:rsidRPr="00772E76">
        <w:rPr>
          <w:rFonts w:eastAsia="Calibri" w:hint="cs"/>
          <w:sz w:val="18"/>
          <w:szCs w:val="20"/>
          <w:rtl/>
        </w:rPr>
        <w:t xml:space="preserve">המחלוקת באשר </w:t>
      </w:r>
      <w:proofErr w:type="spellStart"/>
      <w:r w:rsidRPr="00772E76">
        <w:rPr>
          <w:rFonts w:eastAsia="Calibri" w:hint="cs"/>
          <w:sz w:val="18"/>
          <w:szCs w:val="20"/>
          <w:rtl/>
        </w:rPr>
        <w:t>למסוכנותם</w:t>
      </w:r>
      <w:proofErr w:type="spellEnd"/>
      <w:r w:rsidRPr="00772E76">
        <w:rPr>
          <w:rFonts w:eastAsia="Calibri" w:hint="cs"/>
          <w:sz w:val="18"/>
          <w:szCs w:val="20"/>
          <w:rtl/>
        </w:rPr>
        <w:t xml:space="preserve"> של אנשים שאובחנו כחולי נפש, וערעור על הדעות הקדומות בתחום, התעוררו כבר במאה הקודמת. כך לדוגמה, </w:t>
      </w:r>
      <w:r w:rsidRPr="00772E76">
        <w:rPr>
          <w:rFonts w:eastAsia="Calibri"/>
          <w:sz w:val="18"/>
          <w:szCs w:val="20"/>
          <w:rtl/>
        </w:rPr>
        <w:t xml:space="preserve">הפסיכיאטר ג'ון </w:t>
      </w:r>
      <w:proofErr w:type="spellStart"/>
      <w:r w:rsidRPr="00772E76">
        <w:rPr>
          <w:rFonts w:eastAsia="Calibri"/>
          <w:sz w:val="18"/>
          <w:szCs w:val="20"/>
          <w:rtl/>
        </w:rPr>
        <w:t>מונהאן</w:t>
      </w:r>
      <w:proofErr w:type="spellEnd"/>
      <w:r w:rsidRPr="00772E76">
        <w:rPr>
          <w:rFonts w:eastAsia="Calibri"/>
          <w:sz w:val="18"/>
          <w:szCs w:val="20"/>
          <w:rtl/>
        </w:rPr>
        <w:t xml:space="preserve"> (</w:t>
      </w:r>
      <w:r w:rsidRPr="00772E76">
        <w:rPr>
          <w:rFonts w:eastAsia="Calibri"/>
          <w:sz w:val="18"/>
          <w:szCs w:val="20"/>
        </w:rPr>
        <w:t>Monahan, 1991</w:t>
      </w:r>
      <w:r w:rsidRPr="00772E76">
        <w:rPr>
          <w:rFonts w:eastAsia="Calibri"/>
          <w:sz w:val="18"/>
          <w:szCs w:val="20"/>
          <w:rtl/>
        </w:rPr>
        <w:t xml:space="preserve">) </w:t>
      </w:r>
      <w:r w:rsidRPr="00772E76">
        <w:rPr>
          <w:rFonts w:eastAsia="Calibri" w:hint="cs"/>
          <w:sz w:val="18"/>
          <w:szCs w:val="20"/>
          <w:rtl/>
        </w:rPr>
        <w:t xml:space="preserve">טען כי </w:t>
      </w:r>
      <w:r w:rsidRPr="00772E76">
        <w:rPr>
          <w:rFonts w:eastAsia="Calibri"/>
          <w:sz w:val="18"/>
          <w:szCs w:val="20"/>
          <w:rtl/>
        </w:rPr>
        <w:t>אין כל בסיס לדעה הרווחת כי אנשים שאובחנו כחולי נפש הם</w:t>
      </w:r>
      <w:r w:rsidRPr="00772E76">
        <w:rPr>
          <w:rFonts w:eastAsia="Calibri" w:hint="cs"/>
          <w:sz w:val="18"/>
          <w:szCs w:val="20"/>
          <w:rtl/>
        </w:rPr>
        <w:t xml:space="preserve"> בהכרח</w:t>
      </w:r>
      <w:r w:rsidRPr="00772E76">
        <w:rPr>
          <w:rFonts w:eastAsia="Calibri"/>
          <w:sz w:val="18"/>
          <w:szCs w:val="20"/>
          <w:rtl/>
        </w:rPr>
        <w:t xml:space="preserve"> בעלי מסוכנו</w:t>
      </w:r>
      <w:r w:rsidRPr="00772E76">
        <w:rPr>
          <w:rFonts w:eastAsia="Calibri" w:hint="cs"/>
          <w:sz w:val="18"/>
          <w:szCs w:val="20"/>
          <w:rtl/>
        </w:rPr>
        <w:t>ּ</w:t>
      </w:r>
      <w:r w:rsidRPr="00772E76">
        <w:rPr>
          <w:rFonts w:eastAsia="Calibri"/>
          <w:sz w:val="18"/>
          <w:szCs w:val="20"/>
          <w:rtl/>
        </w:rPr>
        <w:t xml:space="preserve">ת חברתית. </w:t>
      </w:r>
      <w:r w:rsidRPr="00772E76">
        <w:rPr>
          <w:rFonts w:eastAsia="Calibri" w:hint="cs"/>
          <w:sz w:val="18"/>
          <w:szCs w:val="20"/>
          <w:rtl/>
        </w:rPr>
        <w:t>קו טיעון זה זכה לסימוכין מסוגים שונים. וכך לדוגמה,</w:t>
      </w:r>
      <w:r w:rsidRPr="00772E76">
        <w:rPr>
          <w:rFonts w:eastAsia="Calibri"/>
          <w:sz w:val="18"/>
          <w:szCs w:val="20"/>
          <w:rtl/>
        </w:rPr>
        <w:t xml:space="preserve"> וירג'יניה </w:t>
      </w:r>
      <w:proofErr w:type="spellStart"/>
      <w:r w:rsidRPr="00772E76">
        <w:rPr>
          <w:rFonts w:eastAsia="Calibri"/>
          <w:sz w:val="18"/>
          <w:szCs w:val="20"/>
          <w:rtl/>
        </w:rPr>
        <w:t>אלדיג</w:t>
      </w:r>
      <w:proofErr w:type="spellEnd"/>
      <w:r w:rsidRPr="00772E76">
        <w:rPr>
          <w:rFonts w:eastAsia="Calibri"/>
          <w:sz w:val="18"/>
          <w:szCs w:val="20"/>
          <w:rtl/>
        </w:rPr>
        <w:t>' היידי (</w:t>
      </w:r>
      <w:proofErr w:type="spellStart"/>
      <w:r w:rsidRPr="00772E76">
        <w:rPr>
          <w:rFonts w:eastAsia="Calibri"/>
          <w:sz w:val="18"/>
          <w:szCs w:val="20"/>
        </w:rPr>
        <w:t>Hiday</w:t>
      </w:r>
      <w:proofErr w:type="spellEnd"/>
      <w:r w:rsidRPr="00772E76">
        <w:rPr>
          <w:rFonts w:eastAsia="Calibri"/>
          <w:sz w:val="18"/>
          <w:szCs w:val="20"/>
        </w:rPr>
        <w:t>, 2006</w:t>
      </w:r>
      <w:r w:rsidRPr="00772E76">
        <w:rPr>
          <w:rFonts w:eastAsia="Calibri"/>
          <w:sz w:val="18"/>
          <w:szCs w:val="20"/>
          <w:rtl/>
        </w:rPr>
        <w:t>)</w:t>
      </w:r>
      <w:r w:rsidR="00B03D1D">
        <w:rPr>
          <w:rFonts w:eastAsia="Calibri" w:hint="cs"/>
          <w:sz w:val="18"/>
          <w:szCs w:val="20"/>
          <w:rtl/>
        </w:rPr>
        <w:t xml:space="preserve"> </w:t>
      </w:r>
      <w:r w:rsidRPr="00772E76">
        <w:rPr>
          <w:rFonts w:eastAsia="Calibri"/>
          <w:sz w:val="18"/>
          <w:szCs w:val="20"/>
          <w:rtl/>
        </w:rPr>
        <w:t xml:space="preserve">סקרה עשרות מחקרים הטוענים שאנשים שאובחנו כחולי נפש מסוכנים יותר מאנשים שלא אובחנו ככאלה, </w:t>
      </w:r>
      <w:r w:rsidRPr="00772E76">
        <w:rPr>
          <w:rFonts w:eastAsia="Calibri" w:hint="cs"/>
          <w:sz w:val="18"/>
          <w:szCs w:val="20"/>
          <w:rtl/>
        </w:rPr>
        <w:t>ו</w:t>
      </w:r>
      <w:r w:rsidRPr="00772E76">
        <w:rPr>
          <w:rFonts w:eastAsia="Calibri"/>
          <w:sz w:val="18"/>
          <w:szCs w:val="20"/>
          <w:rtl/>
        </w:rPr>
        <w:t>ה</w:t>
      </w:r>
      <w:r w:rsidRPr="00772E76">
        <w:rPr>
          <w:rFonts w:eastAsia="Calibri" w:hint="cs"/>
          <w:sz w:val="18"/>
          <w:szCs w:val="20"/>
          <w:rtl/>
        </w:rPr>
        <w:t xml:space="preserve">גיעה למסקנה כי טיעוני החוקרים </w:t>
      </w:r>
      <w:r w:rsidRPr="00772E76">
        <w:rPr>
          <w:rFonts w:eastAsia="Calibri"/>
          <w:sz w:val="18"/>
          <w:szCs w:val="20"/>
          <w:rtl/>
        </w:rPr>
        <w:t>לא</w:t>
      </w:r>
      <w:r w:rsidRPr="00772E76">
        <w:rPr>
          <w:rFonts w:eastAsia="Calibri" w:hint="cs"/>
          <w:sz w:val="18"/>
          <w:szCs w:val="20"/>
          <w:rtl/>
        </w:rPr>
        <w:t xml:space="preserve"> באמת</w:t>
      </w:r>
      <w:r w:rsidRPr="00772E76">
        <w:rPr>
          <w:rFonts w:eastAsia="Calibri"/>
          <w:sz w:val="18"/>
          <w:szCs w:val="20"/>
          <w:rtl/>
        </w:rPr>
        <w:t xml:space="preserve"> הוכחו אמפירית</w:t>
      </w:r>
      <w:r w:rsidRPr="00772E76">
        <w:rPr>
          <w:rFonts w:eastAsia="Calibri" w:hint="cs"/>
          <w:sz w:val="18"/>
          <w:szCs w:val="20"/>
          <w:rtl/>
        </w:rPr>
        <w:t>,</w:t>
      </w:r>
      <w:r w:rsidRPr="00772E76">
        <w:rPr>
          <w:rFonts w:eastAsia="Calibri"/>
          <w:sz w:val="18"/>
          <w:szCs w:val="20"/>
          <w:rtl/>
        </w:rPr>
        <w:t xml:space="preserve"> כיוון שהמחקרים היו נגועים בהטיה בדגימה או במדידה</w:t>
      </w:r>
      <w:r w:rsidRPr="00772E76">
        <w:rPr>
          <w:rFonts w:eastAsia="Calibri" w:hint="cs"/>
          <w:sz w:val="18"/>
          <w:szCs w:val="20"/>
          <w:rtl/>
        </w:rPr>
        <w:t>.</w:t>
      </w:r>
      <w:r w:rsidRPr="00772E76">
        <w:rPr>
          <w:rFonts w:eastAsia="Calibri"/>
          <w:sz w:val="18"/>
          <w:szCs w:val="20"/>
          <w:rtl/>
        </w:rPr>
        <w:t xml:space="preserve"> </w:t>
      </w:r>
      <w:r w:rsidRPr="00772E76">
        <w:rPr>
          <w:rFonts w:eastAsia="Calibri" w:hint="cs"/>
          <w:sz w:val="18"/>
          <w:szCs w:val="20"/>
          <w:rtl/>
        </w:rPr>
        <w:t>לבסוף, גם</w:t>
      </w:r>
      <w:r w:rsidRPr="00772E76">
        <w:rPr>
          <w:rFonts w:eastAsia="Calibri"/>
          <w:sz w:val="18"/>
          <w:szCs w:val="20"/>
          <w:rtl/>
        </w:rPr>
        <w:t xml:space="preserve"> מחקרים עדכניים מ</w:t>
      </w:r>
      <w:r w:rsidRPr="00772E76">
        <w:rPr>
          <w:rFonts w:eastAsia="Calibri" w:hint="cs"/>
          <w:sz w:val="18"/>
          <w:szCs w:val="20"/>
          <w:rtl/>
        </w:rPr>
        <w:t xml:space="preserve">ורים כי </w:t>
      </w:r>
      <w:r w:rsidRPr="00772E76">
        <w:rPr>
          <w:rFonts w:eastAsia="Calibri"/>
          <w:sz w:val="18"/>
          <w:szCs w:val="20"/>
          <w:rtl/>
        </w:rPr>
        <w:t>רוב (בין 80 ל-95</w:t>
      </w:r>
      <w:r w:rsidRPr="00772E76">
        <w:rPr>
          <w:rFonts w:eastAsia="Calibri" w:hint="cs"/>
          <w:sz w:val="18"/>
          <w:szCs w:val="20"/>
          <w:rtl/>
        </w:rPr>
        <w:t>%</w:t>
      </w:r>
      <w:r w:rsidRPr="00772E76">
        <w:rPr>
          <w:rFonts w:eastAsia="Calibri"/>
          <w:sz w:val="18"/>
          <w:szCs w:val="20"/>
          <w:rtl/>
        </w:rPr>
        <w:t xml:space="preserve">) </w:t>
      </w:r>
      <w:r w:rsidRPr="00772E76">
        <w:rPr>
          <w:rFonts w:eastAsia="Calibri" w:hint="cs"/>
          <w:sz w:val="18"/>
          <w:szCs w:val="20"/>
          <w:rtl/>
        </w:rPr>
        <w:t>מקרי האלימות החמורה</w:t>
      </w:r>
      <w:r w:rsidRPr="00772E76">
        <w:rPr>
          <w:rFonts w:eastAsia="Calibri"/>
          <w:sz w:val="18"/>
          <w:szCs w:val="20"/>
          <w:rtl/>
        </w:rPr>
        <w:t xml:space="preserve"> </w:t>
      </w:r>
      <w:r w:rsidRPr="00772E76">
        <w:rPr>
          <w:rFonts w:eastAsia="Calibri" w:hint="cs"/>
          <w:sz w:val="18"/>
          <w:szCs w:val="20"/>
          <w:rtl/>
        </w:rPr>
        <w:t>שמבצעים</w:t>
      </w:r>
      <w:r w:rsidRPr="00772E76">
        <w:rPr>
          <w:rFonts w:eastAsia="Calibri"/>
          <w:sz w:val="18"/>
          <w:szCs w:val="20"/>
          <w:rtl/>
        </w:rPr>
        <w:t xml:space="preserve"> </w:t>
      </w:r>
      <w:r w:rsidRPr="00772E76">
        <w:rPr>
          <w:rFonts w:eastAsia="Calibri" w:hint="cs"/>
          <w:sz w:val="18"/>
          <w:szCs w:val="20"/>
          <w:rtl/>
        </w:rPr>
        <w:t>אנשים המאובחנים כ</w:t>
      </w:r>
      <w:r w:rsidRPr="00772E76">
        <w:rPr>
          <w:rFonts w:eastAsia="Calibri"/>
          <w:sz w:val="18"/>
          <w:szCs w:val="20"/>
          <w:rtl/>
        </w:rPr>
        <w:t>חולי נפש אינם קשורים למחלתם</w:t>
      </w:r>
      <w:r w:rsidRPr="00772E76">
        <w:rPr>
          <w:rFonts w:eastAsia="Calibri" w:hint="cs"/>
          <w:sz w:val="18"/>
          <w:szCs w:val="20"/>
          <w:rtl/>
        </w:rPr>
        <w:t>,</w:t>
      </w:r>
      <w:r w:rsidRPr="00772E76">
        <w:rPr>
          <w:rFonts w:eastAsia="Calibri"/>
          <w:sz w:val="18"/>
          <w:szCs w:val="20"/>
          <w:rtl/>
        </w:rPr>
        <w:t xml:space="preserve"> אלא נובעים מגורמים חברתיים שונים, </w:t>
      </w:r>
      <w:r w:rsidRPr="00772E76">
        <w:rPr>
          <w:rFonts w:eastAsia="Calibri" w:hint="cs"/>
          <w:sz w:val="18"/>
          <w:szCs w:val="20"/>
          <w:rtl/>
        </w:rPr>
        <w:t xml:space="preserve">ובהם </w:t>
      </w:r>
      <w:r w:rsidRPr="00772E76">
        <w:rPr>
          <w:rFonts w:eastAsia="Calibri"/>
          <w:sz w:val="18"/>
          <w:szCs w:val="20"/>
          <w:rtl/>
        </w:rPr>
        <w:t xml:space="preserve">שימוש בחומרים </w:t>
      </w:r>
      <w:proofErr w:type="spellStart"/>
      <w:r w:rsidRPr="00772E76">
        <w:rPr>
          <w:rFonts w:eastAsia="Calibri"/>
          <w:sz w:val="18"/>
          <w:szCs w:val="20"/>
          <w:rtl/>
        </w:rPr>
        <w:t>פסיכואקטיביים</w:t>
      </w:r>
      <w:proofErr w:type="spellEnd"/>
      <w:r w:rsidRPr="00772E76">
        <w:rPr>
          <w:rFonts w:eastAsia="Calibri"/>
          <w:sz w:val="18"/>
          <w:szCs w:val="20"/>
          <w:rtl/>
        </w:rPr>
        <w:t>, היעדר זוגיות יציבה, היעדר תעסוקה יציבה, גיל, מגדר, סטיגמה חברתית כלפי אוכלוסייה זו, היעדר זמינות של שירותים אזוריים לבריאות הנפש וכן הלאה (</w:t>
      </w:r>
      <w:proofErr w:type="spellStart"/>
      <w:r w:rsidRPr="00772E76">
        <w:rPr>
          <w:rFonts w:eastAsia="Calibri"/>
          <w:sz w:val="18"/>
          <w:szCs w:val="20"/>
        </w:rPr>
        <w:t>Frailing</w:t>
      </w:r>
      <w:proofErr w:type="spellEnd"/>
      <w:r w:rsidRPr="00772E76">
        <w:rPr>
          <w:rFonts w:eastAsia="Calibri"/>
          <w:sz w:val="18"/>
          <w:szCs w:val="20"/>
        </w:rPr>
        <w:t xml:space="preserve"> &amp; </w:t>
      </w:r>
      <w:r w:rsidRPr="00772E76">
        <w:rPr>
          <w:rFonts w:eastAsia="Calibri" w:hint="cs"/>
          <w:sz w:val="18"/>
          <w:szCs w:val="20"/>
        </w:rPr>
        <w:t>S</w:t>
      </w:r>
      <w:r w:rsidRPr="00772E76">
        <w:rPr>
          <w:rFonts w:eastAsia="Calibri"/>
          <w:sz w:val="18"/>
          <w:szCs w:val="20"/>
        </w:rPr>
        <w:t>late, 2018</w:t>
      </w:r>
      <w:r w:rsidRPr="00772E76">
        <w:rPr>
          <w:rFonts w:eastAsia="Calibri"/>
          <w:sz w:val="18"/>
          <w:szCs w:val="20"/>
          <w:rtl/>
        </w:rPr>
        <w:t>)</w:t>
      </w:r>
      <w:r w:rsidRPr="00772E76">
        <w:rPr>
          <w:rFonts w:eastAsia="Calibri" w:hint="cs"/>
          <w:sz w:val="18"/>
          <w:szCs w:val="20"/>
          <w:rtl/>
        </w:rPr>
        <w:t xml:space="preserve">. </w:t>
      </w:r>
    </w:p>
    <w:p w14:paraId="1046836E" w14:textId="560592D5" w:rsidR="00772E76" w:rsidRDefault="00772E76" w:rsidP="00772E76">
      <w:pPr>
        <w:suppressAutoHyphens/>
        <w:spacing w:after="180" w:line="280" w:lineRule="exact"/>
        <w:jc w:val="both"/>
        <w:rPr>
          <w:rFonts w:eastAsia="Calibri"/>
          <w:sz w:val="18"/>
          <w:szCs w:val="20"/>
          <w:rtl/>
        </w:rPr>
      </w:pPr>
      <w:r w:rsidRPr="00772E76">
        <w:rPr>
          <w:rFonts w:eastAsia="Calibri" w:hint="cs"/>
          <w:sz w:val="18"/>
          <w:szCs w:val="20"/>
          <w:rtl/>
        </w:rPr>
        <w:t xml:space="preserve">לאור האמור לעיל, ניכר שלכל הפחות יש מחלוקת מדעית ניכרת בנוגע </w:t>
      </w:r>
      <w:r w:rsidRPr="00772E76">
        <w:rPr>
          <w:rFonts w:eastAsia="Calibri"/>
          <w:sz w:val="18"/>
          <w:szCs w:val="20"/>
          <w:rtl/>
        </w:rPr>
        <w:t xml:space="preserve">לטענה </w:t>
      </w:r>
      <w:r w:rsidRPr="00772E76">
        <w:rPr>
          <w:rFonts w:eastAsia="Calibri" w:hint="cs"/>
          <w:sz w:val="18"/>
          <w:szCs w:val="20"/>
          <w:rtl/>
        </w:rPr>
        <w:t>כי האנשים המאובחנים כ</w:t>
      </w:r>
      <w:r w:rsidRPr="00772E76">
        <w:rPr>
          <w:rFonts w:eastAsia="Calibri"/>
          <w:sz w:val="18"/>
          <w:szCs w:val="20"/>
          <w:rtl/>
        </w:rPr>
        <w:t>חולי נפש מסוכנים יותר מאשר האוכלוסייה הכללית</w:t>
      </w:r>
      <w:r w:rsidRPr="00772E76">
        <w:rPr>
          <w:rFonts w:eastAsia="Calibri" w:hint="cs"/>
          <w:sz w:val="18"/>
          <w:szCs w:val="20"/>
          <w:rtl/>
        </w:rPr>
        <w:t xml:space="preserve">. ולמרות זאת, הדעה </w:t>
      </w:r>
      <w:r w:rsidRPr="00772E76">
        <w:rPr>
          <w:rFonts w:eastAsia="Calibri" w:hint="cs"/>
          <w:sz w:val="18"/>
          <w:szCs w:val="20"/>
          <w:rtl/>
        </w:rPr>
        <w:lastRenderedPageBreak/>
        <w:t>שעדיין רווחת בציבור הרחב היא שהמאובחנים כחולי נפש אכן מסוכנים יותר.</w:t>
      </w:r>
      <w:r w:rsidRPr="00772E76">
        <w:rPr>
          <w:rFonts w:eastAsia="Calibri"/>
          <w:sz w:val="18"/>
          <w:szCs w:val="20"/>
          <w:rtl/>
        </w:rPr>
        <w:t xml:space="preserve"> </w:t>
      </w:r>
      <w:r w:rsidRPr="00772E76">
        <w:rPr>
          <w:rFonts w:eastAsia="Calibri" w:hint="cs"/>
          <w:sz w:val="18"/>
          <w:szCs w:val="20"/>
          <w:rtl/>
        </w:rPr>
        <w:t xml:space="preserve">אפשר </w:t>
      </w:r>
      <w:r w:rsidRPr="00772E76">
        <w:rPr>
          <w:rFonts w:eastAsia="Calibri"/>
          <w:sz w:val="18"/>
          <w:szCs w:val="20"/>
          <w:rtl/>
        </w:rPr>
        <w:t>לשער ש</w:t>
      </w:r>
      <w:r w:rsidRPr="00772E76">
        <w:rPr>
          <w:rFonts w:eastAsia="Calibri" w:hint="cs"/>
          <w:sz w:val="18"/>
          <w:szCs w:val="20"/>
          <w:rtl/>
        </w:rPr>
        <w:t>דעה זו</w:t>
      </w:r>
      <w:r w:rsidRPr="00772E76">
        <w:rPr>
          <w:rFonts w:eastAsia="Calibri"/>
          <w:sz w:val="18"/>
          <w:szCs w:val="20"/>
          <w:rtl/>
        </w:rPr>
        <w:t xml:space="preserve"> </w:t>
      </w:r>
      <w:r w:rsidRPr="00772E76">
        <w:rPr>
          <w:rFonts w:eastAsia="Calibri" w:hint="cs"/>
          <w:sz w:val="18"/>
          <w:szCs w:val="20"/>
          <w:rtl/>
        </w:rPr>
        <w:t>מקורה ב</w:t>
      </w:r>
      <w:r w:rsidRPr="00772E76">
        <w:rPr>
          <w:rFonts w:eastAsia="Calibri"/>
          <w:sz w:val="18"/>
          <w:szCs w:val="20"/>
          <w:rtl/>
        </w:rPr>
        <w:t xml:space="preserve">הבניה חברתית, כלומר </w:t>
      </w:r>
      <w:r w:rsidRPr="00772E76">
        <w:rPr>
          <w:rFonts w:eastAsia="Calibri" w:hint="cs"/>
          <w:sz w:val="18"/>
          <w:szCs w:val="20"/>
          <w:rtl/>
        </w:rPr>
        <w:t>ב</w:t>
      </w:r>
      <w:r w:rsidRPr="00772E76">
        <w:rPr>
          <w:rFonts w:eastAsia="Calibri"/>
          <w:sz w:val="18"/>
          <w:szCs w:val="20"/>
          <w:rtl/>
        </w:rPr>
        <w:t>גורמים חיצוניים המשפיעים על עיצוב דעת הקהל.</w:t>
      </w:r>
    </w:p>
    <w:p w14:paraId="2EDEDA02" w14:textId="77777777" w:rsidR="00F61766" w:rsidRPr="00772E76" w:rsidRDefault="00F61766" w:rsidP="00772E76">
      <w:pPr>
        <w:suppressAutoHyphens/>
        <w:spacing w:after="180" w:line="280" w:lineRule="exact"/>
        <w:jc w:val="both"/>
        <w:rPr>
          <w:rFonts w:eastAsia="Calibri"/>
          <w:sz w:val="18"/>
          <w:szCs w:val="20"/>
          <w:rtl/>
        </w:rPr>
      </w:pPr>
    </w:p>
    <w:p w14:paraId="5C4CCDCA" w14:textId="7318AF47" w:rsidR="00772E76" w:rsidRPr="002A7061" w:rsidRDefault="00772E76" w:rsidP="00772E76">
      <w:pPr>
        <w:pStyle w:val="KOT5"/>
        <w:spacing w:after="0"/>
        <w:ind w:right="0"/>
        <w:rPr>
          <w:rFonts w:cs="Guttman Aharoni"/>
          <w:color w:val="00B0F0"/>
          <w:sz w:val="22"/>
          <w:szCs w:val="22"/>
          <w:rtl/>
        </w:rPr>
      </w:pPr>
      <w:r w:rsidRPr="002A7061">
        <w:rPr>
          <w:rFonts w:cs="Guttman Aharoni" w:hint="cs"/>
          <w:color w:val="00B0F0"/>
          <w:sz w:val="22"/>
          <w:szCs w:val="22"/>
          <w:rtl/>
        </w:rPr>
        <w:t>הבניה חברתית</w:t>
      </w:r>
    </w:p>
    <w:p w14:paraId="097FAB68" w14:textId="77777777" w:rsidR="00772E76" w:rsidRPr="00772E76" w:rsidRDefault="00772E76" w:rsidP="00772E76">
      <w:pPr>
        <w:spacing w:after="180" w:line="280" w:lineRule="exact"/>
        <w:jc w:val="both"/>
        <w:rPr>
          <w:rFonts w:eastAsia="Calibri"/>
          <w:sz w:val="18"/>
          <w:szCs w:val="20"/>
          <w:rtl/>
        </w:rPr>
      </w:pPr>
      <w:r w:rsidRPr="00772E76">
        <w:rPr>
          <w:rFonts w:eastAsia="Calibri"/>
          <w:sz w:val="18"/>
          <w:szCs w:val="20"/>
          <w:rtl/>
        </w:rPr>
        <w:t xml:space="preserve">המונח "הבניה חברתית" מתאר את התהליך החברתי שבאמצעותו אנשים מעצבים את המציאות כתוצר של אינטראקציה חברתית בין יחידים וחברות. </w:t>
      </w:r>
      <w:r w:rsidRPr="00772E76">
        <w:rPr>
          <w:rFonts w:eastAsia="Calibri" w:hint="cs"/>
          <w:sz w:val="18"/>
          <w:szCs w:val="20"/>
          <w:rtl/>
        </w:rPr>
        <w:t xml:space="preserve">יתרה מזאת, </w:t>
      </w:r>
      <w:r w:rsidRPr="00772E76">
        <w:rPr>
          <w:rFonts w:eastAsia="Calibri"/>
          <w:sz w:val="18"/>
          <w:szCs w:val="20"/>
          <w:rtl/>
        </w:rPr>
        <w:t xml:space="preserve">סוציולוגים מהזרם הקונסטרוקטיביסטי </w:t>
      </w:r>
      <w:r w:rsidRPr="00772E76">
        <w:rPr>
          <w:rFonts w:eastAsia="Calibri" w:hint="cs"/>
          <w:sz w:val="18"/>
          <w:szCs w:val="20"/>
          <w:rtl/>
        </w:rPr>
        <w:t>גורסים</w:t>
      </w:r>
      <w:r w:rsidRPr="00772E76">
        <w:rPr>
          <w:rFonts w:eastAsia="Calibri"/>
          <w:sz w:val="18"/>
          <w:szCs w:val="20"/>
          <w:rtl/>
        </w:rPr>
        <w:t xml:space="preserve"> כי מה שיחידים וחברות תופסים ומפרשים כמציאות הוא </w:t>
      </w:r>
      <w:r w:rsidRPr="00772E76">
        <w:rPr>
          <w:rFonts w:eastAsia="Calibri" w:hint="cs"/>
          <w:sz w:val="18"/>
          <w:szCs w:val="20"/>
          <w:rtl/>
        </w:rPr>
        <w:t>למעשה</w:t>
      </w:r>
      <w:r w:rsidRPr="00772E76">
        <w:rPr>
          <w:rFonts w:eastAsia="Calibri"/>
          <w:sz w:val="18"/>
          <w:szCs w:val="20"/>
          <w:rtl/>
        </w:rPr>
        <w:t xml:space="preserve"> הבניה</w:t>
      </w:r>
      <w:r w:rsidRPr="00772E76">
        <w:rPr>
          <w:rFonts w:eastAsia="Calibri" w:hint="cs"/>
          <w:sz w:val="18"/>
          <w:szCs w:val="20"/>
          <w:rtl/>
        </w:rPr>
        <w:t>.</w:t>
      </w:r>
      <w:r w:rsidRPr="00772E76">
        <w:rPr>
          <w:rFonts w:eastAsia="Calibri"/>
          <w:sz w:val="18"/>
          <w:szCs w:val="20"/>
          <w:rtl/>
        </w:rPr>
        <w:t xml:space="preserve"> על פי גישת ההבניה, האמונה </w:t>
      </w:r>
      <w:r w:rsidRPr="00772E76">
        <w:rPr>
          <w:rFonts w:eastAsia="Calibri" w:hint="cs"/>
          <w:sz w:val="18"/>
          <w:szCs w:val="20"/>
          <w:rtl/>
        </w:rPr>
        <w:t>שערכים מסוימים מוסכמים על החברה כולה</w:t>
      </w:r>
      <w:r w:rsidRPr="00772E76">
        <w:rPr>
          <w:rFonts w:eastAsia="Calibri"/>
          <w:sz w:val="18"/>
          <w:szCs w:val="20"/>
          <w:rtl/>
        </w:rPr>
        <w:t xml:space="preserve"> נכפית על הקבוצות החלשות באמצעות יצירת תודעה כוזבת. גם על פי המודל המתון של תיאוריית ההבניה, שלדידו רוב התופעות החברתיות אכן קיימות, ההמשגה של התופעות הללו, דפוסי התגובה אליהן והסיבות להתמקדות בהן מוכתבים על ידי נקודת המבט של הקבוצה או של השחקנים הפועלים בחברה (</w:t>
      </w:r>
      <w:proofErr w:type="spellStart"/>
      <w:r w:rsidRPr="00772E76">
        <w:rPr>
          <w:rFonts w:eastAsia="Calibri"/>
          <w:sz w:val="18"/>
          <w:szCs w:val="20"/>
          <w:rtl/>
        </w:rPr>
        <w:t>קאבאליון</w:t>
      </w:r>
      <w:proofErr w:type="spellEnd"/>
      <w:r w:rsidRPr="00772E76">
        <w:rPr>
          <w:rFonts w:eastAsia="Calibri"/>
          <w:sz w:val="18"/>
          <w:szCs w:val="20"/>
          <w:rtl/>
        </w:rPr>
        <w:t xml:space="preserve"> ושהם, 2016).</w:t>
      </w:r>
    </w:p>
    <w:p w14:paraId="01DF7347" w14:textId="77777777" w:rsidR="00772E76" w:rsidRPr="00772E76" w:rsidRDefault="00772E76" w:rsidP="00772E76">
      <w:pPr>
        <w:spacing w:after="180" w:line="280" w:lineRule="exact"/>
        <w:jc w:val="both"/>
        <w:rPr>
          <w:rFonts w:eastAsia="Calibri"/>
          <w:sz w:val="18"/>
          <w:szCs w:val="20"/>
          <w:rtl/>
        </w:rPr>
      </w:pPr>
      <w:r w:rsidRPr="00772E76">
        <w:rPr>
          <w:rFonts w:eastAsia="Calibri"/>
          <w:sz w:val="18"/>
          <w:szCs w:val="20"/>
          <w:rtl/>
        </w:rPr>
        <w:t xml:space="preserve">תהליך </w:t>
      </w:r>
      <w:r w:rsidRPr="00772E76">
        <w:rPr>
          <w:rFonts w:eastAsia="Calibri" w:hint="cs"/>
          <w:sz w:val="18"/>
          <w:szCs w:val="20"/>
          <w:rtl/>
        </w:rPr>
        <w:t>ה</w:t>
      </w:r>
      <w:r w:rsidRPr="00772E76">
        <w:rPr>
          <w:rFonts w:eastAsia="Calibri"/>
          <w:sz w:val="18"/>
          <w:szCs w:val="20"/>
          <w:rtl/>
        </w:rPr>
        <w:t xml:space="preserve">הבניה </w:t>
      </w:r>
      <w:r w:rsidRPr="00772E76">
        <w:rPr>
          <w:rFonts w:eastAsia="Calibri" w:hint="cs"/>
          <w:sz w:val="18"/>
          <w:szCs w:val="20"/>
          <w:rtl/>
        </w:rPr>
        <w:t>ה</w:t>
      </w:r>
      <w:r w:rsidRPr="00772E76">
        <w:rPr>
          <w:rFonts w:eastAsia="Calibri"/>
          <w:sz w:val="18"/>
          <w:szCs w:val="20"/>
          <w:rtl/>
        </w:rPr>
        <w:t xml:space="preserve">חברתית מביא לעיתים קרובות להטיות בשפיטה. אחת ההטיות הנוצרות </w:t>
      </w:r>
      <w:r w:rsidRPr="00772E76">
        <w:rPr>
          <w:rFonts w:eastAsia="Calibri" w:hint="cs"/>
          <w:sz w:val="18"/>
          <w:szCs w:val="20"/>
          <w:rtl/>
        </w:rPr>
        <w:t xml:space="preserve">עקב </w:t>
      </w:r>
      <w:r w:rsidRPr="00772E76">
        <w:rPr>
          <w:rFonts w:eastAsia="Calibri"/>
          <w:sz w:val="18"/>
          <w:szCs w:val="20"/>
          <w:rtl/>
        </w:rPr>
        <w:t>הבניה חברתית היא הסטיגמה – תכונה שלילית המיוחסת לתדמיתם החברתית של יחיד או קבוצה</w:t>
      </w:r>
      <w:r w:rsidRPr="00772E76">
        <w:rPr>
          <w:rFonts w:eastAsia="Calibri" w:hint="cs"/>
          <w:sz w:val="18"/>
          <w:szCs w:val="20"/>
          <w:rtl/>
        </w:rPr>
        <w:t>,</w:t>
      </w:r>
      <w:r w:rsidRPr="00772E76">
        <w:rPr>
          <w:rFonts w:eastAsia="Calibri"/>
          <w:sz w:val="18"/>
          <w:szCs w:val="20"/>
          <w:rtl/>
        </w:rPr>
        <w:t xml:space="preserve"> ומשמשת כלי לפיקוח חברתי</w:t>
      </w:r>
      <w:r w:rsidRPr="00772E76">
        <w:rPr>
          <w:rFonts w:eastAsia="Calibri" w:hint="cs"/>
          <w:sz w:val="18"/>
          <w:szCs w:val="20"/>
          <w:rtl/>
        </w:rPr>
        <w:t>.</w:t>
      </w:r>
      <w:r w:rsidRPr="00772E76">
        <w:rPr>
          <w:rFonts w:eastAsia="Calibri"/>
          <w:sz w:val="18"/>
          <w:szCs w:val="20"/>
          <w:rtl/>
        </w:rPr>
        <w:t xml:space="preserve"> לדברי שוהם, </w:t>
      </w:r>
    </w:p>
    <w:p w14:paraId="74560AA2" w14:textId="77777777" w:rsidR="00772E76" w:rsidRPr="00772E76" w:rsidRDefault="00772E76" w:rsidP="00772E76">
      <w:pPr>
        <w:spacing w:after="180" w:line="280" w:lineRule="exact"/>
        <w:ind w:left="567"/>
        <w:jc w:val="both"/>
        <w:rPr>
          <w:rFonts w:eastAsia="Calibri"/>
          <w:sz w:val="18"/>
          <w:szCs w:val="20"/>
          <w:rtl/>
        </w:rPr>
      </w:pPr>
      <w:r w:rsidRPr="00772E76">
        <w:rPr>
          <w:rFonts w:eastAsia="Calibri"/>
          <w:sz w:val="18"/>
          <w:szCs w:val="20"/>
          <w:rtl/>
        </w:rPr>
        <w:t>הסטיגמה החברתית בתרבויות הישגיות יכולה לשמש כהישג מדומה לאלה שלא עלה בידם להשיג הישג של ממש. מכיוון שההישג הוא יחסי, יכול הפרט להגביה עצמו על ידי הדבקת כתם של סטיגמה באחרים. כאשר פרט או קבוצה המשתוקקים להצלחה כפיצוי על אי</w:t>
      </w:r>
      <w:r w:rsidRPr="00772E76">
        <w:rPr>
          <w:rFonts w:eastAsia="Calibri" w:hint="cs"/>
          <w:sz w:val="18"/>
          <w:szCs w:val="20"/>
          <w:rtl/>
        </w:rPr>
        <w:t>-</w:t>
      </w:r>
      <w:r w:rsidRPr="00772E76">
        <w:rPr>
          <w:rFonts w:eastAsia="Calibri"/>
          <w:sz w:val="18"/>
          <w:szCs w:val="20"/>
          <w:rtl/>
        </w:rPr>
        <w:t>ביטחונם וחרדתם אינם משיגים מטרות אלו, הם ינסו להשיג סטטוס זה על ידי הורדת הסטטוס של המוקעים</w:t>
      </w:r>
      <w:r w:rsidRPr="00772E76">
        <w:rPr>
          <w:rFonts w:eastAsia="Calibri" w:hint="cs"/>
          <w:sz w:val="18"/>
          <w:szCs w:val="20"/>
          <w:rtl/>
        </w:rPr>
        <w:t xml:space="preserve"> (שוהם, 1978, עמ' 69). </w:t>
      </w:r>
    </w:p>
    <w:p w14:paraId="23E2F0A0" w14:textId="77777777" w:rsidR="00772E76" w:rsidRPr="00772E76" w:rsidRDefault="00772E76" w:rsidP="00772E76">
      <w:pPr>
        <w:spacing w:after="180" w:line="280" w:lineRule="exact"/>
        <w:jc w:val="both"/>
        <w:rPr>
          <w:rFonts w:eastAsia="Calibri"/>
          <w:sz w:val="18"/>
          <w:szCs w:val="20"/>
          <w:rtl/>
        </w:rPr>
      </w:pPr>
      <w:r w:rsidRPr="00772E76">
        <w:rPr>
          <w:rFonts w:eastAsia="Calibri"/>
          <w:sz w:val="18"/>
          <w:szCs w:val="20"/>
          <w:rtl/>
        </w:rPr>
        <w:t xml:space="preserve">לרוב מוצמדת הסטיגמה ליחיד או לקבוצה ששונותם בולטת באופן המטיל ספק או אף פוגע במוסדות ההוקעה והתיוג. </w:t>
      </w:r>
      <w:r w:rsidRPr="00772E76">
        <w:rPr>
          <w:rFonts w:eastAsia="Calibri" w:hint="cs"/>
          <w:sz w:val="18"/>
          <w:szCs w:val="20"/>
          <w:rtl/>
        </w:rPr>
        <w:t xml:space="preserve">כך </w:t>
      </w:r>
      <w:r w:rsidRPr="00772E76">
        <w:rPr>
          <w:rFonts w:eastAsia="Calibri"/>
          <w:sz w:val="18"/>
          <w:szCs w:val="20"/>
          <w:rtl/>
        </w:rPr>
        <w:t>למשל, הסטיגמה על קבוצות שוליים היא שהן מסוכנות</w:t>
      </w:r>
      <w:r w:rsidRPr="00772E76">
        <w:rPr>
          <w:rFonts w:eastAsia="Calibri" w:hint="cs"/>
          <w:sz w:val="18"/>
          <w:szCs w:val="20"/>
          <w:rtl/>
        </w:rPr>
        <w:t xml:space="preserve"> </w:t>
      </w:r>
      <w:r w:rsidRPr="00772E76">
        <w:rPr>
          <w:rFonts w:eastAsia="Calibri"/>
          <w:sz w:val="18"/>
          <w:szCs w:val="20"/>
          <w:rtl/>
        </w:rPr>
        <w:t xml:space="preserve">(שוהם, 1978). </w:t>
      </w:r>
    </w:p>
    <w:p w14:paraId="5435F9C6" w14:textId="049B6FAB" w:rsidR="00772E76" w:rsidRPr="00772E76" w:rsidRDefault="00772E76" w:rsidP="00772E76">
      <w:pPr>
        <w:spacing w:after="180" w:line="280" w:lineRule="exact"/>
        <w:jc w:val="both"/>
        <w:rPr>
          <w:rFonts w:eastAsia="Calibri"/>
          <w:sz w:val="18"/>
          <w:szCs w:val="20"/>
          <w:rtl/>
        </w:rPr>
      </w:pPr>
      <w:r w:rsidRPr="00772E76">
        <w:rPr>
          <w:rFonts w:eastAsia="Calibri"/>
          <w:sz w:val="18"/>
          <w:szCs w:val="20"/>
          <w:rtl/>
        </w:rPr>
        <w:t>אחד הגורמים המשפיעים השפעה מובהקת על ההבניה החברתית הוא אמצעי התקשורת. המדיה נוטה לדווח על אירועי פשע מסוימים בהרחבה רבה</w:t>
      </w:r>
      <w:r w:rsidRPr="00772E76">
        <w:rPr>
          <w:rFonts w:eastAsia="Calibri" w:hint="cs"/>
          <w:sz w:val="18"/>
          <w:szCs w:val="20"/>
          <w:rtl/>
        </w:rPr>
        <w:t>,</w:t>
      </w:r>
      <w:r w:rsidRPr="00772E76">
        <w:rPr>
          <w:rFonts w:eastAsia="Calibri"/>
          <w:sz w:val="18"/>
          <w:szCs w:val="20"/>
          <w:rtl/>
        </w:rPr>
        <w:t xml:space="preserve"> ובה בעת להתעלם מאירועי פשע אחרים</w:t>
      </w:r>
      <w:r w:rsidRPr="00772E76">
        <w:rPr>
          <w:rFonts w:eastAsia="Calibri" w:hint="cs"/>
          <w:sz w:val="18"/>
          <w:szCs w:val="20"/>
          <w:rtl/>
        </w:rPr>
        <w:t>.</w:t>
      </w:r>
      <w:r w:rsidRPr="00772E76">
        <w:rPr>
          <w:rFonts w:eastAsia="Calibri"/>
          <w:sz w:val="18"/>
          <w:szCs w:val="20"/>
          <w:rtl/>
        </w:rPr>
        <w:t xml:space="preserve"> כך</w:t>
      </w:r>
      <w:r w:rsidRPr="00772E76">
        <w:rPr>
          <w:rFonts w:eastAsia="Calibri" w:hint="cs"/>
          <w:sz w:val="18"/>
          <w:szCs w:val="20"/>
          <w:rtl/>
        </w:rPr>
        <w:t xml:space="preserve"> </w:t>
      </w:r>
      <w:r w:rsidRPr="00772E76">
        <w:rPr>
          <w:rFonts w:eastAsia="Calibri"/>
          <w:sz w:val="18"/>
          <w:szCs w:val="20"/>
          <w:rtl/>
        </w:rPr>
        <w:t xml:space="preserve">היא מַבנה את התפיסה </w:t>
      </w:r>
      <w:r w:rsidRPr="00772E76">
        <w:rPr>
          <w:rFonts w:eastAsia="Calibri" w:hint="cs"/>
          <w:sz w:val="18"/>
          <w:szCs w:val="20"/>
          <w:rtl/>
        </w:rPr>
        <w:t xml:space="preserve">ולפיה </w:t>
      </w:r>
      <w:r w:rsidRPr="00772E76">
        <w:rPr>
          <w:rFonts w:eastAsia="Calibri"/>
          <w:sz w:val="18"/>
          <w:szCs w:val="20"/>
          <w:rtl/>
        </w:rPr>
        <w:t>האירועים המדו</w:t>
      </w:r>
      <w:r w:rsidRPr="00772E76">
        <w:rPr>
          <w:rFonts w:eastAsia="Calibri" w:hint="cs"/>
          <w:sz w:val="18"/>
          <w:szCs w:val="20"/>
          <w:rtl/>
        </w:rPr>
        <w:t>ּ</w:t>
      </w:r>
      <w:r w:rsidRPr="00772E76">
        <w:rPr>
          <w:rFonts w:eastAsia="Calibri"/>
          <w:sz w:val="18"/>
          <w:szCs w:val="20"/>
          <w:rtl/>
        </w:rPr>
        <w:t>וחים הם ה</w:t>
      </w:r>
      <w:r w:rsidRPr="00772E76">
        <w:rPr>
          <w:rFonts w:eastAsia="Calibri" w:hint="cs"/>
          <w:sz w:val="18"/>
          <w:szCs w:val="20"/>
          <w:rtl/>
        </w:rPr>
        <w:t xml:space="preserve">דורשים </w:t>
      </w:r>
      <w:r w:rsidRPr="00772E76">
        <w:rPr>
          <w:rFonts w:eastAsia="Calibri"/>
          <w:sz w:val="18"/>
          <w:szCs w:val="20"/>
          <w:rtl/>
        </w:rPr>
        <w:t xml:space="preserve">מעורבות של מערכות אכיפת החוק, </w:t>
      </w:r>
      <w:r w:rsidRPr="00772E76">
        <w:rPr>
          <w:rFonts w:eastAsia="Calibri" w:hint="cs"/>
          <w:sz w:val="18"/>
          <w:szCs w:val="20"/>
          <w:rtl/>
        </w:rPr>
        <w:t>ואילו מ</w:t>
      </w:r>
      <w:r w:rsidRPr="00772E76">
        <w:rPr>
          <w:rFonts w:eastAsia="Calibri"/>
          <w:sz w:val="18"/>
          <w:szCs w:val="20"/>
          <w:rtl/>
        </w:rPr>
        <w:t xml:space="preserve">אירועים אחרים, לעיתים לא פחות חמורים, </w:t>
      </w:r>
      <w:r w:rsidRPr="00772E76">
        <w:rPr>
          <w:rFonts w:eastAsia="Calibri" w:hint="cs"/>
          <w:sz w:val="18"/>
          <w:szCs w:val="20"/>
          <w:rtl/>
        </w:rPr>
        <w:t xml:space="preserve">על מערכות אלה להעלים עין. </w:t>
      </w:r>
      <w:r w:rsidRPr="00772E76">
        <w:rPr>
          <w:rFonts w:eastAsia="Calibri"/>
          <w:sz w:val="18"/>
          <w:szCs w:val="20"/>
          <w:rtl/>
        </w:rPr>
        <w:t>התקשורת מדווחת במודע על אירועים מנקודות מבט מסוימות, גם אם הן אינן משקפות את המציאות כפשוטה, במטרה להשפיע על התגייסותן של קבוצות אינטרס נגד מה שייתפס בעיני</w:t>
      </w:r>
      <w:r w:rsidRPr="00772E76">
        <w:rPr>
          <w:rFonts w:eastAsia="Calibri" w:hint="cs"/>
          <w:sz w:val="18"/>
          <w:szCs w:val="20"/>
          <w:rtl/>
        </w:rPr>
        <w:t>הן</w:t>
      </w:r>
      <w:r w:rsidRPr="00772E76">
        <w:rPr>
          <w:rFonts w:eastAsia="Calibri"/>
          <w:sz w:val="18"/>
          <w:szCs w:val="20"/>
          <w:rtl/>
        </w:rPr>
        <w:t xml:space="preserve"> כבעיה בוערת. ואכן במקרים רבים</w:t>
      </w:r>
      <w:r w:rsidR="00890312">
        <w:rPr>
          <w:rFonts w:eastAsia="Calibri" w:hint="cs"/>
          <w:sz w:val="18"/>
          <w:szCs w:val="20"/>
          <w:rtl/>
        </w:rPr>
        <w:t>,</w:t>
      </w:r>
      <w:r w:rsidRPr="00772E76">
        <w:rPr>
          <w:rFonts w:eastAsia="Calibri"/>
          <w:sz w:val="18"/>
          <w:szCs w:val="20"/>
          <w:rtl/>
        </w:rPr>
        <w:t xml:space="preserve"> האופן שבו </w:t>
      </w:r>
      <w:r w:rsidRPr="00772E76">
        <w:rPr>
          <w:rFonts w:eastAsia="Calibri" w:hint="cs"/>
          <w:sz w:val="18"/>
          <w:szCs w:val="20"/>
          <w:rtl/>
        </w:rPr>
        <w:t>ה</w:t>
      </w:r>
      <w:r w:rsidRPr="00772E76">
        <w:rPr>
          <w:rFonts w:eastAsia="Calibri"/>
          <w:sz w:val="18"/>
          <w:szCs w:val="20"/>
          <w:rtl/>
        </w:rPr>
        <w:t>מציאות</w:t>
      </w:r>
      <w:r w:rsidRPr="00772E76">
        <w:rPr>
          <w:rFonts w:eastAsia="Calibri" w:hint="cs"/>
          <w:sz w:val="18"/>
          <w:szCs w:val="20"/>
          <w:rtl/>
        </w:rPr>
        <w:t xml:space="preserve"> </w:t>
      </w:r>
      <w:r w:rsidRPr="00772E76">
        <w:rPr>
          <w:rFonts w:eastAsia="Calibri"/>
          <w:sz w:val="18"/>
          <w:szCs w:val="20"/>
          <w:rtl/>
        </w:rPr>
        <w:t xml:space="preserve">מוצגת בתקשורת ישפיע על תהליכי חקיקה חדשים, על עדכון של חוקים קיימים ועל אכיפה. יתרה מזאת, לתקשורת יש תפקיד מרכזי בזיהוי </w:t>
      </w:r>
      <w:r w:rsidRPr="00772E76">
        <w:rPr>
          <w:rFonts w:eastAsia="Calibri" w:hint="cs"/>
          <w:sz w:val="18"/>
          <w:szCs w:val="20"/>
          <w:rtl/>
        </w:rPr>
        <w:t xml:space="preserve">אנשים המוגדרים </w:t>
      </w:r>
      <w:r w:rsidRPr="00772E76">
        <w:rPr>
          <w:rFonts w:eastAsia="Calibri"/>
          <w:sz w:val="18"/>
          <w:szCs w:val="20"/>
          <w:rtl/>
        </w:rPr>
        <w:t>בחברה</w:t>
      </w:r>
      <w:r w:rsidRPr="00772E76">
        <w:rPr>
          <w:rFonts w:eastAsia="Calibri" w:hint="cs"/>
          <w:sz w:val="18"/>
          <w:szCs w:val="20"/>
          <w:rtl/>
        </w:rPr>
        <w:t xml:space="preserve"> כ"</w:t>
      </w:r>
      <w:r w:rsidRPr="00772E76">
        <w:rPr>
          <w:rFonts w:eastAsia="Calibri"/>
          <w:sz w:val="18"/>
          <w:szCs w:val="20"/>
          <w:rtl/>
        </w:rPr>
        <w:t>סוטים</w:t>
      </w:r>
      <w:r w:rsidRPr="00772E76">
        <w:rPr>
          <w:rFonts w:eastAsia="Calibri" w:hint="cs"/>
          <w:sz w:val="18"/>
          <w:szCs w:val="20"/>
          <w:rtl/>
        </w:rPr>
        <w:t>".</w:t>
      </w:r>
      <w:r w:rsidRPr="00772E76">
        <w:rPr>
          <w:rFonts w:eastAsia="Calibri"/>
          <w:sz w:val="18"/>
          <w:szCs w:val="20"/>
          <w:rtl/>
        </w:rPr>
        <w:t xml:space="preserve"> כאשר התקשורת </w:t>
      </w:r>
      <w:r w:rsidRPr="00772E76">
        <w:rPr>
          <w:rFonts w:eastAsia="Calibri"/>
          <w:sz w:val="18"/>
          <w:szCs w:val="20"/>
          <w:rtl/>
        </w:rPr>
        <w:lastRenderedPageBreak/>
        <w:t>מחליטה לסקור אירוע פשע בצורה מובלטת, היא ממתגת את האירוע כאירוע סטייה וגורמת לצופים לזהות אותו ככזה (</w:t>
      </w:r>
      <w:proofErr w:type="spellStart"/>
      <w:r w:rsidRPr="00772E76">
        <w:rPr>
          <w:rFonts w:eastAsia="Calibri"/>
          <w:sz w:val="18"/>
          <w:szCs w:val="20"/>
          <w:rtl/>
        </w:rPr>
        <w:t>קאב</w:t>
      </w:r>
      <w:r w:rsidRPr="00772E76">
        <w:rPr>
          <w:rFonts w:eastAsia="Calibri" w:hint="cs"/>
          <w:sz w:val="18"/>
          <w:szCs w:val="20"/>
          <w:rtl/>
        </w:rPr>
        <w:t>א</w:t>
      </w:r>
      <w:r w:rsidRPr="00772E76">
        <w:rPr>
          <w:rFonts w:eastAsia="Calibri"/>
          <w:sz w:val="18"/>
          <w:szCs w:val="20"/>
          <w:rtl/>
        </w:rPr>
        <w:t>ליון</w:t>
      </w:r>
      <w:proofErr w:type="spellEnd"/>
      <w:r w:rsidRPr="00772E76">
        <w:rPr>
          <w:rFonts w:eastAsia="Calibri"/>
          <w:sz w:val="18"/>
          <w:szCs w:val="20"/>
          <w:rtl/>
        </w:rPr>
        <w:t xml:space="preserve"> ושהם, 2016). </w:t>
      </w:r>
    </w:p>
    <w:p w14:paraId="35BBFDFE" w14:textId="2056CC69" w:rsidR="00772E76" w:rsidRPr="00772E76" w:rsidRDefault="00772E76" w:rsidP="009D2BFE">
      <w:pPr>
        <w:spacing w:after="180" w:line="280" w:lineRule="exact"/>
        <w:jc w:val="both"/>
        <w:rPr>
          <w:sz w:val="18"/>
          <w:szCs w:val="20"/>
          <w:rtl/>
          <w:lang w:val="en"/>
        </w:rPr>
      </w:pPr>
      <w:r w:rsidRPr="00772E76">
        <w:rPr>
          <w:rFonts w:eastAsia="Calibri"/>
          <w:sz w:val="18"/>
          <w:szCs w:val="20"/>
          <w:rtl/>
        </w:rPr>
        <w:t xml:space="preserve">להבניה החברתית יש תפקיד מרכזי גם בהגדרה של מחלות נפש. </w:t>
      </w:r>
      <w:r w:rsidRPr="00772E76">
        <w:rPr>
          <w:sz w:val="18"/>
          <w:szCs w:val="20"/>
          <w:rtl/>
        </w:rPr>
        <w:t xml:space="preserve">אומנם נהוג להתייחס למחלות נפש בכלים רפואיים, אולם רוב החוקרים מאמינים כי בבסיס האבחנה הנפשית מעורבת </w:t>
      </w:r>
      <w:r w:rsidRPr="00772E76">
        <w:rPr>
          <w:sz w:val="18"/>
          <w:szCs w:val="20"/>
          <w:rtl/>
          <w:lang w:val="en"/>
        </w:rPr>
        <w:t>הטיות תרבותיות</w:t>
      </w:r>
      <w:r w:rsidRPr="00772E76">
        <w:rPr>
          <w:rFonts w:hint="cs"/>
          <w:sz w:val="18"/>
          <w:szCs w:val="20"/>
          <w:rtl/>
          <w:lang w:val="en"/>
        </w:rPr>
        <w:t>,</w:t>
      </w:r>
      <w:r w:rsidRPr="00772E76">
        <w:rPr>
          <w:sz w:val="18"/>
          <w:szCs w:val="20"/>
          <w:rtl/>
          <w:lang w:val="en"/>
        </w:rPr>
        <w:t xml:space="preserve"> ו</w:t>
      </w:r>
      <w:r w:rsidRPr="00772E76">
        <w:rPr>
          <w:rFonts w:hint="cs"/>
          <w:sz w:val="18"/>
          <w:szCs w:val="20"/>
          <w:rtl/>
          <w:lang w:val="en"/>
        </w:rPr>
        <w:t xml:space="preserve">כי </w:t>
      </w:r>
      <w:r w:rsidRPr="00772E76">
        <w:rPr>
          <w:sz w:val="18"/>
          <w:szCs w:val="20"/>
          <w:rtl/>
          <w:lang w:val="en"/>
        </w:rPr>
        <w:t xml:space="preserve">דפוסים חברתיים משפיעים מאוד על התיוג הנפשי. כך </w:t>
      </w:r>
      <w:r w:rsidRPr="00772E76">
        <w:rPr>
          <w:rFonts w:hint="cs"/>
          <w:sz w:val="18"/>
          <w:szCs w:val="20"/>
          <w:rtl/>
          <w:lang w:val="en"/>
        </w:rPr>
        <w:t xml:space="preserve">טוענים המבקרים כי </w:t>
      </w:r>
      <w:r w:rsidRPr="00772E76">
        <w:rPr>
          <w:sz w:val="18"/>
          <w:szCs w:val="20"/>
          <w:rtl/>
          <w:lang w:val="en"/>
        </w:rPr>
        <w:t>אבחנות פסיכיאטריות הן תלויות תרבות</w:t>
      </w:r>
      <w:r w:rsidRPr="00772E76">
        <w:rPr>
          <w:rFonts w:hint="cs"/>
          <w:sz w:val="18"/>
          <w:szCs w:val="20"/>
          <w:rtl/>
          <w:lang w:val="en"/>
        </w:rPr>
        <w:t>.</w:t>
      </w:r>
      <w:r w:rsidRPr="00772E76">
        <w:rPr>
          <w:sz w:val="18"/>
          <w:szCs w:val="20"/>
          <w:rtl/>
          <w:lang w:val="en"/>
        </w:rPr>
        <w:t xml:space="preserve"> לדוגמה</w:t>
      </w:r>
      <w:r w:rsidRPr="00772E76">
        <w:rPr>
          <w:rFonts w:hint="cs"/>
          <w:sz w:val="18"/>
          <w:szCs w:val="20"/>
          <w:rtl/>
          <w:lang w:val="en"/>
        </w:rPr>
        <w:t>,</w:t>
      </w:r>
      <w:r w:rsidRPr="00772E76">
        <w:rPr>
          <w:sz w:val="18"/>
          <w:szCs w:val="20"/>
          <w:rtl/>
          <w:lang w:val="en"/>
        </w:rPr>
        <w:t xml:space="preserve"> בארצות הברית </w:t>
      </w:r>
      <w:r w:rsidRPr="00772E76">
        <w:rPr>
          <w:rFonts w:hint="cs"/>
          <w:sz w:val="18"/>
          <w:szCs w:val="20"/>
          <w:rtl/>
          <w:lang w:val="en"/>
        </w:rPr>
        <w:t>הקריטריונים הדרושים</w:t>
      </w:r>
      <w:r w:rsidRPr="00772E76">
        <w:rPr>
          <w:sz w:val="18"/>
          <w:szCs w:val="20"/>
          <w:rtl/>
          <w:lang w:val="en"/>
        </w:rPr>
        <w:t xml:space="preserve"> </w:t>
      </w:r>
      <w:r w:rsidRPr="00772E76">
        <w:rPr>
          <w:rFonts w:hint="cs"/>
          <w:sz w:val="18"/>
          <w:szCs w:val="20"/>
          <w:rtl/>
          <w:lang w:val="en"/>
        </w:rPr>
        <w:t xml:space="preserve">לאבחון </w:t>
      </w:r>
      <w:r w:rsidRPr="00772E76">
        <w:rPr>
          <w:sz w:val="18"/>
          <w:szCs w:val="20"/>
          <w:rtl/>
          <w:lang w:val="en"/>
        </w:rPr>
        <w:t xml:space="preserve">אדם </w:t>
      </w:r>
      <w:r w:rsidRPr="00772E76">
        <w:rPr>
          <w:rFonts w:hint="cs"/>
          <w:sz w:val="18"/>
          <w:szCs w:val="20"/>
          <w:rtl/>
          <w:lang w:val="en"/>
        </w:rPr>
        <w:t>כלוקה ב</w:t>
      </w:r>
      <w:r w:rsidRPr="00772E76">
        <w:rPr>
          <w:sz w:val="18"/>
          <w:szCs w:val="20"/>
          <w:rtl/>
          <w:lang w:val="en"/>
        </w:rPr>
        <w:t xml:space="preserve">סכיזופרניה </w:t>
      </w:r>
      <w:r w:rsidRPr="00772E76">
        <w:rPr>
          <w:rFonts w:hint="cs"/>
          <w:sz w:val="18"/>
          <w:szCs w:val="20"/>
          <w:rtl/>
          <w:lang w:val="en"/>
        </w:rPr>
        <w:t xml:space="preserve">קלים בהרבה מאלה הדרושים </w:t>
      </w:r>
      <w:r w:rsidRPr="00772E76">
        <w:rPr>
          <w:sz w:val="18"/>
          <w:szCs w:val="20"/>
          <w:rtl/>
          <w:lang w:val="en"/>
        </w:rPr>
        <w:t xml:space="preserve">בבריטניה. </w:t>
      </w:r>
      <w:r w:rsidRPr="00772E76">
        <w:rPr>
          <w:rFonts w:hint="cs"/>
          <w:sz w:val="18"/>
          <w:szCs w:val="20"/>
          <w:rtl/>
          <w:lang w:val="en"/>
        </w:rPr>
        <w:t xml:space="preserve">זאת ועוד, </w:t>
      </w:r>
      <w:r w:rsidRPr="00772E76">
        <w:rPr>
          <w:sz w:val="18"/>
          <w:szCs w:val="20"/>
          <w:rtl/>
          <w:lang w:val="en"/>
        </w:rPr>
        <w:t>גיש</w:t>
      </w:r>
      <w:r w:rsidRPr="00772E76">
        <w:rPr>
          <w:rFonts w:hint="cs"/>
          <w:sz w:val="18"/>
          <w:szCs w:val="20"/>
          <w:rtl/>
          <w:lang w:val="en"/>
        </w:rPr>
        <w:t>ת ההבניה החברתית</w:t>
      </w:r>
      <w:r w:rsidRPr="00772E76">
        <w:rPr>
          <w:sz w:val="18"/>
          <w:szCs w:val="20"/>
          <w:rtl/>
          <w:lang w:val="en"/>
        </w:rPr>
        <w:t xml:space="preserve"> </w:t>
      </w:r>
      <w:r w:rsidRPr="00772E76">
        <w:rPr>
          <w:rFonts w:hint="cs"/>
          <w:sz w:val="18"/>
          <w:szCs w:val="20"/>
          <w:rtl/>
          <w:lang w:val="en"/>
        </w:rPr>
        <w:t xml:space="preserve">גורסת כי </w:t>
      </w:r>
      <w:r w:rsidRPr="00772E76">
        <w:rPr>
          <w:sz w:val="18"/>
          <w:szCs w:val="20"/>
          <w:rtl/>
          <w:lang w:val="en"/>
        </w:rPr>
        <w:t xml:space="preserve">אבחנות פסיכיאטריות </w:t>
      </w:r>
      <w:r w:rsidRPr="00772E76">
        <w:rPr>
          <w:rFonts w:hint="cs"/>
          <w:sz w:val="18"/>
          <w:szCs w:val="20"/>
          <w:rtl/>
          <w:lang w:val="en"/>
        </w:rPr>
        <w:t>מוגדרות בתוך הקשר פוליטי</w:t>
      </w:r>
      <w:r w:rsidRPr="00772E76">
        <w:rPr>
          <w:sz w:val="18"/>
          <w:szCs w:val="20"/>
          <w:rtl/>
          <w:lang w:val="en"/>
        </w:rPr>
        <w:t>. למשל, ה-</w:t>
      </w:r>
      <w:r w:rsidRPr="00772E76">
        <w:rPr>
          <w:sz w:val="18"/>
          <w:szCs w:val="20"/>
          <w:lang w:val="en"/>
        </w:rPr>
        <w:t>DSM</w:t>
      </w:r>
      <w:r w:rsidRPr="00772E76">
        <w:rPr>
          <w:sz w:val="18"/>
          <w:szCs w:val="20"/>
          <w:rtl/>
          <w:lang w:val="en"/>
        </w:rPr>
        <w:t xml:space="preserve"> </w:t>
      </w:r>
      <w:r w:rsidRPr="00772E76">
        <w:rPr>
          <w:rFonts w:hint="cs"/>
          <w:sz w:val="18"/>
          <w:szCs w:val="20"/>
          <w:rtl/>
          <w:lang w:val="en"/>
        </w:rPr>
        <w:t xml:space="preserve">(כלי להערכה ולאבחון פסיכיאטרי) </w:t>
      </w:r>
      <w:r w:rsidRPr="00772E76">
        <w:rPr>
          <w:sz w:val="18"/>
          <w:szCs w:val="20"/>
          <w:rtl/>
          <w:lang w:val="en"/>
        </w:rPr>
        <w:t xml:space="preserve">במהדורתו הראשונה (1952) הגדיר הומוסקסואליות כסוג של "אישיות </w:t>
      </w:r>
      <w:r w:rsidRPr="00772E76">
        <w:rPr>
          <w:rFonts w:hint="cs"/>
          <w:sz w:val="18"/>
          <w:szCs w:val="20"/>
          <w:rtl/>
          <w:lang w:val="en"/>
        </w:rPr>
        <w:t>סוציופתית</w:t>
      </w:r>
      <w:r w:rsidRPr="00772E76">
        <w:rPr>
          <w:sz w:val="18"/>
          <w:szCs w:val="20"/>
          <w:rtl/>
          <w:lang w:val="en"/>
        </w:rPr>
        <w:t>"</w:t>
      </w:r>
      <w:r w:rsidRPr="00772E76">
        <w:rPr>
          <w:rFonts w:hint="cs"/>
          <w:sz w:val="18"/>
          <w:szCs w:val="20"/>
          <w:rtl/>
          <w:lang w:val="en"/>
        </w:rPr>
        <w:t>,</w:t>
      </w:r>
      <w:r w:rsidRPr="00772E76">
        <w:rPr>
          <w:sz w:val="18"/>
          <w:szCs w:val="20"/>
          <w:rtl/>
          <w:lang w:val="en"/>
        </w:rPr>
        <w:t xml:space="preserve"> ובמהדור</w:t>
      </w:r>
      <w:r w:rsidRPr="00772E76">
        <w:rPr>
          <w:rFonts w:hint="cs"/>
          <w:sz w:val="18"/>
          <w:szCs w:val="20"/>
          <w:rtl/>
          <w:lang w:val="en"/>
        </w:rPr>
        <w:t xml:space="preserve">תו השנייה (1968) </w:t>
      </w:r>
      <w:r w:rsidRPr="00772E76">
        <w:rPr>
          <w:sz w:val="18"/>
          <w:szCs w:val="20"/>
          <w:rtl/>
          <w:lang w:val="en"/>
        </w:rPr>
        <w:t xml:space="preserve">הגדיר אותה "סטייה מינית". ב-1973, עקב לחצים של פעילים </w:t>
      </w:r>
      <w:r w:rsidRPr="00772E76">
        <w:rPr>
          <w:rFonts w:hint="cs"/>
          <w:sz w:val="18"/>
          <w:szCs w:val="20"/>
          <w:rtl/>
          <w:lang w:val="en"/>
        </w:rPr>
        <w:t>חברתיים לקידום זכויות בקהילת הלהט"ב</w:t>
      </w:r>
      <w:r w:rsidRPr="00772E76">
        <w:rPr>
          <w:sz w:val="18"/>
          <w:szCs w:val="20"/>
          <w:rtl/>
          <w:lang w:val="en"/>
        </w:rPr>
        <w:t>, החליטה האגודה האמריקנית לפסיכיאטריה שהומוסקסואליות תיחשב להפרעה רק אם היא יוצרת קונפליקט ומעוררת שאיפה לשנות את הנטייה המינית. ואכן, במהדורה השלישית של ה</w:t>
      </w:r>
      <w:r w:rsidR="00890312">
        <w:rPr>
          <w:rFonts w:hint="cs"/>
          <w:sz w:val="18"/>
          <w:szCs w:val="20"/>
          <w:rtl/>
          <w:lang w:val="en"/>
        </w:rPr>
        <w:t>-</w:t>
      </w:r>
      <w:r w:rsidR="00890312" w:rsidRPr="00890312">
        <w:rPr>
          <w:sz w:val="18"/>
          <w:szCs w:val="20"/>
          <w:lang w:val="en"/>
        </w:rPr>
        <w:t xml:space="preserve"> </w:t>
      </w:r>
      <w:r w:rsidR="00890312" w:rsidRPr="00772E76">
        <w:rPr>
          <w:sz w:val="18"/>
          <w:szCs w:val="20"/>
          <w:lang w:val="en"/>
        </w:rPr>
        <w:t>DSM</w:t>
      </w:r>
      <w:r w:rsidR="00890312">
        <w:rPr>
          <w:rFonts w:hint="cs"/>
          <w:sz w:val="18"/>
          <w:szCs w:val="20"/>
          <w:rtl/>
          <w:lang w:val="en"/>
        </w:rPr>
        <w:t>(</w:t>
      </w:r>
      <w:r w:rsidRPr="00772E76">
        <w:rPr>
          <w:sz w:val="18"/>
          <w:szCs w:val="20"/>
          <w:lang w:val="en"/>
        </w:rPr>
        <w:t>1980</w:t>
      </w:r>
      <w:r w:rsidRPr="00772E76">
        <w:rPr>
          <w:sz w:val="18"/>
          <w:szCs w:val="20"/>
          <w:rtl/>
          <w:lang w:val="en"/>
        </w:rPr>
        <w:t>) הומוסקסואליות מוגדרת כהפרעה רק כאשר השאיפה לשנות את נטייה המינית מהווה דאגה קבועה</w:t>
      </w:r>
      <w:r w:rsidRPr="00772E76">
        <w:rPr>
          <w:rFonts w:hint="cs"/>
          <w:sz w:val="18"/>
          <w:szCs w:val="20"/>
          <w:rtl/>
          <w:lang w:val="en"/>
        </w:rPr>
        <w:t>.</w:t>
      </w:r>
      <w:r w:rsidRPr="00772E76">
        <w:rPr>
          <w:sz w:val="18"/>
          <w:szCs w:val="20"/>
          <w:rtl/>
          <w:lang w:val="en"/>
        </w:rPr>
        <w:t xml:space="preserve"> </w:t>
      </w:r>
      <w:r w:rsidRPr="00772E76">
        <w:rPr>
          <w:rFonts w:hint="cs"/>
          <w:sz w:val="18"/>
          <w:szCs w:val="20"/>
          <w:rtl/>
          <w:lang w:val="en"/>
        </w:rPr>
        <w:t xml:space="preserve">והנה, </w:t>
      </w:r>
      <w:r w:rsidRPr="00772E76">
        <w:rPr>
          <w:sz w:val="18"/>
          <w:szCs w:val="20"/>
          <w:rtl/>
          <w:lang w:val="en"/>
        </w:rPr>
        <w:t xml:space="preserve">החל </w:t>
      </w:r>
      <w:r w:rsidRPr="00772E76">
        <w:rPr>
          <w:rFonts w:hint="cs"/>
          <w:sz w:val="18"/>
          <w:szCs w:val="20"/>
          <w:rtl/>
          <w:lang w:val="en"/>
        </w:rPr>
        <w:t>מ</w:t>
      </w:r>
      <w:r w:rsidRPr="00772E76">
        <w:rPr>
          <w:sz w:val="18"/>
          <w:szCs w:val="20"/>
          <w:rtl/>
          <w:lang w:val="en"/>
        </w:rPr>
        <w:t xml:space="preserve">מהדורה הרביעית </w:t>
      </w:r>
      <w:r w:rsidRPr="00772E76">
        <w:rPr>
          <w:rFonts w:hint="cs"/>
          <w:sz w:val="18"/>
          <w:szCs w:val="20"/>
          <w:rtl/>
          <w:lang w:val="en"/>
        </w:rPr>
        <w:t xml:space="preserve">(2000) </w:t>
      </w:r>
      <w:r w:rsidRPr="00772E76">
        <w:rPr>
          <w:sz w:val="18"/>
          <w:szCs w:val="20"/>
          <w:rtl/>
          <w:lang w:val="en"/>
        </w:rPr>
        <w:t xml:space="preserve">הומוסקסואליות אינה נזכרת </w:t>
      </w:r>
      <w:r w:rsidRPr="00772E76">
        <w:rPr>
          <w:rFonts w:hint="cs"/>
          <w:sz w:val="18"/>
          <w:szCs w:val="20"/>
          <w:rtl/>
          <w:lang w:val="en"/>
        </w:rPr>
        <w:t>ב-</w:t>
      </w:r>
      <w:r w:rsidRPr="00772E76">
        <w:rPr>
          <w:rFonts w:hint="cs"/>
          <w:sz w:val="18"/>
          <w:szCs w:val="20"/>
          <w:lang w:val="en"/>
        </w:rPr>
        <w:t>DSM</w:t>
      </w:r>
      <w:r w:rsidRPr="00772E76">
        <w:rPr>
          <w:rFonts w:hint="cs"/>
          <w:sz w:val="18"/>
          <w:szCs w:val="20"/>
          <w:rtl/>
          <w:lang w:val="en"/>
        </w:rPr>
        <w:t xml:space="preserve"> </w:t>
      </w:r>
      <w:r w:rsidRPr="00772E76">
        <w:rPr>
          <w:sz w:val="18"/>
          <w:szCs w:val="20"/>
          <w:rtl/>
          <w:lang w:val="en"/>
        </w:rPr>
        <w:t>כלל (</w:t>
      </w:r>
      <w:proofErr w:type="spellStart"/>
      <w:r w:rsidRPr="00772E76">
        <w:rPr>
          <w:sz w:val="18"/>
          <w:szCs w:val="20"/>
          <w:rtl/>
          <w:lang w:val="en"/>
        </w:rPr>
        <w:t>גוד</w:t>
      </w:r>
      <w:proofErr w:type="spellEnd"/>
      <w:r w:rsidRPr="00772E76">
        <w:rPr>
          <w:sz w:val="18"/>
          <w:szCs w:val="20"/>
          <w:rtl/>
          <w:lang w:val="en"/>
        </w:rPr>
        <w:t>, 2002)</w:t>
      </w:r>
      <w:r w:rsidRPr="00772E76">
        <w:rPr>
          <w:rFonts w:hint="cs"/>
          <w:sz w:val="18"/>
          <w:szCs w:val="20"/>
          <w:rtl/>
        </w:rPr>
        <w:t xml:space="preserve">. </w:t>
      </w:r>
    </w:p>
    <w:p w14:paraId="080BC3AE" w14:textId="77777777" w:rsidR="00772E76" w:rsidRPr="00772E76" w:rsidRDefault="00772E76" w:rsidP="00772E76">
      <w:pPr>
        <w:spacing w:after="180" w:line="280" w:lineRule="exact"/>
        <w:jc w:val="both"/>
        <w:rPr>
          <w:sz w:val="18"/>
          <w:szCs w:val="20"/>
          <w:rtl/>
        </w:rPr>
      </w:pPr>
      <w:r w:rsidRPr="00772E76">
        <w:rPr>
          <w:rFonts w:eastAsia="Calibri"/>
          <w:sz w:val="18"/>
          <w:szCs w:val="20"/>
          <w:rtl/>
        </w:rPr>
        <w:t>לצד ה</w:t>
      </w:r>
      <w:r w:rsidRPr="00772E76">
        <w:rPr>
          <w:sz w:val="18"/>
          <w:szCs w:val="20"/>
          <w:rtl/>
          <w:lang w:val="en"/>
        </w:rPr>
        <w:t>חוקרים המבטלים לחלוטין את הגישה הרפואית</w:t>
      </w:r>
      <w:r w:rsidRPr="00772E76">
        <w:rPr>
          <w:rFonts w:hint="cs"/>
          <w:sz w:val="18"/>
          <w:szCs w:val="20"/>
          <w:rtl/>
          <w:lang w:val="en"/>
        </w:rPr>
        <w:t xml:space="preserve"> הפסיכיאטרית</w:t>
      </w:r>
      <w:r w:rsidRPr="00772E76">
        <w:rPr>
          <w:sz w:val="18"/>
          <w:szCs w:val="20"/>
          <w:rtl/>
          <w:lang w:val="en"/>
        </w:rPr>
        <w:t>, חוקרים אחרים מסכימים לעקרונות הגישה הרפואית באבחון של חולי נפש, אך מדווחים על הטיות שה</w:t>
      </w:r>
      <w:r w:rsidRPr="00772E76">
        <w:rPr>
          <w:rFonts w:hint="cs"/>
          <w:sz w:val="18"/>
          <w:szCs w:val="20"/>
          <w:rtl/>
          <w:lang w:val="en"/>
        </w:rPr>
        <w:t xml:space="preserve">יא </w:t>
      </w:r>
      <w:r w:rsidRPr="00772E76">
        <w:rPr>
          <w:sz w:val="18"/>
          <w:szCs w:val="20"/>
          <w:rtl/>
          <w:lang w:val="en"/>
        </w:rPr>
        <w:t>לוקה בהן.</w:t>
      </w:r>
      <w:r w:rsidRPr="00772E76">
        <w:rPr>
          <w:rFonts w:eastAsia="Calibri"/>
          <w:sz w:val="18"/>
          <w:szCs w:val="20"/>
          <w:rtl/>
        </w:rPr>
        <w:t xml:space="preserve"> הבולט </w:t>
      </w:r>
      <w:r w:rsidRPr="00772E76">
        <w:rPr>
          <w:rFonts w:eastAsia="Calibri" w:hint="cs"/>
          <w:sz w:val="18"/>
          <w:szCs w:val="20"/>
          <w:rtl/>
        </w:rPr>
        <w:t xml:space="preserve">בקרב </w:t>
      </w:r>
      <w:r w:rsidRPr="00772E76">
        <w:rPr>
          <w:rFonts w:eastAsia="Calibri"/>
          <w:sz w:val="18"/>
          <w:szCs w:val="20"/>
          <w:rtl/>
        </w:rPr>
        <w:t xml:space="preserve">הדוגלים בגישה זו הוא </w:t>
      </w:r>
      <w:proofErr w:type="spellStart"/>
      <w:r w:rsidRPr="00772E76">
        <w:rPr>
          <w:rFonts w:eastAsia="Calibri"/>
          <w:sz w:val="18"/>
          <w:szCs w:val="20"/>
          <w:rtl/>
        </w:rPr>
        <w:t>ארווינג</w:t>
      </w:r>
      <w:proofErr w:type="spellEnd"/>
      <w:r w:rsidRPr="00772E76">
        <w:rPr>
          <w:rFonts w:eastAsia="Calibri"/>
          <w:sz w:val="18"/>
          <w:szCs w:val="20"/>
          <w:rtl/>
        </w:rPr>
        <w:t xml:space="preserve"> </w:t>
      </w:r>
      <w:proofErr w:type="spellStart"/>
      <w:r w:rsidRPr="00772E76">
        <w:rPr>
          <w:rFonts w:eastAsia="Calibri"/>
          <w:sz w:val="18"/>
          <w:szCs w:val="20"/>
          <w:rtl/>
        </w:rPr>
        <w:t>גופמן</w:t>
      </w:r>
      <w:proofErr w:type="spellEnd"/>
      <w:r w:rsidRPr="00772E76">
        <w:rPr>
          <w:rFonts w:eastAsia="Calibri" w:hint="cs"/>
          <w:sz w:val="18"/>
          <w:szCs w:val="20"/>
          <w:rtl/>
        </w:rPr>
        <w:t xml:space="preserve"> (</w:t>
      </w:r>
      <w:r w:rsidRPr="00772E76">
        <w:rPr>
          <w:rFonts w:eastAsia="Calibri"/>
          <w:sz w:val="18"/>
          <w:szCs w:val="20"/>
        </w:rPr>
        <w:t>Goffman</w:t>
      </w:r>
      <w:r w:rsidRPr="00772E76">
        <w:rPr>
          <w:rFonts w:eastAsia="Calibri" w:hint="cs"/>
          <w:sz w:val="18"/>
          <w:szCs w:val="20"/>
          <w:rtl/>
        </w:rPr>
        <w:t>)</w:t>
      </w:r>
      <w:r w:rsidRPr="00772E76">
        <w:rPr>
          <w:rFonts w:eastAsia="Calibri"/>
          <w:sz w:val="18"/>
          <w:szCs w:val="20"/>
          <w:rtl/>
        </w:rPr>
        <w:t xml:space="preserve">. לטענתו, אשפוזו של אדם במוסד לחולי נפש תלוי בין השאר בסטטוס הסוציואקונומי שלו, </w:t>
      </w:r>
      <w:r w:rsidRPr="00772E76">
        <w:rPr>
          <w:rFonts w:eastAsia="Calibri" w:hint="cs"/>
          <w:sz w:val="18"/>
          <w:szCs w:val="20"/>
          <w:rtl/>
        </w:rPr>
        <w:t xml:space="preserve">במידת הפרסום שקיבל </w:t>
      </w:r>
      <w:r w:rsidRPr="00772E76">
        <w:rPr>
          <w:rFonts w:eastAsia="Calibri"/>
          <w:sz w:val="18"/>
          <w:szCs w:val="20"/>
          <w:rtl/>
        </w:rPr>
        <w:t>המעשה החריג שביצע</w:t>
      </w:r>
      <w:r w:rsidRPr="00772E76">
        <w:rPr>
          <w:rFonts w:eastAsia="Calibri" w:hint="cs"/>
          <w:sz w:val="18"/>
          <w:szCs w:val="20"/>
          <w:rtl/>
        </w:rPr>
        <w:t>,</w:t>
      </w:r>
      <w:r w:rsidRPr="00772E76">
        <w:rPr>
          <w:rFonts w:eastAsia="Calibri"/>
          <w:sz w:val="18"/>
          <w:szCs w:val="20"/>
          <w:rtl/>
        </w:rPr>
        <w:t xml:space="preserve"> בקרבתו הפיזית לבית החולים, במספר המיטות הפנויות העומדות לרשות בית החולים וכן הלאה (</w:t>
      </w:r>
      <w:proofErr w:type="spellStart"/>
      <w:r w:rsidRPr="00772E76">
        <w:rPr>
          <w:rFonts w:eastAsia="Calibri"/>
          <w:sz w:val="18"/>
          <w:szCs w:val="20"/>
          <w:rtl/>
        </w:rPr>
        <w:t>גוד</w:t>
      </w:r>
      <w:proofErr w:type="spellEnd"/>
      <w:r w:rsidRPr="00772E76">
        <w:rPr>
          <w:rFonts w:eastAsia="Calibri"/>
          <w:sz w:val="18"/>
          <w:szCs w:val="20"/>
          <w:rtl/>
        </w:rPr>
        <w:t xml:space="preserve">, 2002). </w:t>
      </w:r>
    </w:p>
    <w:p w14:paraId="465EABD9" w14:textId="77777777" w:rsidR="00772E76" w:rsidRPr="00772E76" w:rsidRDefault="00772E76" w:rsidP="00772E76">
      <w:pPr>
        <w:spacing w:after="180" w:line="280" w:lineRule="exact"/>
        <w:jc w:val="both"/>
        <w:rPr>
          <w:sz w:val="18"/>
          <w:szCs w:val="20"/>
          <w:rtl/>
        </w:rPr>
      </w:pPr>
      <w:r w:rsidRPr="00772E76">
        <w:rPr>
          <w:rFonts w:hint="cs"/>
          <w:sz w:val="18"/>
          <w:szCs w:val="20"/>
          <w:rtl/>
        </w:rPr>
        <w:t xml:space="preserve">גם </w:t>
      </w:r>
      <w:r w:rsidRPr="00772E76">
        <w:rPr>
          <w:sz w:val="18"/>
          <w:szCs w:val="20"/>
          <w:rtl/>
          <w:lang w:val="en"/>
        </w:rPr>
        <w:t xml:space="preserve">גוסטבו מש (מש, 1990) </w:t>
      </w:r>
      <w:r w:rsidRPr="00772E76">
        <w:rPr>
          <w:rFonts w:hint="cs"/>
          <w:sz w:val="18"/>
          <w:szCs w:val="20"/>
          <w:rtl/>
          <w:lang w:val="en"/>
        </w:rPr>
        <w:t>הראה כי ה</w:t>
      </w:r>
      <w:r w:rsidRPr="00772E76">
        <w:rPr>
          <w:sz w:val="18"/>
          <w:szCs w:val="20"/>
          <w:rtl/>
          <w:lang w:val="en"/>
        </w:rPr>
        <w:t xml:space="preserve">סיכוי של </w:t>
      </w:r>
      <w:r w:rsidRPr="00772E76">
        <w:rPr>
          <w:rFonts w:hint="cs"/>
          <w:sz w:val="18"/>
          <w:szCs w:val="20"/>
          <w:rtl/>
          <w:lang w:val="en"/>
        </w:rPr>
        <w:t>המאובחן כ</w:t>
      </w:r>
      <w:r w:rsidRPr="00772E76">
        <w:rPr>
          <w:sz w:val="18"/>
          <w:szCs w:val="20"/>
          <w:rtl/>
          <w:lang w:val="en"/>
        </w:rPr>
        <w:t>חולה נפש להימנע מאשפוז חוזר גדל מאוד אם בסיום אשפוזו הוא חוזר לגור עם משפחתו הגרעינית, אם יש לו ילדים התלויים בו ואם הוא ממלא תפקיד משמעותי בתוך המשפחה. לדברי</w:t>
      </w:r>
      <w:r w:rsidRPr="00772E76">
        <w:rPr>
          <w:rFonts w:hint="cs"/>
          <w:sz w:val="18"/>
          <w:szCs w:val="20"/>
          <w:rtl/>
          <w:lang w:val="en"/>
        </w:rPr>
        <w:t>ו</w:t>
      </w:r>
      <w:r w:rsidRPr="00772E76">
        <w:rPr>
          <w:sz w:val="18"/>
          <w:szCs w:val="20"/>
          <w:rtl/>
          <w:lang w:val="en"/>
        </w:rPr>
        <w:t>, ממצאים אלה מ</w:t>
      </w:r>
      <w:r w:rsidRPr="00772E76">
        <w:rPr>
          <w:rFonts w:hint="cs"/>
          <w:sz w:val="18"/>
          <w:szCs w:val="20"/>
          <w:rtl/>
          <w:lang w:val="en"/>
        </w:rPr>
        <w:t>ורים כי ה</w:t>
      </w:r>
      <w:r w:rsidRPr="00772E76">
        <w:rPr>
          <w:sz w:val="18"/>
          <w:szCs w:val="20"/>
          <w:rtl/>
          <w:lang w:val="en"/>
        </w:rPr>
        <w:t xml:space="preserve">הבניה </w:t>
      </w:r>
      <w:r w:rsidRPr="00772E76">
        <w:rPr>
          <w:rFonts w:hint="cs"/>
          <w:sz w:val="18"/>
          <w:szCs w:val="20"/>
          <w:rtl/>
          <w:lang w:val="en"/>
        </w:rPr>
        <w:t>ה</w:t>
      </w:r>
      <w:r w:rsidRPr="00772E76">
        <w:rPr>
          <w:sz w:val="18"/>
          <w:szCs w:val="20"/>
          <w:rtl/>
          <w:lang w:val="en"/>
        </w:rPr>
        <w:t>חברתית ממלאת תפקיד חשוב</w:t>
      </w:r>
      <w:r w:rsidRPr="00772E76" w:rsidDel="00106EE2">
        <w:rPr>
          <w:sz w:val="18"/>
          <w:szCs w:val="20"/>
          <w:rtl/>
          <w:lang w:val="en"/>
        </w:rPr>
        <w:t xml:space="preserve"> </w:t>
      </w:r>
      <w:r w:rsidRPr="00772E76">
        <w:rPr>
          <w:sz w:val="18"/>
          <w:szCs w:val="20"/>
          <w:rtl/>
          <w:lang w:val="en"/>
        </w:rPr>
        <w:t xml:space="preserve">בתהליך האבחון </w:t>
      </w:r>
      <w:r w:rsidRPr="00772E76">
        <w:rPr>
          <w:rFonts w:hint="cs"/>
          <w:sz w:val="18"/>
          <w:szCs w:val="20"/>
          <w:rtl/>
          <w:lang w:val="en"/>
        </w:rPr>
        <w:t xml:space="preserve">של </w:t>
      </w:r>
      <w:r w:rsidRPr="00772E76">
        <w:rPr>
          <w:sz w:val="18"/>
          <w:szCs w:val="20"/>
          <w:rtl/>
          <w:lang w:val="en"/>
        </w:rPr>
        <w:t>חולי נפש ו</w:t>
      </w:r>
      <w:r w:rsidRPr="00772E76">
        <w:rPr>
          <w:rFonts w:hint="cs"/>
          <w:sz w:val="18"/>
          <w:szCs w:val="20"/>
          <w:rtl/>
          <w:lang w:val="en"/>
        </w:rPr>
        <w:t>ב</w:t>
      </w:r>
      <w:r w:rsidRPr="00772E76">
        <w:rPr>
          <w:sz w:val="18"/>
          <w:szCs w:val="20"/>
          <w:rtl/>
          <w:lang w:val="en"/>
        </w:rPr>
        <w:t xml:space="preserve">טיפול </w:t>
      </w:r>
      <w:r w:rsidRPr="00772E76">
        <w:rPr>
          <w:rFonts w:hint="cs"/>
          <w:sz w:val="18"/>
          <w:szCs w:val="20"/>
          <w:rtl/>
          <w:lang w:val="en"/>
        </w:rPr>
        <w:t>בהם;</w:t>
      </w:r>
      <w:r w:rsidRPr="00772E76">
        <w:rPr>
          <w:sz w:val="18"/>
          <w:szCs w:val="20"/>
          <w:rtl/>
          <w:lang w:val="en"/>
        </w:rPr>
        <w:t xml:space="preserve"> כלומר</w:t>
      </w:r>
      <w:r w:rsidRPr="00772E76">
        <w:rPr>
          <w:rFonts w:hint="cs"/>
          <w:sz w:val="18"/>
          <w:szCs w:val="20"/>
          <w:rtl/>
          <w:lang w:val="en"/>
        </w:rPr>
        <w:t>,</w:t>
      </w:r>
      <w:r w:rsidRPr="00772E76">
        <w:rPr>
          <w:sz w:val="18"/>
          <w:szCs w:val="20"/>
          <w:rtl/>
          <w:lang w:val="en"/>
        </w:rPr>
        <w:t xml:space="preserve"> ככל שתפקידו של ה"חולה" חשוב יותר לסביבתו החברתית, ישתדלו ל</w:t>
      </w:r>
      <w:r w:rsidRPr="00772E76">
        <w:rPr>
          <w:rFonts w:hint="cs"/>
          <w:sz w:val="18"/>
          <w:szCs w:val="20"/>
          <w:rtl/>
          <w:lang w:val="en"/>
        </w:rPr>
        <w:t>הגן עליו מפני קבלת תוו</w:t>
      </w:r>
      <w:r w:rsidRPr="00772E76">
        <w:rPr>
          <w:sz w:val="18"/>
          <w:szCs w:val="20"/>
          <w:rtl/>
          <w:lang w:val="en"/>
        </w:rPr>
        <w:t>ית של "חולה נפש".</w:t>
      </w:r>
    </w:p>
    <w:p w14:paraId="38F3822B" w14:textId="1C62AB8B" w:rsidR="00772E76" w:rsidRPr="00772E76" w:rsidRDefault="00772E76" w:rsidP="009D2BFE">
      <w:pPr>
        <w:spacing w:after="180" w:line="280" w:lineRule="exact"/>
        <w:jc w:val="both"/>
        <w:rPr>
          <w:rFonts w:eastAsia="Calibri"/>
          <w:sz w:val="18"/>
          <w:szCs w:val="20"/>
          <w:rtl/>
        </w:rPr>
      </w:pPr>
      <w:r w:rsidRPr="00772E76">
        <w:rPr>
          <w:rFonts w:eastAsia="Calibri" w:hint="cs"/>
          <w:sz w:val="18"/>
          <w:szCs w:val="20"/>
          <w:rtl/>
        </w:rPr>
        <w:t xml:space="preserve">מאמר זה מבקש לטעון כי אחד המקורות לסטיגמה הוא התקשורת. הטענה המרכזית היא כי אם נבחן </w:t>
      </w:r>
      <w:r w:rsidRPr="00772E76">
        <w:rPr>
          <w:rFonts w:eastAsia="Calibri"/>
          <w:sz w:val="18"/>
          <w:szCs w:val="20"/>
          <w:rtl/>
        </w:rPr>
        <w:t xml:space="preserve">מאין נובעת הסטיגמה על </w:t>
      </w:r>
      <w:r w:rsidRPr="00772E76">
        <w:rPr>
          <w:rFonts w:eastAsia="Calibri" w:hint="cs"/>
          <w:sz w:val="18"/>
          <w:szCs w:val="20"/>
          <w:rtl/>
        </w:rPr>
        <w:t>אנשים המאובחנים כ</w:t>
      </w:r>
      <w:r w:rsidRPr="00772E76">
        <w:rPr>
          <w:rFonts w:eastAsia="Calibri"/>
          <w:sz w:val="18"/>
          <w:szCs w:val="20"/>
          <w:rtl/>
        </w:rPr>
        <w:t xml:space="preserve">חולי נפש, נמצא </w:t>
      </w:r>
      <w:r w:rsidRPr="00772E76">
        <w:rPr>
          <w:rFonts w:eastAsia="Calibri" w:hint="cs"/>
          <w:sz w:val="18"/>
          <w:szCs w:val="20"/>
          <w:rtl/>
        </w:rPr>
        <w:t>כי ל</w:t>
      </w:r>
      <w:r w:rsidRPr="00772E76">
        <w:rPr>
          <w:rFonts w:eastAsia="Calibri"/>
          <w:sz w:val="18"/>
          <w:szCs w:val="20"/>
          <w:rtl/>
        </w:rPr>
        <w:t xml:space="preserve">אמצעי התקשורת </w:t>
      </w:r>
      <w:r w:rsidRPr="00772E76">
        <w:rPr>
          <w:rFonts w:eastAsia="Calibri" w:hint="cs"/>
          <w:sz w:val="18"/>
          <w:szCs w:val="20"/>
          <w:rtl/>
        </w:rPr>
        <w:t xml:space="preserve">יש </w:t>
      </w:r>
      <w:r w:rsidRPr="00772E76">
        <w:rPr>
          <w:rFonts w:eastAsia="Calibri"/>
          <w:sz w:val="18"/>
          <w:szCs w:val="20"/>
          <w:rtl/>
        </w:rPr>
        <w:t xml:space="preserve">תרומה </w:t>
      </w:r>
      <w:r w:rsidRPr="00772E76">
        <w:rPr>
          <w:rFonts w:eastAsia="Calibri" w:hint="cs"/>
          <w:sz w:val="18"/>
          <w:szCs w:val="20"/>
          <w:rtl/>
        </w:rPr>
        <w:t>ניכרת</w:t>
      </w:r>
      <w:r w:rsidRPr="00772E76">
        <w:rPr>
          <w:rFonts w:eastAsia="Calibri"/>
          <w:sz w:val="18"/>
          <w:szCs w:val="20"/>
          <w:rtl/>
        </w:rPr>
        <w:t xml:space="preserve"> </w:t>
      </w:r>
      <w:r w:rsidRPr="00772E76">
        <w:rPr>
          <w:rFonts w:eastAsia="Calibri" w:hint="cs"/>
          <w:sz w:val="18"/>
          <w:szCs w:val="20"/>
          <w:rtl/>
        </w:rPr>
        <w:t>ל</w:t>
      </w:r>
      <w:r w:rsidRPr="00772E76">
        <w:rPr>
          <w:rFonts w:eastAsia="Calibri"/>
          <w:sz w:val="18"/>
          <w:szCs w:val="20"/>
          <w:rtl/>
        </w:rPr>
        <w:t xml:space="preserve">הבניה חברתית זו. </w:t>
      </w:r>
      <w:r w:rsidRPr="00772E76">
        <w:rPr>
          <w:rFonts w:eastAsia="Calibri" w:hint="cs"/>
          <w:sz w:val="18"/>
          <w:szCs w:val="20"/>
          <w:rtl/>
        </w:rPr>
        <w:t xml:space="preserve">כך, מחקרים רבים שנערכו בארצות שונות מצביעים על נטייתה של התקשורת לייחס למאובחנים כחולי נפש מסוכנות. </w:t>
      </w:r>
      <w:r w:rsidRPr="00772E76" w:rsidDel="006A2A7B">
        <w:rPr>
          <w:rFonts w:eastAsia="Calibri"/>
          <w:sz w:val="18"/>
          <w:szCs w:val="20"/>
          <w:rtl/>
        </w:rPr>
        <w:t xml:space="preserve">אולסון </w:t>
      </w:r>
      <w:r w:rsidRPr="00772E76">
        <w:rPr>
          <w:rFonts w:eastAsia="Calibri" w:hint="cs"/>
          <w:sz w:val="18"/>
          <w:szCs w:val="20"/>
          <w:rtl/>
        </w:rPr>
        <w:t>(</w:t>
      </w:r>
      <w:r w:rsidRPr="00772E76" w:rsidDel="006A2A7B">
        <w:rPr>
          <w:rFonts w:eastAsia="Calibri"/>
          <w:sz w:val="18"/>
          <w:szCs w:val="20"/>
        </w:rPr>
        <w:t>Ohlsson, 2018</w:t>
      </w:r>
      <w:r w:rsidR="00890312">
        <w:rPr>
          <w:rFonts w:eastAsia="Calibri" w:hint="cs"/>
          <w:sz w:val="18"/>
          <w:szCs w:val="20"/>
          <w:rtl/>
        </w:rPr>
        <w:t>)</w:t>
      </w:r>
      <w:r w:rsidRPr="00772E76">
        <w:rPr>
          <w:rFonts w:eastAsia="Calibri" w:hint="cs"/>
          <w:sz w:val="18"/>
          <w:szCs w:val="20"/>
          <w:rtl/>
        </w:rPr>
        <w:t>,</w:t>
      </w:r>
      <w:r w:rsidRPr="00772E76" w:rsidDel="006A2A7B">
        <w:rPr>
          <w:rFonts w:eastAsia="Calibri"/>
          <w:sz w:val="18"/>
          <w:szCs w:val="20"/>
          <w:rtl/>
        </w:rPr>
        <w:t xml:space="preserve"> </w:t>
      </w:r>
      <w:r w:rsidRPr="00772E76">
        <w:rPr>
          <w:rFonts w:eastAsia="Calibri" w:hint="cs"/>
          <w:sz w:val="18"/>
          <w:szCs w:val="20"/>
          <w:rtl/>
        </w:rPr>
        <w:t xml:space="preserve">לדוגמה, </w:t>
      </w:r>
      <w:r w:rsidR="00890312">
        <w:rPr>
          <w:rFonts w:eastAsia="Calibri" w:hint="cs"/>
          <w:sz w:val="18"/>
          <w:szCs w:val="20"/>
          <w:rtl/>
        </w:rPr>
        <w:t>ה</w:t>
      </w:r>
      <w:r w:rsidR="00890312" w:rsidRPr="00772E76" w:rsidDel="006A2A7B">
        <w:rPr>
          <w:rFonts w:eastAsia="Calibri"/>
          <w:sz w:val="18"/>
          <w:szCs w:val="20"/>
          <w:rtl/>
        </w:rPr>
        <w:t>צביע</w:t>
      </w:r>
      <w:r w:rsidR="00890312" w:rsidRPr="00772E76">
        <w:rPr>
          <w:rFonts w:eastAsia="Calibri"/>
          <w:sz w:val="18"/>
          <w:szCs w:val="20"/>
          <w:rtl/>
        </w:rPr>
        <w:t>ה</w:t>
      </w:r>
      <w:r w:rsidR="00890312" w:rsidRPr="00772E76" w:rsidDel="006A2A7B">
        <w:rPr>
          <w:rFonts w:eastAsia="Calibri"/>
          <w:sz w:val="18"/>
          <w:szCs w:val="20"/>
          <w:rtl/>
        </w:rPr>
        <w:t xml:space="preserve"> </w:t>
      </w:r>
      <w:r w:rsidRPr="00772E76" w:rsidDel="006A2A7B">
        <w:rPr>
          <w:rFonts w:eastAsia="Calibri"/>
          <w:sz w:val="18"/>
          <w:szCs w:val="20"/>
          <w:rtl/>
        </w:rPr>
        <w:t xml:space="preserve">על תרומת התקשורת בשבדיה לעיצוב תפיסות </w:t>
      </w:r>
      <w:r w:rsidRPr="00772E76">
        <w:rPr>
          <w:rFonts w:eastAsia="Calibri"/>
          <w:sz w:val="18"/>
          <w:szCs w:val="20"/>
          <w:rtl/>
        </w:rPr>
        <w:t>חברתיות</w:t>
      </w:r>
      <w:r w:rsidRPr="00772E76" w:rsidDel="006A2A7B">
        <w:rPr>
          <w:rFonts w:eastAsia="Calibri"/>
          <w:sz w:val="18"/>
          <w:szCs w:val="20"/>
          <w:rtl/>
        </w:rPr>
        <w:t xml:space="preserve"> כלפי המאובחנים כחולי נפש.</w:t>
      </w:r>
      <w:r w:rsidRPr="00772E76">
        <w:rPr>
          <w:rFonts w:eastAsia="Calibri"/>
          <w:sz w:val="18"/>
          <w:szCs w:val="20"/>
          <w:rtl/>
        </w:rPr>
        <w:t xml:space="preserve"> </w:t>
      </w:r>
      <w:r w:rsidRPr="00772E76">
        <w:rPr>
          <w:rFonts w:eastAsia="Calibri" w:hint="cs"/>
          <w:sz w:val="18"/>
          <w:szCs w:val="20"/>
          <w:rtl/>
        </w:rPr>
        <w:t xml:space="preserve">נוסף על כך, </w:t>
      </w:r>
      <w:r w:rsidRPr="00772E76">
        <w:rPr>
          <w:rFonts w:eastAsia="Calibri"/>
          <w:sz w:val="18"/>
          <w:szCs w:val="20"/>
          <w:rtl/>
        </w:rPr>
        <w:t xml:space="preserve">מחקרים שדגמו עיתונים מארצות הברית בעשורים </w:t>
      </w:r>
      <w:r w:rsidRPr="00772E76">
        <w:rPr>
          <w:rFonts w:eastAsia="Calibri"/>
          <w:sz w:val="18"/>
          <w:szCs w:val="20"/>
          <w:rtl/>
        </w:rPr>
        <w:lastRenderedPageBreak/>
        <w:t>האחרונים מצאו ש-25 עד 55</w:t>
      </w:r>
      <w:r w:rsidRPr="00772E76">
        <w:rPr>
          <w:rFonts w:eastAsia="Calibri" w:hint="cs"/>
          <w:sz w:val="18"/>
          <w:szCs w:val="20"/>
          <w:rtl/>
        </w:rPr>
        <w:t>%</w:t>
      </w:r>
      <w:r w:rsidRPr="00772E76">
        <w:rPr>
          <w:rFonts w:eastAsia="Calibri"/>
          <w:sz w:val="18"/>
          <w:szCs w:val="20"/>
          <w:rtl/>
        </w:rPr>
        <w:t xml:space="preserve"> מהכתבות הצביעו על קשר בין אבחנה נפשית למסוכנות, </w:t>
      </w:r>
      <w:r w:rsidRPr="00772E76">
        <w:rPr>
          <w:rFonts w:eastAsia="Calibri" w:hint="cs"/>
          <w:sz w:val="18"/>
          <w:szCs w:val="20"/>
          <w:rtl/>
        </w:rPr>
        <w:t>ו</w:t>
      </w:r>
      <w:r w:rsidRPr="00772E76">
        <w:rPr>
          <w:rFonts w:eastAsia="Calibri"/>
          <w:sz w:val="18"/>
          <w:szCs w:val="20"/>
          <w:rtl/>
        </w:rPr>
        <w:t xml:space="preserve">על עלייה מתמדת </w:t>
      </w:r>
      <w:r w:rsidRPr="00772E76">
        <w:rPr>
          <w:rFonts w:eastAsia="Calibri" w:hint="cs"/>
          <w:sz w:val="18"/>
          <w:szCs w:val="20"/>
          <w:rtl/>
        </w:rPr>
        <w:t xml:space="preserve">במספרן ובשיעורן של כתבות כאלה </w:t>
      </w:r>
      <w:r w:rsidRPr="00772E76">
        <w:rPr>
          <w:rFonts w:eastAsia="Calibri"/>
          <w:sz w:val="18"/>
          <w:szCs w:val="20"/>
          <w:rtl/>
        </w:rPr>
        <w:t>לאורך שנים (</w:t>
      </w:r>
      <w:r w:rsidRPr="00772E76">
        <w:rPr>
          <w:rFonts w:eastAsia="Calibri"/>
          <w:sz w:val="18"/>
          <w:szCs w:val="20"/>
        </w:rPr>
        <w:t>McGinty, Kennedy-Hendricks, Choksy, &amp; Barry, 2016; Wahl, 1992; Wahl, Wood, &amp; Richards, 2002</w:t>
      </w:r>
      <w:r w:rsidRPr="00772E76">
        <w:rPr>
          <w:rFonts w:eastAsia="Calibri"/>
          <w:sz w:val="18"/>
          <w:szCs w:val="20"/>
          <w:rtl/>
        </w:rPr>
        <w:t>)</w:t>
      </w:r>
      <w:r w:rsidRPr="00772E76">
        <w:rPr>
          <w:rFonts w:eastAsia="Calibri" w:hint="cs"/>
          <w:sz w:val="18"/>
          <w:szCs w:val="20"/>
          <w:rtl/>
        </w:rPr>
        <w:t xml:space="preserve">. </w:t>
      </w:r>
    </w:p>
    <w:p w14:paraId="70D57965" w14:textId="3805FB5A" w:rsidR="00772E76" w:rsidRDefault="00772E76" w:rsidP="00772E76">
      <w:pPr>
        <w:spacing w:after="180" w:line="280" w:lineRule="exact"/>
        <w:jc w:val="both"/>
        <w:rPr>
          <w:rFonts w:eastAsia="Calibri"/>
          <w:sz w:val="18"/>
          <w:szCs w:val="20"/>
          <w:rtl/>
        </w:rPr>
      </w:pPr>
    </w:p>
    <w:p w14:paraId="58886F0E" w14:textId="77777777" w:rsidR="00366738" w:rsidRPr="00772E76" w:rsidRDefault="00366738" w:rsidP="00772E76">
      <w:pPr>
        <w:spacing w:after="180" w:line="280" w:lineRule="exact"/>
        <w:jc w:val="both"/>
        <w:rPr>
          <w:rFonts w:eastAsia="Calibri"/>
          <w:sz w:val="18"/>
          <w:szCs w:val="20"/>
          <w:rtl/>
        </w:rPr>
      </w:pPr>
    </w:p>
    <w:p w14:paraId="489F065C" w14:textId="43381DA6" w:rsidR="00772E76" w:rsidRPr="00F61766" w:rsidRDefault="00772E76" w:rsidP="00772E76">
      <w:pPr>
        <w:pStyle w:val="KOT4"/>
        <w:spacing w:after="0"/>
        <w:ind w:left="397" w:right="0" w:hanging="397"/>
        <w:rPr>
          <w:rFonts w:cs="Guttman Aharoni"/>
          <w:color w:val="00B0F0"/>
          <w:sz w:val="28"/>
          <w:szCs w:val="28"/>
          <w:rtl/>
        </w:rPr>
      </w:pPr>
      <w:r w:rsidRPr="00F61766">
        <w:rPr>
          <w:rFonts w:cs="Guttman Aharoni" w:hint="cs"/>
          <w:color w:val="00B0F0"/>
          <w:sz w:val="28"/>
          <w:szCs w:val="28"/>
          <w:rtl/>
        </w:rPr>
        <w:t>2.</w:t>
      </w:r>
      <w:r w:rsidRPr="00F61766">
        <w:rPr>
          <w:rFonts w:cs="Guttman Aharoni"/>
          <w:color w:val="00B0F0"/>
          <w:sz w:val="28"/>
          <w:szCs w:val="28"/>
          <w:rtl/>
        </w:rPr>
        <w:tab/>
        <w:t>הטיעון הביקורתי</w:t>
      </w:r>
    </w:p>
    <w:p w14:paraId="17C3DC34" w14:textId="105BBFA0" w:rsidR="00772E76" w:rsidRPr="00772E76" w:rsidRDefault="00772E76" w:rsidP="009D2BFE">
      <w:pPr>
        <w:spacing w:after="180" w:line="280" w:lineRule="exact"/>
        <w:jc w:val="both"/>
        <w:rPr>
          <w:rFonts w:eastAsia="Calibri"/>
          <w:sz w:val="18"/>
          <w:szCs w:val="20"/>
          <w:rtl/>
        </w:rPr>
      </w:pPr>
      <w:r w:rsidRPr="00772E76">
        <w:rPr>
          <w:rFonts w:eastAsia="Calibri" w:hint="cs"/>
          <w:sz w:val="18"/>
          <w:szCs w:val="20"/>
          <w:rtl/>
        </w:rPr>
        <w:t>חקר שיח ביקורתי (</w:t>
      </w:r>
      <w:r w:rsidRPr="00772E76">
        <w:rPr>
          <w:rFonts w:eastAsia="Calibri"/>
          <w:sz w:val="18"/>
          <w:szCs w:val="20"/>
        </w:rPr>
        <w:t>critical discourse analysis</w:t>
      </w:r>
      <w:r w:rsidRPr="00772E76">
        <w:rPr>
          <w:rFonts w:eastAsia="Calibri" w:hint="cs"/>
          <w:sz w:val="18"/>
          <w:szCs w:val="20"/>
          <w:rtl/>
        </w:rPr>
        <w:t>) הוא שיטה חדשה יחסית, הבוחנת את האופן שבו שפה משמשת כלי לביצוע פעילות חברתית ולהשגת מטרות, את התהליכים שבהם נוצרת ומתפענחת משמעות, ואת יחסי הגומלין שבין השפה לבין מעגלי ההקשר השונים שהיא פועלת בהם. חוקרים האוחזים בגישה זאת מצביעים על בעיות חברתיות</w:t>
      </w:r>
      <w:r w:rsidR="00890312">
        <w:rPr>
          <w:rFonts w:eastAsia="Calibri" w:hint="cs"/>
          <w:sz w:val="18"/>
          <w:szCs w:val="20"/>
          <w:rtl/>
        </w:rPr>
        <w:t>,</w:t>
      </w:r>
      <w:r w:rsidRPr="00772E76">
        <w:rPr>
          <w:rFonts w:eastAsia="Calibri" w:hint="cs"/>
          <w:sz w:val="18"/>
          <w:szCs w:val="20"/>
          <w:rtl/>
        </w:rPr>
        <w:t xml:space="preserve"> וחושפים את השימוש המניפולטיבי בשפה ככלי להדרה ולשליטה הגמונית בקבוצות מוחלשות. לשיטתו של החוקר נורמן </w:t>
      </w:r>
      <w:proofErr w:type="spellStart"/>
      <w:r w:rsidRPr="00772E76">
        <w:rPr>
          <w:rFonts w:eastAsia="Calibri" w:hint="cs"/>
          <w:sz w:val="18"/>
          <w:szCs w:val="20"/>
          <w:rtl/>
        </w:rPr>
        <w:t>פיירקלו</w:t>
      </w:r>
      <w:proofErr w:type="spellEnd"/>
      <w:r w:rsidRPr="00772E76">
        <w:rPr>
          <w:rFonts w:eastAsia="Calibri" w:hint="cs"/>
          <w:sz w:val="18"/>
          <w:szCs w:val="20"/>
          <w:rtl/>
        </w:rPr>
        <w:t xml:space="preserve"> (</w:t>
      </w:r>
      <w:r w:rsidRPr="00772E76">
        <w:rPr>
          <w:rFonts w:eastAsia="Calibri"/>
          <w:sz w:val="18"/>
          <w:szCs w:val="20"/>
        </w:rPr>
        <w:t>Fairclough</w:t>
      </w:r>
      <w:r w:rsidRPr="00772E76">
        <w:rPr>
          <w:rFonts w:eastAsia="Calibri"/>
          <w:sz w:val="18"/>
          <w:szCs w:val="20"/>
          <w:rtl/>
        </w:rPr>
        <w:t>,</w:t>
      </w:r>
      <w:r w:rsidRPr="00772E76">
        <w:rPr>
          <w:rFonts w:eastAsia="Calibri" w:hint="cs"/>
          <w:sz w:val="18"/>
          <w:szCs w:val="20"/>
          <w:rtl/>
        </w:rPr>
        <w:t xml:space="preserve"> אצל חמו, </w:t>
      </w:r>
      <w:proofErr w:type="spellStart"/>
      <w:r w:rsidRPr="00772E76">
        <w:rPr>
          <w:rFonts w:eastAsia="Calibri" w:hint="cs"/>
          <w:sz w:val="18"/>
          <w:szCs w:val="20"/>
          <w:rtl/>
        </w:rPr>
        <w:t>קמפף</w:t>
      </w:r>
      <w:proofErr w:type="spellEnd"/>
      <w:r w:rsidRPr="00772E76">
        <w:rPr>
          <w:rFonts w:eastAsia="Calibri" w:hint="cs"/>
          <w:sz w:val="18"/>
          <w:szCs w:val="20"/>
          <w:rtl/>
        </w:rPr>
        <w:t xml:space="preserve"> ובלום </w:t>
      </w:r>
      <w:proofErr w:type="spellStart"/>
      <w:r w:rsidRPr="00772E76">
        <w:rPr>
          <w:rFonts w:eastAsia="Calibri" w:hint="cs"/>
          <w:sz w:val="18"/>
          <w:szCs w:val="20"/>
          <w:rtl/>
        </w:rPr>
        <w:t>קולקה</w:t>
      </w:r>
      <w:proofErr w:type="spellEnd"/>
      <w:r w:rsidRPr="00772E76">
        <w:rPr>
          <w:rFonts w:eastAsia="Calibri" w:hint="cs"/>
          <w:sz w:val="18"/>
          <w:szCs w:val="20"/>
          <w:rtl/>
        </w:rPr>
        <w:t>, 2014), תפקיד החוקר הוא לזהות את האינטרסים של הכותב</w:t>
      </w:r>
      <w:r w:rsidR="00890312">
        <w:rPr>
          <w:rFonts w:eastAsia="Calibri" w:hint="cs"/>
          <w:sz w:val="18"/>
          <w:szCs w:val="20"/>
          <w:rtl/>
        </w:rPr>
        <w:t>,</w:t>
      </w:r>
      <w:r w:rsidRPr="00772E76">
        <w:rPr>
          <w:rFonts w:eastAsia="Calibri" w:hint="cs"/>
          <w:sz w:val="18"/>
          <w:szCs w:val="20"/>
          <w:rtl/>
        </w:rPr>
        <w:t xml:space="preserve"> להצביע על המניפולטיביות של דבריו, ובכך לנסות לתקן את העוול שנגרם לקבוצת האוכלוסייה שבנדון. בהתאם</w:t>
      </w:r>
      <w:r w:rsidRPr="00772E76">
        <w:rPr>
          <w:rFonts w:eastAsia="Calibri"/>
          <w:sz w:val="18"/>
          <w:szCs w:val="20"/>
          <w:rtl/>
        </w:rPr>
        <w:t xml:space="preserve"> לכך</w:t>
      </w:r>
      <w:r w:rsidRPr="00772E76">
        <w:rPr>
          <w:rFonts w:eastAsia="Calibri" w:hint="cs"/>
          <w:sz w:val="18"/>
          <w:szCs w:val="20"/>
          <w:rtl/>
        </w:rPr>
        <w:t>,</w:t>
      </w:r>
      <w:r w:rsidRPr="00772E76">
        <w:rPr>
          <w:rFonts w:eastAsia="Calibri"/>
          <w:sz w:val="18"/>
          <w:szCs w:val="20"/>
          <w:rtl/>
        </w:rPr>
        <w:t xml:space="preserve"> </w:t>
      </w:r>
      <w:r w:rsidRPr="00772E76">
        <w:rPr>
          <w:rFonts w:eastAsia="Calibri" w:hint="cs"/>
          <w:sz w:val="18"/>
          <w:szCs w:val="20"/>
          <w:rtl/>
        </w:rPr>
        <w:t xml:space="preserve">יש </w:t>
      </w:r>
      <w:r w:rsidRPr="00772E76">
        <w:rPr>
          <w:rFonts w:eastAsia="Calibri"/>
          <w:sz w:val="18"/>
          <w:szCs w:val="20"/>
          <w:rtl/>
        </w:rPr>
        <w:t xml:space="preserve">חשיבות רבה לחשיפת עיוותים תקשורתיים ואינטרסים המסתתרים </w:t>
      </w:r>
      <w:r w:rsidRPr="00772E76">
        <w:rPr>
          <w:rFonts w:eastAsia="Calibri" w:hint="cs"/>
          <w:sz w:val="18"/>
          <w:szCs w:val="20"/>
          <w:rtl/>
        </w:rPr>
        <w:t>מאחורי</w:t>
      </w:r>
      <w:r w:rsidRPr="00772E76">
        <w:rPr>
          <w:rFonts w:eastAsia="Calibri"/>
          <w:sz w:val="18"/>
          <w:szCs w:val="20"/>
          <w:rtl/>
        </w:rPr>
        <w:t xml:space="preserve"> הדיווח</w:t>
      </w:r>
      <w:r w:rsidRPr="00772E76">
        <w:rPr>
          <w:rFonts w:eastAsia="Calibri" w:hint="cs"/>
          <w:sz w:val="18"/>
          <w:szCs w:val="20"/>
          <w:rtl/>
        </w:rPr>
        <w:t>ים על אירועים שחולי</w:t>
      </w:r>
      <w:r w:rsidRPr="00772E76">
        <w:rPr>
          <w:rFonts w:eastAsia="Calibri"/>
          <w:sz w:val="18"/>
          <w:szCs w:val="20"/>
          <w:rtl/>
        </w:rPr>
        <w:t xml:space="preserve"> </w:t>
      </w:r>
      <w:r w:rsidRPr="00772E76">
        <w:rPr>
          <w:rFonts w:eastAsia="Calibri" w:hint="cs"/>
          <w:sz w:val="18"/>
          <w:szCs w:val="20"/>
          <w:rtl/>
        </w:rPr>
        <w:t>נפש</w:t>
      </w:r>
      <w:r w:rsidRPr="00772E76">
        <w:rPr>
          <w:rFonts w:eastAsia="Calibri"/>
          <w:sz w:val="18"/>
          <w:szCs w:val="20"/>
          <w:rtl/>
        </w:rPr>
        <w:t xml:space="preserve"> </w:t>
      </w:r>
      <w:r w:rsidRPr="00772E76">
        <w:rPr>
          <w:rFonts w:eastAsia="Calibri" w:hint="cs"/>
          <w:sz w:val="18"/>
          <w:szCs w:val="20"/>
          <w:rtl/>
        </w:rPr>
        <w:t>מעורבים</w:t>
      </w:r>
      <w:r w:rsidRPr="00772E76">
        <w:rPr>
          <w:rFonts w:eastAsia="Calibri"/>
          <w:sz w:val="18"/>
          <w:szCs w:val="20"/>
          <w:rtl/>
        </w:rPr>
        <w:t xml:space="preserve"> </w:t>
      </w:r>
      <w:r w:rsidRPr="00772E76">
        <w:rPr>
          <w:rFonts w:eastAsia="Calibri" w:hint="cs"/>
          <w:sz w:val="18"/>
          <w:szCs w:val="20"/>
          <w:rtl/>
        </w:rPr>
        <w:t>בהם</w:t>
      </w:r>
      <w:r w:rsidRPr="00772E76">
        <w:rPr>
          <w:rFonts w:eastAsia="Calibri"/>
          <w:sz w:val="18"/>
          <w:szCs w:val="20"/>
          <w:rtl/>
        </w:rPr>
        <w:t xml:space="preserve">, </w:t>
      </w:r>
      <w:r w:rsidRPr="00772E76">
        <w:rPr>
          <w:rFonts w:eastAsia="Calibri" w:hint="cs"/>
          <w:sz w:val="18"/>
          <w:szCs w:val="20"/>
          <w:rtl/>
        </w:rPr>
        <w:t>במטרה</w:t>
      </w:r>
      <w:r w:rsidRPr="00772E76">
        <w:rPr>
          <w:rFonts w:eastAsia="Calibri"/>
          <w:sz w:val="18"/>
          <w:szCs w:val="20"/>
          <w:rtl/>
        </w:rPr>
        <w:t xml:space="preserve"> </w:t>
      </w:r>
      <w:r w:rsidRPr="00772E76">
        <w:rPr>
          <w:rFonts w:eastAsia="Calibri" w:hint="cs"/>
          <w:sz w:val="18"/>
          <w:szCs w:val="20"/>
          <w:rtl/>
        </w:rPr>
        <w:t>לנסות</w:t>
      </w:r>
      <w:r w:rsidRPr="00772E76">
        <w:rPr>
          <w:rFonts w:eastAsia="Calibri"/>
          <w:sz w:val="18"/>
          <w:szCs w:val="20"/>
          <w:rtl/>
        </w:rPr>
        <w:t xml:space="preserve"> </w:t>
      </w:r>
      <w:r w:rsidRPr="00772E76">
        <w:rPr>
          <w:rFonts w:eastAsia="Calibri" w:hint="cs"/>
          <w:sz w:val="18"/>
          <w:szCs w:val="20"/>
          <w:rtl/>
        </w:rPr>
        <w:t>לתקן</w:t>
      </w:r>
      <w:r w:rsidRPr="00772E76">
        <w:rPr>
          <w:rFonts w:eastAsia="Calibri"/>
          <w:sz w:val="18"/>
          <w:szCs w:val="20"/>
          <w:rtl/>
        </w:rPr>
        <w:t xml:space="preserve"> </w:t>
      </w:r>
      <w:r w:rsidRPr="00772E76">
        <w:rPr>
          <w:rFonts w:eastAsia="Calibri" w:hint="cs"/>
          <w:sz w:val="18"/>
          <w:szCs w:val="20"/>
          <w:rtl/>
        </w:rPr>
        <w:t>את</w:t>
      </w:r>
      <w:r w:rsidRPr="00772E76">
        <w:rPr>
          <w:rFonts w:eastAsia="Calibri"/>
          <w:sz w:val="18"/>
          <w:szCs w:val="20"/>
          <w:rtl/>
        </w:rPr>
        <w:t xml:space="preserve"> </w:t>
      </w:r>
      <w:r w:rsidRPr="00772E76">
        <w:rPr>
          <w:rFonts w:eastAsia="Calibri" w:hint="cs"/>
          <w:sz w:val="18"/>
          <w:szCs w:val="20"/>
          <w:rtl/>
        </w:rPr>
        <w:t>העוול</w:t>
      </w:r>
      <w:r w:rsidRPr="00772E76">
        <w:rPr>
          <w:rFonts w:eastAsia="Calibri"/>
          <w:sz w:val="18"/>
          <w:szCs w:val="20"/>
          <w:rtl/>
        </w:rPr>
        <w:t xml:space="preserve"> </w:t>
      </w:r>
      <w:r w:rsidRPr="00772E76">
        <w:rPr>
          <w:rFonts w:eastAsia="Calibri" w:hint="cs"/>
          <w:sz w:val="18"/>
          <w:szCs w:val="20"/>
          <w:rtl/>
        </w:rPr>
        <w:t>הנגרם</w:t>
      </w:r>
      <w:r w:rsidRPr="00772E76">
        <w:rPr>
          <w:rFonts w:eastAsia="Calibri"/>
          <w:sz w:val="18"/>
          <w:szCs w:val="20"/>
          <w:rtl/>
        </w:rPr>
        <w:t xml:space="preserve"> </w:t>
      </w:r>
      <w:r w:rsidRPr="00772E76">
        <w:rPr>
          <w:rFonts w:eastAsia="Calibri" w:hint="cs"/>
          <w:sz w:val="18"/>
          <w:szCs w:val="20"/>
          <w:rtl/>
        </w:rPr>
        <w:t>לקבוצה</w:t>
      </w:r>
      <w:r w:rsidRPr="00772E76">
        <w:rPr>
          <w:rFonts w:eastAsia="Calibri"/>
          <w:sz w:val="18"/>
          <w:szCs w:val="20"/>
          <w:rtl/>
        </w:rPr>
        <w:t xml:space="preserve"> </w:t>
      </w:r>
      <w:r w:rsidRPr="00772E76">
        <w:rPr>
          <w:rFonts w:eastAsia="Calibri" w:hint="cs"/>
          <w:sz w:val="18"/>
          <w:szCs w:val="20"/>
          <w:rtl/>
        </w:rPr>
        <w:t>זו</w:t>
      </w:r>
      <w:r w:rsidRPr="00772E76">
        <w:rPr>
          <w:rFonts w:eastAsia="Calibri"/>
          <w:sz w:val="18"/>
          <w:szCs w:val="20"/>
          <w:rtl/>
        </w:rPr>
        <w:t xml:space="preserve"> </w:t>
      </w:r>
      <w:r w:rsidRPr="00772E76">
        <w:rPr>
          <w:rFonts w:eastAsia="Calibri" w:hint="cs"/>
          <w:sz w:val="18"/>
          <w:szCs w:val="20"/>
          <w:rtl/>
        </w:rPr>
        <w:t>על ידי</w:t>
      </w:r>
      <w:r w:rsidRPr="00772E76">
        <w:rPr>
          <w:rFonts w:eastAsia="Calibri"/>
          <w:sz w:val="18"/>
          <w:szCs w:val="20"/>
          <w:rtl/>
        </w:rPr>
        <w:t xml:space="preserve"> </w:t>
      </w:r>
      <w:r w:rsidRPr="00772E76">
        <w:rPr>
          <w:rFonts w:eastAsia="Calibri" w:hint="cs"/>
          <w:sz w:val="18"/>
          <w:szCs w:val="20"/>
          <w:rtl/>
        </w:rPr>
        <w:t>אמצעי</w:t>
      </w:r>
      <w:r w:rsidRPr="00772E76">
        <w:rPr>
          <w:rFonts w:eastAsia="Calibri"/>
          <w:sz w:val="18"/>
          <w:szCs w:val="20"/>
          <w:rtl/>
        </w:rPr>
        <w:t xml:space="preserve"> </w:t>
      </w:r>
      <w:r w:rsidRPr="00772E76">
        <w:rPr>
          <w:rFonts w:eastAsia="Calibri" w:hint="cs"/>
          <w:sz w:val="18"/>
          <w:szCs w:val="20"/>
          <w:rtl/>
        </w:rPr>
        <w:t>תקשורת</w:t>
      </w:r>
      <w:r w:rsidRPr="00772E76">
        <w:rPr>
          <w:rFonts w:eastAsia="Calibri"/>
          <w:sz w:val="18"/>
          <w:szCs w:val="20"/>
          <w:rtl/>
        </w:rPr>
        <w:t>.</w:t>
      </w:r>
    </w:p>
    <w:p w14:paraId="4FE37621" w14:textId="77777777" w:rsidR="00772E76" w:rsidRPr="00772E76" w:rsidRDefault="00772E76" w:rsidP="00772E76">
      <w:pPr>
        <w:pStyle w:val="CommentText"/>
        <w:spacing w:after="180" w:line="280" w:lineRule="exact"/>
        <w:jc w:val="both"/>
        <w:rPr>
          <w:rFonts w:cs="David"/>
          <w:sz w:val="18"/>
        </w:rPr>
      </w:pPr>
      <w:r w:rsidRPr="00772E76">
        <w:rPr>
          <w:rFonts w:eastAsia="Calibri" w:cs="David" w:hint="cs"/>
          <w:sz w:val="18"/>
          <w:rtl/>
        </w:rPr>
        <w:t xml:space="preserve">כאמור, הטיעון באשר לקשר בין העמדות השגויות של הציבור כלפי המסוכנות של חולי נפש לבין ההבניה החברתית של מחלות נפש בתקשורת אינו חדש. </w:t>
      </w:r>
      <w:r w:rsidRPr="00772E76">
        <w:rPr>
          <w:rFonts w:eastAsia="Calibri" w:cs="David"/>
          <w:sz w:val="18"/>
          <w:rtl/>
        </w:rPr>
        <w:t>מחקרים שבדקו את נטיית התקשורת לקשר בין מסוכנות ל</w:t>
      </w:r>
      <w:r w:rsidRPr="00772E76">
        <w:rPr>
          <w:rFonts w:eastAsia="Calibri" w:cs="David" w:hint="cs"/>
          <w:sz w:val="18"/>
          <w:rtl/>
        </w:rPr>
        <w:t xml:space="preserve">בין </w:t>
      </w:r>
      <w:r w:rsidRPr="00772E76">
        <w:rPr>
          <w:rFonts w:eastAsia="Calibri" w:cs="David"/>
          <w:sz w:val="18"/>
          <w:rtl/>
        </w:rPr>
        <w:t>מחלה נפשית ה</w:t>
      </w:r>
      <w:r w:rsidRPr="00772E76">
        <w:rPr>
          <w:rFonts w:eastAsia="Calibri" w:cs="David" w:hint="cs"/>
          <w:sz w:val="18"/>
          <w:rtl/>
        </w:rPr>
        <w:t xml:space="preserve">ראו כי </w:t>
      </w:r>
      <w:r w:rsidRPr="00772E76">
        <w:rPr>
          <w:rFonts w:eastAsia="Calibri" w:cs="David"/>
          <w:sz w:val="18"/>
          <w:rtl/>
        </w:rPr>
        <w:t xml:space="preserve">התקשורת נוטה לייחס לאוכלוסיית </w:t>
      </w:r>
      <w:r w:rsidRPr="00772E76">
        <w:rPr>
          <w:rFonts w:eastAsia="Calibri" w:cs="David" w:hint="cs"/>
          <w:sz w:val="18"/>
          <w:rtl/>
        </w:rPr>
        <w:t>המאובחנים כ</w:t>
      </w:r>
      <w:r w:rsidRPr="00772E76">
        <w:rPr>
          <w:rFonts w:eastAsia="Calibri" w:cs="David"/>
          <w:sz w:val="18"/>
          <w:rtl/>
        </w:rPr>
        <w:t>חולי נפש מסוכנו</w:t>
      </w:r>
      <w:r w:rsidRPr="00772E76">
        <w:rPr>
          <w:rFonts w:eastAsia="Calibri" w:cs="David" w:hint="cs"/>
          <w:sz w:val="18"/>
          <w:rtl/>
        </w:rPr>
        <w:t>ּ</w:t>
      </w:r>
      <w:r w:rsidRPr="00772E76">
        <w:rPr>
          <w:rFonts w:eastAsia="Calibri" w:cs="David"/>
          <w:sz w:val="18"/>
          <w:rtl/>
        </w:rPr>
        <w:t>ת בשיעור ניכר יותר מכפי שהיא נוטה לייחס לאוכלוסייה זו חוסר מסוכנו</w:t>
      </w:r>
      <w:r w:rsidRPr="00772E76">
        <w:rPr>
          <w:rFonts w:eastAsia="Calibri" w:cs="David" w:hint="cs"/>
          <w:sz w:val="18"/>
          <w:rtl/>
        </w:rPr>
        <w:t>ּ</w:t>
      </w:r>
      <w:r w:rsidRPr="00772E76">
        <w:rPr>
          <w:rFonts w:eastAsia="Calibri" w:cs="David"/>
          <w:sz w:val="18"/>
          <w:rtl/>
        </w:rPr>
        <w:t>ת</w:t>
      </w:r>
      <w:r w:rsidRPr="00772E76">
        <w:rPr>
          <w:rFonts w:eastAsia="Calibri" w:cs="David" w:hint="cs"/>
          <w:sz w:val="18"/>
          <w:rtl/>
        </w:rPr>
        <w:t xml:space="preserve">. נטייה הבאה לידי ביטוי בריבוי הכתבות המציגות אותם ככאלה, והיא </w:t>
      </w:r>
      <w:r w:rsidRPr="00772E76">
        <w:rPr>
          <w:rFonts w:eastAsia="Calibri" w:cs="David"/>
          <w:sz w:val="18"/>
          <w:rtl/>
        </w:rPr>
        <w:t>מתגברת עם השנים</w:t>
      </w:r>
      <w:r w:rsidRPr="00772E76">
        <w:rPr>
          <w:rFonts w:eastAsia="Calibri" w:cs="David" w:hint="cs"/>
          <w:sz w:val="18"/>
          <w:rtl/>
        </w:rPr>
        <w:t>:</w:t>
      </w:r>
      <w:r w:rsidRPr="00772E76">
        <w:rPr>
          <w:rFonts w:eastAsia="Calibri" w:cs="David"/>
          <w:sz w:val="18"/>
          <w:rtl/>
        </w:rPr>
        <w:t xml:space="preserve"> מ-25</w:t>
      </w:r>
      <w:r w:rsidRPr="00772E76">
        <w:rPr>
          <w:rFonts w:eastAsia="Calibri" w:cs="David" w:hint="cs"/>
          <w:sz w:val="18"/>
          <w:rtl/>
        </w:rPr>
        <w:t>%</w:t>
      </w:r>
      <w:r w:rsidRPr="00772E76">
        <w:rPr>
          <w:rFonts w:eastAsia="Calibri" w:cs="David"/>
          <w:sz w:val="18"/>
          <w:rtl/>
        </w:rPr>
        <w:t xml:space="preserve"> בתחילת שנות ה-90 של המאה ה-20 עד ל-55</w:t>
      </w:r>
      <w:r w:rsidRPr="00772E76">
        <w:rPr>
          <w:rFonts w:eastAsia="Calibri" w:cs="David" w:hint="cs"/>
          <w:sz w:val="18"/>
          <w:rtl/>
        </w:rPr>
        <w:t>%</w:t>
      </w:r>
      <w:r w:rsidRPr="00772E76">
        <w:rPr>
          <w:rFonts w:eastAsia="Calibri" w:cs="David"/>
          <w:sz w:val="18"/>
          <w:rtl/>
        </w:rPr>
        <w:t xml:space="preserve"> בעשור השני של המאה ה-21</w:t>
      </w:r>
      <w:r w:rsidRPr="00772E76">
        <w:rPr>
          <w:rFonts w:eastAsia="Calibri" w:cs="David" w:hint="cs"/>
          <w:sz w:val="18"/>
          <w:rtl/>
        </w:rPr>
        <w:t xml:space="preserve"> (</w:t>
      </w:r>
      <w:r w:rsidRPr="00772E76">
        <w:rPr>
          <w:rFonts w:eastAsia="Calibri" w:cs="David"/>
          <w:sz w:val="18"/>
        </w:rPr>
        <w:t>McGinty et al., 2016; Wahl, 1992; Wahl et al., 2002</w:t>
      </w:r>
      <w:r w:rsidRPr="00772E76">
        <w:rPr>
          <w:rFonts w:eastAsia="Calibri" w:cs="David"/>
          <w:sz w:val="18"/>
          <w:rtl/>
        </w:rPr>
        <w:t xml:space="preserve">). </w:t>
      </w:r>
      <w:r w:rsidRPr="00772E76">
        <w:rPr>
          <w:rFonts w:eastAsia="Calibri" w:cs="David" w:hint="cs"/>
          <w:sz w:val="18"/>
          <w:rtl/>
        </w:rPr>
        <w:t>אף שבשנים אלה נחקקו ברחבי העולם חוקים לקידום של זכויותיהם ורווחתם של חולי נפש</w:t>
      </w:r>
      <w:r w:rsidRPr="00772E76">
        <w:rPr>
          <w:rFonts w:cs="David"/>
          <w:sz w:val="18"/>
          <w:rtl/>
        </w:rPr>
        <w:t xml:space="preserve"> </w:t>
      </w:r>
      <w:r w:rsidRPr="00772E76">
        <w:rPr>
          <w:rFonts w:cs="David" w:hint="cs"/>
          <w:sz w:val="18"/>
          <w:rtl/>
        </w:rPr>
        <w:t>(</w:t>
      </w:r>
      <w:r w:rsidRPr="00772E76">
        <w:rPr>
          <w:rFonts w:cs="David"/>
          <w:sz w:val="18"/>
          <w:rtl/>
        </w:rPr>
        <w:t>למשל</w:t>
      </w:r>
      <w:r w:rsidRPr="00772E76">
        <w:rPr>
          <w:rFonts w:cs="David" w:hint="cs"/>
          <w:sz w:val="18"/>
          <w:rtl/>
        </w:rPr>
        <w:t>,</w:t>
      </w:r>
      <w:r w:rsidRPr="00772E76">
        <w:rPr>
          <w:rFonts w:cs="David"/>
          <w:sz w:val="18"/>
          <w:rtl/>
        </w:rPr>
        <w:t xml:space="preserve"> </w:t>
      </w:r>
      <w:r w:rsidRPr="00772E76">
        <w:rPr>
          <w:rFonts w:cs="David" w:hint="cs"/>
          <w:sz w:val="18"/>
          <w:rtl/>
        </w:rPr>
        <w:t>בארצות הברית חקיקת ה-</w:t>
      </w:r>
      <w:r w:rsidRPr="00772E76">
        <w:rPr>
          <w:rFonts w:cs="David" w:hint="cs"/>
          <w:sz w:val="18"/>
        </w:rPr>
        <w:t>ADA</w:t>
      </w:r>
      <w:r w:rsidRPr="00772E76">
        <w:rPr>
          <w:rFonts w:cs="David" w:hint="cs"/>
          <w:sz w:val="18"/>
          <w:rtl/>
        </w:rPr>
        <w:t xml:space="preserve"> [</w:t>
      </w:r>
      <w:r w:rsidRPr="00772E76">
        <w:rPr>
          <w:rFonts w:cs="David"/>
          <w:sz w:val="18"/>
        </w:rPr>
        <w:t>Americans with Disabilities Act</w:t>
      </w:r>
      <w:r w:rsidRPr="00772E76">
        <w:rPr>
          <w:rFonts w:cs="David" w:hint="cs"/>
          <w:sz w:val="18"/>
          <w:rtl/>
        </w:rPr>
        <w:t>] בשנת 1990, ובישראל</w:t>
      </w:r>
      <w:r w:rsidRPr="00772E76">
        <w:rPr>
          <w:rFonts w:cs="David"/>
          <w:sz w:val="18"/>
          <w:rtl/>
        </w:rPr>
        <w:t xml:space="preserve"> חוק שוויון זכויות לאנשים עם מוגבלות</w:t>
      </w:r>
      <w:r w:rsidRPr="00772E76">
        <w:rPr>
          <w:rFonts w:cs="David" w:hint="cs"/>
          <w:sz w:val="18"/>
          <w:vertAlign w:val="superscript"/>
          <w:rtl/>
        </w:rPr>
        <w:t xml:space="preserve"> </w:t>
      </w:r>
      <w:r w:rsidRPr="00772E76">
        <w:rPr>
          <w:rFonts w:cs="David" w:hint="cs"/>
          <w:sz w:val="18"/>
          <w:rtl/>
        </w:rPr>
        <w:t xml:space="preserve">בשנת 1998; </w:t>
      </w:r>
      <w:r w:rsidRPr="00772E76">
        <w:rPr>
          <w:rFonts w:cs="David"/>
          <w:sz w:val="18"/>
          <w:rtl/>
        </w:rPr>
        <w:t>חוק שיקום נכי נפש בקהילה</w:t>
      </w:r>
      <w:r w:rsidRPr="00772E76">
        <w:rPr>
          <w:rFonts w:cs="David" w:hint="cs"/>
          <w:sz w:val="18"/>
          <w:rtl/>
        </w:rPr>
        <w:t xml:space="preserve"> בארצות הברית בשנת 1973, ובישראל בשנת 2000) לא היה בהם כדי </w:t>
      </w:r>
      <w:r w:rsidRPr="00772E76">
        <w:rPr>
          <w:rFonts w:cs="David"/>
          <w:sz w:val="18"/>
          <w:rtl/>
        </w:rPr>
        <w:t>לצמצם את הסטיגמה כלפי אוכלוסייה זו.</w:t>
      </w:r>
      <w:r w:rsidRPr="00772E76">
        <w:rPr>
          <w:rFonts w:cs="David" w:hint="cs"/>
          <w:sz w:val="18"/>
          <w:rtl/>
        </w:rPr>
        <w:t xml:space="preserve"> ייחודו של מאמר זה הוא בהצבעה על חלקה של העיתונות בהבניית על התפיסה הרווחת בקרב צרכני התקשורת בישראל בדבר המסוכנות של חולי נפש.</w:t>
      </w:r>
    </w:p>
    <w:p w14:paraId="6437B584" w14:textId="77777777" w:rsidR="00772E76" w:rsidRPr="00772E76" w:rsidRDefault="00772E76" w:rsidP="00772E76">
      <w:pPr>
        <w:spacing w:after="180" w:line="280" w:lineRule="exact"/>
        <w:jc w:val="both"/>
        <w:rPr>
          <w:rFonts w:eastAsia="Calibri"/>
          <w:sz w:val="18"/>
          <w:szCs w:val="20"/>
        </w:rPr>
      </w:pPr>
      <w:r w:rsidRPr="00772E76">
        <w:rPr>
          <w:rFonts w:hint="cs"/>
          <w:sz w:val="18"/>
          <w:szCs w:val="20"/>
          <w:rtl/>
        </w:rPr>
        <w:t>אמצעי התקשורת</w:t>
      </w:r>
      <w:r w:rsidRPr="00772E76">
        <w:rPr>
          <w:sz w:val="18"/>
          <w:szCs w:val="20"/>
          <w:rtl/>
        </w:rPr>
        <w:t xml:space="preserve"> אינ</w:t>
      </w:r>
      <w:r w:rsidRPr="00772E76">
        <w:rPr>
          <w:rFonts w:hint="cs"/>
          <w:sz w:val="18"/>
          <w:szCs w:val="20"/>
          <w:rtl/>
        </w:rPr>
        <w:t>ם</w:t>
      </w:r>
      <w:r w:rsidRPr="00772E76">
        <w:rPr>
          <w:sz w:val="18"/>
          <w:szCs w:val="20"/>
          <w:rtl/>
        </w:rPr>
        <w:t xml:space="preserve"> האחראי</w:t>
      </w:r>
      <w:r w:rsidRPr="00772E76">
        <w:rPr>
          <w:rFonts w:hint="cs"/>
          <w:sz w:val="18"/>
          <w:szCs w:val="20"/>
          <w:rtl/>
        </w:rPr>
        <w:t>ם</w:t>
      </w:r>
      <w:r w:rsidRPr="00772E76">
        <w:rPr>
          <w:sz w:val="18"/>
          <w:szCs w:val="20"/>
          <w:rtl/>
        </w:rPr>
        <w:t xml:space="preserve"> היחיד</w:t>
      </w:r>
      <w:r w:rsidRPr="00772E76">
        <w:rPr>
          <w:rFonts w:hint="cs"/>
          <w:sz w:val="18"/>
          <w:szCs w:val="20"/>
          <w:rtl/>
        </w:rPr>
        <w:t>ים</w:t>
      </w:r>
      <w:r w:rsidRPr="00772E76">
        <w:rPr>
          <w:sz w:val="18"/>
          <w:szCs w:val="20"/>
          <w:rtl/>
        </w:rPr>
        <w:t xml:space="preserve"> להפצת </w:t>
      </w:r>
      <w:r w:rsidRPr="00772E76">
        <w:rPr>
          <w:rFonts w:hint="cs"/>
          <w:sz w:val="18"/>
          <w:szCs w:val="20"/>
          <w:rtl/>
        </w:rPr>
        <w:t>ה</w:t>
      </w:r>
      <w:r w:rsidRPr="00772E76">
        <w:rPr>
          <w:sz w:val="18"/>
          <w:szCs w:val="20"/>
          <w:rtl/>
        </w:rPr>
        <w:t>תפיס</w:t>
      </w:r>
      <w:r w:rsidRPr="00772E76">
        <w:rPr>
          <w:rFonts w:hint="cs"/>
          <w:sz w:val="18"/>
          <w:szCs w:val="20"/>
          <w:rtl/>
        </w:rPr>
        <w:t xml:space="preserve">ה השגויה בדבר </w:t>
      </w:r>
      <w:r w:rsidRPr="00772E76">
        <w:rPr>
          <w:sz w:val="18"/>
          <w:szCs w:val="20"/>
          <w:rtl/>
        </w:rPr>
        <w:t>המסוכנ</w:t>
      </w:r>
      <w:r w:rsidRPr="00772E76">
        <w:rPr>
          <w:rFonts w:hint="cs"/>
          <w:sz w:val="18"/>
          <w:szCs w:val="20"/>
          <w:rtl/>
        </w:rPr>
        <w:t>וּ</w:t>
      </w:r>
      <w:r w:rsidRPr="00772E76">
        <w:rPr>
          <w:sz w:val="18"/>
          <w:szCs w:val="20"/>
          <w:rtl/>
        </w:rPr>
        <w:t>ת</w:t>
      </w:r>
      <w:r w:rsidRPr="00772E76">
        <w:rPr>
          <w:rFonts w:hint="cs"/>
          <w:sz w:val="18"/>
          <w:szCs w:val="20"/>
          <w:rtl/>
        </w:rPr>
        <w:t xml:space="preserve"> של </w:t>
      </w:r>
      <w:r w:rsidRPr="00772E76">
        <w:rPr>
          <w:sz w:val="18"/>
          <w:szCs w:val="20"/>
          <w:rtl/>
        </w:rPr>
        <w:t xml:space="preserve">אוכלוסיית </w:t>
      </w:r>
      <w:r w:rsidRPr="00772E76">
        <w:rPr>
          <w:rFonts w:hint="cs"/>
          <w:sz w:val="18"/>
          <w:szCs w:val="20"/>
          <w:rtl/>
        </w:rPr>
        <w:t>המאובחנים כ</w:t>
      </w:r>
      <w:r w:rsidRPr="00772E76">
        <w:rPr>
          <w:sz w:val="18"/>
          <w:szCs w:val="20"/>
          <w:rtl/>
        </w:rPr>
        <w:t>חול</w:t>
      </w:r>
      <w:r w:rsidRPr="00772E76">
        <w:rPr>
          <w:rFonts w:hint="cs"/>
          <w:sz w:val="18"/>
          <w:szCs w:val="20"/>
          <w:rtl/>
        </w:rPr>
        <w:t>י</w:t>
      </w:r>
      <w:r w:rsidRPr="00772E76">
        <w:rPr>
          <w:sz w:val="18"/>
          <w:szCs w:val="20"/>
          <w:rtl/>
        </w:rPr>
        <w:t xml:space="preserve"> </w:t>
      </w:r>
      <w:r w:rsidRPr="00772E76">
        <w:rPr>
          <w:rFonts w:hint="cs"/>
          <w:sz w:val="18"/>
          <w:szCs w:val="20"/>
          <w:rtl/>
        </w:rPr>
        <w:t>ה</w:t>
      </w:r>
      <w:r w:rsidRPr="00772E76">
        <w:rPr>
          <w:sz w:val="18"/>
          <w:szCs w:val="20"/>
          <w:rtl/>
        </w:rPr>
        <w:t>נפש</w:t>
      </w:r>
      <w:r w:rsidRPr="00772E76">
        <w:rPr>
          <w:rFonts w:hint="cs"/>
          <w:sz w:val="18"/>
          <w:szCs w:val="20"/>
          <w:rtl/>
        </w:rPr>
        <w:t>.</w:t>
      </w:r>
      <w:r w:rsidRPr="00772E76">
        <w:rPr>
          <w:sz w:val="18"/>
          <w:szCs w:val="20"/>
          <w:rtl/>
        </w:rPr>
        <w:t xml:space="preserve"> פרסומי</w:t>
      </w:r>
      <w:r w:rsidRPr="00772E76">
        <w:rPr>
          <w:rFonts w:hint="cs"/>
          <w:sz w:val="18"/>
          <w:szCs w:val="20"/>
          <w:rtl/>
        </w:rPr>
        <w:t>הם</w:t>
      </w:r>
      <w:r w:rsidRPr="00772E76">
        <w:rPr>
          <w:sz w:val="18"/>
          <w:szCs w:val="20"/>
          <w:rtl/>
        </w:rPr>
        <w:t xml:space="preserve"> מוכתבים לעיתים על ידי המשטרה, בתי המשפט ושירותי </w:t>
      </w:r>
      <w:proofErr w:type="spellStart"/>
      <w:r w:rsidRPr="00772E76">
        <w:rPr>
          <w:sz w:val="18"/>
          <w:szCs w:val="20"/>
          <w:rtl/>
        </w:rPr>
        <w:t>תקון</w:t>
      </w:r>
      <w:proofErr w:type="spellEnd"/>
      <w:r w:rsidRPr="00772E76">
        <w:rPr>
          <w:sz w:val="18"/>
          <w:szCs w:val="20"/>
          <w:rtl/>
        </w:rPr>
        <w:t xml:space="preserve">, אשר שואפים לקדם את האינטרסים שלהם </w:t>
      </w:r>
      <w:r w:rsidRPr="00772E76">
        <w:rPr>
          <w:rFonts w:hint="cs"/>
          <w:sz w:val="18"/>
          <w:szCs w:val="20"/>
          <w:rtl/>
        </w:rPr>
        <w:t xml:space="preserve">באמצעותם </w:t>
      </w:r>
      <w:r w:rsidRPr="00772E76">
        <w:rPr>
          <w:sz w:val="18"/>
          <w:szCs w:val="20"/>
          <w:rtl/>
        </w:rPr>
        <w:t>(</w:t>
      </w:r>
      <w:proofErr w:type="spellStart"/>
      <w:r w:rsidRPr="00772E76">
        <w:rPr>
          <w:sz w:val="18"/>
          <w:szCs w:val="20"/>
        </w:rPr>
        <w:t>Frailing</w:t>
      </w:r>
      <w:proofErr w:type="spellEnd"/>
      <w:r w:rsidRPr="00772E76">
        <w:rPr>
          <w:sz w:val="18"/>
          <w:szCs w:val="20"/>
        </w:rPr>
        <w:t xml:space="preserve"> &amp; </w:t>
      </w:r>
      <w:r w:rsidRPr="00772E76">
        <w:rPr>
          <w:sz w:val="18"/>
          <w:szCs w:val="20"/>
        </w:rPr>
        <w:lastRenderedPageBreak/>
        <w:t>Slate, 2018</w:t>
      </w:r>
      <w:r w:rsidRPr="00772E76">
        <w:rPr>
          <w:sz w:val="18"/>
          <w:szCs w:val="20"/>
          <w:rtl/>
        </w:rPr>
        <w:t>)</w:t>
      </w:r>
      <w:r w:rsidRPr="00772E76">
        <w:rPr>
          <w:rFonts w:hint="cs"/>
          <w:sz w:val="18"/>
          <w:szCs w:val="20"/>
          <w:rtl/>
        </w:rPr>
        <w:t xml:space="preserve">. כלומר העיתונות לא רק משפיעה על ההחלטות של קובעי מדיניות, כפי שטוענים </w:t>
      </w:r>
      <w:proofErr w:type="spellStart"/>
      <w:r w:rsidRPr="00772E76">
        <w:rPr>
          <w:rFonts w:hint="cs"/>
          <w:sz w:val="18"/>
          <w:szCs w:val="20"/>
          <w:rtl/>
        </w:rPr>
        <w:t>קאבאליון</w:t>
      </w:r>
      <w:proofErr w:type="spellEnd"/>
      <w:r w:rsidRPr="00772E76">
        <w:rPr>
          <w:rFonts w:hint="cs"/>
          <w:sz w:val="18"/>
          <w:szCs w:val="20"/>
          <w:rtl/>
        </w:rPr>
        <w:t xml:space="preserve"> ושהם (2016), אלא בד בבד מושפעת מהחלטותיהם.</w:t>
      </w:r>
    </w:p>
    <w:p w14:paraId="483B6783" w14:textId="2AD32595" w:rsidR="00772E76" w:rsidRPr="00772E76" w:rsidRDefault="00772E76" w:rsidP="009D2BFE">
      <w:pPr>
        <w:tabs>
          <w:tab w:val="left" w:pos="2624"/>
        </w:tabs>
        <w:suppressAutoHyphens/>
        <w:autoSpaceDE w:val="0"/>
        <w:autoSpaceDN w:val="0"/>
        <w:adjustRightInd w:val="0"/>
        <w:spacing w:after="180" w:line="280" w:lineRule="exact"/>
        <w:jc w:val="both"/>
        <w:rPr>
          <w:sz w:val="18"/>
          <w:szCs w:val="20"/>
          <w:rtl/>
        </w:rPr>
      </w:pPr>
      <w:r w:rsidRPr="00772E76">
        <w:rPr>
          <w:rFonts w:eastAsia="Calibri" w:hint="cs"/>
          <w:sz w:val="18"/>
          <w:szCs w:val="20"/>
          <w:rtl/>
        </w:rPr>
        <w:t>ההסבר לנטייה של התקשורת לאמץ את שיח המסוכנות של חולי נפש אינו פשוט. יש חוקרים ה</w:t>
      </w:r>
      <w:r w:rsidRPr="00772E76">
        <w:rPr>
          <w:rFonts w:eastAsia="Calibri"/>
          <w:sz w:val="18"/>
          <w:szCs w:val="20"/>
          <w:rtl/>
        </w:rPr>
        <w:t>מסבירים את נטיי</w:t>
      </w:r>
      <w:r w:rsidRPr="00772E76">
        <w:rPr>
          <w:rFonts w:eastAsia="Calibri" w:hint="cs"/>
          <w:sz w:val="18"/>
          <w:szCs w:val="20"/>
          <w:rtl/>
        </w:rPr>
        <w:t>ת</w:t>
      </w:r>
      <w:r w:rsidRPr="00772E76">
        <w:rPr>
          <w:rFonts w:eastAsia="Calibri"/>
          <w:sz w:val="18"/>
          <w:szCs w:val="20"/>
          <w:rtl/>
        </w:rPr>
        <w:t xml:space="preserve"> התקשורת לקשר בין מחלה נפשית למסוכנו</w:t>
      </w:r>
      <w:r w:rsidRPr="00772E76">
        <w:rPr>
          <w:rFonts w:eastAsia="Calibri" w:hint="cs"/>
          <w:sz w:val="18"/>
          <w:szCs w:val="20"/>
          <w:rtl/>
        </w:rPr>
        <w:t>ּ</w:t>
      </w:r>
      <w:r w:rsidRPr="00772E76">
        <w:rPr>
          <w:rFonts w:eastAsia="Calibri"/>
          <w:sz w:val="18"/>
          <w:szCs w:val="20"/>
          <w:rtl/>
        </w:rPr>
        <w:t xml:space="preserve">ת בכך שלאנשים יש צורך להבין אירועים </w:t>
      </w:r>
      <w:r w:rsidRPr="00772E76">
        <w:rPr>
          <w:rFonts w:eastAsia="Calibri" w:hint="cs"/>
          <w:sz w:val="18"/>
          <w:szCs w:val="20"/>
          <w:rtl/>
        </w:rPr>
        <w:t>ולתת להם</w:t>
      </w:r>
      <w:r w:rsidRPr="00772E76">
        <w:rPr>
          <w:rFonts w:eastAsia="Calibri"/>
          <w:sz w:val="18"/>
          <w:szCs w:val="20"/>
          <w:rtl/>
        </w:rPr>
        <w:t xml:space="preserve"> משמעות עבורם, במיוחד כאשר </w:t>
      </w:r>
      <w:r w:rsidRPr="00772E76">
        <w:rPr>
          <w:rFonts w:eastAsia="Calibri" w:hint="cs"/>
          <w:sz w:val="18"/>
          <w:szCs w:val="20"/>
          <w:rtl/>
        </w:rPr>
        <w:t>מדובר ב</w:t>
      </w:r>
      <w:r w:rsidRPr="00772E76">
        <w:rPr>
          <w:rFonts w:eastAsia="Calibri"/>
          <w:sz w:val="18"/>
          <w:szCs w:val="20"/>
          <w:rtl/>
        </w:rPr>
        <w:t xml:space="preserve">אירועים </w:t>
      </w:r>
      <w:r w:rsidRPr="00772E76">
        <w:rPr>
          <w:rFonts w:eastAsia="Calibri" w:hint="cs"/>
          <w:sz w:val="18"/>
          <w:szCs w:val="20"/>
          <w:rtl/>
        </w:rPr>
        <w:t>הק</w:t>
      </w:r>
      <w:r w:rsidRPr="00772E76">
        <w:rPr>
          <w:rFonts w:eastAsia="Calibri"/>
          <w:sz w:val="18"/>
          <w:szCs w:val="20"/>
          <w:rtl/>
        </w:rPr>
        <w:t xml:space="preserve">שורים לחיים ומוות, </w:t>
      </w:r>
      <w:r w:rsidRPr="00772E76">
        <w:rPr>
          <w:rFonts w:eastAsia="Calibri" w:hint="cs"/>
          <w:sz w:val="18"/>
          <w:szCs w:val="20"/>
          <w:rtl/>
        </w:rPr>
        <w:t>ו/או ב</w:t>
      </w:r>
      <w:r w:rsidRPr="00772E76">
        <w:rPr>
          <w:rFonts w:eastAsia="Calibri"/>
          <w:sz w:val="18"/>
          <w:szCs w:val="20"/>
          <w:rtl/>
        </w:rPr>
        <w:t>מקרים שבהם הנטייה תהיה להגדיר את מב</w:t>
      </w:r>
      <w:r w:rsidRPr="00772E76">
        <w:rPr>
          <w:rFonts w:eastAsia="Calibri" w:hint="cs"/>
          <w:sz w:val="18"/>
          <w:szCs w:val="20"/>
          <w:rtl/>
        </w:rPr>
        <w:t>ַ</w:t>
      </w:r>
      <w:r w:rsidRPr="00772E76">
        <w:rPr>
          <w:rFonts w:eastAsia="Calibri"/>
          <w:sz w:val="18"/>
          <w:szCs w:val="20"/>
          <w:rtl/>
        </w:rPr>
        <w:t xml:space="preserve">צע האירוע כפושע מתועב. </w:t>
      </w:r>
      <w:r w:rsidRPr="00772E76">
        <w:rPr>
          <w:rFonts w:eastAsia="Calibri" w:hint="cs"/>
          <w:sz w:val="18"/>
          <w:szCs w:val="20"/>
          <w:rtl/>
        </w:rPr>
        <w:t xml:space="preserve">עוד הם גורסים כי הניסיון של </w:t>
      </w:r>
      <w:r w:rsidRPr="00772E76">
        <w:rPr>
          <w:rFonts w:eastAsia="Calibri"/>
          <w:sz w:val="18"/>
          <w:szCs w:val="20"/>
          <w:rtl/>
        </w:rPr>
        <w:t xml:space="preserve">הפסיכואנליזה לקשר בין פשע למחלה נפשית </w:t>
      </w:r>
      <w:r w:rsidRPr="00772E76">
        <w:rPr>
          <w:rFonts w:eastAsia="Calibri" w:hint="cs"/>
          <w:sz w:val="18"/>
          <w:szCs w:val="20"/>
          <w:rtl/>
        </w:rPr>
        <w:t xml:space="preserve">מקורו </w:t>
      </w:r>
      <w:r w:rsidRPr="00772E76">
        <w:rPr>
          <w:rFonts w:eastAsia="Calibri"/>
          <w:sz w:val="18"/>
          <w:szCs w:val="20"/>
          <w:rtl/>
        </w:rPr>
        <w:t>בשאיפה להסביר את ההתנהגות האנושית כ</w:t>
      </w:r>
      <w:r w:rsidRPr="00772E76">
        <w:rPr>
          <w:rFonts w:eastAsia="Calibri" w:hint="cs"/>
          <w:sz w:val="18"/>
          <w:szCs w:val="20"/>
          <w:rtl/>
        </w:rPr>
        <w:t xml:space="preserve">תוצר של </w:t>
      </w:r>
      <w:r w:rsidRPr="00772E76">
        <w:rPr>
          <w:rFonts w:eastAsia="Calibri"/>
          <w:sz w:val="18"/>
          <w:szCs w:val="20"/>
          <w:rtl/>
        </w:rPr>
        <w:t>סבכים נפשיים שונים</w:t>
      </w:r>
      <w:r w:rsidRPr="00772E76">
        <w:rPr>
          <w:rFonts w:eastAsia="Calibri" w:hint="cs"/>
          <w:sz w:val="18"/>
          <w:szCs w:val="20"/>
          <w:rtl/>
        </w:rPr>
        <w:t>.</w:t>
      </w:r>
      <w:r w:rsidRPr="00772E76">
        <w:rPr>
          <w:rFonts w:eastAsia="Calibri"/>
          <w:sz w:val="18"/>
          <w:szCs w:val="20"/>
          <w:rtl/>
        </w:rPr>
        <w:t xml:space="preserve"> הסברים </w:t>
      </w:r>
      <w:r w:rsidRPr="00772E76">
        <w:rPr>
          <w:rFonts w:eastAsia="Calibri" w:hint="cs"/>
          <w:sz w:val="18"/>
          <w:szCs w:val="20"/>
          <w:rtl/>
        </w:rPr>
        <w:t xml:space="preserve">מסוג זה </w:t>
      </w:r>
      <w:r w:rsidRPr="00772E76">
        <w:rPr>
          <w:rFonts w:eastAsia="Calibri"/>
          <w:sz w:val="18"/>
          <w:szCs w:val="20"/>
          <w:rtl/>
        </w:rPr>
        <w:t xml:space="preserve">מצויים בכתביהם של זיגמונד פרויד, </w:t>
      </w:r>
      <w:proofErr w:type="spellStart"/>
      <w:r w:rsidRPr="00772E76">
        <w:rPr>
          <w:rFonts w:eastAsia="Calibri"/>
          <w:sz w:val="18"/>
          <w:szCs w:val="20"/>
          <w:rtl/>
        </w:rPr>
        <w:t>ב"פ</w:t>
      </w:r>
      <w:proofErr w:type="spellEnd"/>
      <w:r w:rsidRPr="00772E76">
        <w:rPr>
          <w:rFonts w:eastAsia="Calibri"/>
          <w:sz w:val="18"/>
          <w:szCs w:val="20"/>
          <w:rtl/>
        </w:rPr>
        <w:t xml:space="preserve"> </w:t>
      </w:r>
      <w:proofErr w:type="spellStart"/>
      <w:r w:rsidRPr="00772E76">
        <w:rPr>
          <w:rFonts w:eastAsia="Calibri"/>
          <w:sz w:val="18"/>
          <w:szCs w:val="20"/>
          <w:rtl/>
        </w:rPr>
        <w:t>סקינר</w:t>
      </w:r>
      <w:proofErr w:type="spellEnd"/>
      <w:r w:rsidRPr="00772E76">
        <w:rPr>
          <w:rFonts w:eastAsia="Calibri"/>
          <w:sz w:val="18"/>
          <w:szCs w:val="20"/>
          <w:rtl/>
        </w:rPr>
        <w:t xml:space="preserve"> וכן קרל </w:t>
      </w:r>
      <w:proofErr w:type="spellStart"/>
      <w:r w:rsidRPr="00772E76">
        <w:rPr>
          <w:rFonts w:eastAsia="Calibri"/>
          <w:sz w:val="18"/>
          <w:szCs w:val="20"/>
          <w:rtl/>
        </w:rPr>
        <w:t>רוג'רס</w:t>
      </w:r>
      <w:proofErr w:type="spellEnd"/>
      <w:r w:rsidRPr="00772E76">
        <w:rPr>
          <w:rFonts w:eastAsia="Calibri"/>
          <w:sz w:val="18"/>
          <w:szCs w:val="20"/>
          <w:rtl/>
        </w:rPr>
        <w:t xml:space="preserve"> </w:t>
      </w:r>
      <w:r w:rsidRPr="00772E76">
        <w:rPr>
          <w:sz w:val="18"/>
          <w:szCs w:val="20"/>
          <w:rtl/>
        </w:rPr>
        <w:t>(</w:t>
      </w:r>
      <w:proofErr w:type="spellStart"/>
      <w:r w:rsidRPr="00772E76">
        <w:rPr>
          <w:sz w:val="18"/>
          <w:szCs w:val="20"/>
        </w:rPr>
        <w:t>Frailing</w:t>
      </w:r>
      <w:proofErr w:type="spellEnd"/>
      <w:r w:rsidRPr="00772E76">
        <w:rPr>
          <w:sz w:val="18"/>
          <w:szCs w:val="20"/>
        </w:rPr>
        <w:t xml:space="preserve"> &amp; Slate, 2018</w:t>
      </w:r>
      <w:r w:rsidR="00C46742">
        <w:rPr>
          <w:rFonts w:hint="cs"/>
          <w:sz w:val="18"/>
          <w:szCs w:val="20"/>
          <w:rtl/>
        </w:rPr>
        <w:t>)</w:t>
      </w:r>
      <w:r w:rsidRPr="00772E76">
        <w:rPr>
          <w:rFonts w:hint="cs"/>
          <w:sz w:val="18"/>
          <w:szCs w:val="20"/>
          <w:rtl/>
        </w:rPr>
        <w:t>.</w:t>
      </w:r>
      <w:r w:rsidRPr="00772E76">
        <w:rPr>
          <w:sz w:val="18"/>
          <w:szCs w:val="20"/>
          <w:rtl/>
        </w:rPr>
        <w:t xml:space="preserve"> </w:t>
      </w:r>
    </w:p>
    <w:p w14:paraId="29FEEF46" w14:textId="0519513E" w:rsidR="00772E76" w:rsidRDefault="00772E76" w:rsidP="00772E76">
      <w:pPr>
        <w:tabs>
          <w:tab w:val="left" w:pos="2624"/>
        </w:tabs>
        <w:suppressAutoHyphens/>
        <w:autoSpaceDE w:val="0"/>
        <w:autoSpaceDN w:val="0"/>
        <w:adjustRightInd w:val="0"/>
        <w:spacing w:after="180" w:line="280" w:lineRule="exact"/>
        <w:jc w:val="both"/>
        <w:rPr>
          <w:sz w:val="18"/>
          <w:szCs w:val="20"/>
          <w:rtl/>
        </w:rPr>
      </w:pPr>
    </w:p>
    <w:p w14:paraId="374E733E" w14:textId="77777777" w:rsidR="00366738" w:rsidRPr="00772E76" w:rsidRDefault="00366738" w:rsidP="00772E76">
      <w:pPr>
        <w:tabs>
          <w:tab w:val="left" w:pos="2624"/>
        </w:tabs>
        <w:suppressAutoHyphens/>
        <w:autoSpaceDE w:val="0"/>
        <w:autoSpaceDN w:val="0"/>
        <w:adjustRightInd w:val="0"/>
        <w:spacing w:after="180" w:line="280" w:lineRule="exact"/>
        <w:jc w:val="both"/>
        <w:rPr>
          <w:sz w:val="18"/>
          <w:szCs w:val="20"/>
          <w:rtl/>
        </w:rPr>
      </w:pPr>
    </w:p>
    <w:p w14:paraId="342E0C60" w14:textId="47AE0C7B" w:rsidR="00772E76" w:rsidRPr="00F61766" w:rsidRDefault="00772E76" w:rsidP="00772E76">
      <w:pPr>
        <w:pStyle w:val="KOT4"/>
        <w:spacing w:after="0"/>
        <w:ind w:left="397" w:right="0" w:hanging="397"/>
        <w:rPr>
          <w:rFonts w:cs="Guttman Aharoni"/>
          <w:color w:val="00B0F0"/>
          <w:sz w:val="28"/>
          <w:szCs w:val="28"/>
          <w:rtl/>
        </w:rPr>
      </w:pPr>
      <w:r w:rsidRPr="00F61766">
        <w:rPr>
          <w:rFonts w:cs="Guttman Aharoni" w:hint="cs"/>
          <w:color w:val="00B0F0"/>
          <w:sz w:val="28"/>
          <w:szCs w:val="28"/>
          <w:rtl/>
        </w:rPr>
        <w:t>3.</w:t>
      </w:r>
      <w:r w:rsidRPr="00F61766">
        <w:rPr>
          <w:rFonts w:cs="Guttman Aharoni"/>
          <w:color w:val="00B0F0"/>
          <w:sz w:val="28"/>
          <w:szCs w:val="28"/>
          <w:rtl/>
        </w:rPr>
        <w:tab/>
      </w:r>
      <w:r w:rsidRPr="00F61766">
        <w:rPr>
          <w:rFonts w:cs="Guttman Aharoni" w:hint="cs"/>
          <w:color w:val="00B0F0"/>
          <w:sz w:val="28"/>
          <w:szCs w:val="28"/>
          <w:rtl/>
        </w:rPr>
        <w:t>ההשפעה של הפצת תפיסת המסוכנות כלפי המאובחנים במחלה נפשית</w:t>
      </w:r>
    </w:p>
    <w:p w14:paraId="659D7E56" w14:textId="28341CC5" w:rsidR="00772E76" w:rsidRPr="00772E76" w:rsidRDefault="00772E76" w:rsidP="00CA19EA">
      <w:pPr>
        <w:spacing w:after="180" w:line="280" w:lineRule="exact"/>
        <w:jc w:val="both"/>
        <w:rPr>
          <w:sz w:val="18"/>
          <w:szCs w:val="20"/>
          <w:rtl/>
        </w:rPr>
      </w:pPr>
      <w:r w:rsidRPr="00772E76">
        <w:rPr>
          <w:rFonts w:eastAsia="Calibri" w:hint="cs"/>
          <w:sz w:val="18"/>
          <w:szCs w:val="20"/>
          <w:rtl/>
        </w:rPr>
        <w:t>יהיו ההסברים והמניעים אשר יהיו, להתנהלות התקשורת ולהפצת השיח המעצים את הקשר בין מסוכנות לבין מחלה נפשית יש השלכות קשות על זכויותיהם של אנשים עם מחלות נפש. הפצת מסר באשר למסוכנות אוכלוסיית המאובחנים כחולי הנפש פוגעת ביכולתה להשתלב בקהילה בכלל ובשוק העבודה בפרט (</w:t>
      </w:r>
      <w:proofErr w:type="spellStart"/>
      <w:r w:rsidRPr="00772E76">
        <w:rPr>
          <w:rFonts w:eastAsia="Calibri"/>
          <w:sz w:val="18"/>
          <w:szCs w:val="20"/>
        </w:rPr>
        <w:t>Frailing</w:t>
      </w:r>
      <w:proofErr w:type="spellEnd"/>
      <w:r w:rsidRPr="00772E76">
        <w:rPr>
          <w:rFonts w:eastAsia="Calibri"/>
          <w:sz w:val="18"/>
          <w:szCs w:val="20"/>
        </w:rPr>
        <w:t xml:space="preserve"> &amp; Slate, 2018</w:t>
      </w:r>
      <w:r w:rsidR="00CA19EA">
        <w:rPr>
          <w:rFonts w:eastAsia="Calibri" w:hint="cs"/>
          <w:sz w:val="18"/>
          <w:szCs w:val="20"/>
          <w:rtl/>
        </w:rPr>
        <w:t>)</w:t>
      </w:r>
      <w:r w:rsidRPr="00772E76">
        <w:rPr>
          <w:rFonts w:eastAsia="Calibri" w:hint="cs"/>
          <w:sz w:val="18"/>
          <w:szCs w:val="20"/>
          <w:rtl/>
        </w:rPr>
        <w:t>. משכך,</w:t>
      </w:r>
      <w:r w:rsidRPr="00772E76">
        <w:rPr>
          <w:rFonts w:eastAsia="Calibri"/>
          <w:sz w:val="18"/>
          <w:szCs w:val="20"/>
          <w:rtl/>
        </w:rPr>
        <w:t xml:space="preserve"> </w:t>
      </w:r>
      <w:r w:rsidRPr="00772E76">
        <w:rPr>
          <w:rFonts w:eastAsia="Calibri" w:hint="cs"/>
          <w:sz w:val="18"/>
          <w:szCs w:val="20"/>
          <w:rtl/>
        </w:rPr>
        <w:t xml:space="preserve">אפשר לטעון כי מהלכים תקשורתיים שונים מציבים חסמים ניכרים בפני מימוש הוראותיה של </w:t>
      </w:r>
      <w:r w:rsidRPr="00772E76">
        <w:rPr>
          <w:sz w:val="18"/>
          <w:szCs w:val="20"/>
          <w:rtl/>
        </w:rPr>
        <w:t>האמנה בדבר זכויות של אנשים עם מוגבלויות,</w:t>
      </w:r>
      <w:r w:rsidRPr="00772E76">
        <w:rPr>
          <w:rFonts w:eastAsia="Calibri"/>
          <w:sz w:val="18"/>
          <w:szCs w:val="20"/>
          <w:rtl/>
        </w:rPr>
        <w:t xml:space="preserve"> </w:t>
      </w:r>
      <w:r w:rsidRPr="00772E76">
        <w:rPr>
          <w:sz w:val="18"/>
          <w:szCs w:val="20"/>
          <w:rtl/>
        </w:rPr>
        <w:t>שאומצה בעצרת הכללית של האומות המאוחדות ב-13 בדצמבר 2006 ו</w:t>
      </w:r>
      <w:r w:rsidRPr="00772E76">
        <w:rPr>
          <w:rFonts w:hint="cs"/>
          <w:sz w:val="18"/>
          <w:szCs w:val="20"/>
          <w:rtl/>
        </w:rPr>
        <w:t xml:space="preserve">אושררה על ידי </w:t>
      </w:r>
      <w:r w:rsidRPr="00772E76">
        <w:rPr>
          <w:sz w:val="18"/>
          <w:szCs w:val="20"/>
          <w:rtl/>
        </w:rPr>
        <w:t xml:space="preserve">מדינת ישראל בספטמבר 2012. האמנה מגדירה מוגבלות כנובעת מיחסי גומלין בין אנשים עם לקויות לבין </w:t>
      </w:r>
      <w:r w:rsidRPr="00772E76">
        <w:rPr>
          <w:rFonts w:hint="cs"/>
          <w:sz w:val="18"/>
          <w:szCs w:val="20"/>
          <w:rtl/>
        </w:rPr>
        <w:t>חסמים</w:t>
      </w:r>
      <w:r w:rsidRPr="00772E76">
        <w:rPr>
          <w:sz w:val="18"/>
          <w:szCs w:val="20"/>
          <w:rtl/>
        </w:rPr>
        <w:t xml:space="preserve"> של גישה ושל סביבה המעכבים את השתתפותם המלאה ובת-התועלת </w:t>
      </w:r>
      <w:r w:rsidRPr="00772E76">
        <w:rPr>
          <w:rFonts w:hint="cs"/>
          <w:sz w:val="18"/>
          <w:szCs w:val="20"/>
          <w:rtl/>
        </w:rPr>
        <w:t xml:space="preserve">של </w:t>
      </w:r>
      <w:r w:rsidRPr="00772E76">
        <w:rPr>
          <w:sz w:val="18"/>
          <w:szCs w:val="20"/>
          <w:rtl/>
        </w:rPr>
        <w:t>בחברה בשוויון עם אחרים. היא מצהירה שהפליה נגד כל אדם שהוא על בסיס מוגבלות פוגעת בכבודו ובערכו</w:t>
      </w:r>
      <w:r w:rsidRPr="00772E76">
        <w:rPr>
          <w:rFonts w:hint="cs"/>
          <w:sz w:val="18"/>
          <w:szCs w:val="20"/>
          <w:rtl/>
        </w:rPr>
        <w:t>,</w:t>
      </w:r>
      <w:r w:rsidRPr="00772E76">
        <w:rPr>
          <w:sz w:val="18"/>
          <w:szCs w:val="20"/>
          <w:rtl/>
        </w:rPr>
        <w:t xml:space="preserve"> ומדגישה את הצורך והחשיבות ביצירת שוויון הזדמנויות עבור אנשים עם מוגבלות ובקידום זכויות האדם שלהם</w:t>
      </w:r>
      <w:r w:rsidRPr="00772E76">
        <w:rPr>
          <w:rFonts w:hint="cs"/>
          <w:sz w:val="18"/>
          <w:szCs w:val="20"/>
          <w:rtl/>
        </w:rPr>
        <w:t>.</w:t>
      </w:r>
    </w:p>
    <w:p w14:paraId="6604A3AC" w14:textId="57A7E272" w:rsidR="00772E76" w:rsidRDefault="00772E76" w:rsidP="00772E76">
      <w:pPr>
        <w:spacing w:after="180" w:line="280" w:lineRule="exact"/>
        <w:jc w:val="both"/>
        <w:rPr>
          <w:sz w:val="18"/>
          <w:szCs w:val="20"/>
          <w:rtl/>
        </w:rPr>
      </w:pPr>
    </w:p>
    <w:p w14:paraId="5EA70FD8" w14:textId="77777777" w:rsidR="00366738" w:rsidRPr="00772E76" w:rsidRDefault="00366738" w:rsidP="00772E76">
      <w:pPr>
        <w:spacing w:after="180" w:line="280" w:lineRule="exact"/>
        <w:jc w:val="both"/>
        <w:rPr>
          <w:sz w:val="18"/>
          <w:szCs w:val="20"/>
          <w:rtl/>
        </w:rPr>
      </w:pPr>
    </w:p>
    <w:p w14:paraId="5B07F60B" w14:textId="7B21AFD5" w:rsidR="00772E76" w:rsidRPr="00F61766" w:rsidRDefault="00772E76" w:rsidP="00772E76">
      <w:pPr>
        <w:pStyle w:val="KOT4"/>
        <w:spacing w:after="0"/>
        <w:ind w:left="397" w:right="0" w:hanging="397"/>
        <w:rPr>
          <w:rFonts w:cs="Guttman Aharoni"/>
          <w:color w:val="00B0F0"/>
          <w:sz w:val="28"/>
          <w:szCs w:val="28"/>
          <w:rtl/>
        </w:rPr>
      </w:pPr>
      <w:r w:rsidRPr="00F61766">
        <w:rPr>
          <w:rFonts w:cs="Guttman Aharoni" w:hint="cs"/>
          <w:color w:val="00B0F0"/>
          <w:sz w:val="28"/>
          <w:szCs w:val="28"/>
          <w:rtl/>
        </w:rPr>
        <w:t>4.</w:t>
      </w:r>
      <w:r w:rsidRPr="00F61766">
        <w:rPr>
          <w:rFonts w:cs="Guttman Aharoni"/>
          <w:color w:val="00B0F0"/>
          <w:sz w:val="28"/>
          <w:szCs w:val="28"/>
          <w:rtl/>
        </w:rPr>
        <w:tab/>
      </w:r>
      <w:r w:rsidRPr="00F61766">
        <w:rPr>
          <w:rFonts w:cs="Guttman Aharoni" w:hint="cs"/>
          <w:color w:val="00B0F0"/>
          <w:sz w:val="28"/>
          <w:szCs w:val="28"/>
          <w:rtl/>
        </w:rPr>
        <w:t>סיכום</w:t>
      </w:r>
    </w:p>
    <w:p w14:paraId="5B76E7CD" w14:textId="77777777" w:rsidR="00772E76" w:rsidRPr="00772E76" w:rsidRDefault="00772E76" w:rsidP="00772E76">
      <w:pPr>
        <w:spacing w:after="180" w:line="280" w:lineRule="exact"/>
        <w:jc w:val="both"/>
        <w:rPr>
          <w:sz w:val="18"/>
          <w:szCs w:val="20"/>
          <w:rtl/>
        </w:rPr>
      </w:pPr>
      <w:r w:rsidRPr="00772E76">
        <w:rPr>
          <w:rFonts w:hint="cs"/>
          <w:sz w:val="18"/>
          <w:szCs w:val="20"/>
          <w:rtl/>
        </w:rPr>
        <w:t xml:space="preserve">המשך שליטתה של הדעה כי אנשים עם מחלת נפש הם מסוכנים במהותם </w:t>
      </w:r>
      <w:r w:rsidRPr="00772E76">
        <w:rPr>
          <w:sz w:val="18"/>
          <w:szCs w:val="20"/>
          <w:rtl/>
        </w:rPr>
        <w:t>מדגישה כי חרף קיומן של אמנות, הצהרות והתחייבויות</w:t>
      </w:r>
      <w:r w:rsidRPr="00772E76">
        <w:rPr>
          <w:rFonts w:hint="cs"/>
          <w:sz w:val="18"/>
          <w:szCs w:val="20"/>
          <w:rtl/>
        </w:rPr>
        <w:t>,</w:t>
      </w:r>
      <w:r w:rsidRPr="00772E76">
        <w:rPr>
          <w:sz w:val="18"/>
          <w:szCs w:val="20"/>
          <w:rtl/>
        </w:rPr>
        <w:t xml:space="preserve"> בכל העולם אנשים עם מוגבלות ממשיכי</w:t>
      </w:r>
      <w:r w:rsidRPr="00772E76">
        <w:rPr>
          <w:rFonts w:hint="cs"/>
          <w:sz w:val="18"/>
          <w:szCs w:val="20"/>
          <w:rtl/>
        </w:rPr>
        <w:t xml:space="preserve">ם </w:t>
      </w:r>
      <w:r w:rsidRPr="00772E76">
        <w:rPr>
          <w:sz w:val="18"/>
          <w:szCs w:val="20"/>
          <w:rtl/>
        </w:rPr>
        <w:t>להיתקל במחסומים בפני השתתפותם בחברה כשווים ובהפרות של זכויות האדם שלהם</w:t>
      </w:r>
      <w:r w:rsidRPr="00772E76">
        <w:rPr>
          <w:rFonts w:hint="cs"/>
          <w:sz w:val="18"/>
          <w:szCs w:val="20"/>
          <w:rtl/>
        </w:rPr>
        <w:t>,</w:t>
      </w:r>
      <w:r w:rsidRPr="00772E76">
        <w:rPr>
          <w:sz w:val="18"/>
          <w:szCs w:val="20"/>
          <w:rtl/>
        </w:rPr>
        <w:t xml:space="preserve"> ונחשפים לצורות הפליה מרובות או חמורות. זאת חרף התרומות הקיימות והאפשריות של אנשים עם </w:t>
      </w:r>
      <w:r w:rsidRPr="00772E76">
        <w:rPr>
          <w:sz w:val="18"/>
          <w:szCs w:val="20"/>
          <w:rtl/>
        </w:rPr>
        <w:lastRenderedPageBreak/>
        <w:t>מוגבלות לרווחת הכלל ולגיוון בקהילותיהם</w:t>
      </w:r>
      <w:r w:rsidRPr="00772E76">
        <w:rPr>
          <w:rFonts w:hint="cs"/>
          <w:sz w:val="18"/>
          <w:szCs w:val="20"/>
          <w:rtl/>
        </w:rPr>
        <w:t>,</w:t>
      </w:r>
      <w:r w:rsidRPr="00772E76">
        <w:rPr>
          <w:sz w:val="18"/>
          <w:szCs w:val="20"/>
          <w:rtl/>
        </w:rPr>
        <w:t xml:space="preserve"> והעובדה שקידום ההנאה המלאה של</w:t>
      </w:r>
      <w:r w:rsidRPr="00772E76">
        <w:rPr>
          <w:rFonts w:hint="cs"/>
          <w:sz w:val="18"/>
          <w:szCs w:val="20"/>
          <w:rtl/>
        </w:rPr>
        <w:t xml:space="preserve">הם </w:t>
      </w:r>
      <w:r w:rsidRPr="00772E76">
        <w:rPr>
          <w:sz w:val="18"/>
          <w:szCs w:val="20"/>
          <w:rtl/>
        </w:rPr>
        <w:t xml:space="preserve">מזכויות האדם ומחירויות יסוד והשתתפותם המלאה יטפחו בהם תחושת שייכות ויקדמו מאוד את התפתחות החברה מבחינה אנושית, חברתית וכלכלית. </w:t>
      </w:r>
    </w:p>
    <w:p w14:paraId="7BA77B36" w14:textId="4AB8192C" w:rsidR="00772E76" w:rsidRPr="00772E76" w:rsidRDefault="00772E76" w:rsidP="009D2BFE">
      <w:pPr>
        <w:spacing w:after="180" w:line="280" w:lineRule="exact"/>
        <w:jc w:val="both"/>
        <w:rPr>
          <w:sz w:val="18"/>
          <w:szCs w:val="20"/>
          <w:rtl/>
        </w:rPr>
      </w:pPr>
      <w:r w:rsidRPr="00772E76">
        <w:rPr>
          <w:rFonts w:hint="cs"/>
          <w:sz w:val="18"/>
          <w:szCs w:val="20"/>
          <w:rtl/>
        </w:rPr>
        <w:t>ככל שמדינת ישראל</w:t>
      </w:r>
      <w:r w:rsidRPr="00772E76">
        <w:rPr>
          <w:sz w:val="18"/>
          <w:szCs w:val="20"/>
          <w:rtl/>
        </w:rPr>
        <w:t xml:space="preserve"> </w:t>
      </w:r>
      <w:r w:rsidRPr="00772E76">
        <w:rPr>
          <w:rFonts w:hint="cs"/>
          <w:sz w:val="18"/>
          <w:szCs w:val="20"/>
          <w:rtl/>
        </w:rPr>
        <w:t>מחויבת</w:t>
      </w:r>
      <w:r w:rsidRPr="00772E76">
        <w:rPr>
          <w:sz w:val="18"/>
          <w:szCs w:val="20"/>
          <w:rtl/>
        </w:rPr>
        <w:t xml:space="preserve"> </w:t>
      </w:r>
      <w:r w:rsidRPr="00772E76">
        <w:rPr>
          <w:rFonts w:hint="cs"/>
          <w:sz w:val="18"/>
          <w:szCs w:val="20"/>
          <w:rtl/>
        </w:rPr>
        <w:t>לקיים</w:t>
      </w:r>
      <w:r w:rsidRPr="00772E76">
        <w:rPr>
          <w:sz w:val="18"/>
          <w:szCs w:val="20"/>
          <w:rtl/>
        </w:rPr>
        <w:t xml:space="preserve"> </w:t>
      </w:r>
      <w:r w:rsidRPr="00772E76">
        <w:rPr>
          <w:rFonts w:hint="cs"/>
          <w:sz w:val="18"/>
          <w:szCs w:val="20"/>
          <w:rtl/>
        </w:rPr>
        <w:t>את</w:t>
      </w:r>
      <w:r w:rsidRPr="00772E76">
        <w:rPr>
          <w:sz w:val="18"/>
          <w:szCs w:val="20"/>
          <w:rtl/>
        </w:rPr>
        <w:t xml:space="preserve"> </w:t>
      </w:r>
      <w:r w:rsidRPr="00772E76">
        <w:rPr>
          <w:rFonts w:hint="cs"/>
          <w:sz w:val="18"/>
          <w:szCs w:val="20"/>
          <w:rtl/>
        </w:rPr>
        <w:t>הוראות</w:t>
      </w:r>
      <w:r w:rsidRPr="00772E76">
        <w:rPr>
          <w:sz w:val="18"/>
          <w:szCs w:val="20"/>
          <w:rtl/>
        </w:rPr>
        <w:t xml:space="preserve"> </w:t>
      </w:r>
      <w:r w:rsidRPr="00772E76">
        <w:rPr>
          <w:rFonts w:hint="cs"/>
          <w:sz w:val="18"/>
          <w:szCs w:val="20"/>
          <w:rtl/>
        </w:rPr>
        <w:t>האמנה</w:t>
      </w:r>
      <w:r w:rsidRPr="00772E76">
        <w:rPr>
          <w:sz w:val="18"/>
          <w:szCs w:val="20"/>
          <w:rtl/>
        </w:rPr>
        <w:t xml:space="preserve"> </w:t>
      </w:r>
      <w:r w:rsidRPr="00772E76">
        <w:rPr>
          <w:rFonts w:hint="cs"/>
          <w:sz w:val="18"/>
          <w:szCs w:val="20"/>
          <w:rtl/>
        </w:rPr>
        <w:t>הבין</w:t>
      </w:r>
      <w:r w:rsidRPr="00772E76">
        <w:rPr>
          <w:sz w:val="18"/>
          <w:szCs w:val="20"/>
          <w:rtl/>
        </w:rPr>
        <w:t>-</w:t>
      </w:r>
      <w:r w:rsidRPr="00772E76">
        <w:rPr>
          <w:rFonts w:hint="cs"/>
          <w:sz w:val="18"/>
          <w:szCs w:val="20"/>
          <w:rtl/>
        </w:rPr>
        <w:t>לאומית</w:t>
      </w:r>
      <w:r w:rsidRPr="00772E76">
        <w:rPr>
          <w:sz w:val="18"/>
          <w:szCs w:val="20"/>
          <w:rtl/>
        </w:rPr>
        <w:t xml:space="preserve"> </w:t>
      </w:r>
      <w:r w:rsidRPr="00772E76">
        <w:rPr>
          <w:rFonts w:hint="cs"/>
          <w:sz w:val="18"/>
          <w:szCs w:val="20"/>
          <w:rtl/>
        </w:rPr>
        <w:t>לזכויות</w:t>
      </w:r>
      <w:r w:rsidRPr="00772E76">
        <w:rPr>
          <w:sz w:val="18"/>
          <w:szCs w:val="20"/>
          <w:rtl/>
        </w:rPr>
        <w:t xml:space="preserve"> </w:t>
      </w:r>
      <w:r w:rsidRPr="00772E76">
        <w:rPr>
          <w:rFonts w:hint="cs"/>
          <w:sz w:val="18"/>
          <w:szCs w:val="20"/>
          <w:rtl/>
        </w:rPr>
        <w:t>אנשים</w:t>
      </w:r>
      <w:r w:rsidRPr="00772E76">
        <w:rPr>
          <w:sz w:val="18"/>
          <w:szCs w:val="20"/>
          <w:rtl/>
        </w:rPr>
        <w:t xml:space="preserve"> </w:t>
      </w:r>
      <w:r w:rsidRPr="00772E76">
        <w:rPr>
          <w:rFonts w:hint="cs"/>
          <w:sz w:val="18"/>
          <w:szCs w:val="20"/>
          <w:rtl/>
        </w:rPr>
        <w:t>עם</w:t>
      </w:r>
      <w:r w:rsidRPr="00772E76">
        <w:rPr>
          <w:sz w:val="18"/>
          <w:szCs w:val="20"/>
          <w:rtl/>
        </w:rPr>
        <w:t xml:space="preserve"> </w:t>
      </w:r>
      <w:r w:rsidRPr="00772E76">
        <w:rPr>
          <w:rFonts w:hint="cs"/>
          <w:sz w:val="18"/>
          <w:szCs w:val="20"/>
          <w:rtl/>
        </w:rPr>
        <w:t xml:space="preserve">מוגבלות, הגיעה העת כי בשיח הציבורי והתקשורתי בישראל יתחולל שינוי מהותי בכל הנוגע לסוגיית מסוכנותם של אנשים עם מחלות נפש. יש לזכור כי האמנה </w:t>
      </w:r>
      <w:r w:rsidRPr="00772E76">
        <w:rPr>
          <w:sz w:val="18"/>
          <w:szCs w:val="20"/>
          <w:rtl/>
        </w:rPr>
        <w:t>מ</w:t>
      </w:r>
      <w:r w:rsidRPr="00772E76">
        <w:rPr>
          <w:rFonts w:hint="cs"/>
          <w:sz w:val="18"/>
          <w:szCs w:val="20"/>
          <w:rtl/>
        </w:rPr>
        <w:t>דגיש</w:t>
      </w:r>
      <w:r w:rsidRPr="00772E76">
        <w:rPr>
          <w:sz w:val="18"/>
          <w:szCs w:val="20"/>
          <w:rtl/>
        </w:rPr>
        <w:t xml:space="preserve">ה </w:t>
      </w:r>
      <w:r w:rsidR="00C46742">
        <w:rPr>
          <w:rFonts w:hint="cs"/>
          <w:sz w:val="18"/>
          <w:szCs w:val="20"/>
          <w:rtl/>
        </w:rPr>
        <w:t>כי</w:t>
      </w:r>
      <w:r w:rsidRPr="00772E76">
        <w:rPr>
          <w:sz w:val="18"/>
          <w:szCs w:val="20"/>
          <w:rtl/>
        </w:rPr>
        <w:t xml:space="preserve"> תנאי שלום וביטחון חיוניים להגנה מלאה עליהם</w:t>
      </w:r>
      <w:r w:rsidRPr="00772E76">
        <w:rPr>
          <w:rFonts w:hint="cs"/>
          <w:sz w:val="18"/>
          <w:szCs w:val="20"/>
          <w:rtl/>
        </w:rPr>
        <w:t>,</w:t>
      </w:r>
      <w:r w:rsidRPr="00772E76">
        <w:rPr>
          <w:sz w:val="18"/>
          <w:szCs w:val="20"/>
          <w:rtl/>
        </w:rPr>
        <w:t xml:space="preserve"> </w:t>
      </w:r>
      <w:r w:rsidRPr="00772E76">
        <w:rPr>
          <w:rFonts w:hint="cs"/>
          <w:sz w:val="18"/>
          <w:szCs w:val="20"/>
          <w:rtl/>
        </w:rPr>
        <w:t xml:space="preserve">וכי </w:t>
      </w:r>
      <w:r w:rsidRPr="00772E76">
        <w:rPr>
          <w:sz w:val="18"/>
          <w:szCs w:val="20"/>
          <w:rtl/>
        </w:rPr>
        <w:t>כדי לאפשר לאנשים עם מוגבלות ליהנות מכל זכויות האדם ומחירויות היסוד</w:t>
      </w:r>
      <w:r w:rsidRPr="00772E76">
        <w:rPr>
          <w:rFonts w:hint="cs"/>
          <w:sz w:val="18"/>
          <w:szCs w:val="20"/>
          <w:rtl/>
        </w:rPr>
        <w:t xml:space="preserve"> יש חשיבות רבה לנגישות שלהם </w:t>
      </w:r>
      <w:r w:rsidRPr="00772E76">
        <w:rPr>
          <w:sz w:val="18"/>
          <w:szCs w:val="20"/>
          <w:rtl/>
        </w:rPr>
        <w:t>לסביבה הפיזית, החברתית, הכלכלית והתרבותית</w:t>
      </w:r>
      <w:r w:rsidRPr="00772E76">
        <w:rPr>
          <w:rFonts w:hint="cs"/>
          <w:sz w:val="18"/>
          <w:szCs w:val="20"/>
          <w:rtl/>
        </w:rPr>
        <w:t>,</w:t>
      </w:r>
      <w:r w:rsidRPr="00772E76">
        <w:rPr>
          <w:sz w:val="18"/>
          <w:szCs w:val="20"/>
          <w:rtl/>
        </w:rPr>
        <w:t xml:space="preserve"> לבריאות, לחינוך, למידע ולתקשורת. ה</w:t>
      </w:r>
      <w:r w:rsidRPr="00772E76">
        <w:rPr>
          <w:rFonts w:hint="cs"/>
          <w:sz w:val="18"/>
          <w:szCs w:val="20"/>
          <w:rtl/>
        </w:rPr>
        <w:t xml:space="preserve">אמנה </w:t>
      </w:r>
      <w:r w:rsidRPr="00772E76">
        <w:rPr>
          <w:sz w:val="18"/>
          <w:szCs w:val="20"/>
          <w:rtl/>
        </w:rPr>
        <w:t>מדגישה שהמדינות שהן צדדים לאמנה צריכות להיות משוכנעות שאמנה בי</w:t>
      </w:r>
      <w:r w:rsidRPr="00772E76">
        <w:rPr>
          <w:rFonts w:hint="cs"/>
          <w:sz w:val="18"/>
          <w:szCs w:val="20"/>
          <w:rtl/>
        </w:rPr>
        <w:t>ן-</w:t>
      </w:r>
      <w:r w:rsidRPr="00772E76">
        <w:rPr>
          <w:sz w:val="18"/>
          <w:szCs w:val="20"/>
          <w:rtl/>
        </w:rPr>
        <w:t>לאומית תתרום תרומה חשובה לתיקון הקיפוח החברתי העמוק של אנשים עם מוגבלות ולקידום השתתפותם בתחום האזרחי, הפוליטי, הכלכלי, החברתי והתרבותי, תוך מתן הזדמנויות שוות. בהקשר של מ</w:t>
      </w:r>
      <w:r w:rsidRPr="00772E76">
        <w:rPr>
          <w:rFonts w:hint="cs"/>
          <w:sz w:val="18"/>
          <w:szCs w:val="20"/>
          <w:rtl/>
        </w:rPr>
        <w:t>אמר דעה</w:t>
      </w:r>
      <w:r w:rsidRPr="00772E76">
        <w:rPr>
          <w:sz w:val="18"/>
          <w:szCs w:val="20"/>
          <w:rtl/>
        </w:rPr>
        <w:t xml:space="preserve"> זה,</w:t>
      </w:r>
      <w:r w:rsidRPr="00772E76">
        <w:rPr>
          <w:rFonts w:hint="cs"/>
          <w:sz w:val="18"/>
          <w:szCs w:val="20"/>
          <w:rtl/>
        </w:rPr>
        <w:t xml:space="preserve"> הטענה היא</w:t>
      </w:r>
      <w:r w:rsidRPr="00772E76">
        <w:rPr>
          <w:sz w:val="18"/>
          <w:szCs w:val="20"/>
          <w:rtl/>
        </w:rPr>
        <w:t xml:space="preserve"> </w:t>
      </w:r>
      <w:r w:rsidRPr="00772E76">
        <w:rPr>
          <w:rFonts w:hint="cs"/>
          <w:sz w:val="18"/>
          <w:szCs w:val="20"/>
          <w:rtl/>
        </w:rPr>
        <w:t>ש</w:t>
      </w:r>
      <w:r w:rsidRPr="00772E76">
        <w:rPr>
          <w:sz w:val="18"/>
          <w:szCs w:val="20"/>
          <w:rtl/>
        </w:rPr>
        <w:t xml:space="preserve">תפיסת </w:t>
      </w:r>
      <w:r w:rsidRPr="00772E76">
        <w:rPr>
          <w:rFonts w:hint="cs"/>
          <w:sz w:val="18"/>
          <w:szCs w:val="20"/>
          <w:rtl/>
        </w:rPr>
        <w:t>ה</w:t>
      </w:r>
      <w:r w:rsidRPr="00772E76">
        <w:rPr>
          <w:sz w:val="18"/>
          <w:szCs w:val="20"/>
          <w:rtl/>
        </w:rPr>
        <w:t xml:space="preserve">מסוכנות של </w:t>
      </w:r>
      <w:r w:rsidRPr="00772E76">
        <w:rPr>
          <w:rFonts w:hint="cs"/>
          <w:sz w:val="18"/>
          <w:szCs w:val="20"/>
          <w:rtl/>
        </w:rPr>
        <w:t>המאובחנים כ</w:t>
      </w:r>
      <w:r w:rsidRPr="00772E76">
        <w:rPr>
          <w:sz w:val="18"/>
          <w:szCs w:val="20"/>
          <w:rtl/>
        </w:rPr>
        <w:t>חולי נפש</w:t>
      </w:r>
      <w:r w:rsidRPr="00772E76">
        <w:rPr>
          <w:rFonts w:hint="cs"/>
          <w:sz w:val="18"/>
          <w:szCs w:val="20"/>
          <w:rtl/>
        </w:rPr>
        <w:t>, כפי שזו מעוצבת לעיתים תכופות על ידי התקשורת,</w:t>
      </w:r>
      <w:r w:rsidRPr="00772E76">
        <w:rPr>
          <w:sz w:val="18"/>
          <w:szCs w:val="20"/>
          <w:rtl/>
        </w:rPr>
        <w:t xml:space="preserve"> מגבירה את ה</w:t>
      </w:r>
      <w:r w:rsidRPr="00772E76">
        <w:rPr>
          <w:rFonts w:hint="cs"/>
          <w:sz w:val="18"/>
          <w:szCs w:val="20"/>
          <w:rtl/>
        </w:rPr>
        <w:t>ה</w:t>
      </w:r>
      <w:r w:rsidRPr="00772E76">
        <w:rPr>
          <w:sz w:val="18"/>
          <w:szCs w:val="20"/>
          <w:rtl/>
        </w:rPr>
        <w:t>פליה והקיפוח של אוכלוסייה זו ומונעת ממנה השתתפות מלאה בכל תחומי החיים</w:t>
      </w:r>
      <w:r w:rsidRPr="00772E76">
        <w:rPr>
          <w:rFonts w:hint="cs"/>
          <w:sz w:val="18"/>
          <w:szCs w:val="20"/>
          <w:rtl/>
        </w:rPr>
        <w:t>.</w:t>
      </w:r>
    </w:p>
    <w:p w14:paraId="632EBB5B" w14:textId="4A17C8E7" w:rsidR="00772E76" w:rsidRDefault="00772E76" w:rsidP="00772E76">
      <w:pPr>
        <w:spacing w:after="180" w:line="280" w:lineRule="exact"/>
        <w:jc w:val="both"/>
        <w:rPr>
          <w:sz w:val="18"/>
          <w:szCs w:val="20"/>
          <w:rtl/>
        </w:rPr>
      </w:pPr>
    </w:p>
    <w:p w14:paraId="0D83344A" w14:textId="77777777" w:rsidR="00366738" w:rsidRPr="00772E76" w:rsidRDefault="00366738" w:rsidP="00772E76">
      <w:pPr>
        <w:spacing w:after="180" w:line="280" w:lineRule="exact"/>
        <w:jc w:val="both"/>
        <w:rPr>
          <w:sz w:val="18"/>
          <w:szCs w:val="20"/>
          <w:rtl/>
        </w:rPr>
      </w:pPr>
    </w:p>
    <w:p w14:paraId="12D66BE7" w14:textId="566386D3" w:rsidR="00772E76" w:rsidRPr="00F61766" w:rsidRDefault="00772E76" w:rsidP="00772E76">
      <w:pPr>
        <w:pStyle w:val="KOT4"/>
        <w:spacing w:after="0"/>
        <w:ind w:left="397" w:right="0" w:hanging="397"/>
        <w:rPr>
          <w:rFonts w:cs="Guttman Aharoni"/>
          <w:color w:val="00B0F0"/>
          <w:sz w:val="28"/>
          <w:szCs w:val="28"/>
          <w:rtl/>
        </w:rPr>
      </w:pPr>
      <w:r w:rsidRPr="00F61766">
        <w:rPr>
          <w:rFonts w:cs="Guttman Aharoni" w:hint="cs"/>
          <w:color w:val="00B0F0"/>
          <w:sz w:val="28"/>
          <w:szCs w:val="28"/>
          <w:rtl/>
        </w:rPr>
        <w:t>מקורות</w:t>
      </w:r>
    </w:p>
    <w:p w14:paraId="46F6283A" w14:textId="77777777" w:rsidR="00772E76" w:rsidRPr="00772E76" w:rsidRDefault="00772E76" w:rsidP="002C43B9">
      <w:pPr>
        <w:suppressAutoHyphens/>
        <w:spacing w:after="120"/>
        <w:ind w:left="397" w:hanging="397"/>
        <w:jc w:val="both"/>
        <w:rPr>
          <w:rFonts w:eastAsia="Calibri"/>
          <w:sz w:val="18"/>
          <w:szCs w:val="20"/>
        </w:rPr>
      </w:pPr>
      <w:proofErr w:type="spellStart"/>
      <w:r w:rsidRPr="00772E76">
        <w:rPr>
          <w:rFonts w:eastAsia="Calibri"/>
          <w:sz w:val="18"/>
          <w:szCs w:val="20"/>
          <w:rtl/>
        </w:rPr>
        <w:t>גוד</w:t>
      </w:r>
      <w:proofErr w:type="spellEnd"/>
      <w:r w:rsidRPr="00772E76">
        <w:rPr>
          <w:rFonts w:eastAsia="Calibri"/>
          <w:sz w:val="18"/>
          <w:szCs w:val="20"/>
          <w:rtl/>
        </w:rPr>
        <w:t xml:space="preserve">, א' (2002). </w:t>
      </w:r>
      <w:r w:rsidRPr="00772E76">
        <w:rPr>
          <w:rFonts w:eastAsia="Calibri"/>
          <w:b/>
          <w:bCs/>
          <w:sz w:val="18"/>
          <w:szCs w:val="20"/>
          <w:rtl/>
        </w:rPr>
        <w:t>על הסטייה</w:t>
      </w:r>
      <w:r w:rsidRPr="00772E76">
        <w:rPr>
          <w:rFonts w:eastAsia="Calibri"/>
          <w:sz w:val="18"/>
          <w:szCs w:val="20"/>
          <w:rtl/>
        </w:rPr>
        <w:t>. תל</w:t>
      </w:r>
      <w:r w:rsidRPr="00772E76">
        <w:rPr>
          <w:rFonts w:eastAsia="Calibri" w:hint="cs"/>
          <w:sz w:val="18"/>
          <w:szCs w:val="20"/>
          <w:rtl/>
        </w:rPr>
        <w:t xml:space="preserve"> </w:t>
      </w:r>
      <w:r w:rsidRPr="00772E76">
        <w:rPr>
          <w:rFonts w:eastAsia="Calibri"/>
          <w:sz w:val="18"/>
          <w:szCs w:val="20"/>
          <w:rtl/>
        </w:rPr>
        <w:t>אביב: האוניברסיטה הפתוחה.</w:t>
      </w:r>
    </w:p>
    <w:p w14:paraId="6C721275" w14:textId="77777777" w:rsidR="00772E76" w:rsidRPr="00772E76" w:rsidRDefault="00772E76" w:rsidP="002C43B9">
      <w:pPr>
        <w:spacing w:after="120"/>
        <w:ind w:left="397" w:hanging="397"/>
        <w:jc w:val="both"/>
        <w:rPr>
          <w:rFonts w:eastAsia="Calibri"/>
          <w:sz w:val="18"/>
          <w:szCs w:val="20"/>
          <w:rtl/>
        </w:rPr>
      </w:pPr>
      <w:r w:rsidRPr="00772E76">
        <w:rPr>
          <w:rFonts w:eastAsia="Calibri" w:hint="cs"/>
          <w:sz w:val="18"/>
          <w:szCs w:val="20"/>
          <w:rtl/>
        </w:rPr>
        <w:t xml:space="preserve">חמו, מ', </w:t>
      </w:r>
      <w:proofErr w:type="spellStart"/>
      <w:r w:rsidRPr="00772E76">
        <w:rPr>
          <w:rFonts w:eastAsia="Calibri" w:hint="cs"/>
          <w:sz w:val="18"/>
          <w:szCs w:val="20"/>
          <w:rtl/>
        </w:rPr>
        <w:t>קמפף</w:t>
      </w:r>
      <w:proofErr w:type="spellEnd"/>
      <w:r w:rsidRPr="00772E76">
        <w:rPr>
          <w:rFonts w:eastAsia="Calibri" w:hint="cs"/>
          <w:sz w:val="18"/>
          <w:szCs w:val="20"/>
          <w:rtl/>
        </w:rPr>
        <w:t xml:space="preserve">, ז' ובלום </w:t>
      </w:r>
      <w:proofErr w:type="spellStart"/>
      <w:r w:rsidRPr="00772E76">
        <w:rPr>
          <w:rFonts w:eastAsia="Calibri" w:hint="cs"/>
          <w:sz w:val="18"/>
          <w:szCs w:val="20"/>
          <w:rtl/>
        </w:rPr>
        <w:t>קולקה</w:t>
      </w:r>
      <w:proofErr w:type="spellEnd"/>
      <w:r w:rsidRPr="00772E76">
        <w:rPr>
          <w:rFonts w:eastAsia="Calibri" w:hint="cs"/>
          <w:sz w:val="18"/>
          <w:szCs w:val="20"/>
          <w:rtl/>
        </w:rPr>
        <w:t xml:space="preserve">, ש' (2014). חקר השיח: זרמים ועקרונות יסוד. בתוך </w:t>
      </w:r>
      <w:r w:rsidRPr="00772E76">
        <w:rPr>
          <w:rFonts w:eastAsia="Calibri" w:hint="cs"/>
          <w:b/>
          <w:bCs/>
          <w:sz w:val="18"/>
          <w:szCs w:val="20"/>
          <w:rtl/>
        </w:rPr>
        <w:t>שיח התקשורת:</w:t>
      </w:r>
      <w:r w:rsidRPr="00772E76">
        <w:rPr>
          <w:rFonts w:eastAsia="Calibri" w:hint="cs"/>
          <w:sz w:val="18"/>
          <w:szCs w:val="20"/>
          <w:rtl/>
        </w:rPr>
        <w:t xml:space="preserve"> </w:t>
      </w:r>
      <w:r w:rsidRPr="00772E76">
        <w:rPr>
          <w:rFonts w:eastAsia="Calibri" w:hint="cs"/>
          <w:b/>
          <w:bCs/>
          <w:sz w:val="18"/>
          <w:szCs w:val="20"/>
          <w:rtl/>
        </w:rPr>
        <w:t>מקראה</w:t>
      </w:r>
      <w:r w:rsidRPr="00772E76">
        <w:rPr>
          <w:rFonts w:eastAsia="Calibri" w:hint="cs"/>
          <w:sz w:val="18"/>
          <w:szCs w:val="20"/>
          <w:rtl/>
        </w:rPr>
        <w:t xml:space="preserve"> (עמ' 5</w:t>
      </w:r>
      <w:r w:rsidRPr="00772E76">
        <w:rPr>
          <w:rFonts w:eastAsia="Calibri"/>
          <w:sz w:val="18"/>
          <w:szCs w:val="20"/>
          <w:rtl/>
        </w:rPr>
        <w:t>–</w:t>
      </w:r>
      <w:r w:rsidRPr="00772E76">
        <w:rPr>
          <w:rFonts w:eastAsia="Calibri" w:hint="cs"/>
          <w:sz w:val="18"/>
          <w:szCs w:val="20"/>
          <w:rtl/>
        </w:rPr>
        <w:t>25). רעננה: האוניברסיטה הפתוחה.</w:t>
      </w:r>
    </w:p>
    <w:p w14:paraId="6F3B0717" w14:textId="77777777" w:rsidR="00772E76" w:rsidRPr="00772E76" w:rsidRDefault="00772E76" w:rsidP="002C43B9">
      <w:pPr>
        <w:spacing w:after="120"/>
        <w:ind w:left="397" w:hanging="397"/>
        <w:jc w:val="both"/>
        <w:rPr>
          <w:rFonts w:eastAsia="Calibri"/>
          <w:sz w:val="18"/>
          <w:szCs w:val="20"/>
          <w:rtl/>
        </w:rPr>
      </w:pPr>
      <w:r w:rsidRPr="00772E76">
        <w:rPr>
          <w:rFonts w:eastAsia="Calibri"/>
          <w:sz w:val="18"/>
          <w:szCs w:val="20"/>
          <w:rtl/>
        </w:rPr>
        <w:t xml:space="preserve">מש, ג' (1990). </w:t>
      </w:r>
      <w:r w:rsidRPr="00772E76">
        <w:rPr>
          <w:rFonts w:eastAsia="Calibri"/>
          <w:b/>
          <w:bCs/>
          <w:sz w:val="18"/>
          <w:szCs w:val="20"/>
          <w:rtl/>
        </w:rPr>
        <w:t xml:space="preserve">השפעת דפוסי מגורים, סוג התעסוקה ואורך האשפוז על שיעור </w:t>
      </w:r>
      <w:proofErr w:type="spellStart"/>
      <w:r w:rsidRPr="00772E76">
        <w:rPr>
          <w:rFonts w:eastAsia="Calibri"/>
          <w:b/>
          <w:bCs/>
          <w:sz w:val="18"/>
          <w:szCs w:val="20"/>
          <w:rtl/>
        </w:rPr>
        <w:t>הרצידיביזם</w:t>
      </w:r>
      <w:proofErr w:type="spellEnd"/>
      <w:r w:rsidRPr="00772E76">
        <w:rPr>
          <w:rFonts w:eastAsia="Calibri"/>
          <w:b/>
          <w:bCs/>
          <w:sz w:val="18"/>
          <w:szCs w:val="20"/>
          <w:rtl/>
        </w:rPr>
        <w:t xml:space="preserve"> של חולי נפש</w:t>
      </w:r>
      <w:r w:rsidRPr="00772E76">
        <w:rPr>
          <w:rFonts w:eastAsia="Calibri" w:hint="cs"/>
          <w:b/>
          <w:bCs/>
          <w:sz w:val="18"/>
          <w:szCs w:val="20"/>
          <w:rtl/>
        </w:rPr>
        <w:t xml:space="preserve"> </w:t>
      </w:r>
      <w:r w:rsidRPr="00667C9E">
        <w:rPr>
          <w:rFonts w:eastAsia="Calibri"/>
          <w:sz w:val="18"/>
          <w:szCs w:val="20"/>
          <w:rtl/>
        </w:rPr>
        <w:t>(</w:t>
      </w:r>
      <w:r w:rsidRPr="00772E76">
        <w:rPr>
          <w:rFonts w:eastAsia="Calibri"/>
          <w:sz w:val="18"/>
          <w:szCs w:val="20"/>
          <w:rtl/>
        </w:rPr>
        <w:t>חיבור לשם קבלת תואר מוסמך</w:t>
      </w:r>
      <w:r w:rsidRPr="00772E76">
        <w:rPr>
          <w:rFonts w:eastAsia="Calibri" w:hint="cs"/>
          <w:sz w:val="18"/>
          <w:szCs w:val="20"/>
          <w:rtl/>
        </w:rPr>
        <w:t>).</w:t>
      </w:r>
      <w:r w:rsidRPr="00772E76">
        <w:rPr>
          <w:rFonts w:eastAsia="Calibri"/>
          <w:sz w:val="18"/>
          <w:szCs w:val="20"/>
          <w:rtl/>
        </w:rPr>
        <w:t xml:space="preserve"> אוניברסיטת חיפה.</w:t>
      </w:r>
    </w:p>
    <w:p w14:paraId="468BEF79" w14:textId="77777777" w:rsidR="00772E76" w:rsidRPr="00772E76" w:rsidRDefault="00772E76" w:rsidP="002C43B9">
      <w:pPr>
        <w:suppressAutoHyphens/>
        <w:autoSpaceDE w:val="0"/>
        <w:autoSpaceDN w:val="0"/>
        <w:adjustRightInd w:val="0"/>
        <w:spacing w:after="120"/>
        <w:ind w:left="397" w:hanging="397"/>
        <w:jc w:val="both"/>
        <w:rPr>
          <w:rFonts w:eastAsia="Calibri"/>
          <w:sz w:val="18"/>
          <w:szCs w:val="20"/>
          <w:rtl/>
        </w:rPr>
      </w:pPr>
      <w:proofErr w:type="spellStart"/>
      <w:r w:rsidRPr="00772E76">
        <w:rPr>
          <w:rFonts w:eastAsia="Calibri"/>
          <w:sz w:val="18"/>
          <w:szCs w:val="20"/>
          <w:rtl/>
        </w:rPr>
        <w:t>קאב</w:t>
      </w:r>
      <w:r w:rsidRPr="00772E76">
        <w:rPr>
          <w:rFonts w:eastAsia="Calibri" w:hint="cs"/>
          <w:sz w:val="18"/>
          <w:szCs w:val="20"/>
          <w:rtl/>
        </w:rPr>
        <w:t>א</w:t>
      </w:r>
      <w:r w:rsidRPr="00772E76">
        <w:rPr>
          <w:rFonts w:eastAsia="Calibri"/>
          <w:sz w:val="18"/>
          <w:szCs w:val="20"/>
          <w:rtl/>
        </w:rPr>
        <w:t>ליון</w:t>
      </w:r>
      <w:proofErr w:type="spellEnd"/>
      <w:r w:rsidRPr="00772E76">
        <w:rPr>
          <w:rFonts w:eastAsia="Calibri"/>
          <w:sz w:val="18"/>
          <w:szCs w:val="20"/>
          <w:rtl/>
        </w:rPr>
        <w:t xml:space="preserve">, ג' ושהם, א' (2016). </w:t>
      </w:r>
      <w:r w:rsidRPr="00772E76">
        <w:rPr>
          <w:rFonts w:eastAsia="Calibri"/>
          <w:b/>
          <w:bCs/>
          <w:sz w:val="18"/>
          <w:szCs w:val="20"/>
          <w:rtl/>
        </w:rPr>
        <w:t>רשת של סטיות</w:t>
      </w:r>
      <w:r w:rsidRPr="00772E76">
        <w:rPr>
          <w:rFonts w:eastAsia="Calibri" w:hint="cs"/>
          <w:b/>
          <w:bCs/>
          <w:sz w:val="18"/>
          <w:szCs w:val="20"/>
          <w:rtl/>
        </w:rPr>
        <w:t>:</w:t>
      </w:r>
      <w:r w:rsidRPr="00772E76">
        <w:rPr>
          <w:rFonts w:eastAsia="Calibri"/>
          <w:b/>
          <w:bCs/>
          <w:sz w:val="18"/>
          <w:szCs w:val="20"/>
          <w:rtl/>
        </w:rPr>
        <w:t xml:space="preserve"> הבניה והכחשה של סטייה חברתית בישראל</w:t>
      </w:r>
      <w:r w:rsidRPr="00772E76">
        <w:rPr>
          <w:rFonts w:eastAsia="Calibri"/>
          <w:sz w:val="18"/>
          <w:szCs w:val="20"/>
          <w:rtl/>
        </w:rPr>
        <w:t>. תל</w:t>
      </w:r>
      <w:r w:rsidRPr="00772E76">
        <w:rPr>
          <w:rFonts w:eastAsia="Calibri" w:hint="cs"/>
          <w:sz w:val="18"/>
          <w:szCs w:val="20"/>
          <w:rtl/>
        </w:rPr>
        <w:t xml:space="preserve"> </w:t>
      </w:r>
      <w:r w:rsidRPr="00772E76">
        <w:rPr>
          <w:rFonts w:eastAsia="Calibri"/>
          <w:sz w:val="18"/>
          <w:szCs w:val="20"/>
          <w:rtl/>
        </w:rPr>
        <w:t>אביב: רסלינג.</w:t>
      </w:r>
    </w:p>
    <w:p w14:paraId="016EC103" w14:textId="77777777" w:rsidR="00772E76" w:rsidRPr="00772E76" w:rsidRDefault="00772E76" w:rsidP="002C43B9">
      <w:pPr>
        <w:suppressAutoHyphens/>
        <w:autoSpaceDE w:val="0"/>
        <w:autoSpaceDN w:val="0"/>
        <w:adjustRightInd w:val="0"/>
        <w:spacing w:after="120"/>
        <w:ind w:left="397" w:hanging="397"/>
        <w:jc w:val="both"/>
        <w:rPr>
          <w:rFonts w:eastAsia="Calibri"/>
          <w:sz w:val="18"/>
          <w:szCs w:val="20"/>
          <w:rtl/>
        </w:rPr>
      </w:pPr>
      <w:r w:rsidRPr="00772E76">
        <w:rPr>
          <w:rFonts w:eastAsia="Calibri"/>
          <w:sz w:val="18"/>
          <w:szCs w:val="20"/>
          <w:rtl/>
        </w:rPr>
        <w:t xml:space="preserve">שוהם, ש"ג (1978). </w:t>
      </w:r>
      <w:r w:rsidRPr="00772E76">
        <w:rPr>
          <w:rFonts w:eastAsia="Calibri"/>
          <w:b/>
          <w:bCs/>
          <w:sz w:val="18"/>
          <w:szCs w:val="20"/>
          <w:rtl/>
        </w:rPr>
        <w:t>סטייה חברתית</w:t>
      </w:r>
      <w:r w:rsidRPr="00772E76">
        <w:rPr>
          <w:rFonts w:eastAsia="Calibri"/>
          <w:sz w:val="18"/>
          <w:szCs w:val="20"/>
          <w:rtl/>
        </w:rPr>
        <w:t>. תל</w:t>
      </w:r>
      <w:r w:rsidRPr="00772E76">
        <w:rPr>
          <w:rFonts w:eastAsia="Calibri" w:hint="cs"/>
          <w:sz w:val="18"/>
          <w:szCs w:val="20"/>
          <w:rtl/>
        </w:rPr>
        <w:t xml:space="preserve"> </w:t>
      </w:r>
      <w:r w:rsidRPr="00772E76">
        <w:rPr>
          <w:rFonts w:eastAsia="Calibri"/>
          <w:sz w:val="18"/>
          <w:szCs w:val="20"/>
          <w:rtl/>
        </w:rPr>
        <w:t>אביב: אוניברסיטת תל</w:t>
      </w:r>
      <w:r w:rsidRPr="00772E76">
        <w:rPr>
          <w:rFonts w:eastAsia="Calibri" w:hint="cs"/>
          <w:sz w:val="18"/>
          <w:szCs w:val="20"/>
          <w:rtl/>
        </w:rPr>
        <w:t xml:space="preserve"> </w:t>
      </w:r>
      <w:r w:rsidRPr="00772E76">
        <w:rPr>
          <w:rFonts w:eastAsia="Calibri"/>
          <w:sz w:val="18"/>
          <w:szCs w:val="20"/>
          <w:rtl/>
        </w:rPr>
        <w:t>אביב.</w:t>
      </w:r>
    </w:p>
    <w:p w14:paraId="10EF5195" w14:textId="77777777" w:rsidR="00772E76" w:rsidRPr="00772E76" w:rsidRDefault="00772E76" w:rsidP="002C43B9">
      <w:pPr>
        <w:shd w:val="clear" w:color="auto" w:fill="FFFFFF"/>
        <w:bidi w:val="0"/>
        <w:spacing w:after="120"/>
        <w:ind w:left="397" w:hanging="397"/>
        <w:jc w:val="both"/>
        <w:rPr>
          <w:rFonts w:eastAsia="Calibri"/>
          <w:sz w:val="18"/>
          <w:szCs w:val="20"/>
        </w:rPr>
      </w:pPr>
      <w:proofErr w:type="spellStart"/>
      <w:r w:rsidRPr="00772E76">
        <w:rPr>
          <w:kern w:val="36"/>
          <w:sz w:val="18"/>
          <w:szCs w:val="20"/>
        </w:rPr>
        <w:t>Frailing</w:t>
      </w:r>
      <w:proofErr w:type="spellEnd"/>
      <w:r w:rsidRPr="00772E76">
        <w:rPr>
          <w:kern w:val="36"/>
          <w:sz w:val="18"/>
          <w:szCs w:val="20"/>
        </w:rPr>
        <w:t xml:space="preserve">, K., &amp; Slate, R. N. (Eds.) (2018). </w:t>
      </w:r>
      <w:r w:rsidRPr="00772E76">
        <w:rPr>
          <w:i/>
          <w:iCs/>
          <w:kern w:val="36"/>
          <w:sz w:val="18"/>
          <w:szCs w:val="20"/>
        </w:rPr>
        <w:t>Criminalization of the mental illness reader</w:t>
      </w:r>
      <w:r w:rsidRPr="00772E76">
        <w:rPr>
          <w:kern w:val="36"/>
          <w:sz w:val="18"/>
          <w:szCs w:val="20"/>
        </w:rPr>
        <w:t xml:space="preserve">. Durham, NC: Carolina Academic Press. </w:t>
      </w:r>
    </w:p>
    <w:p w14:paraId="48196B2A" w14:textId="77777777" w:rsidR="00772E76" w:rsidRPr="00772E76" w:rsidRDefault="00772E76" w:rsidP="002C43B9">
      <w:pPr>
        <w:shd w:val="clear" w:color="auto" w:fill="FFFFFF"/>
        <w:bidi w:val="0"/>
        <w:spacing w:after="120"/>
        <w:ind w:left="397" w:hanging="397"/>
        <w:jc w:val="both"/>
        <w:rPr>
          <w:rFonts w:eastAsia="Calibri"/>
          <w:sz w:val="18"/>
          <w:szCs w:val="20"/>
        </w:rPr>
      </w:pPr>
      <w:proofErr w:type="spellStart"/>
      <w:r w:rsidRPr="00772E76">
        <w:rPr>
          <w:rFonts w:eastAsia="Calibri"/>
          <w:sz w:val="18"/>
          <w:szCs w:val="20"/>
        </w:rPr>
        <w:t>Hiday</w:t>
      </w:r>
      <w:proofErr w:type="spellEnd"/>
      <w:r w:rsidRPr="00772E76">
        <w:rPr>
          <w:rFonts w:eastAsia="Calibri"/>
          <w:sz w:val="18"/>
          <w:szCs w:val="20"/>
        </w:rPr>
        <w:t>, A. V. (</w:t>
      </w:r>
      <w:r w:rsidRPr="00772E76">
        <w:rPr>
          <w:rFonts w:eastAsia="Calibri"/>
          <w:kern w:val="36"/>
          <w:sz w:val="18"/>
          <w:szCs w:val="20"/>
        </w:rPr>
        <w:t>2006). Putting community risk in perspective: A look at correlations, causes and controls. </w:t>
      </w:r>
      <w:hyperlink r:id="rId8" w:tooltip="Go to International Journal of Law and Psychiatry on ScienceDirect" w:history="1">
        <w:r w:rsidRPr="00772E76">
          <w:rPr>
            <w:i/>
            <w:iCs/>
            <w:sz w:val="18"/>
            <w:szCs w:val="20"/>
            <w:bdr w:val="none" w:sz="0" w:space="0" w:color="auto" w:frame="1"/>
          </w:rPr>
          <w:t>International Journal of Law and Psychiatry</w:t>
        </w:r>
      </w:hyperlink>
      <w:r w:rsidRPr="00772E76">
        <w:rPr>
          <w:sz w:val="18"/>
          <w:szCs w:val="20"/>
        </w:rPr>
        <w:t>,</w:t>
      </w:r>
      <w:r w:rsidRPr="00772E76">
        <w:rPr>
          <w:i/>
          <w:iCs/>
          <w:sz w:val="18"/>
          <w:szCs w:val="20"/>
        </w:rPr>
        <w:t xml:space="preserve"> 29</w:t>
      </w:r>
      <w:hyperlink r:id="rId9" w:tooltip="Go to table of contents for this volume/issue" w:history="1">
        <w:r w:rsidRPr="00772E76">
          <w:rPr>
            <w:sz w:val="18"/>
            <w:szCs w:val="20"/>
            <w:bdr w:val="none" w:sz="0" w:space="0" w:color="auto" w:frame="1"/>
          </w:rPr>
          <w:t>(4</w:t>
        </w:r>
      </w:hyperlink>
      <w:r w:rsidRPr="00772E76">
        <w:rPr>
          <w:sz w:val="18"/>
          <w:szCs w:val="20"/>
          <w:bdr w:val="none" w:sz="0" w:space="0" w:color="auto" w:frame="1"/>
        </w:rPr>
        <w:t>)</w:t>
      </w:r>
      <w:r w:rsidRPr="00772E76">
        <w:rPr>
          <w:sz w:val="18"/>
          <w:szCs w:val="20"/>
        </w:rPr>
        <w:t>, 316–331.</w:t>
      </w:r>
    </w:p>
    <w:p w14:paraId="12310BC8" w14:textId="77777777" w:rsidR="00772E76" w:rsidRPr="00772E76" w:rsidRDefault="00772E76" w:rsidP="002C43B9">
      <w:pPr>
        <w:shd w:val="clear" w:color="auto" w:fill="FFFFFF"/>
        <w:bidi w:val="0"/>
        <w:spacing w:after="120"/>
        <w:ind w:left="397" w:hanging="397"/>
        <w:jc w:val="both"/>
        <w:rPr>
          <w:rFonts w:eastAsia="Calibri"/>
          <w:sz w:val="18"/>
          <w:szCs w:val="20"/>
          <w:shd w:val="clear" w:color="auto" w:fill="FFFFFF"/>
        </w:rPr>
      </w:pPr>
      <w:r w:rsidRPr="00772E76">
        <w:rPr>
          <w:sz w:val="18"/>
          <w:szCs w:val="20"/>
        </w:rPr>
        <w:t xml:space="preserve">McGinty, E. E., Kennedy-Hendriks, A., Choksy, S., &amp; Barry, C. L. (2016). Trends in news media coverage of mental illness in the United States: 1995–2014. </w:t>
      </w:r>
      <w:r w:rsidRPr="00772E76">
        <w:rPr>
          <w:i/>
          <w:iCs/>
          <w:sz w:val="18"/>
          <w:szCs w:val="20"/>
        </w:rPr>
        <w:t>Health Affairs</w:t>
      </w:r>
      <w:r w:rsidRPr="00772E76">
        <w:rPr>
          <w:sz w:val="18"/>
          <w:szCs w:val="20"/>
        </w:rPr>
        <w:t>,</w:t>
      </w:r>
      <w:r w:rsidRPr="00772E76">
        <w:rPr>
          <w:i/>
          <w:iCs/>
          <w:sz w:val="18"/>
          <w:szCs w:val="20"/>
        </w:rPr>
        <w:t xml:space="preserve"> 35</w:t>
      </w:r>
      <w:r w:rsidRPr="00772E76">
        <w:rPr>
          <w:sz w:val="18"/>
          <w:szCs w:val="20"/>
        </w:rPr>
        <w:t xml:space="preserve">, 1121–1129. </w:t>
      </w:r>
    </w:p>
    <w:p w14:paraId="7E9DA775" w14:textId="7EFA318C" w:rsidR="00772E76" w:rsidRPr="00772E76" w:rsidRDefault="00772E76" w:rsidP="002C43B9">
      <w:pPr>
        <w:shd w:val="clear" w:color="auto" w:fill="FFFFFF"/>
        <w:bidi w:val="0"/>
        <w:spacing w:after="120"/>
        <w:ind w:left="397" w:hanging="397"/>
        <w:jc w:val="both"/>
        <w:rPr>
          <w:i/>
          <w:iCs/>
          <w:kern w:val="36"/>
          <w:sz w:val="18"/>
          <w:szCs w:val="20"/>
        </w:rPr>
      </w:pPr>
      <w:proofErr w:type="spellStart"/>
      <w:r w:rsidRPr="00772E76">
        <w:rPr>
          <w:rFonts w:eastAsia="Calibri"/>
          <w:sz w:val="18"/>
          <w:szCs w:val="20"/>
          <w:shd w:val="clear" w:color="auto" w:fill="FFFFFF"/>
        </w:rPr>
        <w:lastRenderedPageBreak/>
        <w:t>McNiel</w:t>
      </w:r>
      <w:proofErr w:type="spellEnd"/>
      <w:r w:rsidRPr="00772E76">
        <w:rPr>
          <w:rFonts w:eastAsia="Calibri"/>
          <w:sz w:val="18"/>
          <w:szCs w:val="20"/>
          <w:shd w:val="clear" w:color="auto" w:fill="FFFFFF"/>
        </w:rPr>
        <w:t>,</w:t>
      </w:r>
      <w:r w:rsidRPr="00772E76">
        <w:rPr>
          <w:kern w:val="36"/>
          <w:sz w:val="18"/>
          <w:szCs w:val="20"/>
        </w:rPr>
        <w:t xml:space="preserve"> D. C., &amp; </w:t>
      </w:r>
      <w:r w:rsidRPr="00772E76">
        <w:rPr>
          <w:rFonts w:eastAsia="Calibri"/>
          <w:sz w:val="18"/>
          <w:szCs w:val="20"/>
          <w:shd w:val="clear" w:color="auto" w:fill="FFFFFF"/>
        </w:rPr>
        <w:t>Binder</w:t>
      </w:r>
      <w:r w:rsidRPr="00772E76">
        <w:rPr>
          <w:kern w:val="36"/>
          <w:sz w:val="18"/>
          <w:szCs w:val="20"/>
        </w:rPr>
        <w:t>, R. L. (1987).</w:t>
      </w:r>
      <w:r w:rsidRPr="00772E76">
        <w:rPr>
          <w:i/>
          <w:iCs/>
          <w:kern w:val="36"/>
          <w:sz w:val="18"/>
          <w:szCs w:val="20"/>
        </w:rPr>
        <w:t xml:space="preserve"> </w:t>
      </w:r>
      <w:r w:rsidRPr="00772E76">
        <w:rPr>
          <w:kern w:val="36"/>
          <w:sz w:val="18"/>
          <w:szCs w:val="20"/>
        </w:rPr>
        <w:t>Predictive validity of judgments of dangerousness in emergency civil commitment</w:t>
      </w:r>
      <w:r w:rsidRPr="00772E76">
        <w:rPr>
          <w:i/>
          <w:iCs/>
          <w:kern w:val="36"/>
          <w:sz w:val="18"/>
          <w:szCs w:val="20"/>
        </w:rPr>
        <w:t xml:space="preserve">. </w:t>
      </w:r>
      <w:r w:rsidRPr="00772E76">
        <w:rPr>
          <w:i/>
          <w:iCs/>
          <w:kern w:val="32"/>
          <w:sz w:val="18"/>
          <w:szCs w:val="20"/>
          <w:shd w:val="clear" w:color="auto" w:fill="FFFFFF"/>
        </w:rPr>
        <w:t>The American Journal of Psychiatry</w:t>
      </w:r>
      <w:r w:rsidRPr="00772E76">
        <w:rPr>
          <w:kern w:val="36"/>
          <w:sz w:val="18"/>
          <w:szCs w:val="20"/>
        </w:rPr>
        <w:t>,</w:t>
      </w:r>
      <w:r w:rsidRPr="00772E76">
        <w:rPr>
          <w:i/>
          <w:iCs/>
          <w:kern w:val="36"/>
          <w:sz w:val="18"/>
          <w:szCs w:val="20"/>
        </w:rPr>
        <w:t xml:space="preserve"> 144</w:t>
      </w:r>
      <w:r w:rsidRPr="00772E76">
        <w:rPr>
          <w:kern w:val="36"/>
          <w:sz w:val="18"/>
          <w:szCs w:val="20"/>
        </w:rPr>
        <w:t>(2),</w:t>
      </w:r>
      <w:r w:rsidR="009D2BFE">
        <w:rPr>
          <w:kern w:val="36"/>
          <w:sz w:val="18"/>
          <w:szCs w:val="20"/>
        </w:rPr>
        <w:br/>
      </w:r>
      <w:r w:rsidRPr="00772E76">
        <w:rPr>
          <w:kern w:val="36"/>
          <w:sz w:val="18"/>
          <w:szCs w:val="20"/>
        </w:rPr>
        <w:t xml:space="preserve"> 197</w:t>
      </w:r>
      <w:r w:rsidRPr="00772E76">
        <w:rPr>
          <w:sz w:val="18"/>
          <w:szCs w:val="20"/>
        </w:rPr>
        <w:t>–</w:t>
      </w:r>
      <w:r w:rsidRPr="00772E76">
        <w:rPr>
          <w:kern w:val="36"/>
          <w:sz w:val="18"/>
          <w:szCs w:val="20"/>
        </w:rPr>
        <w:t>200</w:t>
      </w:r>
      <w:r w:rsidRPr="00772E76">
        <w:rPr>
          <w:i/>
          <w:iCs/>
          <w:kern w:val="36"/>
          <w:sz w:val="18"/>
          <w:szCs w:val="20"/>
        </w:rPr>
        <w:t>.</w:t>
      </w:r>
    </w:p>
    <w:p w14:paraId="012E2F5D" w14:textId="77777777" w:rsidR="00772E76" w:rsidRPr="00772E76" w:rsidRDefault="00772E76" w:rsidP="002C43B9">
      <w:pPr>
        <w:keepNext/>
        <w:shd w:val="clear" w:color="auto" w:fill="FFFFFF"/>
        <w:bidi w:val="0"/>
        <w:spacing w:after="120"/>
        <w:ind w:left="397" w:hanging="397"/>
        <w:jc w:val="both"/>
        <w:rPr>
          <w:i/>
          <w:iCs/>
          <w:kern w:val="36"/>
          <w:sz w:val="18"/>
          <w:szCs w:val="20"/>
        </w:rPr>
      </w:pPr>
      <w:r w:rsidRPr="00772E76">
        <w:rPr>
          <w:rFonts w:eastAsia="Calibri"/>
          <w:sz w:val="18"/>
          <w:szCs w:val="20"/>
          <w:shd w:val="clear" w:color="auto" w:fill="FFFFFF"/>
        </w:rPr>
        <w:t>Monahan, J</w:t>
      </w:r>
      <w:r w:rsidRPr="00772E76">
        <w:rPr>
          <w:i/>
          <w:iCs/>
          <w:kern w:val="36"/>
          <w:sz w:val="18"/>
          <w:szCs w:val="20"/>
        </w:rPr>
        <w:t xml:space="preserve">. </w:t>
      </w:r>
      <w:r w:rsidRPr="00772E76">
        <w:rPr>
          <w:kern w:val="36"/>
          <w:sz w:val="18"/>
          <w:szCs w:val="20"/>
        </w:rPr>
        <w:t>(1991).</w:t>
      </w:r>
      <w:r w:rsidRPr="00772E76">
        <w:rPr>
          <w:i/>
          <w:iCs/>
          <w:kern w:val="36"/>
          <w:sz w:val="18"/>
          <w:szCs w:val="20"/>
        </w:rPr>
        <w:t xml:space="preserve"> </w:t>
      </w:r>
      <w:r w:rsidRPr="00772E76">
        <w:rPr>
          <w:kern w:val="36"/>
          <w:sz w:val="18"/>
          <w:szCs w:val="20"/>
        </w:rPr>
        <w:t>Mental disorder and violent behavior</w:t>
      </w:r>
      <w:r w:rsidRPr="00772E76">
        <w:rPr>
          <w:sz w:val="18"/>
          <w:szCs w:val="20"/>
          <w:shd w:val="clear" w:color="auto" w:fill="FFFFFF"/>
        </w:rPr>
        <w:t xml:space="preserve">. </w:t>
      </w:r>
      <w:r w:rsidRPr="00772E76">
        <w:rPr>
          <w:i/>
          <w:iCs/>
          <w:sz w:val="18"/>
          <w:szCs w:val="20"/>
          <w:shd w:val="clear" w:color="auto" w:fill="FFFFFF"/>
        </w:rPr>
        <w:t>American Psychologist</w:t>
      </w:r>
      <w:r w:rsidRPr="00772E76">
        <w:rPr>
          <w:sz w:val="18"/>
          <w:szCs w:val="20"/>
          <w:shd w:val="clear" w:color="auto" w:fill="FFFFFF"/>
        </w:rPr>
        <w:t>,</w:t>
      </w:r>
      <w:r w:rsidRPr="00772E76">
        <w:rPr>
          <w:i/>
          <w:iCs/>
          <w:sz w:val="18"/>
          <w:szCs w:val="20"/>
          <w:shd w:val="clear" w:color="auto" w:fill="FFFFFF"/>
        </w:rPr>
        <w:t xml:space="preserve"> 47</w:t>
      </w:r>
      <w:r w:rsidRPr="00772E76">
        <w:rPr>
          <w:sz w:val="18"/>
          <w:szCs w:val="20"/>
          <w:shd w:val="clear" w:color="auto" w:fill="FFFFFF"/>
        </w:rPr>
        <w:t>(4), 511</w:t>
      </w:r>
      <w:r w:rsidRPr="00772E76">
        <w:rPr>
          <w:sz w:val="18"/>
          <w:szCs w:val="20"/>
        </w:rPr>
        <w:t>–</w:t>
      </w:r>
      <w:r w:rsidRPr="00772E76">
        <w:rPr>
          <w:sz w:val="18"/>
          <w:szCs w:val="20"/>
          <w:shd w:val="clear" w:color="auto" w:fill="FFFFFF"/>
        </w:rPr>
        <w:t>521</w:t>
      </w:r>
      <w:r w:rsidRPr="00772E76">
        <w:rPr>
          <w:i/>
          <w:iCs/>
          <w:kern w:val="36"/>
          <w:sz w:val="18"/>
          <w:szCs w:val="20"/>
        </w:rPr>
        <w:t>.</w:t>
      </w:r>
    </w:p>
    <w:p w14:paraId="63DBC000" w14:textId="77777777" w:rsidR="00772E76" w:rsidRPr="00772E76" w:rsidRDefault="00772E76" w:rsidP="002C43B9">
      <w:pPr>
        <w:shd w:val="clear" w:color="auto" w:fill="FFFFFF"/>
        <w:bidi w:val="0"/>
        <w:spacing w:after="120"/>
        <w:ind w:left="397" w:hanging="397"/>
        <w:jc w:val="both"/>
        <w:rPr>
          <w:sz w:val="18"/>
          <w:szCs w:val="20"/>
        </w:rPr>
      </w:pPr>
      <w:r w:rsidRPr="00772E76">
        <w:rPr>
          <w:sz w:val="18"/>
          <w:szCs w:val="20"/>
          <w:bdr w:val="none" w:sz="0" w:space="0" w:color="auto" w:frame="1"/>
        </w:rPr>
        <w:t>Mossman, D. (2013). Evaluating risk assessments using receiver operating characteristic analysis: Rationale, advantages, insights, and limitations. </w:t>
      </w:r>
      <w:r w:rsidRPr="00772E76">
        <w:rPr>
          <w:i/>
          <w:iCs/>
          <w:sz w:val="18"/>
          <w:szCs w:val="20"/>
          <w:bdr w:val="none" w:sz="0" w:space="0" w:color="auto" w:frame="1"/>
        </w:rPr>
        <w:t>Behavioral Sciences &amp; the Law</w:t>
      </w:r>
      <w:r w:rsidRPr="00772E76">
        <w:rPr>
          <w:sz w:val="18"/>
          <w:szCs w:val="20"/>
          <w:bdr w:val="none" w:sz="0" w:space="0" w:color="auto" w:frame="1"/>
        </w:rPr>
        <w:t xml:space="preserve">, </w:t>
      </w:r>
      <w:r w:rsidRPr="00772E76">
        <w:rPr>
          <w:i/>
          <w:iCs/>
          <w:sz w:val="18"/>
          <w:szCs w:val="20"/>
          <w:bdr w:val="none" w:sz="0" w:space="0" w:color="auto" w:frame="1"/>
        </w:rPr>
        <w:t>31</w:t>
      </w:r>
      <w:r w:rsidRPr="00772E76">
        <w:rPr>
          <w:sz w:val="18"/>
          <w:szCs w:val="20"/>
          <w:bdr w:val="none" w:sz="0" w:space="0" w:color="auto" w:frame="1"/>
        </w:rPr>
        <w:t>(1), 23</w:t>
      </w:r>
      <w:r w:rsidRPr="00772E76">
        <w:rPr>
          <w:sz w:val="18"/>
          <w:szCs w:val="20"/>
        </w:rPr>
        <w:t>–</w:t>
      </w:r>
      <w:r w:rsidRPr="00772E76">
        <w:rPr>
          <w:sz w:val="18"/>
          <w:szCs w:val="20"/>
          <w:bdr w:val="none" w:sz="0" w:space="0" w:color="auto" w:frame="1"/>
        </w:rPr>
        <w:t>39</w:t>
      </w:r>
      <w:r w:rsidRPr="00772E76">
        <w:rPr>
          <w:sz w:val="18"/>
          <w:szCs w:val="20"/>
        </w:rPr>
        <w:t>.</w:t>
      </w:r>
    </w:p>
    <w:p w14:paraId="0061A934" w14:textId="77777777" w:rsidR="00772E76" w:rsidRPr="00772E76" w:rsidRDefault="00772E76" w:rsidP="002C43B9">
      <w:pPr>
        <w:shd w:val="clear" w:color="auto" w:fill="FFFFFF"/>
        <w:bidi w:val="0"/>
        <w:spacing w:after="120"/>
        <w:ind w:left="397" w:hanging="397"/>
        <w:jc w:val="both"/>
        <w:rPr>
          <w:i/>
          <w:iCs/>
          <w:sz w:val="18"/>
          <w:szCs w:val="20"/>
        </w:rPr>
      </w:pPr>
      <w:r w:rsidRPr="00772E76">
        <w:rPr>
          <w:sz w:val="18"/>
          <w:szCs w:val="20"/>
        </w:rPr>
        <w:t xml:space="preserve">Mulvey, E. P., &amp; </w:t>
      </w:r>
      <w:proofErr w:type="spellStart"/>
      <w:r w:rsidRPr="00772E76">
        <w:rPr>
          <w:sz w:val="18"/>
          <w:szCs w:val="20"/>
        </w:rPr>
        <w:t>Lidz</w:t>
      </w:r>
      <w:proofErr w:type="spellEnd"/>
      <w:r w:rsidRPr="00772E76">
        <w:rPr>
          <w:sz w:val="18"/>
          <w:szCs w:val="20"/>
        </w:rPr>
        <w:t>, C. W. (1995).</w:t>
      </w:r>
      <w:r w:rsidRPr="00772E76">
        <w:rPr>
          <w:i/>
          <w:iCs/>
          <w:sz w:val="18"/>
          <w:szCs w:val="20"/>
        </w:rPr>
        <w:t xml:space="preserve"> </w:t>
      </w:r>
      <w:r w:rsidRPr="00772E76">
        <w:rPr>
          <w:sz w:val="18"/>
          <w:szCs w:val="20"/>
        </w:rPr>
        <w:t>Conditional prediction: A model for research on dangerousness to others in a new era.</w:t>
      </w:r>
      <w:r w:rsidRPr="00772E76">
        <w:rPr>
          <w:i/>
          <w:iCs/>
          <w:sz w:val="18"/>
          <w:szCs w:val="20"/>
        </w:rPr>
        <w:t xml:space="preserve"> International Journal of Law and Psychiatry</w:t>
      </w:r>
      <w:r w:rsidRPr="00772E76">
        <w:rPr>
          <w:sz w:val="18"/>
          <w:szCs w:val="20"/>
        </w:rPr>
        <w:t>,</w:t>
      </w:r>
      <w:r w:rsidRPr="00772E76">
        <w:rPr>
          <w:i/>
          <w:iCs/>
          <w:sz w:val="18"/>
          <w:szCs w:val="20"/>
        </w:rPr>
        <w:t xml:space="preserve"> 18</w:t>
      </w:r>
      <w:r w:rsidRPr="00772E76">
        <w:rPr>
          <w:sz w:val="18"/>
          <w:szCs w:val="20"/>
        </w:rPr>
        <w:t>(2), 129–143.</w:t>
      </w:r>
    </w:p>
    <w:p w14:paraId="3DA4EFBB" w14:textId="77777777" w:rsidR="00772E76" w:rsidRPr="00772E76" w:rsidRDefault="00772E76" w:rsidP="002C43B9">
      <w:pPr>
        <w:shd w:val="clear" w:color="auto" w:fill="FFFFFF"/>
        <w:bidi w:val="0"/>
        <w:spacing w:after="120"/>
        <w:ind w:left="397" w:hanging="397"/>
        <w:jc w:val="both"/>
        <w:rPr>
          <w:sz w:val="18"/>
          <w:szCs w:val="20"/>
        </w:rPr>
      </w:pPr>
      <w:r w:rsidRPr="00772E76">
        <w:rPr>
          <w:sz w:val="18"/>
          <w:szCs w:val="20"/>
        </w:rPr>
        <w:t xml:space="preserve">Ohlsson, R. (2018). Public discourse on mental health and psychiatry: Representations in Swedish newspapers. </w:t>
      </w:r>
      <w:r w:rsidRPr="00772E76">
        <w:rPr>
          <w:i/>
          <w:iCs/>
          <w:sz w:val="18"/>
          <w:szCs w:val="20"/>
        </w:rPr>
        <w:t>Health</w:t>
      </w:r>
      <w:r w:rsidRPr="00772E76">
        <w:rPr>
          <w:sz w:val="18"/>
          <w:szCs w:val="20"/>
        </w:rPr>
        <w:t xml:space="preserve">, </w:t>
      </w:r>
      <w:r w:rsidRPr="00772E76">
        <w:rPr>
          <w:i/>
          <w:iCs/>
          <w:sz w:val="18"/>
          <w:szCs w:val="20"/>
        </w:rPr>
        <w:t>22</w:t>
      </w:r>
      <w:r w:rsidRPr="00772E76">
        <w:rPr>
          <w:sz w:val="18"/>
          <w:szCs w:val="20"/>
        </w:rPr>
        <w:t>(3), 298–314.</w:t>
      </w:r>
    </w:p>
    <w:p w14:paraId="7B8DA97B" w14:textId="77777777" w:rsidR="00772E76" w:rsidRPr="00772E76" w:rsidRDefault="00772E76" w:rsidP="002C43B9">
      <w:pPr>
        <w:bidi w:val="0"/>
        <w:spacing w:after="120"/>
        <w:ind w:left="397" w:hanging="397"/>
        <w:jc w:val="both"/>
        <w:rPr>
          <w:sz w:val="18"/>
          <w:szCs w:val="20"/>
        </w:rPr>
      </w:pPr>
      <w:r w:rsidRPr="00772E76">
        <w:rPr>
          <w:sz w:val="18"/>
          <w:szCs w:val="20"/>
        </w:rPr>
        <w:t xml:space="preserve">Wahl, O. (1992). Mass media images of mental illness: A review of the literature. </w:t>
      </w:r>
      <w:r w:rsidRPr="00772E76">
        <w:rPr>
          <w:i/>
          <w:iCs/>
          <w:sz w:val="18"/>
          <w:szCs w:val="20"/>
        </w:rPr>
        <w:t>Journal of Community Psychology</w:t>
      </w:r>
      <w:r w:rsidRPr="00772E76">
        <w:rPr>
          <w:sz w:val="18"/>
          <w:szCs w:val="20"/>
        </w:rPr>
        <w:t xml:space="preserve">, </w:t>
      </w:r>
      <w:r w:rsidRPr="00772E76">
        <w:rPr>
          <w:i/>
          <w:iCs/>
          <w:sz w:val="18"/>
          <w:szCs w:val="20"/>
        </w:rPr>
        <w:t>20</w:t>
      </w:r>
      <w:r w:rsidRPr="00772E76">
        <w:rPr>
          <w:sz w:val="18"/>
          <w:szCs w:val="20"/>
        </w:rPr>
        <w:t>(4), 343–352.</w:t>
      </w:r>
    </w:p>
    <w:p w14:paraId="04ABC607" w14:textId="77777777" w:rsidR="00772E76" w:rsidRPr="00772E76" w:rsidRDefault="00772E76" w:rsidP="002C43B9">
      <w:pPr>
        <w:bidi w:val="0"/>
        <w:spacing w:after="120"/>
        <w:ind w:left="397" w:hanging="397"/>
        <w:jc w:val="both"/>
        <w:rPr>
          <w:sz w:val="18"/>
          <w:szCs w:val="20"/>
        </w:rPr>
      </w:pPr>
      <w:r w:rsidRPr="00772E76">
        <w:rPr>
          <w:sz w:val="18"/>
          <w:szCs w:val="20"/>
        </w:rPr>
        <w:t>Wahl, O. E., Wood, A., &amp; Richards, R. (2002). Newspaper coverage of mental illness: Is it changing?</w:t>
      </w:r>
      <w:r w:rsidRPr="00772E76">
        <w:rPr>
          <w:i/>
          <w:iCs/>
          <w:sz w:val="18"/>
          <w:szCs w:val="20"/>
        </w:rPr>
        <w:t xml:space="preserve"> Psychiatric Rehabilitation Skills</w:t>
      </w:r>
      <w:r w:rsidRPr="00772E76">
        <w:rPr>
          <w:sz w:val="18"/>
          <w:szCs w:val="20"/>
        </w:rPr>
        <w:t xml:space="preserve">, </w:t>
      </w:r>
      <w:r w:rsidRPr="00772E76">
        <w:rPr>
          <w:i/>
          <w:iCs/>
          <w:sz w:val="18"/>
          <w:szCs w:val="20"/>
        </w:rPr>
        <w:t>6</w:t>
      </w:r>
      <w:r w:rsidRPr="00772E76">
        <w:rPr>
          <w:sz w:val="18"/>
          <w:szCs w:val="20"/>
        </w:rPr>
        <w:t>(1), 9–31.</w:t>
      </w:r>
    </w:p>
    <w:p w14:paraId="72C3598B" w14:textId="77777777" w:rsidR="00772E76" w:rsidRPr="00772E76" w:rsidRDefault="00772E76" w:rsidP="00772E76">
      <w:pPr>
        <w:spacing w:after="180" w:line="280" w:lineRule="exact"/>
        <w:jc w:val="both"/>
        <w:rPr>
          <w:sz w:val="18"/>
          <w:szCs w:val="20"/>
          <w:rtl/>
        </w:rPr>
      </w:pPr>
    </w:p>
    <w:sectPr w:rsidR="00772E76" w:rsidRPr="00772E76" w:rsidSect="006C5886">
      <w:headerReference w:type="even" r:id="rId10"/>
      <w:headerReference w:type="default" r:id="rId11"/>
      <w:headerReference w:type="first" r:id="rId12"/>
      <w:footerReference w:type="first" r:id="rId13"/>
      <w:pgSz w:w="11906" w:h="16838" w:code="9"/>
      <w:pgMar w:top="3515" w:right="2722" w:bottom="2948" w:left="2722" w:header="2665" w:footer="2665"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0488" w14:textId="77777777" w:rsidR="00C36941" w:rsidRDefault="00C36941">
      <w:pPr>
        <w:spacing w:line="240" w:lineRule="auto"/>
      </w:pPr>
      <w:r>
        <w:separator/>
      </w:r>
    </w:p>
  </w:endnote>
  <w:endnote w:type="continuationSeparator" w:id="0">
    <w:p w14:paraId="6F534883" w14:textId="77777777" w:rsidR="00C36941" w:rsidRDefault="00C369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54986F83" w:rsidR="003C255E" w:rsidRDefault="003C255E" w:rsidP="00336EF9">
    <w:pPr>
      <w:pStyle w:val="Header"/>
      <w:tabs>
        <w:tab w:val="clear" w:pos="4153"/>
        <w:tab w:val="clear" w:pos="8306"/>
        <w:tab w:val="right" w:pos="6462"/>
      </w:tabs>
      <w:spacing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AC3F0C">
      <w:rPr>
        <w:rFonts w:hint="cs"/>
        <w:sz w:val="16"/>
        <w:szCs w:val="16"/>
        <w:rtl/>
      </w:rPr>
      <w:t>4</w:t>
    </w:r>
    <w:r w:rsidRPr="0090645A">
      <w:rPr>
        <w:rFonts w:hint="cs"/>
        <w:sz w:val="16"/>
        <w:szCs w:val="16"/>
        <w:rtl/>
      </w:rPr>
      <w:t xml:space="preserve">, </w:t>
    </w:r>
    <w:r w:rsidR="00AC3F0C">
      <w:rPr>
        <w:rFonts w:hint="cs"/>
        <w:sz w:val="16"/>
        <w:szCs w:val="16"/>
        <w:rtl/>
      </w:rPr>
      <w:t>ספטמבר</w:t>
    </w:r>
    <w:r>
      <w:rPr>
        <w:rFonts w:hint="cs"/>
        <w:sz w:val="16"/>
        <w:szCs w:val="16"/>
        <w:rtl/>
      </w:rPr>
      <w:t xml:space="preserve"> </w:t>
    </w:r>
    <w:r w:rsidRPr="0090645A">
      <w:rPr>
        <w:rFonts w:hint="cs"/>
        <w:sz w:val="16"/>
        <w:szCs w:val="16"/>
        <w:rtl/>
      </w:rPr>
      <w:t>20</w:t>
    </w:r>
    <w:r>
      <w:rPr>
        <w:rFonts w:hint="cs"/>
        <w:sz w:val="16"/>
        <w:szCs w:val="16"/>
        <w:rtl/>
      </w:rPr>
      <w:t>2</w:t>
    </w:r>
    <w:r w:rsidR="00336EF9">
      <w:rPr>
        <w:rFonts w:hint="cs"/>
        <w:sz w:val="16"/>
        <w:szCs w:val="16"/>
        <w:rtl/>
      </w:rPr>
      <w:t>1</w:t>
    </w:r>
    <w:r w:rsidR="003470E3">
      <w:rPr>
        <w:rFonts w:hint="cs"/>
        <w:sz w:val="16"/>
        <w:szCs w:val="16"/>
        <w:rtl/>
      </w:rPr>
      <w:t>: 2</w:t>
    </w:r>
    <w:r w:rsidR="006C5886">
      <w:rPr>
        <w:rFonts w:hint="cs"/>
        <w:sz w:val="16"/>
        <w:szCs w:val="16"/>
        <w:rtl/>
      </w:rPr>
      <w:t>4</w:t>
    </w:r>
    <w:r w:rsidR="003470E3">
      <w:rPr>
        <w:rFonts w:hint="cs"/>
        <w:sz w:val="16"/>
        <w:szCs w:val="16"/>
        <w:rtl/>
      </w:rPr>
      <w:t>-1</w:t>
    </w:r>
    <w:r w:rsidR="006C5886">
      <w:rPr>
        <w:rFonts w:hint="cs"/>
        <w:sz w:val="16"/>
        <w:szCs w:val="16"/>
        <w:rtl/>
      </w:rPr>
      <w:t>7</w:t>
    </w:r>
    <w:r>
      <w:rPr>
        <w:sz w:val="16"/>
        <w:szCs w:val="16"/>
      </w:rPr>
      <w:tab/>
    </w:r>
    <w:r w:rsidRPr="00A17DA2">
      <w:rPr>
        <w:rFonts w:hint="eastAsia"/>
        <w:sz w:val="16"/>
        <w:szCs w:val="16"/>
        <w:rtl/>
      </w:rPr>
      <w:t>נשלח</w:t>
    </w:r>
    <w:r w:rsidRPr="00A17DA2">
      <w:rPr>
        <w:rFonts w:hint="cs"/>
        <w:sz w:val="16"/>
        <w:szCs w:val="16"/>
        <w:rtl/>
      </w:rPr>
      <w:t xml:space="preserve"> </w:t>
    </w:r>
    <w:r w:rsidRPr="00A17DA2">
      <w:rPr>
        <w:rFonts w:hint="eastAsia"/>
        <w:sz w:val="16"/>
        <w:szCs w:val="16"/>
        <w:rtl/>
      </w:rPr>
      <w:t>לפרסום</w:t>
    </w:r>
    <w:r w:rsidRPr="00A17DA2">
      <w:rPr>
        <w:rFonts w:hint="cs"/>
        <w:sz w:val="16"/>
        <w:szCs w:val="16"/>
        <w:rtl/>
      </w:rPr>
      <w:t xml:space="preserve"> </w:t>
    </w:r>
    <w:r w:rsidRPr="00A17DA2">
      <w:rPr>
        <w:rFonts w:hint="eastAsia"/>
        <w:sz w:val="16"/>
        <w:szCs w:val="16"/>
        <w:rtl/>
      </w:rPr>
      <w:t>ב</w:t>
    </w:r>
    <w:r w:rsidRPr="00A17DA2">
      <w:rPr>
        <w:rFonts w:hint="cs"/>
        <w:sz w:val="16"/>
        <w:szCs w:val="16"/>
        <w:rtl/>
      </w:rPr>
      <w:t>-</w:t>
    </w:r>
    <w:r w:rsidR="00772E76" w:rsidRPr="00CA3DC1">
      <w:rPr>
        <w:sz w:val="16"/>
        <w:szCs w:val="16"/>
        <w:rtl/>
      </w:rPr>
      <w:t>21.10.20</w:t>
    </w:r>
    <w:r w:rsidRPr="00A17DA2">
      <w:rPr>
        <w:sz w:val="16"/>
        <w:szCs w:val="16"/>
        <w:rtl/>
      </w:rPr>
      <w:t xml:space="preserve">, </w:t>
    </w:r>
    <w:r w:rsidRPr="00A17DA2">
      <w:rPr>
        <w:rFonts w:hint="eastAsia"/>
        <w:sz w:val="16"/>
        <w:szCs w:val="16"/>
        <w:rtl/>
      </w:rPr>
      <w:t>התקבל</w:t>
    </w:r>
    <w:r w:rsidRPr="00A17DA2">
      <w:rPr>
        <w:rFonts w:hint="cs"/>
        <w:sz w:val="16"/>
        <w:szCs w:val="16"/>
        <w:rtl/>
      </w:rPr>
      <w:t xml:space="preserve"> </w:t>
    </w:r>
    <w:r w:rsidRPr="00A17DA2">
      <w:rPr>
        <w:rFonts w:hint="eastAsia"/>
        <w:sz w:val="16"/>
        <w:szCs w:val="16"/>
        <w:rtl/>
      </w:rPr>
      <w:t>ב</w:t>
    </w:r>
    <w:r w:rsidRPr="00A17DA2">
      <w:rPr>
        <w:sz w:val="16"/>
        <w:szCs w:val="16"/>
        <w:rtl/>
      </w:rPr>
      <w:t>-</w:t>
    </w:r>
    <w:r w:rsidR="00772E76" w:rsidRPr="00CA3DC1">
      <w:rPr>
        <w:sz w:val="16"/>
        <w:szCs w:val="16"/>
        <w:rtl/>
      </w:rPr>
      <w:t>26.12.20</w:t>
    </w:r>
  </w:p>
  <w:p w14:paraId="151CA913" w14:textId="77777777" w:rsidR="00042A45" w:rsidRPr="003C255E" w:rsidRDefault="00042A45" w:rsidP="0090645A">
    <w:pPr>
      <w:pStyle w:val="Header"/>
      <w:tabs>
        <w:tab w:val="clear" w:pos="4153"/>
        <w:tab w:val="clear" w:pos="8306"/>
        <w:tab w:val="center" w:pos="3345"/>
        <w:tab w:val="right" w:pos="6691"/>
      </w:tabs>
      <w:spacing w:line="200" w:lineRule="exact"/>
      <w:rPr>
        <w:sz w:val="16"/>
        <w:szCs w:val="16"/>
      </w:rPr>
    </w:pP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D9B3B" w14:textId="77777777" w:rsidR="00C36941" w:rsidRDefault="00C36941" w:rsidP="00A04D35">
      <w:pPr>
        <w:spacing w:before="120" w:after="80"/>
        <w:rPr>
          <w:rFonts w:cs="FrankRuehl"/>
          <w:sz w:val="18"/>
          <w:szCs w:val="18"/>
        </w:rPr>
      </w:pPr>
      <w:r>
        <w:rPr>
          <w:rFonts w:cs="FrankRuehl" w:hint="cs"/>
          <w:sz w:val="18"/>
          <w:szCs w:val="18"/>
          <w:rtl/>
        </w:rPr>
        <w:t>_____________</w:t>
      </w:r>
    </w:p>
  </w:footnote>
  <w:footnote w:type="continuationSeparator" w:id="0">
    <w:p w14:paraId="5A6DDAF1" w14:textId="77777777" w:rsidR="00C36941" w:rsidRDefault="00C36941">
      <w:r>
        <w:continuationSeparator/>
      </w:r>
    </w:p>
  </w:footnote>
  <w:footnote w:type="continuationNotice" w:id="1">
    <w:p w14:paraId="0314B83C" w14:textId="77777777" w:rsidR="00C36941" w:rsidRDefault="00C36941">
      <w:pPr>
        <w:rPr>
          <w:rtl/>
        </w:rPr>
      </w:pPr>
    </w:p>
  </w:footnote>
  <w:footnote w:id="2">
    <w:p w14:paraId="30ACBB13" w14:textId="3D3F9EA8" w:rsidR="00772E76" w:rsidRDefault="00772E76" w:rsidP="00CA19EA">
      <w:pPr>
        <w:pStyle w:val="FootnoteText"/>
        <w:keepLines/>
        <w:spacing w:line="200" w:lineRule="exact"/>
        <w:ind w:left="397" w:hanging="397"/>
        <w:jc w:val="both"/>
        <w:rPr>
          <w:rFonts w:cs="David"/>
          <w:sz w:val="14"/>
          <w:szCs w:val="16"/>
          <w:rtl/>
        </w:rPr>
      </w:pPr>
      <w:r w:rsidRPr="00772E76">
        <w:rPr>
          <w:rStyle w:val="FootnoteReference"/>
          <w:rFonts w:cs="David"/>
          <w:sz w:val="14"/>
          <w:szCs w:val="16"/>
          <w:vertAlign w:val="baseline"/>
        </w:rPr>
        <w:footnoteRef/>
      </w:r>
      <w:r w:rsidRPr="00772E76">
        <w:rPr>
          <w:rStyle w:val="FootnoteReference"/>
          <w:rFonts w:cs="David"/>
          <w:sz w:val="14"/>
          <w:szCs w:val="16"/>
          <w:vertAlign w:val="baseline"/>
          <w:rtl/>
        </w:rPr>
        <w:t xml:space="preserve"> </w:t>
      </w:r>
      <w:r w:rsidRPr="00772E76">
        <w:rPr>
          <w:rStyle w:val="FootnoteReference"/>
          <w:rFonts w:cs="David" w:hint="cs"/>
          <w:sz w:val="14"/>
          <w:szCs w:val="16"/>
          <w:vertAlign w:val="baseline"/>
          <w:rtl/>
        </w:rPr>
        <w:tab/>
      </w:r>
      <w:r w:rsidR="00A6755B" w:rsidRPr="00A6755B">
        <w:rPr>
          <w:rStyle w:val="FootnoteReference"/>
          <w:rFonts w:cs="David"/>
          <w:sz w:val="14"/>
          <w:szCs w:val="16"/>
          <w:vertAlign w:val="baseline"/>
          <w:rtl/>
        </w:rPr>
        <w:t>קרימינולוג (מ"א), מרכז בכיר תחום מחקר נציבות שוויון הזדמנויות בעבודה, משרד העבודה, הרווחה והשירותים החברתיים</w:t>
      </w:r>
    </w:p>
    <w:p w14:paraId="1C95175B" w14:textId="77777777" w:rsidR="00F61766" w:rsidRPr="00772E76" w:rsidRDefault="00F61766" w:rsidP="00CA19EA">
      <w:pPr>
        <w:pStyle w:val="FootnoteText"/>
        <w:keepLines/>
        <w:spacing w:line="200" w:lineRule="exact"/>
        <w:ind w:left="397" w:hanging="397"/>
        <w:jc w:val="both"/>
        <w:rPr>
          <w:rStyle w:val="FootnoteReference"/>
          <w:rFonts w:cs="David"/>
          <w:sz w:val="14"/>
          <w:szCs w:val="16"/>
          <w:vertAlign w:val="baseline"/>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7C2479E1"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CA19EA">
      <w:rPr>
        <w:rFonts w:ascii="David" w:hAnsi="David" w:cs="David"/>
        <w:noProof/>
        <w:sz w:val="24"/>
        <w:szCs w:val="24"/>
        <w:rtl/>
      </w:rPr>
      <w:t>8</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AC3F0C">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5A025CD5" w:rsidR="007667D8" w:rsidRPr="00CA633F" w:rsidRDefault="004F0F97" w:rsidP="00446E1E">
    <w:pPr>
      <w:pStyle w:val="Heading1"/>
      <w:tabs>
        <w:tab w:val="center" w:pos="4536"/>
        <w:tab w:val="right" w:pos="9072"/>
      </w:tabs>
      <w:jc w:val="right"/>
      <w:rPr>
        <w:rFonts w:ascii="David" w:hAnsi="David" w:cs="David"/>
        <w:b w:val="0"/>
        <w:bCs w:val="0"/>
        <w:noProof/>
        <w:color w:val="A6A6A6"/>
        <w:sz w:val="20"/>
        <w:szCs w:val="20"/>
      </w:rPr>
    </w:pPr>
    <w:r w:rsidRPr="004F0F97">
      <w:rPr>
        <w:rFonts w:ascii="David" w:hAnsi="David" w:cs="David"/>
        <w:b w:val="0"/>
        <w:bCs w:val="0"/>
        <w:noProof/>
        <w:sz w:val="18"/>
        <w:szCs w:val="18"/>
        <w:rtl/>
      </w:rPr>
      <w:t>על חלקה של התקשורת בתפיסת המסוכנות של חולי נפש</w:t>
    </w:r>
    <w:r w:rsidR="00772E76" w:rsidRPr="00772E76">
      <w:rPr>
        <w:rFonts w:ascii="David" w:hAnsi="David" w:cs="David"/>
        <w:b w:val="0"/>
        <w:bCs w:val="0"/>
        <w:noProof/>
        <w:sz w:val="18"/>
        <w:szCs w:val="18"/>
        <w:rtl/>
      </w:rPr>
      <w:t xml:space="preserve"> - מאמר דעה</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CA19EA">
      <w:rPr>
        <w:rFonts w:ascii="David" w:hAnsi="David" w:cs="David"/>
        <w:noProof/>
        <w:sz w:val="24"/>
        <w:szCs w:val="24"/>
        <w:rtl/>
      </w:rPr>
      <w:t>7</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1E64A3F4"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F1A33"/>
    <w:multiLevelType w:val="hybridMultilevel"/>
    <w:tmpl w:val="89A4F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24"/>
  </w:num>
  <w:num w:numId="4">
    <w:abstractNumId w:val="21"/>
  </w:num>
  <w:num w:numId="5">
    <w:abstractNumId w:val="7"/>
  </w:num>
  <w:num w:numId="6">
    <w:abstractNumId w:val="20"/>
  </w:num>
  <w:num w:numId="7">
    <w:abstractNumId w:val="14"/>
  </w:num>
  <w:num w:numId="8">
    <w:abstractNumId w:val="0"/>
  </w:num>
  <w:num w:numId="9">
    <w:abstractNumId w:val="6"/>
  </w:num>
  <w:num w:numId="10">
    <w:abstractNumId w:val="23"/>
  </w:num>
  <w:num w:numId="11">
    <w:abstractNumId w:val="22"/>
  </w:num>
  <w:num w:numId="12">
    <w:abstractNumId w:val="18"/>
  </w:num>
  <w:num w:numId="13">
    <w:abstractNumId w:val="10"/>
  </w:num>
  <w:num w:numId="14">
    <w:abstractNumId w:val="5"/>
  </w:num>
  <w:num w:numId="15">
    <w:abstractNumId w:val="9"/>
  </w:num>
  <w:num w:numId="16">
    <w:abstractNumId w:val="3"/>
  </w:num>
  <w:num w:numId="17">
    <w:abstractNumId w:val="25"/>
  </w:num>
  <w:num w:numId="18">
    <w:abstractNumId w:val="19"/>
  </w:num>
  <w:num w:numId="19">
    <w:abstractNumId w:val="8"/>
  </w:num>
  <w:num w:numId="20">
    <w:abstractNumId w:val="2"/>
  </w:num>
  <w:num w:numId="21">
    <w:abstractNumId w:val="1"/>
  </w:num>
  <w:num w:numId="22">
    <w:abstractNumId w:val="4"/>
  </w:num>
  <w:num w:numId="23">
    <w:abstractNumId w:val="16"/>
  </w:num>
  <w:num w:numId="24">
    <w:abstractNumId w:val="11"/>
  </w:num>
  <w:num w:numId="25">
    <w:abstractNumId w:val="1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42A45"/>
    <w:rsid w:val="000527DB"/>
    <w:rsid w:val="00053FEE"/>
    <w:rsid w:val="000552ED"/>
    <w:rsid w:val="000660A4"/>
    <w:rsid w:val="000A3731"/>
    <w:rsid w:val="000C13C4"/>
    <w:rsid w:val="000C236E"/>
    <w:rsid w:val="000C32F6"/>
    <w:rsid w:val="000C46CB"/>
    <w:rsid w:val="000E38FA"/>
    <w:rsid w:val="000E730A"/>
    <w:rsid w:val="000F1382"/>
    <w:rsid w:val="000F7FCC"/>
    <w:rsid w:val="00111FEC"/>
    <w:rsid w:val="0011630C"/>
    <w:rsid w:val="00126BBB"/>
    <w:rsid w:val="001403E5"/>
    <w:rsid w:val="00152DDF"/>
    <w:rsid w:val="00160BCD"/>
    <w:rsid w:val="00164AB3"/>
    <w:rsid w:val="001850A5"/>
    <w:rsid w:val="0018721E"/>
    <w:rsid w:val="00192386"/>
    <w:rsid w:val="001A0002"/>
    <w:rsid w:val="001D2C96"/>
    <w:rsid w:val="002044C6"/>
    <w:rsid w:val="00224C6A"/>
    <w:rsid w:val="00227591"/>
    <w:rsid w:val="00234C6B"/>
    <w:rsid w:val="002519BC"/>
    <w:rsid w:val="00272B00"/>
    <w:rsid w:val="002A7061"/>
    <w:rsid w:val="002C43B9"/>
    <w:rsid w:val="002C45DF"/>
    <w:rsid w:val="002D1E69"/>
    <w:rsid w:val="002F0EE3"/>
    <w:rsid w:val="00303665"/>
    <w:rsid w:val="003151B1"/>
    <w:rsid w:val="00317DCD"/>
    <w:rsid w:val="00336EF9"/>
    <w:rsid w:val="003470E3"/>
    <w:rsid w:val="00360F01"/>
    <w:rsid w:val="00366738"/>
    <w:rsid w:val="00374196"/>
    <w:rsid w:val="00395EC5"/>
    <w:rsid w:val="003B537C"/>
    <w:rsid w:val="003C255E"/>
    <w:rsid w:val="003C3C55"/>
    <w:rsid w:val="003D1152"/>
    <w:rsid w:val="003D16D1"/>
    <w:rsid w:val="003D4AF9"/>
    <w:rsid w:val="00401641"/>
    <w:rsid w:val="00405788"/>
    <w:rsid w:val="004112B2"/>
    <w:rsid w:val="00416142"/>
    <w:rsid w:val="00424C06"/>
    <w:rsid w:val="00433DFB"/>
    <w:rsid w:val="00446E1E"/>
    <w:rsid w:val="004543DB"/>
    <w:rsid w:val="0045651F"/>
    <w:rsid w:val="0046547D"/>
    <w:rsid w:val="00466666"/>
    <w:rsid w:val="00471658"/>
    <w:rsid w:val="004735F5"/>
    <w:rsid w:val="004A71EC"/>
    <w:rsid w:val="004C47F0"/>
    <w:rsid w:val="004F0F97"/>
    <w:rsid w:val="00512B59"/>
    <w:rsid w:val="00514F6D"/>
    <w:rsid w:val="00527001"/>
    <w:rsid w:val="005368B8"/>
    <w:rsid w:val="005416E9"/>
    <w:rsid w:val="005619D8"/>
    <w:rsid w:val="0059386B"/>
    <w:rsid w:val="005B6002"/>
    <w:rsid w:val="005D5F14"/>
    <w:rsid w:val="005F635C"/>
    <w:rsid w:val="00606992"/>
    <w:rsid w:val="006131D1"/>
    <w:rsid w:val="006154FA"/>
    <w:rsid w:val="0062321C"/>
    <w:rsid w:val="006358E3"/>
    <w:rsid w:val="0065160D"/>
    <w:rsid w:val="00652D7C"/>
    <w:rsid w:val="0065797B"/>
    <w:rsid w:val="00657997"/>
    <w:rsid w:val="00667C9E"/>
    <w:rsid w:val="00671EDF"/>
    <w:rsid w:val="006824DB"/>
    <w:rsid w:val="00683B19"/>
    <w:rsid w:val="006A07E8"/>
    <w:rsid w:val="006A5C0E"/>
    <w:rsid w:val="006B39AB"/>
    <w:rsid w:val="006C5886"/>
    <w:rsid w:val="006C5BE6"/>
    <w:rsid w:val="006D0F89"/>
    <w:rsid w:val="006D270A"/>
    <w:rsid w:val="006E0F39"/>
    <w:rsid w:val="006E114C"/>
    <w:rsid w:val="006F062C"/>
    <w:rsid w:val="00707EC7"/>
    <w:rsid w:val="007178F3"/>
    <w:rsid w:val="00721527"/>
    <w:rsid w:val="007240DD"/>
    <w:rsid w:val="00733272"/>
    <w:rsid w:val="007377A3"/>
    <w:rsid w:val="007667D8"/>
    <w:rsid w:val="0076739A"/>
    <w:rsid w:val="00772E76"/>
    <w:rsid w:val="0077610E"/>
    <w:rsid w:val="00776EE2"/>
    <w:rsid w:val="00782E0D"/>
    <w:rsid w:val="00796021"/>
    <w:rsid w:val="007A6CDA"/>
    <w:rsid w:val="007B7399"/>
    <w:rsid w:val="007C7168"/>
    <w:rsid w:val="007C726C"/>
    <w:rsid w:val="007D59DF"/>
    <w:rsid w:val="007F29C9"/>
    <w:rsid w:val="008243A6"/>
    <w:rsid w:val="00837F2F"/>
    <w:rsid w:val="00840D01"/>
    <w:rsid w:val="0084161C"/>
    <w:rsid w:val="00890312"/>
    <w:rsid w:val="008A4FAD"/>
    <w:rsid w:val="008D4C2C"/>
    <w:rsid w:val="008F7821"/>
    <w:rsid w:val="009023FC"/>
    <w:rsid w:val="009041F4"/>
    <w:rsid w:val="0090645A"/>
    <w:rsid w:val="00913099"/>
    <w:rsid w:val="00916371"/>
    <w:rsid w:val="00921795"/>
    <w:rsid w:val="009400E3"/>
    <w:rsid w:val="009465AD"/>
    <w:rsid w:val="009522CA"/>
    <w:rsid w:val="009533A1"/>
    <w:rsid w:val="00956C10"/>
    <w:rsid w:val="009B0512"/>
    <w:rsid w:val="009B53E8"/>
    <w:rsid w:val="009C5E89"/>
    <w:rsid w:val="009D2BFE"/>
    <w:rsid w:val="009D7325"/>
    <w:rsid w:val="009E30A1"/>
    <w:rsid w:val="00A04D35"/>
    <w:rsid w:val="00A17DA2"/>
    <w:rsid w:val="00A27C04"/>
    <w:rsid w:val="00A36D7F"/>
    <w:rsid w:val="00A41FB6"/>
    <w:rsid w:val="00A6479A"/>
    <w:rsid w:val="00A6755B"/>
    <w:rsid w:val="00A73CF4"/>
    <w:rsid w:val="00A910EE"/>
    <w:rsid w:val="00A953FC"/>
    <w:rsid w:val="00A95F73"/>
    <w:rsid w:val="00AC3F0C"/>
    <w:rsid w:val="00AE03A0"/>
    <w:rsid w:val="00AE0A3D"/>
    <w:rsid w:val="00AE31E1"/>
    <w:rsid w:val="00AF7379"/>
    <w:rsid w:val="00B03D1D"/>
    <w:rsid w:val="00B045C9"/>
    <w:rsid w:val="00B23956"/>
    <w:rsid w:val="00B468E5"/>
    <w:rsid w:val="00B648D2"/>
    <w:rsid w:val="00B81818"/>
    <w:rsid w:val="00B86148"/>
    <w:rsid w:val="00BC1FB3"/>
    <w:rsid w:val="00C21D47"/>
    <w:rsid w:val="00C2342E"/>
    <w:rsid w:val="00C36941"/>
    <w:rsid w:val="00C36CE5"/>
    <w:rsid w:val="00C44CE1"/>
    <w:rsid w:val="00C456EB"/>
    <w:rsid w:val="00C46742"/>
    <w:rsid w:val="00C93533"/>
    <w:rsid w:val="00CA19EA"/>
    <w:rsid w:val="00CA56D2"/>
    <w:rsid w:val="00CA5B5A"/>
    <w:rsid w:val="00CA633F"/>
    <w:rsid w:val="00CA7399"/>
    <w:rsid w:val="00CA7495"/>
    <w:rsid w:val="00CD593B"/>
    <w:rsid w:val="00CF5FCA"/>
    <w:rsid w:val="00CF7A4A"/>
    <w:rsid w:val="00D20154"/>
    <w:rsid w:val="00D20DE5"/>
    <w:rsid w:val="00D21D40"/>
    <w:rsid w:val="00D614D3"/>
    <w:rsid w:val="00D73C8D"/>
    <w:rsid w:val="00D92080"/>
    <w:rsid w:val="00D9338F"/>
    <w:rsid w:val="00D94E6C"/>
    <w:rsid w:val="00DA1730"/>
    <w:rsid w:val="00DA26AC"/>
    <w:rsid w:val="00DB2F51"/>
    <w:rsid w:val="00DD08CB"/>
    <w:rsid w:val="00DF30C9"/>
    <w:rsid w:val="00DF330D"/>
    <w:rsid w:val="00E14513"/>
    <w:rsid w:val="00E61D38"/>
    <w:rsid w:val="00E94167"/>
    <w:rsid w:val="00E95DB4"/>
    <w:rsid w:val="00ED3C01"/>
    <w:rsid w:val="00ED6F02"/>
    <w:rsid w:val="00EF07B4"/>
    <w:rsid w:val="00EF47E9"/>
    <w:rsid w:val="00F0418C"/>
    <w:rsid w:val="00F20863"/>
    <w:rsid w:val="00F20E96"/>
    <w:rsid w:val="00F216E0"/>
    <w:rsid w:val="00F22E88"/>
    <w:rsid w:val="00F243ED"/>
    <w:rsid w:val="00F3107D"/>
    <w:rsid w:val="00F32B2F"/>
    <w:rsid w:val="00F61766"/>
    <w:rsid w:val="00F70364"/>
    <w:rsid w:val="00F76E57"/>
    <w:rsid w:val="00F84B24"/>
    <w:rsid w:val="00FA0917"/>
    <w:rsid w:val="00FB4B8A"/>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B9E3483CB7A0484EBFAAF160C2AAC6DA" ma:contentTypeVersion="1" ma:contentTypeDescription="צור מסמך חדש." ma:contentTypeScope="" ma:versionID="f404ee671278b1abbb26cbc471351842">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467A57-BAAC-4912-9978-269DBDD5D85D}">
  <ds:schemaRefs>
    <ds:schemaRef ds:uri="http://schemas.openxmlformats.org/officeDocument/2006/bibliography"/>
  </ds:schemaRefs>
</ds:datastoreItem>
</file>

<file path=customXml/itemProps2.xml><?xml version="1.0" encoding="utf-8"?>
<ds:datastoreItem xmlns:ds="http://schemas.openxmlformats.org/officeDocument/2006/customXml" ds:itemID="{A14A25D8-EFB2-4A23-86FB-8D4FFFC63803}"/>
</file>

<file path=customXml/itemProps3.xml><?xml version="1.0" encoding="utf-8"?>
<ds:datastoreItem xmlns:ds="http://schemas.openxmlformats.org/officeDocument/2006/customXml" ds:itemID="{53736466-9AD5-4275-9DC8-06DD2471AD3D}"/>
</file>

<file path=customXml/itemProps4.xml><?xml version="1.0" encoding="utf-8"?>
<ds:datastoreItem xmlns:ds="http://schemas.openxmlformats.org/officeDocument/2006/customXml" ds:itemID="{E40D0262-0AC3-48D8-9FE4-35EF487BAA70}"/>
</file>

<file path=docProps/app.xml><?xml version="1.0" encoding="utf-8"?>
<Properties xmlns="http://schemas.openxmlformats.org/officeDocument/2006/extended-properties" xmlns:vt="http://schemas.openxmlformats.org/officeDocument/2006/docPropsVTypes">
  <Template>Normal</Template>
  <TotalTime>36</TotalTime>
  <Pages>8</Pages>
  <Words>2293</Words>
  <Characters>13075</Characters>
  <Application>Microsoft Office Word</Application>
  <DocSecurity>0</DocSecurity>
  <Lines>108</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Onit Computer Services Ltd</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onit.mf@gmail.com</cp:lastModifiedBy>
  <cp:revision>15</cp:revision>
  <cp:lastPrinted>2020-01-02T10:11:00Z</cp:lastPrinted>
  <dcterms:created xsi:type="dcterms:W3CDTF">2021-07-06T13:23:00Z</dcterms:created>
  <dcterms:modified xsi:type="dcterms:W3CDTF">2021-09-02T09:46:00Z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0x010100B9E3483CB7A0484EBFAAF160C2AAC6DA</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