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65665" w14:textId="380D4B90" w:rsidR="00452401" w:rsidRPr="00452401" w:rsidRDefault="00452401" w:rsidP="00452401">
      <w:pPr>
        <w:pStyle w:val="NAME"/>
        <w:pBdr>
          <w:bottom w:val="none" w:sz="0" w:space="0" w:color="auto"/>
        </w:pBdr>
        <w:spacing w:before="1080" w:after="300" w:line="360" w:lineRule="atLeast"/>
        <w:jc w:val="left"/>
        <w:rPr>
          <w:rFonts w:ascii="Tahoma" w:hAnsi="Tahoma" w:cs="Guttman Aharoni"/>
          <w:b/>
          <w:bCs/>
          <w:color w:val="00B0F0"/>
          <w:sz w:val="36"/>
          <w:szCs w:val="36"/>
        </w:rPr>
      </w:pPr>
      <w:bookmarkStart w:id="0" w:name="_Hlk79930770"/>
      <w:r w:rsidRPr="00452401">
        <w:rPr>
          <w:rFonts w:ascii="Tahoma" w:hAnsi="Tahoma" w:cs="Guttman Aharoni"/>
          <w:b/>
          <w:bCs/>
          <w:color w:val="00B0F0"/>
          <w:sz w:val="36"/>
          <w:szCs w:val="36"/>
          <w:rtl/>
        </w:rPr>
        <w:t>ירידת הפריון בחברה הבדואית בנגב במאה ה</w:t>
      </w:r>
      <w:r w:rsidRPr="00452401">
        <w:rPr>
          <w:rFonts w:ascii="David" w:hAnsi="David"/>
          <w:b/>
          <w:bCs/>
          <w:color w:val="00B0F0"/>
          <w:sz w:val="36"/>
          <w:szCs w:val="36"/>
          <w:rtl/>
        </w:rPr>
        <w:t>-</w:t>
      </w:r>
      <w:r w:rsidRPr="00452401">
        <w:rPr>
          <w:rFonts w:ascii="Tahoma" w:hAnsi="Tahoma" w:cs="Guttman Aharoni"/>
          <w:b/>
          <w:bCs/>
          <w:color w:val="00B0F0"/>
          <w:sz w:val="36"/>
          <w:szCs w:val="36"/>
          <w:rtl/>
        </w:rPr>
        <w:t>21</w:t>
      </w:r>
    </w:p>
    <w:p w14:paraId="2D4D4F83" w14:textId="15779321" w:rsidR="00452401" w:rsidRPr="00452401" w:rsidRDefault="00452401" w:rsidP="00492745">
      <w:pPr>
        <w:pStyle w:val="KOT5T"/>
        <w:spacing w:after="540" w:line="360" w:lineRule="exact"/>
        <w:ind w:right="0"/>
        <w:jc w:val="left"/>
        <w:rPr>
          <w:rFonts w:cs="Guttman Aharoni"/>
          <w:color w:val="00B0F0"/>
        </w:rPr>
      </w:pPr>
      <w:bookmarkStart w:id="1" w:name="_Hlk79930786"/>
      <w:bookmarkEnd w:id="0"/>
      <w:r w:rsidRPr="00452401">
        <w:rPr>
          <w:rFonts w:cs="Guttman Aharoni"/>
          <w:color w:val="00B0F0"/>
          <w:rtl/>
        </w:rPr>
        <w:t xml:space="preserve">נסר </w:t>
      </w:r>
      <w:r w:rsidR="00492745" w:rsidRPr="00452401">
        <w:rPr>
          <w:rFonts w:cs="Guttman Aharoni"/>
          <w:color w:val="00B0F0"/>
          <w:rtl/>
        </w:rPr>
        <w:t>אבו</w:t>
      </w:r>
      <w:r w:rsidR="00492745" w:rsidRPr="001E1DDF">
        <w:rPr>
          <w:rFonts w:ascii="David" w:hAnsi="David" w:cs="David"/>
          <w:color w:val="00B0F0"/>
          <w:rtl/>
        </w:rPr>
        <w:t>-</w:t>
      </w:r>
      <w:proofErr w:type="spellStart"/>
      <w:r w:rsidRPr="002A50C5">
        <w:rPr>
          <w:rFonts w:ascii="Guttman Aharoni" w:hAnsi="Guttman Aharoni" w:cs="Guttman Aharoni"/>
          <w:color w:val="00B0F0"/>
          <w:rtl/>
        </w:rPr>
        <w:t>סריחאן</w:t>
      </w:r>
      <w:proofErr w:type="spellEnd"/>
      <w:r w:rsidRPr="002A50C5">
        <w:rPr>
          <w:rFonts w:ascii="Guttman Aharoni" w:hAnsi="Guttman Aharoni" w:cs="Guttman Aharoni"/>
          <w:color w:val="00B0F0"/>
          <w:vertAlign w:val="superscript"/>
        </w:rPr>
        <w:footnoteReference w:id="2"/>
      </w:r>
      <w:r w:rsidRPr="002A50C5">
        <w:rPr>
          <w:rFonts w:ascii="Guttman Aharoni" w:hAnsi="Guttman Aharoni" w:cs="Guttman Aharoni"/>
          <w:color w:val="00B0F0"/>
          <w:rtl/>
        </w:rPr>
        <w:t xml:space="preserve"> ויונתן אנסון</w:t>
      </w:r>
      <w:r w:rsidR="00492745" w:rsidRPr="002A50C5">
        <w:rPr>
          <w:rStyle w:val="FootnoteReference"/>
          <w:rFonts w:ascii="Guttman Aharoni" w:hAnsi="Guttman Aharoni" w:cs="Guttman Aharoni"/>
          <w:color w:val="00B0F0"/>
        </w:rPr>
        <w:footnoteReference w:id="3"/>
      </w:r>
      <w:r w:rsidRPr="00452401">
        <w:rPr>
          <w:rFonts w:cs="Guttman Aharoni"/>
          <w:color w:val="00B0F0"/>
        </w:rPr>
        <w:t xml:space="preserve"> </w:t>
      </w:r>
    </w:p>
    <w:bookmarkEnd w:id="1"/>
    <w:p w14:paraId="09F020DF" w14:textId="77777777" w:rsidR="00452401" w:rsidRPr="00DB508D" w:rsidRDefault="00452401" w:rsidP="00DB508D">
      <w:pPr>
        <w:spacing w:after="180" w:line="280" w:lineRule="exact"/>
        <w:jc w:val="both"/>
        <w:rPr>
          <w:sz w:val="18"/>
          <w:szCs w:val="20"/>
        </w:rPr>
      </w:pPr>
      <w:r w:rsidRPr="00DB508D">
        <w:rPr>
          <w:sz w:val="18"/>
          <w:szCs w:val="20"/>
          <w:rtl/>
        </w:rPr>
        <w:t xml:space="preserve">בסוף המאה ה-20 הפריון בחברה הבדואית עמד על יותר מ-10 ילדים לאישה, והיה מהגבוהים בתולדות האנושות. בעשור הראשון למאה זו ירד הפריון בכמעט 50%, ומאז התייצב. מטרתנו במאמר זה היא לבחון את מהפכת הרבייה הזאת, ולברר כיצד קשורה הירידה בפריון לתמורות החברתיות בחברה: העלייה ברמת החיים, בהשכלה וביציאה לעבודה, בייחוד של נשים; המעבר להתיישבות עירונית לצד המשך החיים בכפרים הבלתי מוכרים, אך גם המציאות בשולי החברה הישראלית והעימותים המתמשכים עם מוסדות המדינה. </w:t>
      </w:r>
    </w:p>
    <w:p w14:paraId="5C29BB0A" w14:textId="5E52F9F8" w:rsidR="00452401" w:rsidRDefault="00452401" w:rsidP="001A1693">
      <w:pPr>
        <w:spacing w:after="180" w:line="280" w:lineRule="exact"/>
        <w:jc w:val="both"/>
        <w:rPr>
          <w:sz w:val="18"/>
          <w:szCs w:val="20"/>
        </w:rPr>
      </w:pPr>
      <w:r w:rsidRPr="00DB508D">
        <w:rPr>
          <w:sz w:val="18"/>
          <w:szCs w:val="20"/>
          <w:rtl/>
        </w:rPr>
        <w:t>ב-1948 איבדה החברה הבדואית בנגב</w:t>
      </w:r>
      <w:r w:rsidRPr="00DB508D">
        <w:rPr>
          <w:color w:val="FF0000"/>
          <w:sz w:val="18"/>
          <w:szCs w:val="20"/>
          <w:rtl/>
        </w:rPr>
        <w:t xml:space="preserve"> </w:t>
      </w:r>
      <w:r w:rsidRPr="00DB508D">
        <w:rPr>
          <w:sz w:val="18"/>
          <w:szCs w:val="20"/>
          <w:rtl/>
        </w:rPr>
        <w:t>כ-90% מאוכלוסייתה, ואלה שנותרו נעקרו לאדמות הצחיחות של מזרח הנגב. התוצאה הייתה הרס מוחלט של מקורות הקיום ושל הרשתות המשפחתיות המסורתיות. הבנייה מחדש התרחשה בתנאי היעדר פרנסה סדירה, תלות במדינה ומתחים בלתי</w:t>
      </w:r>
      <w:r w:rsidRPr="00DB508D">
        <w:rPr>
          <w:rFonts w:hint="cs"/>
          <w:sz w:val="18"/>
          <w:szCs w:val="20"/>
          <w:rtl/>
        </w:rPr>
        <w:t xml:space="preserve"> </w:t>
      </w:r>
      <w:r w:rsidRPr="00DB508D">
        <w:rPr>
          <w:sz w:val="18"/>
          <w:szCs w:val="20"/>
          <w:rtl/>
        </w:rPr>
        <w:t>פוסקים עימה, ותחרות בין השבטים והמשפחות. בתנאים אלה, נשים ופריונן נעשו משאב מרכזי במאבק להישרדות. במאה ה-21 גדל היקף השינויים החברתיים: שיעור גדל והולך מקרב האוכלוסייה עבר לגור ביישובים העירוניים, ורבים פנו להשכלה גבוהה ולעבודה במקצועות מודרניים. הילודה צנחה לפתע, אך נבלמה כעבור עשור. הניתוח מתבסס על נתונים</w:t>
      </w:r>
      <w:r w:rsidRPr="00DB508D">
        <w:rPr>
          <w:rFonts w:hint="cs"/>
          <w:sz w:val="18"/>
          <w:szCs w:val="20"/>
          <w:rtl/>
        </w:rPr>
        <w:t xml:space="preserve"> מהסקר החברתי-כלכלי שערכה אגודת הגליל בקרב האוכלוסייה הערבית בישראל </w:t>
      </w:r>
      <w:r w:rsidRPr="00DB508D">
        <w:rPr>
          <w:sz w:val="18"/>
          <w:szCs w:val="20"/>
          <w:rtl/>
        </w:rPr>
        <w:t>(</w:t>
      </w:r>
      <w:r w:rsidRPr="00DB508D">
        <w:rPr>
          <w:sz w:val="18"/>
          <w:szCs w:val="20"/>
        </w:rPr>
        <w:t>Sheikh-Muhammad, 2008</w:t>
      </w:r>
      <w:r w:rsidRPr="00DB508D">
        <w:rPr>
          <w:sz w:val="18"/>
          <w:szCs w:val="20"/>
          <w:rtl/>
        </w:rPr>
        <w:t>),</w:t>
      </w:r>
      <w:r w:rsidRPr="00DB508D">
        <w:rPr>
          <w:rFonts w:hint="cs"/>
          <w:sz w:val="18"/>
          <w:szCs w:val="20"/>
          <w:rtl/>
        </w:rPr>
        <w:t xml:space="preserve"> </w:t>
      </w:r>
      <w:r w:rsidRPr="00DB508D">
        <w:rPr>
          <w:sz w:val="18"/>
          <w:szCs w:val="20"/>
          <w:rtl/>
        </w:rPr>
        <w:t>והתמקדנו בו ב-491 נשים נשואות בגילים 18–52 מהיישובים המוכרים ומהכפרים הבלתי</w:t>
      </w:r>
      <w:r w:rsidRPr="00DB508D">
        <w:rPr>
          <w:rFonts w:hint="cs"/>
          <w:sz w:val="18"/>
          <w:szCs w:val="20"/>
          <w:rtl/>
        </w:rPr>
        <w:t xml:space="preserve"> </w:t>
      </w:r>
      <w:r w:rsidRPr="00DB508D">
        <w:rPr>
          <w:sz w:val="18"/>
          <w:szCs w:val="20"/>
          <w:rtl/>
        </w:rPr>
        <w:t xml:space="preserve">מוכרים בנגב. בניכוי השפעות הגיל, הגורמים העיקריים </w:t>
      </w:r>
      <w:r w:rsidRPr="00DB508D">
        <w:rPr>
          <w:rFonts w:hint="cs"/>
          <w:sz w:val="18"/>
          <w:szCs w:val="20"/>
          <w:rtl/>
        </w:rPr>
        <w:t>שהשפיעו על הילודה היו השכלה על-תיכונית</w:t>
      </w:r>
      <w:r w:rsidR="001A1693">
        <w:rPr>
          <w:rFonts w:hint="cs"/>
          <w:sz w:val="18"/>
          <w:szCs w:val="20"/>
          <w:rtl/>
        </w:rPr>
        <w:t>,</w:t>
      </w:r>
      <w:r w:rsidRPr="00DB508D">
        <w:rPr>
          <w:rFonts w:hint="cs"/>
          <w:sz w:val="18"/>
          <w:szCs w:val="20"/>
          <w:rtl/>
        </w:rPr>
        <w:t xml:space="preserve"> עימותים עם הממשל ורמת </w:t>
      </w:r>
      <w:r w:rsidR="001A1693">
        <w:rPr>
          <w:rFonts w:hint="cs"/>
          <w:sz w:val="18"/>
          <w:szCs w:val="20"/>
          <w:rtl/>
        </w:rPr>
        <w:t>ה</w:t>
      </w:r>
      <w:r w:rsidRPr="00DB508D">
        <w:rPr>
          <w:rFonts w:hint="cs"/>
          <w:sz w:val="18"/>
          <w:szCs w:val="20"/>
          <w:rtl/>
        </w:rPr>
        <w:t xml:space="preserve">חיים: </w:t>
      </w:r>
      <w:r w:rsidRPr="00DB508D">
        <w:rPr>
          <w:rFonts w:hint="cs"/>
          <w:sz w:val="18"/>
          <w:szCs w:val="20"/>
          <w:rtl/>
        </w:rPr>
        <w:lastRenderedPageBreak/>
        <w:t>ככל שההשכלה הייתה גבוהה יותר, והעימותים עם הממשל חריפים יותר</w:t>
      </w:r>
      <w:r w:rsidR="00591903" w:rsidRPr="00DB508D">
        <w:rPr>
          <w:rFonts w:hint="cs"/>
          <w:sz w:val="18"/>
          <w:szCs w:val="20"/>
          <w:rtl/>
        </w:rPr>
        <w:t>,</w:t>
      </w:r>
      <w:r w:rsidRPr="00DB508D">
        <w:rPr>
          <w:rFonts w:hint="cs"/>
          <w:sz w:val="18"/>
          <w:szCs w:val="20"/>
          <w:rtl/>
        </w:rPr>
        <w:t xml:space="preserve"> כך ירדה הילודה, וככל שרמת החיים הייתה גבוהה יותר כך עלתה הילודה.</w:t>
      </w:r>
    </w:p>
    <w:p w14:paraId="302A2779" w14:textId="77777777" w:rsidR="001E1DDF" w:rsidRPr="00DB508D" w:rsidRDefault="001E1DDF" w:rsidP="001A1693">
      <w:pPr>
        <w:spacing w:after="180" w:line="280" w:lineRule="exact"/>
        <w:jc w:val="both"/>
        <w:rPr>
          <w:sz w:val="18"/>
          <w:szCs w:val="20"/>
          <w:rtl/>
        </w:rPr>
      </w:pPr>
    </w:p>
    <w:p w14:paraId="43D95F0C" w14:textId="77777777" w:rsidR="00452401" w:rsidRPr="00DB508D" w:rsidRDefault="00452401" w:rsidP="00156EEE">
      <w:pPr>
        <w:spacing w:after="180" w:line="280" w:lineRule="exact"/>
        <w:jc w:val="both"/>
        <w:rPr>
          <w:color w:val="000000"/>
          <w:sz w:val="18"/>
          <w:szCs w:val="20"/>
        </w:rPr>
      </w:pPr>
      <w:r w:rsidRPr="00DB508D">
        <w:rPr>
          <w:bCs/>
          <w:color w:val="000000"/>
          <w:sz w:val="18"/>
          <w:szCs w:val="20"/>
          <w:rtl/>
        </w:rPr>
        <w:t>מילות מפתח:</w:t>
      </w:r>
      <w:r w:rsidRPr="00DB508D">
        <w:rPr>
          <w:color w:val="000000"/>
          <w:sz w:val="18"/>
          <w:szCs w:val="20"/>
          <w:rtl/>
        </w:rPr>
        <w:t xml:space="preserve"> פריון, החברה הבדואית בנגב, המעבר הדמוגרפי, מהפכת הרבייה </w:t>
      </w:r>
    </w:p>
    <w:p w14:paraId="052032B8" w14:textId="5FC9E236" w:rsidR="00452401" w:rsidRDefault="00452401" w:rsidP="00DB508D">
      <w:pPr>
        <w:spacing w:after="180" w:line="280" w:lineRule="exact"/>
        <w:jc w:val="both"/>
        <w:rPr>
          <w:b/>
          <w:sz w:val="18"/>
          <w:szCs w:val="20"/>
        </w:rPr>
      </w:pPr>
    </w:p>
    <w:p w14:paraId="5EF81CD7" w14:textId="77777777" w:rsidR="00C93D60" w:rsidRPr="00C93D60" w:rsidRDefault="00C93D60" w:rsidP="00DB508D">
      <w:pPr>
        <w:spacing w:after="180" w:line="280" w:lineRule="exact"/>
        <w:jc w:val="both"/>
        <w:rPr>
          <w:b/>
          <w:sz w:val="18"/>
          <w:szCs w:val="20"/>
        </w:rPr>
      </w:pPr>
    </w:p>
    <w:p w14:paraId="3F466AC6" w14:textId="4AAF9A68" w:rsidR="00452401" w:rsidRPr="00452401" w:rsidRDefault="00452401" w:rsidP="00452401">
      <w:pPr>
        <w:pStyle w:val="KOT4"/>
        <w:spacing w:after="0"/>
        <w:ind w:left="397" w:right="0" w:hanging="397"/>
        <w:rPr>
          <w:rFonts w:cs="Guttman Aharoni"/>
          <w:color w:val="00B0F0"/>
          <w:sz w:val="32"/>
          <w:szCs w:val="32"/>
        </w:rPr>
      </w:pPr>
      <w:r w:rsidRPr="00452401">
        <w:rPr>
          <w:rFonts w:cs="Guttman Aharoni"/>
          <w:color w:val="00B0F0"/>
          <w:sz w:val="32"/>
          <w:szCs w:val="32"/>
          <w:rtl/>
        </w:rPr>
        <w:t xml:space="preserve">1. </w:t>
      </w:r>
      <w:r w:rsidRPr="00452401">
        <w:rPr>
          <w:rFonts w:cs="Guttman Aharoni"/>
          <w:color w:val="00B0F0"/>
          <w:sz w:val="32"/>
          <w:szCs w:val="32"/>
        </w:rPr>
        <w:tab/>
      </w:r>
      <w:r w:rsidRPr="00452401">
        <w:rPr>
          <w:rFonts w:cs="Guttman Aharoni"/>
          <w:color w:val="00B0F0"/>
          <w:sz w:val="32"/>
          <w:szCs w:val="32"/>
          <w:rtl/>
        </w:rPr>
        <w:t>מבוא</w:t>
      </w:r>
    </w:p>
    <w:p w14:paraId="0B7B1509" w14:textId="15700A5B" w:rsidR="00452401" w:rsidRPr="00DB508D" w:rsidRDefault="00452401" w:rsidP="009D2943">
      <w:pPr>
        <w:spacing w:after="180" w:line="280" w:lineRule="exact"/>
        <w:jc w:val="both"/>
        <w:rPr>
          <w:sz w:val="18"/>
          <w:szCs w:val="20"/>
        </w:rPr>
      </w:pPr>
      <w:r w:rsidRPr="00DB508D">
        <w:rPr>
          <w:sz w:val="18"/>
          <w:szCs w:val="20"/>
          <w:rtl/>
        </w:rPr>
        <w:t>במשך שנים רבות שמרה החברה הבדואית בנגב על שיעורי פריון מהגבוהים בעולם.</w:t>
      </w:r>
      <w:r w:rsidRPr="00DB508D">
        <w:rPr>
          <w:sz w:val="18"/>
          <w:szCs w:val="20"/>
          <w:vertAlign w:val="superscript"/>
          <w:rtl/>
        </w:rPr>
        <w:footnoteReference w:id="4"/>
      </w:r>
      <w:r w:rsidRPr="00DB508D">
        <w:rPr>
          <w:sz w:val="18"/>
          <w:szCs w:val="20"/>
          <w:rtl/>
        </w:rPr>
        <w:t xml:space="preserve"> אלה הגיעו בשנת 1998 לשיא של יותר מ-10 ילדים לאישה (פריון כולל),</w:t>
      </w:r>
      <w:r w:rsidRPr="00DB508D">
        <w:rPr>
          <w:sz w:val="18"/>
          <w:szCs w:val="20"/>
          <w:vertAlign w:val="superscript"/>
          <w:rtl/>
        </w:rPr>
        <w:footnoteReference w:id="5"/>
      </w:r>
      <w:r w:rsidRPr="00DB508D">
        <w:rPr>
          <w:sz w:val="18"/>
          <w:szCs w:val="20"/>
          <w:rtl/>
        </w:rPr>
        <w:t xml:space="preserve"> לעומת 4.09 בקרב המוסלמים במחוז הצפון, 2.62 בקרב הנוצרים, 3.1 בקרב הדרוזים, 2.67 בקרב היהודים </w:t>
      </w:r>
      <w:r w:rsidR="00156EEE">
        <w:rPr>
          <w:sz w:val="18"/>
          <w:szCs w:val="20"/>
          <w:rtl/>
        </w:rPr>
        <w:br/>
      </w:r>
      <w:r w:rsidRPr="00DB508D">
        <w:rPr>
          <w:sz w:val="18"/>
          <w:szCs w:val="20"/>
          <w:rtl/>
        </w:rPr>
        <w:t xml:space="preserve">ו-2.98 בממוצע הארצי באותה שנה (הלשכה המרכזית לסטטיסטיקה, 1999). בעשור הראשון של המאה ה-21 ירד הפריון בקרוב ל-50%, עד לרמה של 5.55 ילדים בשנת 2011, ובשנים 2012–2018 התייצבו שיעורי הפריון על 5.4–5.8 ילדים לאישה. </w:t>
      </w:r>
    </w:p>
    <w:p w14:paraId="0BE2AB5A" w14:textId="30CA27E0" w:rsidR="00452401" w:rsidRPr="00DB508D" w:rsidRDefault="00452401" w:rsidP="009D2943">
      <w:pPr>
        <w:spacing w:after="180" w:line="280" w:lineRule="exact"/>
        <w:jc w:val="both"/>
        <w:rPr>
          <w:sz w:val="18"/>
          <w:szCs w:val="20"/>
        </w:rPr>
      </w:pPr>
      <w:r w:rsidRPr="00DB508D">
        <w:rPr>
          <w:sz w:val="18"/>
          <w:szCs w:val="20"/>
          <w:rtl/>
        </w:rPr>
        <w:t>מאז אמצע המאה ה-18 הביאו תהליכי המודרניזציה בעולם המודרני, התיעוש, העיור והתפתחותה של כלכלת השוק לצמצום ניכר בילודה (</w:t>
      </w:r>
      <w:r w:rsidRPr="00DB508D">
        <w:rPr>
          <w:sz w:val="18"/>
          <w:szCs w:val="20"/>
        </w:rPr>
        <w:t>Davis, 1963; Friedlander, 1969; Mosher, 1980</w:t>
      </w:r>
      <w:r w:rsidRPr="00DB508D">
        <w:rPr>
          <w:sz w:val="18"/>
          <w:szCs w:val="20"/>
          <w:rtl/>
        </w:rPr>
        <w:t>). במדינות רבות בעולם ירדו שיעורי הילודה אל מתחת לשיעור התחלופה</w:t>
      </w:r>
      <w:r w:rsidRPr="00DB508D">
        <w:rPr>
          <w:sz w:val="18"/>
          <w:szCs w:val="20"/>
          <w:vertAlign w:val="superscript"/>
          <w:rtl/>
        </w:rPr>
        <w:footnoteReference w:id="6"/>
      </w:r>
      <w:r w:rsidRPr="00DB508D">
        <w:rPr>
          <w:sz w:val="18"/>
          <w:szCs w:val="20"/>
          <w:rtl/>
        </w:rPr>
        <w:t xml:space="preserve"> (2.1 ילדים לאישה), ואף לרמות הנמוכות ביותר (</w:t>
      </w:r>
      <w:r w:rsidRPr="00DB508D">
        <w:rPr>
          <w:sz w:val="18"/>
          <w:szCs w:val="20"/>
        </w:rPr>
        <w:t>lowest-low fertility</w:t>
      </w:r>
      <w:r w:rsidRPr="00DB508D">
        <w:rPr>
          <w:sz w:val="18"/>
          <w:szCs w:val="20"/>
          <w:rtl/>
        </w:rPr>
        <w:t>) הידועות בספרות העוסקת בדמוגרפיה – כ-1.3 ילדים לאיש</w:t>
      </w:r>
      <w:r w:rsidR="009D2943">
        <w:rPr>
          <w:rFonts w:hint="cs"/>
          <w:sz w:val="18"/>
          <w:szCs w:val="20"/>
          <w:rtl/>
        </w:rPr>
        <w:t>ה</w:t>
      </w:r>
      <w:r w:rsidRPr="00DB508D">
        <w:rPr>
          <w:rFonts w:hint="cs"/>
          <w:sz w:val="18"/>
          <w:szCs w:val="20"/>
          <w:rtl/>
        </w:rPr>
        <w:t xml:space="preserve"> (</w:t>
      </w:r>
      <w:proofErr w:type="spellStart"/>
      <w:r w:rsidRPr="00DB508D">
        <w:rPr>
          <w:sz w:val="18"/>
          <w:szCs w:val="20"/>
        </w:rPr>
        <w:t>Billari</w:t>
      </w:r>
      <w:proofErr w:type="spellEnd"/>
      <w:r w:rsidRPr="00DB508D">
        <w:rPr>
          <w:sz w:val="18"/>
          <w:szCs w:val="20"/>
        </w:rPr>
        <w:t xml:space="preserve"> &amp; Kohler, 2004; Kohler, </w:t>
      </w:r>
      <w:proofErr w:type="spellStart"/>
      <w:r w:rsidRPr="00DB508D">
        <w:rPr>
          <w:sz w:val="18"/>
          <w:szCs w:val="20"/>
        </w:rPr>
        <w:t>Billari</w:t>
      </w:r>
      <w:proofErr w:type="spellEnd"/>
      <w:r w:rsidRPr="00DB508D">
        <w:rPr>
          <w:sz w:val="18"/>
          <w:szCs w:val="20"/>
        </w:rPr>
        <w:t>, &amp; Ortega, 2006</w:t>
      </w:r>
      <w:r w:rsidRPr="00DB508D">
        <w:rPr>
          <w:rFonts w:hint="cs"/>
          <w:sz w:val="18"/>
          <w:szCs w:val="20"/>
          <w:rtl/>
        </w:rPr>
        <w:t xml:space="preserve">). </w:t>
      </w:r>
      <w:r w:rsidRPr="00AF7CA3">
        <w:rPr>
          <w:b/>
          <w:bCs/>
          <w:sz w:val="18"/>
          <w:szCs w:val="20"/>
          <w:rtl/>
        </w:rPr>
        <w:t>תיאוריית המעבר הדמוגרפי</w:t>
      </w:r>
      <w:r w:rsidRPr="00DB508D">
        <w:rPr>
          <w:rFonts w:hint="cs"/>
          <w:sz w:val="18"/>
          <w:szCs w:val="20"/>
          <w:rtl/>
        </w:rPr>
        <w:t xml:space="preserve"> (</w:t>
      </w:r>
      <w:r w:rsidRPr="00DB508D">
        <w:rPr>
          <w:sz w:val="18"/>
          <w:szCs w:val="20"/>
        </w:rPr>
        <w:t>Demographic Transition Theory</w:t>
      </w:r>
      <w:r w:rsidRPr="00DB508D">
        <w:rPr>
          <w:rFonts w:hint="cs"/>
          <w:sz w:val="18"/>
          <w:szCs w:val="20"/>
          <w:rtl/>
        </w:rPr>
        <w:t xml:space="preserve">) </w:t>
      </w:r>
      <w:r w:rsidRPr="00DB508D">
        <w:rPr>
          <w:sz w:val="18"/>
          <w:szCs w:val="20"/>
          <w:rtl/>
        </w:rPr>
        <w:t>מניחה כי הירידה בפריון קשורה לשינויים המבניים בכלכלה ובחברה, ומושפעת מהפיתוח החברתי-כלכלי ומהלחץ שהירידה בתמותה יוצרת על</w:t>
      </w:r>
      <w:r w:rsidRPr="00DB508D">
        <w:rPr>
          <w:rFonts w:hint="cs"/>
          <w:sz w:val="18"/>
          <w:szCs w:val="20"/>
          <w:rtl/>
        </w:rPr>
        <w:t xml:space="preserve"> האוכלוסייה (</w:t>
      </w:r>
      <w:r w:rsidRPr="00DB508D">
        <w:rPr>
          <w:sz w:val="18"/>
          <w:szCs w:val="20"/>
        </w:rPr>
        <w:t xml:space="preserve">Chesnais, 1992; Emeka, 2006; Hirschman, 2001; Kirk, 1996; </w:t>
      </w:r>
      <w:proofErr w:type="spellStart"/>
      <w:r w:rsidRPr="00DB508D">
        <w:rPr>
          <w:sz w:val="18"/>
          <w:szCs w:val="20"/>
        </w:rPr>
        <w:t>Willekens</w:t>
      </w:r>
      <w:proofErr w:type="spellEnd"/>
      <w:r w:rsidRPr="00DB508D">
        <w:rPr>
          <w:sz w:val="18"/>
          <w:szCs w:val="20"/>
        </w:rPr>
        <w:t>, 2015</w:t>
      </w:r>
      <w:r w:rsidRPr="00DB508D">
        <w:rPr>
          <w:rFonts w:hint="cs"/>
          <w:sz w:val="18"/>
          <w:szCs w:val="20"/>
          <w:rtl/>
        </w:rPr>
        <w:t xml:space="preserve">). </w:t>
      </w:r>
      <w:r w:rsidRPr="00DB508D">
        <w:rPr>
          <w:sz w:val="18"/>
          <w:szCs w:val="20"/>
          <w:rtl/>
        </w:rPr>
        <w:t>גישות אחרות מדגישות כי הירידה בילודה נובעת אומנם ממגוון תהליכי</w:t>
      </w:r>
      <w:r w:rsidR="009D2943">
        <w:rPr>
          <w:rFonts w:hint="cs"/>
          <w:sz w:val="18"/>
          <w:szCs w:val="20"/>
          <w:rtl/>
        </w:rPr>
        <w:t>ם של</w:t>
      </w:r>
      <w:r w:rsidRPr="00DB508D">
        <w:rPr>
          <w:sz w:val="18"/>
          <w:szCs w:val="20"/>
          <w:rtl/>
        </w:rPr>
        <w:t xml:space="preserve"> שינוי חברתי</w:t>
      </w:r>
      <w:r w:rsidRPr="00DB508D">
        <w:rPr>
          <w:rFonts w:hint="cs"/>
          <w:sz w:val="18"/>
          <w:szCs w:val="20"/>
          <w:rtl/>
        </w:rPr>
        <w:t>,</w:t>
      </w:r>
      <w:r w:rsidRPr="00DB508D">
        <w:rPr>
          <w:sz w:val="18"/>
          <w:szCs w:val="20"/>
          <w:rtl/>
        </w:rPr>
        <w:t xml:space="preserve"> אך גם מעודדת ומאיצה אותם. בכך היא מהווה חלק ממהפכת רבייה (</w:t>
      </w:r>
      <w:r w:rsidRPr="00DB508D">
        <w:rPr>
          <w:sz w:val="18"/>
          <w:szCs w:val="20"/>
        </w:rPr>
        <w:t>reproductive revolution</w:t>
      </w:r>
      <w:r w:rsidRPr="00DB508D">
        <w:rPr>
          <w:sz w:val="18"/>
          <w:szCs w:val="20"/>
          <w:rtl/>
        </w:rPr>
        <w:t xml:space="preserve">) המשפיעה על מבנה המשפחה, היחסים בין </w:t>
      </w:r>
      <w:r w:rsidRPr="00DB508D">
        <w:rPr>
          <w:sz w:val="18"/>
          <w:szCs w:val="20"/>
          <w:rtl/>
        </w:rPr>
        <w:lastRenderedPageBreak/>
        <w:t>גברים לנשים, איכות החיים, אופ</w:t>
      </w:r>
      <w:r w:rsidRPr="00DB508D">
        <w:rPr>
          <w:rFonts w:hint="cs"/>
          <w:sz w:val="18"/>
          <w:szCs w:val="20"/>
          <w:rtl/>
        </w:rPr>
        <w:t xml:space="preserve">ן </w:t>
      </w:r>
      <w:r w:rsidRPr="00DB508D">
        <w:rPr>
          <w:sz w:val="18"/>
          <w:szCs w:val="20"/>
          <w:rtl/>
        </w:rPr>
        <w:t>גידול הילדים</w:t>
      </w:r>
      <w:r w:rsidRPr="00DB508D">
        <w:rPr>
          <w:rFonts w:hint="cs"/>
          <w:sz w:val="18"/>
          <w:szCs w:val="20"/>
          <w:rtl/>
        </w:rPr>
        <w:t xml:space="preserve"> (החינוך ואיכותו)</w:t>
      </w:r>
      <w:r w:rsidRPr="00DB508D">
        <w:rPr>
          <w:sz w:val="18"/>
          <w:szCs w:val="20"/>
          <w:rtl/>
        </w:rPr>
        <w:t>, מקורות התעסוקה, התפתחות המדינה וכיוצא באלה</w:t>
      </w:r>
      <w:r w:rsidRPr="00DB508D">
        <w:rPr>
          <w:rFonts w:hint="cs"/>
          <w:sz w:val="18"/>
          <w:szCs w:val="20"/>
          <w:rtl/>
        </w:rPr>
        <w:t xml:space="preserve"> (</w:t>
      </w:r>
      <w:r w:rsidRPr="00DB508D">
        <w:rPr>
          <w:sz w:val="18"/>
          <w:szCs w:val="20"/>
        </w:rPr>
        <w:t>MacInnes &amp; Pérez, 2005</w:t>
      </w:r>
      <w:r w:rsidRPr="00DB508D">
        <w:rPr>
          <w:sz w:val="18"/>
          <w:szCs w:val="20"/>
          <w:rtl/>
        </w:rPr>
        <w:t>)</w:t>
      </w:r>
      <w:r w:rsidRPr="00DB508D">
        <w:rPr>
          <w:rFonts w:hint="cs"/>
          <w:sz w:val="18"/>
          <w:szCs w:val="20"/>
          <w:rtl/>
        </w:rPr>
        <w:t>.</w:t>
      </w:r>
    </w:p>
    <w:p w14:paraId="11D44E33" w14:textId="56688248" w:rsidR="00452401" w:rsidRPr="00DB508D" w:rsidRDefault="00452401" w:rsidP="00C41488">
      <w:pPr>
        <w:spacing w:after="180" w:line="280" w:lineRule="exact"/>
        <w:jc w:val="both"/>
        <w:rPr>
          <w:sz w:val="18"/>
          <w:szCs w:val="20"/>
        </w:rPr>
      </w:pPr>
      <w:r w:rsidRPr="00DB508D">
        <w:rPr>
          <w:sz w:val="18"/>
          <w:szCs w:val="20"/>
          <w:rtl/>
        </w:rPr>
        <w:t xml:space="preserve">צניחתם של שיעורי הפריון בחברה הבדואית ב-50 אחוזים, בתוך עשור אחד בלבד, היא תופעה חברתית מעניינת, לאור העובדה כי לחברות ולמדינות באירופה נדרשו מאה שנים כדי לעבור תהליך דומה, ולחברות במזרח התיכון ובצפון אפריקה נדרשו </w:t>
      </w:r>
      <w:r w:rsidRPr="00DB508D">
        <w:rPr>
          <w:rFonts w:hint="cs"/>
          <w:sz w:val="18"/>
          <w:szCs w:val="20"/>
          <w:rtl/>
        </w:rPr>
        <w:t xml:space="preserve">לשם כך </w:t>
      </w:r>
      <w:r w:rsidRPr="00DB508D">
        <w:rPr>
          <w:sz w:val="18"/>
          <w:szCs w:val="20"/>
          <w:rtl/>
        </w:rPr>
        <w:t>ארבעה עשורים (</w:t>
      </w:r>
      <w:proofErr w:type="spellStart"/>
      <w:r w:rsidRPr="00DB508D">
        <w:rPr>
          <w:sz w:val="18"/>
          <w:szCs w:val="20"/>
        </w:rPr>
        <w:t>Courbage</w:t>
      </w:r>
      <w:proofErr w:type="spellEnd"/>
      <w:r w:rsidRPr="00DB508D">
        <w:rPr>
          <w:sz w:val="18"/>
          <w:szCs w:val="20"/>
        </w:rPr>
        <w:t xml:space="preserve"> &amp; </w:t>
      </w:r>
      <w:proofErr w:type="spellStart"/>
      <w:r w:rsidRPr="00DB508D">
        <w:rPr>
          <w:sz w:val="18"/>
          <w:szCs w:val="20"/>
        </w:rPr>
        <w:t>Puschmann</w:t>
      </w:r>
      <w:proofErr w:type="spellEnd"/>
      <w:r w:rsidRPr="00DB508D">
        <w:rPr>
          <w:sz w:val="18"/>
          <w:szCs w:val="20"/>
        </w:rPr>
        <w:t>, 2015</w:t>
      </w:r>
      <w:r w:rsidRPr="00DB508D">
        <w:rPr>
          <w:sz w:val="18"/>
          <w:szCs w:val="20"/>
          <w:rtl/>
        </w:rPr>
        <w:t>). היא מעידה על כניסתה של החברה הבדואית לתהליך של שינוי חברתי ניכר הכולל עלייה ברמת ההשכלה, ברמת ההכנסה ובאיכות החיים; שינוי באורח החיים וביחסים הפטריארכליים במשפחה; שינוי בערכים ובדפוסי התנהגות מסורתיים; שינוי ביחסים המגדריים; יציאת נשים ללימודים ולעבודה מחוץ למשק ביתן, ואימוץ של פמיניזם שקט המתבטא בהתנגדות פסיבית לערכים מסורתיים, שבטיים ופטריארכליים (אבו רביעה-</w:t>
      </w:r>
      <w:proofErr w:type="spellStart"/>
      <w:r w:rsidRPr="00DB508D">
        <w:rPr>
          <w:sz w:val="18"/>
          <w:szCs w:val="20"/>
          <w:rtl/>
        </w:rPr>
        <w:t>קווידר</w:t>
      </w:r>
      <w:proofErr w:type="spellEnd"/>
      <w:r w:rsidRPr="00DB508D">
        <w:rPr>
          <w:sz w:val="18"/>
          <w:szCs w:val="20"/>
          <w:rtl/>
        </w:rPr>
        <w:t xml:space="preserve">, 2008; </w:t>
      </w:r>
      <w:proofErr w:type="spellStart"/>
      <w:r w:rsidRPr="00DB508D">
        <w:rPr>
          <w:sz w:val="18"/>
          <w:szCs w:val="20"/>
          <w:rtl/>
        </w:rPr>
        <w:t>אלאסד-אלהוזייל</w:t>
      </w:r>
      <w:proofErr w:type="spellEnd"/>
      <w:r w:rsidRPr="00DB508D">
        <w:rPr>
          <w:sz w:val="18"/>
          <w:szCs w:val="20"/>
          <w:rtl/>
        </w:rPr>
        <w:t xml:space="preserve">, 2016; הלוי, 2002; קאסם, 2000; </w:t>
      </w:r>
      <w:r w:rsidRPr="00DB508D">
        <w:rPr>
          <w:sz w:val="18"/>
          <w:szCs w:val="20"/>
        </w:rPr>
        <w:t>Abu-Rabia-</w:t>
      </w:r>
      <w:proofErr w:type="spellStart"/>
      <w:r w:rsidRPr="00DB508D">
        <w:rPr>
          <w:sz w:val="18"/>
          <w:szCs w:val="20"/>
        </w:rPr>
        <w:t>Queder</w:t>
      </w:r>
      <w:proofErr w:type="spellEnd"/>
      <w:r w:rsidRPr="00DB508D">
        <w:rPr>
          <w:i/>
          <w:sz w:val="18"/>
          <w:szCs w:val="20"/>
        </w:rPr>
        <w:t>,</w:t>
      </w:r>
      <w:r w:rsidRPr="00DB508D">
        <w:rPr>
          <w:sz w:val="18"/>
          <w:szCs w:val="20"/>
        </w:rPr>
        <w:t xml:space="preserve"> 2006,</w:t>
      </w:r>
      <w:r w:rsidRPr="00DB508D">
        <w:rPr>
          <w:i/>
          <w:sz w:val="18"/>
          <w:szCs w:val="20"/>
        </w:rPr>
        <w:t xml:space="preserve"> </w:t>
      </w:r>
      <w:r w:rsidRPr="00DB508D">
        <w:rPr>
          <w:sz w:val="18"/>
          <w:szCs w:val="20"/>
        </w:rPr>
        <w:t xml:space="preserve">2007a, 2007b; Tamari, </w:t>
      </w:r>
      <w:proofErr w:type="spellStart"/>
      <w:r w:rsidRPr="00DB508D">
        <w:rPr>
          <w:sz w:val="18"/>
          <w:szCs w:val="20"/>
        </w:rPr>
        <w:t>Katoshevski</w:t>
      </w:r>
      <w:proofErr w:type="spellEnd"/>
      <w:r w:rsidRPr="00DB508D">
        <w:rPr>
          <w:sz w:val="18"/>
          <w:szCs w:val="20"/>
        </w:rPr>
        <w:t>, Karplus, &amp; Dinero, 2016</w:t>
      </w:r>
      <w:r w:rsidRPr="00DB508D">
        <w:rPr>
          <w:rFonts w:hint="cs"/>
          <w:sz w:val="18"/>
          <w:szCs w:val="20"/>
          <w:rtl/>
        </w:rPr>
        <w:t>).</w:t>
      </w:r>
    </w:p>
    <w:p w14:paraId="18C8BE57" w14:textId="67676186" w:rsidR="00452401" w:rsidRPr="00DB508D" w:rsidRDefault="00452401" w:rsidP="00C41488">
      <w:pPr>
        <w:spacing w:after="180" w:line="280" w:lineRule="exact"/>
        <w:jc w:val="both"/>
        <w:rPr>
          <w:sz w:val="18"/>
          <w:szCs w:val="20"/>
        </w:rPr>
      </w:pPr>
      <w:r w:rsidRPr="00DB508D">
        <w:rPr>
          <w:sz w:val="18"/>
          <w:szCs w:val="20"/>
          <w:rtl/>
        </w:rPr>
        <w:t>מטרת המאמר היא לעמוד על הגורמים העיקריים הקשורים לירידת שיעורי הפריון בחברה הבדואית בנגב מראשית המאה ה-21 ועד היום. תחילה נסקור את החברה הבדואית בנגב, כולל רקע היסטורי קצר, התייחסות לסוגיות מורכבות דוגמת מדיניות יישוב הבדואים, בעיית הקרקעות והכפרים הבלתי</w:t>
      </w:r>
      <w:r w:rsidRPr="00DB508D">
        <w:rPr>
          <w:rFonts w:hint="cs"/>
          <w:sz w:val="18"/>
          <w:szCs w:val="20"/>
          <w:rtl/>
        </w:rPr>
        <w:t xml:space="preserve"> </w:t>
      </w:r>
      <w:r w:rsidRPr="00DB508D">
        <w:rPr>
          <w:sz w:val="18"/>
          <w:szCs w:val="20"/>
          <w:rtl/>
        </w:rPr>
        <w:t xml:space="preserve">מוכרים, </w:t>
      </w:r>
      <w:r w:rsidR="00C41488">
        <w:rPr>
          <w:rFonts w:hint="cs"/>
          <w:sz w:val="18"/>
          <w:szCs w:val="20"/>
          <w:rtl/>
        </w:rPr>
        <w:t xml:space="preserve">היחסים בין המדינה לבדואים </w:t>
      </w:r>
      <w:r w:rsidRPr="00DB508D">
        <w:rPr>
          <w:sz w:val="18"/>
          <w:szCs w:val="20"/>
          <w:rtl/>
        </w:rPr>
        <w:t>כמקרה קיצוני של יחסי המדינה עם החברה הערבית-פלסטינית בישראל בכללותה, ועוד. בהמשך נתאר את דפוסי הפריון והשינויים שחלו בחברה הבדואית</w:t>
      </w:r>
      <w:r w:rsidR="00C41488">
        <w:rPr>
          <w:rFonts w:hint="cs"/>
          <w:sz w:val="18"/>
          <w:szCs w:val="20"/>
          <w:rtl/>
        </w:rPr>
        <w:t>,</w:t>
      </w:r>
      <w:r w:rsidRPr="00DB508D">
        <w:rPr>
          <w:sz w:val="18"/>
          <w:szCs w:val="20"/>
          <w:rtl/>
        </w:rPr>
        <w:t xml:space="preserve"> ונשווה אותם לאלה שחלו בחברה המוסלמית בצפון וכן בחברה הדרוזית, הנוצרית והיהודית בישראל</w:t>
      </w:r>
      <w:r w:rsidR="00C41488">
        <w:rPr>
          <w:rFonts w:hint="cs"/>
          <w:sz w:val="18"/>
          <w:szCs w:val="20"/>
          <w:rtl/>
        </w:rPr>
        <w:t>.</w:t>
      </w:r>
      <w:r w:rsidRPr="00DB508D">
        <w:rPr>
          <w:sz w:val="18"/>
          <w:szCs w:val="20"/>
          <w:rtl/>
        </w:rPr>
        <w:t xml:space="preserve"> לבסוף נציג את עיקרי הממצאים ואת מסקנות המחקר.</w:t>
      </w:r>
    </w:p>
    <w:p w14:paraId="683AD1D7" w14:textId="6DABD68C" w:rsidR="00452401" w:rsidRDefault="00452401" w:rsidP="00DB508D">
      <w:pPr>
        <w:spacing w:after="180" w:line="280" w:lineRule="exact"/>
        <w:jc w:val="both"/>
        <w:rPr>
          <w:sz w:val="18"/>
          <w:szCs w:val="20"/>
          <w:rtl/>
        </w:rPr>
      </w:pPr>
    </w:p>
    <w:p w14:paraId="7452A49A" w14:textId="77777777" w:rsidR="004B3169" w:rsidRPr="00DB508D" w:rsidRDefault="004B3169" w:rsidP="00DB508D">
      <w:pPr>
        <w:spacing w:after="180" w:line="280" w:lineRule="exact"/>
        <w:jc w:val="both"/>
        <w:rPr>
          <w:sz w:val="18"/>
          <w:szCs w:val="20"/>
        </w:rPr>
      </w:pPr>
    </w:p>
    <w:p w14:paraId="339114D3" w14:textId="1F9DF3A4" w:rsidR="00452401" w:rsidRPr="00452401" w:rsidRDefault="00452401" w:rsidP="00452401">
      <w:pPr>
        <w:pStyle w:val="KOT4"/>
        <w:spacing w:after="0"/>
        <w:ind w:left="397" w:right="0" w:hanging="397"/>
        <w:rPr>
          <w:rFonts w:cs="Guttman Aharoni"/>
          <w:color w:val="00B0F0"/>
          <w:sz w:val="32"/>
          <w:szCs w:val="32"/>
        </w:rPr>
      </w:pPr>
      <w:r w:rsidRPr="00452401">
        <w:rPr>
          <w:rFonts w:cs="Guttman Aharoni"/>
          <w:color w:val="00B0F0"/>
          <w:sz w:val="32"/>
          <w:szCs w:val="32"/>
          <w:rtl/>
        </w:rPr>
        <w:t>2.</w:t>
      </w:r>
      <w:r w:rsidRPr="00452401">
        <w:rPr>
          <w:rFonts w:cs="Guttman Aharoni"/>
          <w:color w:val="00B0F0"/>
          <w:sz w:val="32"/>
          <w:szCs w:val="32"/>
        </w:rPr>
        <w:tab/>
      </w:r>
      <w:r w:rsidRPr="00452401">
        <w:rPr>
          <w:rFonts w:cs="Guttman Aharoni"/>
          <w:color w:val="00B0F0"/>
          <w:sz w:val="32"/>
          <w:szCs w:val="32"/>
          <w:rtl/>
        </w:rPr>
        <w:t>סקירת ספרות</w:t>
      </w:r>
    </w:p>
    <w:p w14:paraId="63DFE696" w14:textId="77777777" w:rsidR="00156EEE" w:rsidRPr="00156EEE" w:rsidRDefault="00156EEE" w:rsidP="00156EEE">
      <w:pPr>
        <w:spacing w:after="180" w:line="280" w:lineRule="exact"/>
        <w:jc w:val="both"/>
        <w:rPr>
          <w:sz w:val="18"/>
          <w:szCs w:val="20"/>
          <w:rtl/>
        </w:rPr>
      </w:pPr>
    </w:p>
    <w:p w14:paraId="5FD8B5D2" w14:textId="388F1330" w:rsidR="00452401" w:rsidRPr="00452401" w:rsidRDefault="00452401" w:rsidP="00452401">
      <w:pPr>
        <w:pStyle w:val="KOT5"/>
        <w:spacing w:after="0"/>
        <w:ind w:right="0"/>
        <w:outlineLvl w:val="2"/>
        <w:rPr>
          <w:rFonts w:cs="Guttman Aharoni"/>
          <w:color w:val="00B0F0"/>
        </w:rPr>
      </w:pPr>
      <w:r w:rsidRPr="00452401">
        <w:rPr>
          <w:rFonts w:cs="Guttman Aharoni"/>
          <w:color w:val="00B0F0"/>
          <w:rtl/>
        </w:rPr>
        <w:t xml:space="preserve">החברה הבדואית בנגב עד 1948 </w:t>
      </w:r>
    </w:p>
    <w:p w14:paraId="17C42AF5" w14:textId="04153CFB" w:rsidR="00452401" w:rsidRPr="00DB508D" w:rsidRDefault="00452401" w:rsidP="00134C7C">
      <w:pPr>
        <w:spacing w:after="180" w:line="280" w:lineRule="exact"/>
        <w:jc w:val="both"/>
        <w:rPr>
          <w:sz w:val="18"/>
          <w:szCs w:val="20"/>
        </w:rPr>
      </w:pPr>
      <w:r w:rsidRPr="00DB508D">
        <w:rPr>
          <w:sz w:val="18"/>
          <w:szCs w:val="20"/>
          <w:rtl/>
        </w:rPr>
        <w:t xml:space="preserve">הבדואים התיישבו בנגב ובסיני לפני שנים רבות, ומקורם בחצי האי ערב. ככל הנראה, הם הגיעו לאזורנו בין המאה ה-13 למאה ה-18 (בן-דוד, 2004; </w:t>
      </w:r>
      <w:proofErr w:type="spellStart"/>
      <w:r w:rsidRPr="00DB508D">
        <w:rPr>
          <w:sz w:val="18"/>
          <w:szCs w:val="20"/>
          <w:rtl/>
        </w:rPr>
        <w:t>יפתחאל</w:t>
      </w:r>
      <w:proofErr w:type="spellEnd"/>
      <w:r w:rsidRPr="00DB508D">
        <w:rPr>
          <w:sz w:val="18"/>
          <w:szCs w:val="20"/>
          <w:rtl/>
        </w:rPr>
        <w:t xml:space="preserve">, 2013; </w:t>
      </w:r>
      <w:proofErr w:type="spellStart"/>
      <w:r w:rsidRPr="00DB508D">
        <w:rPr>
          <w:sz w:val="18"/>
          <w:szCs w:val="20"/>
          <w:rtl/>
        </w:rPr>
        <w:t>צפדיה</w:t>
      </w:r>
      <w:proofErr w:type="spellEnd"/>
      <w:r w:rsidRPr="00DB508D">
        <w:rPr>
          <w:sz w:val="18"/>
          <w:szCs w:val="20"/>
          <w:rtl/>
        </w:rPr>
        <w:t xml:space="preserve"> ורודד, </w:t>
      </w:r>
      <w:r w:rsidRPr="00DB508D">
        <w:rPr>
          <w:sz w:val="18"/>
          <w:szCs w:val="20"/>
          <w:rtl/>
        </w:rPr>
        <w:lastRenderedPageBreak/>
        <w:t>2011;</w:t>
      </w:r>
      <w:r w:rsidRPr="00DB508D">
        <w:rPr>
          <w:sz w:val="18"/>
          <w:szCs w:val="20"/>
        </w:rPr>
        <w:t>Bailey, 1985; Meir, 1997</w:t>
      </w:r>
      <w:r w:rsidRPr="00DB508D">
        <w:rPr>
          <w:sz w:val="18"/>
          <w:szCs w:val="20"/>
          <w:rtl/>
        </w:rPr>
        <w:t>)</w:t>
      </w:r>
      <w:r w:rsidRPr="00DB508D">
        <w:rPr>
          <w:rFonts w:hint="cs"/>
          <w:sz w:val="18"/>
          <w:szCs w:val="20"/>
          <w:rtl/>
        </w:rPr>
        <w:t>.</w:t>
      </w:r>
      <w:r w:rsidRPr="00DB508D">
        <w:rPr>
          <w:sz w:val="18"/>
          <w:szCs w:val="20"/>
          <w:vertAlign w:val="superscript"/>
          <w:rtl/>
        </w:rPr>
        <w:footnoteReference w:id="7"/>
      </w:r>
      <w:r w:rsidRPr="00DB508D">
        <w:rPr>
          <w:rFonts w:hint="cs"/>
          <w:sz w:val="18"/>
          <w:szCs w:val="20"/>
          <w:rtl/>
        </w:rPr>
        <w:t xml:space="preserve"> </w:t>
      </w:r>
      <w:r w:rsidRPr="00DB508D">
        <w:rPr>
          <w:sz w:val="18"/>
          <w:szCs w:val="20"/>
          <w:rtl/>
        </w:rPr>
        <w:t>לפני הקמת המדינה היו בנגב, לפי הערכות שונות, בין 65,000 ל-100,000 בדואים (</w:t>
      </w:r>
      <w:proofErr w:type="spellStart"/>
      <w:r w:rsidRPr="00DB508D">
        <w:rPr>
          <w:sz w:val="18"/>
          <w:szCs w:val="20"/>
          <w:rtl/>
        </w:rPr>
        <w:t>אלעארף</w:t>
      </w:r>
      <w:proofErr w:type="spellEnd"/>
      <w:r w:rsidRPr="00DB508D">
        <w:rPr>
          <w:sz w:val="18"/>
          <w:szCs w:val="20"/>
          <w:rtl/>
        </w:rPr>
        <w:t xml:space="preserve">, 1933; עצמון, 2013; פורת, 2009; </w:t>
      </w:r>
      <w:proofErr w:type="spellStart"/>
      <w:r w:rsidRPr="00DB508D">
        <w:rPr>
          <w:sz w:val="18"/>
          <w:szCs w:val="20"/>
          <w:rtl/>
        </w:rPr>
        <w:t>צפדיה</w:t>
      </w:r>
      <w:proofErr w:type="spellEnd"/>
      <w:r w:rsidRPr="00DB508D">
        <w:rPr>
          <w:sz w:val="18"/>
          <w:szCs w:val="20"/>
          <w:rtl/>
        </w:rPr>
        <w:t xml:space="preserve"> ורודד, 2011; </w:t>
      </w:r>
      <w:proofErr w:type="spellStart"/>
      <w:r w:rsidRPr="00DB508D">
        <w:rPr>
          <w:sz w:val="18"/>
          <w:szCs w:val="20"/>
        </w:rPr>
        <w:t>Fallah</w:t>
      </w:r>
      <w:proofErr w:type="spellEnd"/>
      <w:r w:rsidRPr="00DB508D">
        <w:rPr>
          <w:sz w:val="18"/>
          <w:szCs w:val="20"/>
        </w:rPr>
        <w:t xml:space="preserve">, 1989; </w:t>
      </w:r>
      <w:proofErr w:type="spellStart"/>
      <w:r w:rsidRPr="00DB508D">
        <w:rPr>
          <w:sz w:val="18"/>
          <w:szCs w:val="20"/>
        </w:rPr>
        <w:t>Maddrell</w:t>
      </w:r>
      <w:proofErr w:type="spellEnd"/>
      <w:r w:rsidRPr="00DB508D">
        <w:rPr>
          <w:sz w:val="18"/>
          <w:szCs w:val="20"/>
        </w:rPr>
        <w:t xml:space="preserve">, 1990; </w:t>
      </w:r>
      <w:proofErr w:type="spellStart"/>
      <w:r w:rsidRPr="00DB508D">
        <w:rPr>
          <w:sz w:val="18"/>
          <w:szCs w:val="20"/>
        </w:rPr>
        <w:t>Muhsam</w:t>
      </w:r>
      <w:proofErr w:type="spellEnd"/>
      <w:r w:rsidRPr="00DB508D">
        <w:rPr>
          <w:sz w:val="18"/>
          <w:szCs w:val="20"/>
        </w:rPr>
        <w:t>, 1951, 1966</w:t>
      </w:r>
      <w:r w:rsidRPr="00DB508D">
        <w:rPr>
          <w:rFonts w:hint="cs"/>
          <w:sz w:val="18"/>
          <w:szCs w:val="20"/>
          <w:rtl/>
        </w:rPr>
        <w:t>)</w:t>
      </w:r>
      <w:r w:rsidRPr="00DB508D">
        <w:rPr>
          <w:sz w:val="18"/>
          <w:szCs w:val="20"/>
          <w:rtl/>
        </w:rPr>
        <w:t>. עד לסוף המאה ה-19 הם נהנו מאוטונומיה פוליטית וכלכלית</w:t>
      </w:r>
      <w:r w:rsidRPr="00DB508D">
        <w:rPr>
          <w:rFonts w:hint="cs"/>
          <w:sz w:val="18"/>
          <w:szCs w:val="20"/>
          <w:rtl/>
        </w:rPr>
        <w:t>,</w:t>
      </w:r>
      <w:r w:rsidRPr="00DB508D">
        <w:rPr>
          <w:sz w:val="18"/>
          <w:szCs w:val="20"/>
          <w:rtl/>
        </w:rPr>
        <w:t xml:space="preserve"> והיו מאורגנים בשישה מטות שבטיים גדולים: </w:t>
      </w:r>
      <w:proofErr w:type="spellStart"/>
      <w:r w:rsidRPr="00DB508D">
        <w:rPr>
          <w:sz w:val="18"/>
          <w:szCs w:val="20"/>
          <w:rtl/>
        </w:rPr>
        <w:t>תראבין</w:t>
      </w:r>
      <w:proofErr w:type="spellEnd"/>
      <w:r w:rsidRPr="00DB508D">
        <w:rPr>
          <w:sz w:val="18"/>
          <w:szCs w:val="20"/>
          <w:rtl/>
        </w:rPr>
        <w:t xml:space="preserve">, </w:t>
      </w:r>
      <w:proofErr w:type="spellStart"/>
      <w:r w:rsidRPr="00DB508D">
        <w:rPr>
          <w:sz w:val="18"/>
          <w:szCs w:val="20"/>
          <w:rtl/>
        </w:rPr>
        <w:t>תיאהא</w:t>
      </w:r>
      <w:proofErr w:type="spellEnd"/>
      <w:r w:rsidRPr="00DB508D">
        <w:rPr>
          <w:sz w:val="18"/>
          <w:szCs w:val="20"/>
          <w:rtl/>
        </w:rPr>
        <w:t xml:space="preserve">, </w:t>
      </w:r>
      <w:proofErr w:type="spellStart"/>
      <w:r w:rsidRPr="00DB508D">
        <w:rPr>
          <w:sz w:val="18"/>
          <w:szCs w:val="20"/>
          <w:rtl/>
        </w:rPr>
        <w:t>עזאזמה</w:t>
      </w:r>
      <w:proofErr w:type="spellEnd"/>
      <w:r w:rsidRPr="00DB508D">
        <w:rPr>
          <w:sz w:val="18"/>
          <w:szCs w:val="20"/>
          <w:rtl/>
        </w:rPr>
        <w:t xml:space="preserve">, </w:t>
      </w:r>
      <w:proofErr w:type="spellStart"/>
      <w:r w:rsidRPr="00DB508D">
        <w:rPr>
          <w:sz w:val="18"/>
          <w:szCs w:val="20"/>
          <w:rtl/>
        </w:rPr>
        <w:t>חנאג'רה</w:t>
      </w:r>
      <w:proofErr w:type="spellEnd"/>
      <w:r w:rsidRPr="00DB508D">
        <w:rPr>
          <w:sz w:val="18"/>
          <w:szCs w:val="20"/>
          <w:rtl/>
        </w:rPr>
        <w:t xml:space="preserve">, </w:t>
      </w:r>
      <w:proofErr w:type="spellStart"/>
      <w:r w:rsidRPr="00DB508D">
        <w:rPr>
          <w:sz w:val="18"/>
          <w:szCs w:val="20"/>
          <w:rtl/>
        </w:rPr>
        <w:t>ג'באראת</w:t>
      </w:r>
      <w:proofErr w:type="spellEnd"/>
      <w:r w:rsidRPr="00DB508D">
        <w:rPr>
          <w:sz w:val="18"/>
          <w:szCs w:val="20"/>
          <w:rtl/>
        </w:rPr>
        <w:t xml:space="preserve"> </w:t>
      </w:r>
      <w:proofErr w:type="spellStart"/>
      <w:r w:rsidRPr="00DB508D">
        <w:rPr>
          <w:sz w:val="18"/>
          <w:szCs w:val="20"/>
          <w:rtl/>
        </w:rPr>
        <w:t>וסעידיין</w:t>
      </w:r>
      <w:proofErr w:type="spellEnd"/>
      <w:r w:rsidRPr="00DB508D">
        <w:rPr>
          <w:sz w:val="18"/>
          <w:szCs w:val="20"/>
          <w:rtl/>
        </w:rPr>
        <w:t xml:space="preserve">. הגבולות הטריטוריאליים ביניהם נקבעו בשנת 1891 בהסכם בין ראשי המטות, בחסות </w:t>
      </w:r>
      <w:proofErr w:type="spellStart"/>
      <w:r w:rsidRPr="00DB508D">
        <w:rPr>
          <w:sz w:val="18"/>
          <w:szCs w:val="20"/>
          <w:rtl/>
        </w:rPr>
        <w:t>העות'מאנים</w:t>
      </w:r>
      <w:proofErr w:type="spellEnd"/>
      <w:r w:rsidRPr="00DB508D">
        <w:rPr>
          <w:sz w:val="18"/>
          <w:szCs w:val="20"/>
          <w:rtl/>
        </w:rPr>
        <w:t xml:space="preserve"> (</w:t>
      </w:r>
      <w:proofErr w:type="spellStart"/>
      <w:r w:rsidRPr="00DB508D">
        <w:rPr>
          <w:sz w:val="18"/>
          <w:szCs w:val="20"/>
          <w:rtl/>
        </w:rPr>
        <w:t>אלעארף</w:t>
      </w:r>
      <w:proofErr w:type="spellEnd"/>
      <w:r w:rsidRPr="00DB508D">
        <w:rPr>
          <w:sz w:val="18"/>
          <w:szCs w:val="20"/>
          <w:rtl/>
        </w:rPr>
        <w:t xml:space="preserve">, 1934; </w:t>
      </w:r>
      <w:proofErr w:type="spellStart"/>
      <w:r w:rsidRPr="00DB508D">
        <w:rPr>
          <w:sz w:val="18"/>
          <w:szCs w:val="20"/>
          <w:rtl/>
        </w:rPr>
        <w:t>יפתחאל</w:t>
      </w:r>
      <w:proofErr w:type="spellEnd"/>
      <w:r w:rsidRPr="00DB508D">
        <w:rPr>
          <w:sz w:val="18"/>
          <w:szCs w:val="20"/>
          <w:rtl/>
        </w:rPr>
        <w:t xml:space="preserve">, 2013; מרקס, 1974). עד לאותה תקופה נוהל אזור באר שבע באופן רופף באמצעות המושלים </w:t>
      </w:r>
      <w:proofErr w:type="spellStart"/>
      <w:r w:rsidRPr="00DB508D">
        <w:rPr>
          <w:sz w:val="18"/>
          <w:szCs w:val="20"/>
          <w:rtl/>
        </w:rPr>
        <w:t>העות'מאנים</w:t>
      </w:r>
      <w:proofErr w:type="spellEnd"/>
      <w:r w:rsidRPr="00DB508D">
        <w:rPr>
          <w:sz w:val="18"/>
          <w:szCs w:val="20"/>
          <w:rtl/>
        </w:rPr>
        <w:t xml:space="preserve"> בעזה ובירושלים, ובין השבטים והמטות התנהלו מלחמות קשות ומאבקים על הקרקע, על מקורות המים ועל המרעה (</w:t>
      </w:r>
      <w:proofErr w:type="spellStart"/>
      <w:r w:rsidRPr="00DB508D">
        <w:rPr>
          <w:sz w:val="18"/>
          <w:szCs w:val="20"/>
          <w:rtl/>
        </w:rPr>
        <w:t>ג'ריס</w:t>
      </w:r>
      <w:proofErr w:type="spellEnd"/>
      <w:r w:rsidRPr="00DB508D">
        <w:rPr>
          <w:sz w:val="18"/>
          <w:szCs w:val="20"/>
          <w:rtl/>
        </w:rPr>
        <w:t xml:space="preserve">, 1966). בעקבות פתיחת תעלת סואץ והתחזקות הבריטים במצרים התערבו </w:t>
      </w:r>
      <w:proofErr w:type="spellStart"/>
      <w:r w:rsidRPr="00DB508D">
        <w:rPr>
          <w:sz w:val="18"/>
          <w:szCs w:val="20"/>
          <w:rtl/>
        </w:rPr>
        <w:t>העות'מאנים</w:t>
      </w:r>
      <w:proofErr w:type="spellEnd"/>
      <w:r w:rsidRPr="00DB508D">
        <w:rPr>
          <w:sz w:val="18"/>
          <w:szCs w:val="20"/>
          <w:rtl/>
        </w:rPr>
        <w:t xml:space="preserve"> ופעלו להשלטת סדר. בשנת 1900 הם הקימו את העיר באר שבע, הפרידו את מחוז באר שבע ממחוז עזה ומינו לו מושל עצמאי, שישב בעיר. כל אלה במטרה להגדיל את </w:t>
      </w:r>
      <w:r w:rsidRPr="00DB508D">
        <w:rPr>
          <w:rFonts w:hint="cs"/>
          <w:sz w:val="18"/>
          <w:szCs w:val="20"/>
          <w:rtl/>
        </w:rPr>
        <w:t xml:space="preserve">היקף </w:t>
      </w:r>
      <w:r w:rsidRPr="00DB508D">
        <w:rPr>
          <w:sz w:val="18"/>
          <w:szCs w:val="20"/>
          <w:rtl/>
        </w:rPr>
        <w:t>גביית המיסים מהבדואים ולהפגין שליטה באזור</w:t>
      </w:r>
      <w:r w:rsidRPr="00DB508D">
        <w:rPr>
          <w:rFonts w:hint="cs"/>
          <w:sz w:val="18"/>
          <w:szCs w:val="20"/>
          <w:rtl/>
        </w:rPr>
        <w:t>,</w:t>
      </w:r>
      <w:r w:rsidRPr="00DB508D">
        <w:rPr>
          <w:sz w:val="18"/>
          <w:szCs w:val="20"/>
          <w:rtl/>
        </w:rPr>
        <w:t xml:space="preserve"> לקראת המשא ומתן שניהלו עם הבריטים לקביעת קו הגבול עם מצרים. </w:t>
      </w:r>
      <w:proofErr w:type="spellStart"/>
      <w:r w:rsidRPr="00DB508D">
        <w:rPr>
          <w:sz w:val="18"/>
          <w:szCs w:val="20"/>
          <w:rtl/>
        </w:rPr>
        <w:t>העות'מאנים</w:t>
      </w:r>
      <w:proofErr w:type="spellEnd"/>
      <w:r w:rsidRPr="00DB508D">
        <w:rPr>
          <w:sz w:val="18"/>
          <w:szCs w:val="20"/>
          <w:rtl/>
        </w:rPr>
        <w:t xml:space="preserve"> קנו משבט </w:t>
      </w:r>
      <w:proofErr w:type="spellStart"/>
      <w:r w:rsidRPr="00DB508D">
        <w:rPr>
          <w:sz w:val="18"/>
          <w:szCs w:val="20"/>
          <w:rtl/>
        </w:rPr>
        <w:t>מחמדיין</w:t>
      </w:r>
      <w:proofErr w:type="spellEnd"/>
      <w:r w:rsidRPr="00DB508D">
        <w:rPr>
          <w:sz w:val="18"/>
          <w:szCs w:val="20"/>
          <w:rtl/>
        </w:rPr>
        <w:t xml:space="preserve"> (</w:t>
      </w:r>
      <w:proofErr w:type="spellStart"/>
      <w:r w:rsidRPr="00DB508D">
        <w:rPr>
          <w:sz w:val="18"/>
          <w:szCs w:val="20"/>
          <w:rtl/>
        </w:rPr>
        <w:t>עזאזמה</w:t>
      </w:r>
      <w:proofErr w:type="spellEnd"/>
      <w:r w:rsidRPr="00DB508D">
        <w:rPr>
          <w:sz w:val="18"/>
          <w:szCs w:val="20"/>
          <w:rtl/>
        </w:rPr>
        <w:t>) כ-1,000 דונם עבור מועצת העיר באר שבע, והסמיכו אותה למכור מגרשים לכל מי שרצה להשתקע בעיר. נוסף על כך הם חילקו בחינם לכל בדואי שחפץ בכך מגרש בשטח של דונם אחד, בתנאי שיבנה עליו את ביתו ויעבור להתגורר בו (</w:t>
      </w:r>
      <w:proofErr w:type="spellStart"/>
      <w:r w:rsidRPr="00DB508D">
        <w:rPr>
          <w:sz w:val="18"/>
          <w:szCs w:val="20"/>
          <w:rtl/>
        </w:rPr>
        <w:t>אלעארף</w:t>
      </w:r>
      <w:proofErr w:type="spellEnd"/>
      <w:r w:rsidRPr="00DB508D">
        <w:rPr>
          <w:sz w:val="18"/>
          <w:szCs w:val="20"/>
          <w:rtl/>
        </w:rPr>
        <w:t xml:space="preserve">, 1934). גם השלטון העות'מאני וגם השלטון הבריטי שבא אחריו מינו </w:t>
      </w:r>
      <w:proofErr w:type="spellStart"/>
      <w:r w:rsidRPr="00DB508D">
        <w:rPr>
          <w:sz w:val="18"/>
          <w:szCs w:val="20"/>
          <w:rtl/>
        </w:rPr>
        <w:t>שייח'ים</w:t>
      </w:r>
      <w:proofErr w:type="spellEnd"/>
      <w:r w:rsidRPr="00DB508D">
        <w:rPr>
          <w:sz w:val="18"/>
          <w:szCs w:val="20"/>
          <w:rtl/>
        </w:rPr>
        <w:t xml:space="preserve"> בדואים לתפקיד ראש העיר (אבו ראס, 2011).</w:t>
      </w:r>
    </w:p>
    <w:p w14:paraId="5BB0C188" w14:textId="77777777" w:rsidR="00452401" w:rsidRPr="00DB508D" w:rsidRDefault="00452401" w:rsidP="00DB508D">
      <w:pPr>
        <w:spacing w:after="180" w:line="280" w:lineRule="exact"/>
        <w:jc w:val="both"/>
        <w:rPr>
          <w:sz w:val="18"/>
          <w:szCs w:val="20"/>
        </w:rPr>
      </w:pPr>
      <w:r w:rsidRPr="00DB508D">
        <w:rPr>
          <w:sz w:val="18"/>
          <w:szCs w:val="20"/>
          <w:rtl/>
        </w:rPr>
        <w:t>הבדואים ניהלו מערכת משפטית-מסורתית לא כתובה, ובה שופטים בעלי מומחיות בעבירות מסוגים שונים. השלטון העות'מאני והשלטון הבריטי הכירו במערכת המשפט הזאת, והבריטים אף הקימו בבאר שבע בית דין שבטי והסמיכו אותו לדון בהתאם לכללי המשפט הבדואי המסורתי והנוהג השבטי (</w:t>
      </w:r>
      <w:proofErr w:type="spellStart"/>
      <w:r w:rsidRPr="00DB508D">
        <w:rPr>
          <w:sz w:val="18"/>
          <w:szCs w:val="20"/>
          <w:rtl/>
        </w:rPr>
        <w:t>אלעארף</w:t>
      </w:r>
      <w:proofErr w:type="spellEnd"/>
      <w:r w:rsidRPr="00DB508D">
        <w:rPr>
          <w:sz w:val="18"/>
          <w:szCs w:val="20"/>
          <w:rtl/>
        </w:rPr>
        <w:t>, 1933). מנגד, הבדואים לא נהנו ממערכת חינוך מסודרת, ועד לאמצע שנות ה-30 של המאה ה-20 היו בנגב רק חמישה בתי ספר יסודיים, בשבטים הגדולים (</w:t>
      </w:r>
      <w:proofErr w:type="spellStart"/>
      <w:r w:rsidRPr="00DB508D">
        <w:rPr>
          <w:sz w:val="18"/>
          <w:szCs w:val="20"/>
          <w:rtl/>
        </w:rPr>
        <w:t>אלעארף</w:t>
      </w:r>
      <w:proofErr w:type="spellEnd"/>
      <w:r w:rsidRPr="00DB508D">
        <w:rPr>
          <w:sz w:val="18"/>
          <w:szCs w:val="20"/>
          <w:rtl/>
        </w:rPr>
        <w:t xml:space="preserve">, 1934). הבדואים התפרנסו מחקלאות בעל בשיטות מסורתיות ומגידול צאן. הם גידלו בעיקר חיטה, שעורה, תירס, עדשים וירקות. בשנים גשומות הם סיפקו חיטה ושעורה לכל פלסטין, ואף ייצאו את סחורתם לחו"ל דרך נמל עזה (אבו </w:t>
      </w:r>
      <w:proofErr w:type="spellStart"/>
      <w:r w:rsidRPr="00DB508D">
        <w:rPr>
          <w:sz w:val="18"/>
          <w:szCs w:val="20"/>
          <w:rtl/>
        </w:rPr>
        <w:t>פריח</w:t>
      </w:r>
      <w:proofErr w:type="spellEnd"/>
      <w:r w:rsidRPr="00DB508D">
        <w:rPr>
          <w:sz w:val="18"/>
          <w:szCs w:val="20"/>
          <w:rtl/>
        </w:rPr>
        <w:t xml:space="preserve">, 2016; </w:t>
      </w:r>
      <w:proofErr w:type="spellStart"/>
      <w:r w:rsidRPr="00DB508D">
        <w:rPr>
          <w:sz w:val="18"/>
          <w:szCs w:val="20"/>
          <w:rtl/>
        </w:rPr>
        <w:t>אלעארף</w:t>
      </w:r>
      <w:proofErr w:type="spellEnd"/>
      <w:r w:rsidRPr="00DB508D">
        <w:rPr>
          <w:sz w:val="18"/>
          <w:szCs w:val="20"/>
          <w:rtl/>
        </w:rPr>
        <w:t xml:space="preserve">, 1933; </w:t>
      </w:r>
      <w:proofErr w:type="spellStart"/>
      <w:r w:rsidRPr="00DB508D">
        <w:rPr>
          <w:sz w:val="18"/>
          <w:szCs w:val="20"/>
          <w:rtl/>
        </w:rPr>
        <w:t>יפתחאל</w:t>
      </w:r>
      <w:proofErr w:type="spellEnd"/>
      <w:r w:rsidRPr="00DB508D">
        <w:rPr>
          <w:sz w:val="18"/>
          <w:szCs w:val="20"/>
          <w:rtl/>
        </w:rPr>
        <w:t xml:space="preserve">, 2013). </w:t>
      </w:r>
    </w:p>
    <w:p w14:paraId="26FD7804" w14:textId="77777777" w:rsidR="00452401" w:rsidRPr="00DB508D" w:rsidRDefault="00452401" w:rsidP="00DB508D">
      <w:pPr>
        <w:spacing w:after="180" w:line="280" w:lineRule="exact"/>
        <w:jc w:val="both"/>
        <w:rPr>
          <w:b/>
          <w:sz w:val="18"/>
          <w:szCs w:val="20"/>
        </w:rPr>
      </w:pPr>
    </w:p>
    <w:p w14:paraId="64F203B9" w14:textId="35E5DBFC" w:rsidR="00452401" w:rsidRPr="00452401" w:rsidRDefault="00452401" w:rsidP="00452401">
      <w:pPr>
        <w:pStyle w:val="KOT5"/>
        <w:spacing w:after="0"/>
        <w:ind w:right="0"/>
        <w:outlineLvl w:val="2"/>
        <w:rPr>
          <w:rFonts w:cs="Guttman Aharoni"/>
          <w:color w:val="00B0F0"/>
        </w:rPr>
      </w:pPr>
      <w:r w:rsidRPr="00452401">
        <w:rPr>
          <w:rFonts w:cs="Guttman Aharoni"/>
          <w:color w:val="00B0F0"/>
          <w:rtl/>
        </w:rPr>
        <w:lastRenderedPageBreak/>
        <w:t xml:space="preserve">מדיניותה של מדינת ישראל כלפי הבדואים </w:t>
      </w:r>
    </w:p>
    <w:p w14:paraId="3385BAFB" w14:textId="611AD70F" w:rsidR="00452401" w:rsidRPr="00DB508D" w:rsidRDefault="00452401" w:rsidP="00134C7C">
      <w:pPr>
        <w:spacing w:after="180" w:line="280" w:lineRule="exact"/>
        <w:jc w:val="both"/>
        <w:rPr>
          <w:sz w:val="18"/>
          <w:szCs w:val="20"/>
        </w:rPr>
      </w:pPr>
      <w:r w:rsidRPr="00DB508D">
        <w:rPr>
          <w:sz w:val="18"/>
          <w:szCs w:val="20"/>
          <w:rtl/>
        </w:rPr>
        <w:t xml:space="preserve">לאחר הקמת המדינה נותרו בנגב כ-11,000 בדואים בלבד (מרקס, 1974; פורת, 2009; </w:t>
      </w:r>
      <w:proofErr w:type="spellStart"/>
      <w:r w:rsidRPr="00DB508D">
        <w:rPr>
          <w:sz w:val="18"/>
          <w:szCs w:val="20"/>
        </w:rPr>
        <w:t>Fallah</w:t>
      </w:r>
      <w:proofErr w:type="spellEnd"/>
      <w:r w:rsidRPr="00DB508D">
        <w:rPr>
          <w:sz w:val="18"/>
          <w:szCs w:val="20"/>
        </w:rPr>
        <w:t xml:space="preserve">, 1989; </w:t>
      </w:r>
      <w:proofErr w:type="spellStart"/>
      <w:r w:rsidRPr="00DB508D">
        <w:rPr>
          <w:sz w:val="18"/>
          <w:szCs w:val="20"/>
        </w:rPr>
        <w:t>Maddrell</w:t>
      </w:r>
      <w:proofErr w:type="spellEnd"/>
      <w:r w:rsidRPr="00DB508D">
        <w:rPr>
          <w:sz w:val="18"/>
          <w:szCs w:val="20"/>
        </w:rPr>
        <w:t>, 1990</w:t>
      </w:r>
      <w:r w:rsidRPr="00DB508D">
        <w:rPr>
          <w:rFonts w:hint="cs"/>
          <w:sz w:val="18"/>
          <w:szCs w:val="20"/>
          <w:rtl/>
        </w:rPr>
        <w:t>).</w:t>
      </w:r>
      <w:r w:rsidRPr="00DB508D">
        <w:rPr>
          <w:sz w:val="18"/>
          <w:szCs w:val="20"/>
          <w:rtl/>
        </w:rPr>
        <w:t xml:space="preserve"> רובם ברחו או גורשו למדינות ערב הסמוכות במהלך המלחמה </w:t>
      </w:r>
      <w:r w:rsidR="001E1DDF">
        <w:rPr>
          <w:sz w:val="18"/>
          <w:szCs w:val="20"/>
        </w:rPr>
        <w:br/>
      </w:r>
      <w:r w:rsidRPr="00DB508D">
        <w:rPr>
          <w:sz w:val="18"/>
          <w:szCs w:val="20"/>
          <w:rtl/>
        </w:rPr>
        <w:t>ב-1948, ואחרים נאלצו לעזוב לאחר מכן. בשנת 1951, בעקבות דרישת הצבא, נאלצו מרבית הנשארים לפנות את אדמותיהם במערב הנגב ולהצטרף אל מי שנשארו ב"אזור הסייג" שבבקעת באר שבע (בגבולות באר שבע, רהט, ערד, דימונה וביר-הדאג'). המדינה הבטיחה כי תאפשר להם לחזור לאדמותיהם כעבור שישה חודשים – הבטחה שלא כובדה מעולם. אזור הסייג היה צחיח, ובהיעדר מים להשקיה לא התאים לחקלאות. הוא היה מיושב על ידי שבטים בדואיים אחרים, אשר התקיימו בעיקר מרעיית צאן. עקירת האוכלוסייה הבדואית ממערב הנגב אל אזור הסייג וסגירת הגבולות לרעייה ולחקלאות על ידי הממשל הצבאי (1948–1966) חיסלו למעשה גם את הכלכלה המסורתית הדלה שהייתה שם, והבדואים חיו ב</w:t>
      </w:r>
      <w:r w:rsidRPr="00DB508D">
        <w:rPr>
          <w:rFonts w:hint="cs"/>
          <w:sz w:val="18"/>
          <w:szCs w:val="20"/>
          <w:rtl/>
        </w:rPr>
        <w:t xml:space="preserve">תנאי </w:t>
      </w:r>
      <w:r w:rsidRPr="00DB508D">
        <w:rPr>
          <w:sz w:val="18"/>
          <w:szCs w:val="20"/>
          <w:rtl/>
        </w:rPr>
        <w:t>דוחק ועוני קיצוני</w:t>
      </w:r>
      <w:r w:rsidRPr="00DB508D">
        <w:rPr>
          <w:rFonts w:hint="cs"/>
          <w:sz w:val="18"/>
          <w:szCs w:val="20"/>
          <w:rtl/>
        </w:rPr>
        <w:t>ים.</w:t>
      </w:r>
      <w:r w:rsidRPr="00DB508D">
        <w:rPr>
          <w:sz w:val="18"/>
          <w:szCs w:val="20"/>
          <w:vertAlign w:val="superscript"/>
          <w:rtl/>
        </w:rPr>
        <w:footnoteReference w:id="8"/>
      </w:r>
      <w:r w:rsidRPr="00DB508D">
        <w:rPr>
          <w:sz w:val="18"/>
          <w:szCs w:val="20"/>
          <w:rtl/>
        </w:rPr>
        <w:t xml:space="preserve"> </w:t>
      </w:r>
    </w:p>
    <w:p w14:paraId="2C6302CE" w14:textId="448AC436" w:rsidR="00452401" w:rsidRPr="00DB508D" w:rsidRDefault="00452401" w:rsidP="00DB508D">
      <w:pPr>
        <w:spacing w:after="180" w:line="280" w:lineRule="exact"/>
        <w:jc w:val="both"/>
        <w:rPr>
          <w:sz w:val="18"/>
          <w:szCs w:val="20"/>
        </w:rPr>
      </w:pPr>
      <w:r w:rsidRPr="00DB508D">
        <w:rPr>
          <w:sz w:val="18"/>
          <w:szCs w:val="20"/>
          <w:rtl/>
        </w:rPr>
        <w:t xml:space="preserve">היחסים בין המדינה לבדואים הם מקרה קיצוני של יחסי המדינה עם החברה הערבית-פלסטינית בישראל בכללותה; שילוב </w:t>
      </w:r>
      <w:r w:rsidRPr="00DB508D">
        <w:rPr>
          <w:rFonts w:hint="cs"/>
          <w:sz w:val="18"/>
          <w:szCs w:val="20"/>
          <w:rtl/>
        </w:rPr>
        <w:t xml:space="preserve">בין </w:t>
      </w:r>
      <w:r w:rsidRPr="00DB508D">
        <w:rPr>
          <w:sz w:val="18"/>
          <w:szCs w:val="20"/>
          <w:rtl/>
        </w:rPr>
        <w:t>קולוניאליזם פנימי שבו קבוצת מיעוט או אזור פריפריאלי ממודרים ונדחקים לשוליים לטובת קבוצת הרוב (</w:t>
      </w:r>
      <w:r w:rsidRPr="00DB508D">
        <w:rPr>
          <w:sz w:val="18"/>
          <w:szCs w:val="20"/>
        </w:rPr>
        <w:t xml:space="preserve">Hechter, 1975; </w:t>
      </w:r>
      <w:proofErr w:type="spellStart"/>
      <w:r w:rsidRPr="00DB508D">
        <w:rPr>
          <w:sz w:val="18"/>
          <w:szCs w:val="20"/>
        </w:rPr>
        <w:t>Zureik</w:t>
      </w:r>
      <w:proofErr w:type="spellEnd"/>
      <w:r w:rsidRPr="00DB508D">
        <w:rPr>
          <w:sz w:val="18"/>
          <w:szCs w:val="20"/>
        </w:rPr>
        <w:t>, 1979</w:t>
      </w:r>
      <w:r w:rsidRPr="00DB508D">
        <w:rPr>
          <w:sz w:val="18"/>
          <w:szCs w:val="20"/>
          <w:rtl/>
        </w:rPr>
        <w:t>)</w:t>
      </w:r>
      <w:r w:rsidR="00134C7C">
        <w:rPr>
          <w:rFonts w:hint="cs"/>
          <w:sz w:val="18"/>
          <w:szCs w:val="20"/>
          <w:rtl/>
        </w:rPr>
        <w:t>,</w:t>
      </w:r>
      <w:r w:rsidRPr="00DB508D">
        <w:rPr>
          <w:sz w:val="18"/>
          <w:szCs w:val="20"/>
          <w:rtl/>
        </w:rPr>
        <w:t xml:space="preserve"> </w:t>
      </w:r>
      <w:r w:rsidRPr="00DB508D">
        <w:rPr>
          <w:rFonts w:hint="cs"/>
          <w:sz w:val="18"/>
          <w:szCs w:val="20"/>
          <w:rtl/>
        </w:rPr>
        <w:t xml:space="preserve">לבין </w:t>
      </w:r>
      <w:r w:rsidRPr="00DB508D">
        <w:rPr>
          <w:sz w:val="18"/>
          <w:szCs w:val="20"/>
          <w:rtl/>
        </w:rPr>
        <w:t xml:space="preserve">משטר </w:t>
      </w:r>
      <w:proofErr w:type="spellStart"/>
      <w:r w:rsidRPr="00DB508D">
        <w:rPr>
          <w:sz w:val="18"/>
          <w:szCs w:val="20"/>
          <w:rtl/>
        </w:rPr>
        <w:t>אתנוקרטי</w:t>
      </w:r>
      <w:proofErr w:type="spellEnd"/>
      <w:r w:rsidRPr="00DB508D">
        <w:rPr>
          <w:sz w:val="18"/>
          <w:szCs w:val="20"/>
          <w:rtl/>
        </w:rPr>
        <w:t xml:space="preserve"> </w:t>
      </w:r>
      <w:r w:rsidRPr="00DB508D">
        <w:rPr>
          <w:rFonts w:hint="cs"/>
          <w:sz w:val="18"/>
          <w:szCs w:val="20"/>
          <w:rtl/>
        </w:rPr>
        <w:t>ה</w:t>
      </w:r>
      <w:r w:rsidRPr="00DB508D">
        <w:rPr>
          <w:sz w:val="18"/>
          <w:szCs w:val="20"/>
          <w:rtl/>
        </w:rPr>
        <w:t>פועל לקידום התפשטותה הטריטוריאלית של הקבוצה האתנית הדומיננטית על חשבון קבוצות המיעוט (</w:t>
      </w:r>
      <w:proofErr w:type="spellStart"/>
      <w:r w:rsidRPr="00DB508D">
        <w:rPr>
          <w:sz w:val="18"/>
          <w:szCs w:val="20"/>
          <w:rtl/>
        </w:rPr>
        <w:t>יפתחאל</w:t>
      </w:r>
      <w:proofErr w:type="spellEnd"/>
      <w:r w:rsidRPr="00DB508D">
        <w:rPr>
          <w:sz w:val="18"/>
          <w:szCs w:val="20"/>
          <w:rtl/>
        </w:rPr>
        <w:t xml:space="preserve"> </w:t>
      </w:r>
      <w:proofErr w:type="spellStart"/>
      <w:r w:rsidRPr="00DB508D">
        <w:rPr>
          <w:sz w:val="18"/>
          <w:szCs w:val="20"/>
          <w:rtl/>
        </w:rPr>
        <w:t>וגאנם</w:t>
      </w:r>
      <w:proofErr w:type="spellEnd"/>
      <w:r w:rsidRPr="00DB508D">
        <w:rPr>
          <w:sz w:val="18"/>
          <w:szCs w:val="20"/>
          <w:rtl/>
        </w:rPr>
        <w:t xml:space="preserve">, 2005; </w:t>
      </w:r>
      <w:proofErr w:type="spellStart"/>
      <w:r w:rsidRPr="00DB508D">
        <w:rPr>
          <w:sz w:val="18"/>
          <w:szCs w:val="20"/>
        </w:rPr>
        <w:t>Yiftachel</w:t>
      </w:r>
      <w:proofErr w:type="spellEnd"/>
      <w:r w:rsidRPr="00DB508D">
        <w:rPr>
          <w:sz w:val="18"/>
          <w:szCs w:val="20"/>
        </w:rPr>
        <w:t>, 2006</w:t>
      </w:r>
      <w:r w:rsidRPr="00DB508D">
        <w:rPr>
          <w:rFonts w:hint="cs"/>
          <w:sz w:val="18"/>
          <w:szCs w:val="20"/>
          <w:rtl/>
        </w:rPr>
        <w:t>).</w:t>
      </w:r>
      <w:r w:rsidRPr="00DB508D">
        <w:rPr>
          <w:sz w:val="18"/>
          <w:szCs w:val="20"/>
          <w:rtl/>
        </w:rPr>
        <w:t xml:space="preserve"> למעשה, מדובר בתכנון וביישום ביודעין של שיטות ומנגנונים שונים שמטרתם לקיים את הפיקוח על הערבים בישראל: בידול, תלות </w:t>
      </w:r>
      <w:proofErr w:type="spellStart"/>
      <w:r w:rsidRPr="00DB508D">
        <w:rPr>
          <w:sz w:val="18"/>
          <w:szCs w:val="20"/>
          <w:rtl/>
        </w:rPr>
        <w:t>וקואופטציה</w:t>
      </w:r>
      <w:proofErr w:type="spellEnd"/>
      <w:r w:rsidRPr="00DB508D">
        <w:rPr>
          <w:rFonts w:hint="cs"/>
          <w:sz w:val="18"/>
          <w:szCs w:val="20"/>
          <w:rtl/>
        </w:rPr>
        <w:t xml:space="preserve"> </w:t>
      </w:r>
      <w:r w:rsidRPr="00DB508D">
        <w:rPr>
          <w:sz w:val="18"/>
          <w:szCs w:val="20"/>
          <w:rtl/>
        </w:rPr>
        <w:t>(</w:t>
      </w:r>
      <w:proofErr w:type="spellStart"/>
      <w:r w:rsidRPr="00DB508D">
        <w:rPr>
          <w:sz w:val="18"/>
          <w:szCs w:val="20"/>
          <w:rtl/>
        </w:rPr>
        <w:t>לוסטיק</w:t>
      </w:r>
      <w:proofErr w:type="spellEnd"/>
      <w:r w:rsidRPr="00DB508D">
        <w:rPr>
          <w:sz w:val="18"/>
          <w:szCs w:val="20"/>
          <w:rtl/>
        </w:rPr>
        <w:t>, 1985).</w:t>
      </w:r>
      <w:r w:rsidRPr="00DB508D">
        <w:rPr>
          <w:sz w:val="18"/>
          <w:szCs w:val="20"/>
          <w:vertAlign w:val="superscript"/>
          <w:rtl/>
        </w:rPr>
        <w:footnoteReference w:id="9"/>
      </w:r>
      <w:r w:rsidRPr="00DB508D">
        <w:rPr>
          <w:sz w:val="18"/>
          <w:szCs w:val="20"/>
          <w:rtl/>
        </w:rPr>
        <w:t xml:space="preserve"> מקור ההתייחסות הזאת היה בתפיסה ביטחונית שראתה בבדואים חלק מהעם הערבי והפלסטיני העוין, גיס חמישי וסכנה דמוגרפית (כהן, 2006; שפרינצק, 2003). </w:t>
      </w:r>
    </w:p>
    <w:p w14:paraId="6D6F6795" w14:textId="258507A4" w:rsidR="00452401" w:rsidRPr="00DB508D" w:rsidRDefault="00452401" w:rsidP="009E4D59">
      <w:pPr>
        <w:pBdr>
          <w:top w:val="nil"/>
          <w:left w:val="nil"/>
          <w:bottom w:val="nil"/>
          <w:right w:val="nil"/>
          <w:between w:val="nil"/>
        </w:pBdr>
        <w:tabs>
          <w:tab w:val="left" w:pos="720"/>
        </w:tabs>
        <w:spacing w:after="180" w:line="280" w:lineRule="exact"/>
        <w:jc w:val="both"/>
        <w:rPr>
          <w:color w:val="000000"/>
          <w:sz w:val="18"/>
          <w:szCs w:val="20"/>
        </w:rPr>
      </w:pPr>
      <w:bookmarkStart w:id="3" w:name="_heading=h.30j0zll" w:colFirst="0" w:colLast="0"/>
      <w:bookmarkEnd w:id="3"/>
      <w:r w:rsidRPr="00DB508D">
        <w:rPr>
          <w:color w:val="000000"/>
          <w:sz w:val="18"/>
          <w:szCs w:val="20"/>
          <w:rtl/>
        </w:rPr>
        <w:t xml:space="preserve">מדיניות יישוב הבדואים </w:t>
      </w:r>
      <w:r w:rsidRPr="00DB508D">
        <w:rPr>
          <w:rFonts w:hint="cs"/>
          <w:color w:val="000000"/>
          <w:sz w:val="18"/>
          <w:szCs w:val="20"/>
          <w:rtl/>
        </w:rPr>
        <w:t xml:space="preserve">בנגב </w:t>
      </w:r>
      <w:r w:rsidRPr="00DB508D">
        <w:rPr>
          <w:color w:val="000000"/>
          <w:sz w:val="18"/>
          <w:szCs w:val="20"/>
          <w:rtl/>
        </w:rPr>
        <w:t xml:space="preserve">הותוותה מלמעלה </w:t>
      </w:r>
      <w:r w:rsidRPr="00DB508D">
        <w:rPr>
          <w:rFonts w:hint="cs"/>
          <w:color w:val="000000"/>
          <w:sz w:val="18"/>
          <w:szCs w:val="20"/>
          <w:rtl/>
        </w:rPr>
        <w:t>ותאמה את ה</w:t>
      </w:r>
      <w:r w:rsidRPr="00DB508D">
        <w:rPr>
          <w:color w:val="000000"/>
          <w:sz w:val="18"/>
          <w:szCs w:val="20"/>
          <w:rtl/>
        </w:rPr>
        <w:t xml:space="preserve">מדיניות הלאומית, </w:t>
      </w:r>
      <w:r w:rsidRPr="00DB508D">
        <w:rPr>
          <w:sz w:val="18"/>
          <w:szCs w:val="20"/>
          <w:rtl/>
        </w:rPr>
        <w:t xml:space="preserve">אשר כללה ייהוד של הנגב וצמצום </w:t>
      </w:r>
      <w:r w:rsidR="009E4D59">
        <w:rPr>
          <w:rFonts w:hint="cs"/>
          <w:sz w:val="18"/>
          <w:szCs w:val="20"/>
          <w:rtl/>
        </w:rPr>
        <w:t>מרבי</w:t>
      </w:r>
      <w:r w:rsidR="009E4D59" w:rsidRPr="00DB508D">
        <w:rPr>
          <w:sz w:val="18"/>
          <w:szCs w:val="20"/>
          <w:rtl/>
        </w:rPr>
        <w:t xml:space="preserve"> </w:t>
      </w:r>
      <w:r w:rsidRPr="00DB508D">
        <w:rPr>
          <w:sz w:val="18"/>
          <w:szCs w:val="20"/>
          <w:rtl/>
        </w:rPr>
        <w:t xml:space="preserve">של שטח האכלוס של הבדואים באמצעות ריכוזם באזור הסייג (מאיר, 1999; </w:t>
      </w:r>
      <w:proofErr w:type="spellStart"/>
      <w:r w:rsidRPr="00DB508D">
        <w:rPr>
          <w:sz w:val="18"/>
          <w:szCs w:val="20"/>
        </w:rPr>
        <w:t>Yiftachel</w:t>
      </w:r>
      <w:proofErr w:type="spellEnd"/>
      <w:r w:rsidRPr="00DB508D">
        <w:rPr>
          <w:sz w:val="18"/>
          <w:szCs w:val="20"/>
        </w:rPr>
        <w:t>, 2006</w:t>
      </w:r>
      <w:r w:rsidRPr="00DB508D">
        <w:rPr>
          <w:rFonts w:hint="cs"/>
          <w:color w:val="000000"/>
          <w:sz w:val="18"/>
          <w:szCs w:val="20"/>
          <w:rtl/>
        </w:rPr>
        <w:t xml:space="preserve">). </w:t>
      </w:r>
      <w:r w:rsidRPr="00DB508D">
        <w:rPr>
          <w:color w:val="000000"/>
          <w:sz w:val="18"/>
          <w:szCs w:val="20"/>
          <w:rtl/>
        </w:rPr>
        <w:t>לכן לא הוצעו לבדואים חלופות יישוביות הקיימות בישראל ו</w:t>
      </w:r>
      <w:r w:rsidRPr="00DB508D">
        <w:rPr>
          <w:rFonts w:hint="cs"/>
          <w:color w:val="000000"/>
          <w:sz w:val="18"/>
          <w:szCs w:val="20"/>
          <w:rtl/>
        </w:rPr>
        <w:t xml:space="preserve">מתאימות יותר </w:t>
      </w:r>
      <w:r w:rsidRPr="00DB508D">
        <w:rPr>
          <w:color w:val="000000"/>
          <w:sz w:val="18"/>
          <w:szCs w:val="20"/>
          <w:rtl/>
        </w:rPr>
        <w:t>לניסיון התעסוקתי ההיסטורי שלהם, דוגמת מושבים או כפרים חקלאיים (</w:t>
      </w:r>
      <w:proofErr w:type="spellStart"/>
      <w:r w:rsidRPr="00DB508D">
        <w:rPr>
          <w:color w:val="000000"/>
          <w:sz w:val="18"/>
          <w:szCs w:val="20"/>
          <w:rtl/>
        </w:rPr>
        <w:t>סבירסקי</w:t>
      </w:r>
      <w:proofErr w:type="spellEnd"/>
      <w:r w:rsidRPr="00DB508D">
        <w:rPr>
          <w:color w:val="000000"/>
          <w:sz w:val="18"/>
          <w:szCs w:val="20"/>
          <w:rtl/>
        </w:rPr>
        <w:t xml:space="preserve"> וחסון, 2005). </w:t>
      </w:r>
    </w:p>
    <w:p w14:paraId="65E5BBA8" w14:textId="7B82F4D1" w:rsidR="00452401" w:rsidRPr="00DB508D" w:rsidRDefault="00452401" w:rsidP="0096244D">
      <w:pPr>
        <w:pBdr>
          <w:top w:val="nil"/>
          <w:left w:val="nil"/>
          <w:bottom w:val="nil"/>
          <w:right w:val="nil"/>
          <w:between w:val="nil"/>
        </w:pBdr>
        <w:tabs>
          <w:tab w:val="left" w:pos="720"/>
        </w:tabs>
        <w:spacing w:after="180" w:line="280" w:lineRule="exact"/>
        <w:jc w:val="both"/>
        <w:rPr>
          <w:color w:val="000000"/>
          <w:sz w:val="18"/>
          <w:szCs w:val="20"/>
        </w:rPr>
      </w:pPr>
      <w:bookmarkStart w:id="4" w:name="_heading=h.8orj3aap8wco" w:colFirst="0" w:colLast="0"/>
      <w:bookmarkEnd w:id="4"/>
      <w:r w:rsidRPr="00DB508D">
        <w:rPr>
          <w:sz w:val="18"/>
          <w:szCs w:val="20"/>
          <w:rtl/>
        </w:rPr>
        <w:lastRenderedPageBreak/>
        <w:t>שאלת הקרקעות הייתה ועודנה החסם המשמעותי בפני פ</w:t>
      </w:r>
      <w:r w:rsidRPr="00DB508D">
        <w:rPr>
          <w:color w:val="000000"/>
          <w:sz w:val="18"/>
          <w:szCs w:val="20"/>
          <w:rtl/>
        </w:rPr>
        <w:t>יתוח הנגב, ובבסיסו עומד כישלונה של המדיניות הממשלתית ליישוב הבדואים. הבדואים דורשים מהמדינה להכיר בזכויותיהם המסורתיות לבעלות על אדמותיהם, ודוחים כל הסדר או תוכנית ליישובם ביישובי קבע תוך שלילת בעלותם על קרקעותיהם. המדינה, מצידה, לא הכירה בבעלות הבדואים על אדמותיהם וטענה כי מדובר באדמות מדינה,</w:t>
      </w:r>
      <w:r w:rsidRPr="00DB508D">
        <w:rPr>
          <w:color w:val="000000"/>
          <w:sz w:val="18"/>
          <w:szCs w:val="20"/>
          <w:vertAlign w:val="superscript"/>
          <w:rtl/>
        </w:rPr>
        <w:footnoteReference w:id="10"/>
      </w:r>
      <w:r w:rsidRPr="00DB508D">
        <w:rPr>
          <w:color w:val="000000"/>
          <w:sz w:val="18"/>
          <w:szCs w:val="20"/>
          <w:rtl/>
        </w:rPr>
        <w:t xml:space="preserve"> מאחר שלא נרשמו כדין ובשל היותן "קרק</w:t>
      </w:r>
      <w:r w:rsidRPr="00DB508D">
        <w:rPr>
          <w:sz w:val="18"/>
          <w:szCs w:val="20"/>
          <w:rtl/>
        </w:rPr>
        <w:t xml:space="preserve">עות </w:t>
      </w:r>
      <w:proofErr w:type="spellStart"/>
      <w:r w:rsidRPr="00DB508D">
        <w:rPr>
          <w:sz w:val="18"/>
          <w:szCs w:val="20"/>
          <w:rtl/>
        </w:rPr>
        <w:t>מוואת</w:t>
      </w:r>
      <w:proofErr w:type="spellEnd"/>
      <w:r w:rsidRPr="00DB508D">
        <w:rPr>
          <w:sz w:val="18"/>
          <w:szCs w:val="20"/>
          <w:rtl/>
        </w:rPr>
        <w:t xml:space="preserve">" – קרקעות שוממות ומוזנחות (בן-דוד, 1995, 1996; </w:t>
      </w:r>
      <w:proofErr w:type="spellStart"/>
      <w:r w:rsidRPr="00DB508D">
        <w:rPr>
          <w:sz w:val="18"/>
          <w:szCs w:val="20"/>
          <w:rtl/>
        </w:rPr>
        <w:t>יפתחאל</w:t>
      </w:r>
      <w:proofErr w:type="spellEnd"/>
      <w:r w:rsidRPr="00DB508D">
        <w:rPr>
          <w:sz w:val="18"/>
          <w:szCs w:val="20"/>
          <w:rtl/>
        </w:rPr>
        <w:t>, 2013</w:t>
      </w:r>
      <w:r w:rsidRPr="00DB508D">
        <w:rPr>
          <w:rFonts w:hint="cs"/>
          <w:sz w:val="18"/>
          <w:szCs w:val="20"/>
          <w:rtl/>
        </w:rPr>
        <w:t xml:space="preserve">; </w:t>
      </w:r>
      <w:r w:rsidRPr="00DB508D">
        <w:rPr>
          <w:sz w:val="18"/>
          <w:szCs w:val="20"/>
          <w:rtl/>
        </w:rPr>
        <w:t>מאיר, 2006; קרם, 2013</w:t>
      </w:r>
      <w:r w:rsidRPr="00DB508D">
        <w:rPr>
          <w:rFonts w:hint="cs"/>
          <w:sz w:val="18"/>
          <w:szCs w:val="20"/>
          <w:rtl/>
        </w:rPr>
        <w:t>;</w:t>
      </w:r>
      <w:r w:rsidRPr="00DB508D">
        <w:rPr>
          <w:sz w:val="18"/>
          <w:szCs w:val="20"/>
          <w:rtl/>
        </w:rPr>
        <w:t xml:space="preserve"> </w:t>
      </w:r>
      <w:proofErr w:type="spellStart"/>
      <w:r w:rsidRPr="00DB508D">
        <w:rPr>
          <w:sz w:val="18"/>
          <w:szCs w:val="20"/>
        </w:rPr>
        <w:t>Kedar</w:t>
      </w:r>
      <w:proofErr w:type="spellEnd"/>
      <w:r w:rsidRPr="00DB508D">
        <w:rPr>
          <w:sz w:val="18"/>
          <w:szCs w:val="20"/>
        </w:rPr>
        <w:t xml:space="preserve">, Amara, &amp; </w:t>
      </w:r>
      <w:proofErr w:type="spellStart"/>
      <w:r w:rsidRPr="00DB508D">
        <w:rPr>
          <w:sz w:val="18"/>
          <w:szCs w:val="20"/>
        </w:rPr>
        <w:t>Yiftachel</w:t>
      </w:r>
      <w:proofErr w:type="spellEnd"/>
      <w:r w:rsidRPr="00DB508D">
        <w:rPr>
          <w:sz w:val="18"/>
          <w:szCs w:val="20"/>
        </w:rPr>
        <w:t xml:space="preserve">, 2018; Meir, 2009; </w:t>
      </w:r>
      <w:proofErr w:type="spellStart"/>
      <w:r w:rsidRPr="00DB508D">
        <w:rPr>
          <w:sz w:val="18"/>
          <w:szCs w:val="20"/>
        </w:rPr>
        <w:t>Yahel</w:t>
      </w:r>
      <w:proofErr w:type="spellEnd"/>
      <w:r w:rsidRPr="00DB508D">
        <w:rPr>
          <w:sz w:val="18"/>
          <w:szCs w:val="20"/>
        </w:rPr>
        <w:t>, 2006</w:t>
      </w:r>
      <w:r w:rsidRPr="00DB508D">
        <w:rPr>
          <w:sz w:val="18"/>
          <w:szCs w:val="20"/>
          <w:rtl/>
        </w:rPr>
        <w:t>)</w:t>
      </w:r>
      <w:r w:rsidRPr="00DB508D">
        <w:rPr>
          <w:rFonts w:hint="cs"/>
          <w:sz w:val="18"/>
          <w:szCs w:val="20"/>
          <w:rtl/>
        </w:rPr>
        <w:t>.</w:t>
      </w:r>
      <w:r w:rsidRPr="00DB508D">
        <w:rPr>
          <w:sz w:val="18"/>
          <w:szCs w:val="20"/>
          <w:vertAlign w:val="superscript"/>
          <w:rtl/>
        </w:rPr>
        <w:footnoteReference w:id="11"/>
      </w:r>
      <w:r w:rsidRPr="00DB508D">
        <w:rPr>
          <w:sz w:val="18"/>
          <w:szCs w:val="20"/>
          <w:rtl/>
        </w:rPr>
        <w:t xml:space="preserve"> רוב תביעות הבעלות שהגישו הבדואים במסגרת הליך הסדר המקרקעין בנגב, שהחל בשנת 1969, על ש</w:t>
      </w:r>
      <w:r w:rsidRPr="00DB508D">
        <w:rPr>
          <w:color w:val="000000"/>
          <w:sz w:val="18"/>
          <w:szCs w:val="20"/>
          <w:rtl/>
        </w:rPr>
        <w:t>טח שמוערך ב-770,000–1,500,000 דונם (בין 6 ל-12% משטח הנגב, נפת באר שבע), לא טופלו או שנדחו על הסף</w:t>
      </w:r>
      <w:r w:rsidR="0096244D">
        <w:rPr>
          <w:rFonts w:hint="cs"/>
          <w:color w:val="000000"/>
          <w:sz w:val="18"/>
          <w:szCs w:val="20"/>
          <w:rtl/>
        </w:rPr>
        <w:t xml:space="preserve"> </w:t>
      </w:r>
      <w:r w:rsidRPr="00DB508D">
        <w:rPr>
          <w:color w:val="000000"/>
          <w:sz w:val="18"/>
          <w:szCs w:val="20"/>
          <w:rtl/>
        </w:rPr>
        <w:t>(</w:t>
      </w:r>
      <w:proofErr w:type="spellStart"/>
      <w:r w:rsidRPr="00DB508D">
        <w:rPr>
          <w:color w:val="000000"/>
          <w:sz w:val="18"/>
          <w:szCs w:val="20"/>
        </w:rPr>
        <w:t>Kedar</w:t>
      </w:r>
      <w:proofErr w:type="spellEnd"/>
      <w:r w:rsidRPr="00DB508D">
        <w:rPr>
          <w:color w:val="000000"/>
          <w:sz w:val="18"/>
          <w:szCs w:val="20"/>
        </w:rPr>
        <w:t xml:space="preserve"> et al., 2018; </w:t>
      </w:r>
      <w:proofErr w:type="spellStart"/>
      <w:r w:rsidRPr="00DB508D">
        <w:rPr>
          <w:color w:val="000000"/>
          <w:sz w:val="18"/>
          <w:szCs w:val="20"/>
        </w:rPr>
        <w:t>Maddrell</w:t>
      </w:r>
      <w:proofErr w:type="spellEnd"/>
      <w:r w:rsidRPr="00DB508D">
        <w:rPr>
          <w:color w:val="000000"/>
          <w:sz w:val="18"/>
          <w:szCs w:val="20"/>
        </w:rPr>
        <w:t>, 1990</w:t>
      </w:r>
      <w:r w:rsidRPr="00DB508D">
        <w:rPr>
          <w:color w:val="000000"/>
          <w:sz w:val="18"/>
          <w:szCs w:val="20"/>
          <w:rtl/>
        </w:rPr>
        <w:t>)</w:t>
      </w:r>
      <w:r w:rsidRPr="00DB508D">
        <w:rPr>
          <w:rFonts w:hint="cs"/>
          <w:color w:val="000000"/>
          <w:sz w:val="18"/>
          <w:szCs w:val="20"/>
          <w:rtl/>
        </w:rPr>
        <w:t>.</w:t>
      </w:r>
    </w:p>
    <w:p w14:paraId="395D180A" w14:textId="69F6F8C0" w:rsidR="00452401" w:rsidRPr="00DB508D" w:rsidRDefault="00452401" w:rsidP="00437DDA">
      <w:pPr>
        <w:spacing w:after="180" w:line="280" w:lineRule="exact"/>
        <w:jc w:val="both"/>
        <w:rPr>
          <w:color w:val="FF0000"/>
          <w:sz w:val="18"/>
          <w:szCs w:val="20"/>
        </w:rPr>
      </w:pPr>
      <w:r w:rsidRPr="00DB508D">
        <w:rPr>
          <w:sz w:val="18"/>
          <w:szCs w:val="20"/>
          <w:rtl/>
        </w:rPr>
        <w:t>היעדר פתרון לשאלת הקרקעות ולהתיישבות הבדואים באזור הסייג הביא להקמת עשרות כפרים בלתי מוכרים, והבדואים מתגוררים בהם בצריפים, בפחונים ובאוהלים, בתנאים קשים מאוד, ללא רשת חשמל, מים זורמים, קווי טלפון, כבישים או מוסדות ציבור.</w:t>
      </w:r>
      <w:r w:rsidRPr="00DB508D">
        <w:rPr>
          <w:sz w:val="18"/>
          <w:szCs w:val="20"/>
          <w:vertAlign w:val="superscript"/>
          <w:rtl/>
        </w:rPr>
        <w:footnoteReference w:id="12"/>
      </w:r>
      <w:r w:rsidRPr="00DB508D">
        <w:rPr>
          <w:sz w:val="18"/>
          <w:szCs w:val="20"/>
          <w:rtl/>
        </w:rPr>
        <w:t xml:space="preserve"> בכפרים אלה </w:t>
      </w:r>
      <w:r w:rsidRPr="00DB508D">
        <w:rPr>
          <w:rFonts w:hint="cs"/>
          <w:sz w:val="18"/>
          <w:szCs w:val="20"/>
          <w:rtl/>
        </w:rPr>
        <w:t>אי אפשר</w:t>
      </w:r>
      <w:r w:rsidRPr="00DB508D">
        <w:rPr>
          <w:sz w:val="18"/>
          <w:szCs w:val="20"/>
          <w:rtl/>
        </w:rPr>
        <w:t xml:space="preserve"> להוציא היתרי בנייה כחוק, מאחר שהמדינה אינה מכירה בהם, וכך נוצר מצב </w:t>
      </w:r>
      <w:r w:rsidRPr="00DB508D">
        <w:rPr>
          <w:sz w:val="18"/>
          <w:szCs w:val="20"/>
          <w:rtl/>
        </w:rPr>
        <w:lastRenderedPageBreak/>
        <w:t>ש</w:t>
      </w:r>
      <w:r w:rsidRPr="00DB508D">
        <w:rPr>
          <w:rFonts w:hint="cs"/>
          <w:sz w:val="18"/>
          <w:szCs w:val="20"/>
          <w:rtl/>
        </w:rPr>
        <w:t xml:space="preserve">בו </w:t>
      </w:r>
      <w:r w:rsidRPr="00DB508D">
        <w:rPr>
          <w:sz w:val="18"/>
          <w:szCs w:val="20"/>
          <w:rtl/>
        </w:rPr>
        <w:t>כל הבתים אינם חוקיים וצפויים להריסה בצו בית משפט (</w:t>
      </w:r>
      <w:proofErr w:type="spellStart"/>
      <w:r w:rsidRPr="00DB508D">
        <w:rPr>
          <w:sz w:val="18"/>
          <w:szCs w:val="20"/>
          <w:rtl/>
        </w:rPr>
        <w:t>סבירסקי</w:t>
      </w:r>
      <w:proofErr w:type="spellEnd"/>
      <w:r w:rsidRPr="00DB508D">
        <w:rPr>
          <w:sz w:val="18"/>
          <w:szCs w:val="20"/>
          <w:rtl/>
        </w:rPr>
        <w:t xml:space="preserve"> וחסון, 2005).</w:t>
      </w:r>
      <w:r w:rsidRPr="00DB508D">
        <w:rPr>
          <w:sz w:val="18"/>
          <w:szCs w:val="20"/>
          <w:vertAlign w:val="superscript"/>
          <w:rtl/>
        </w:rPr>
        <w:footnoteReference w:id="13"/>
      </w:r>
      <w:r w:rsidRPr="00DB508D">
        <w:rPr>
          <w:sz w:val="18"/>
          <w:szCs w:val="20"/>
          <w:rtl/>
        </w:rPr>
        <w:t xml:space="preserve"> בשנים האחרונות תוגברה מדיניות האכיפה והפיקוח על הבנייה הבלתי חוקית בנגב, והתוצאה הי</w:t>
      </w:r>
      <w:r w:rsidR="00437DDA">
        <w:rPr>
          <w:rFonts w:hint="cs"/>
          <w:sz w:val="18"/>
          <w:szCs w:val="20"/>
          <w:rtl/>
        </w:rPr>
        <w:t>יתה</w:t>
      </w:r>
      <w:r w:rsidRPr="00DB508D">
        <w:rPr>
          <w:sz w:val="18"/>
          <w:szCs w:val="20"/>
          <w:rtl/>
        </w:rPr>
        <w:t xml:space="preserve"> הריסת 8,456 מבנים בשנים 2013–2018; בשנת 2017 נהרסו 2220 מבנים, בשנת 2018 נהרסו 2326</w:t>
      </w:r>
      <w:r w:rsidRPr="00DB508D">
        <w:rPr>
          <w:rFonts w:hint="cs"/>
          <w:sz w:val="18"/>
          <w:szCs w:val="20"/>
          <w:rtl/>
        </w:rPr>
        <w:t xml:space="preserve"> מבנים,</w:t>
      </w:r>
      <w:r w:rsidRPr="00DB508D">
        <w:rPr>
          <w:sz w:val="18"/>
          <w:szCs w:val="20"/>
          <w:rtl/>
        </w:rPr>
        <w:t xml:space="preserve"> ובשנת 2019 נהרסו 2241 </w:t>
      </w:r>
      <w:r w:rsidRPr="00DB508D">
        <w:rPr>
          <w:rFonts w:hint="cs"/>
          <w:sz w:val="18"/>
          <w:szCs w:val="20"/>
          <w:rtl/>
        </w:rPr>
        <w:t xml:space="preserve">מבנים </w:t>
      </w:r>
      <w:r w:rsidRPr="00DB508D">
        <w:rPr>
          <w:sz w:val="18"/>
          <w:szCs w:val="20"/>
          <w:rtl/>
        </w:rPr>
        <w:t xml:space="preserve">(אברך, נח ומרקוס, 2020). הכפר אל </w:t>
      </w:r>
      <w:proofErr w:type="spellStart"/>
      <w:r w:rsidRPr="00DB508D">
        <w:rPr>
          <w:sz w:val="18"/>
          <w:szCs w:val="20"/>
          <w:rtl/>
        </w:rPr>
        <w:t>עראקיב</w:t>
      </w:r>
      <w:proofErr w:type="spellEnd"/>
      <w:r w:rsidRPr="00DB508D">
        <w:rPr>
          <w:sz w:val="18"/>
          <w:szCs w:val="20"/>
          <w:rtl/>
        </w:rPr>
        <w:t xml:space="preserve"> נהרס 188 פעמים, לאחר שבית המשפט העליון דחה את תביעת תושביו להכרה בבעלותם על הקרקע. ב-18 בינואר 2017 נהרגו תושב אום אל-</w:t>
      </w:r>
      <w:proofErr w:type="spellStart"/>
      <w:r w:rsidRPr="00DB508D">
        <w:rPr>
          <w:sz w:val="18"/>
          <w:szCs w:val="20"/>
          <w:rtl/>
        </w:rPr>
        <w:t>חיראן</w:t>
      </w:r>
      <w:proofErr w:type="spellEnd"/>
      <w:r w:rsidRPr="00DB508D">
        <w:rPr>
          <w:sz w:val="18"/>
          <w:szCs w:val="20"/>
          <w:rtl/>
        </w:rPr>
        <w:t xml:space="preserve"> יעקוב אבו-</w:t>
      </w:r>
      <w:proofErr w:type="spellStart"/>
      <w:r w:rsidRPr="00DB508D">
        <w:rPr>
          <w:sz w:val="18"/>
          <w:szCs w:val="20"/>
          <w:rtl/>
        </w:rPr>
        <w:t>אלקיעאן</w:t>
      </w:r>
      <w:proofErr w:type="spellEnd"/>
      <w:r w:rsidRPr="00DB508D">
        <w:rPr>
          <w:sz w:val="18"/>
          <w:szCs w:val="20"/>
          <w:rtl/>
        </w:rPr>
        <w:t xml:space="preserve"> והשוטר </w:t>
      </w:r>
      <w:proofErr w:type="spellStart"/>
      <w:r w:rsidRPr="00DB508D">
        <w:rPr>
          <w:sz w:val="18"/>
          <w:szCs w:val="20"/>
          <w:rtl/>
        </w:rPr>
        <w:t>רס"מ</w:t>
      </w:r>
      <w:proofErr w:type="spellEnd"/>
      <w:r w:rsidRPr="00DB508D">
        <w:rPr>
          <w:sz w:val="18"/>
          <w:szCs w:val="20"/>
          <w:rtl/>
        </w:rPr>
        <w:t xml:space="preserve"> ארז (עמדי) לוי במהלך מבצע משטרתי להריסת בתים בכפר הבלתי מוכר אום-</w:t>
      </w:r>
      <w:proofErr w:type="spellStart"/>
      <w:r w:rsidRPr="00DB508D">
        <w:rPr>
          <w:sz w:val="18"/>
          <w:szCs w:val="20"/>
          <w:rtl/>
        </w:rPr>
        <w:t>אלחיראן</w:t>
      </w:r>
      <w:proofErr w:type="spellEnd"/>
      <w:r w:rsidRPr="00DB508D">
        <w:rPr>
          <w:sz w:val="18"/>
          <w:szCs w:val="20"/>
          <w:rtl/>
        </w:rPr>
        <w:t xml:space="preserve">, ליד חורה, בשעות הבוקר המוקדמות. האירוע לווה בהאשמות הדדיות קשות ומתוקשרות בין התושבים וחברי כנסת לבין המשטרה, הפרקליטות, שרים ואפילו ראש הממשלה, ואלה פגעו בדימוי של הבדואים וביחסים שלהם עם המדינה. </w:t>
      </w:r>
    </w:p>
    <w:p w14:paraId="437002B6" w14:textId="42B1BD49" w:rsidR="00452401" w:rsidRPr="00DB508D" w:rsidRDefault="00452401" w:rsidP="00437DDA">
      <w:pPr>
        <w:spacing w:after="180" w:line="280" w:lineRule="exact"/>
        <w:jc w:val="both"/>
        <w:rPr>
          <w:sz w:val="18"/>
          <w:szCs w:val="20"/>
        </w:rPr>
      </w:pPr>
      <w:r w:rsidRPr="00DB508D">
        <w:rPr>
          <w:sz w:val="18"/>
          <w:szCs w:val="20"/>
          <w:rtl/>
        </w:rPr>
        <w:t xml:space="preserve">התהליך הממלכתי של תכנון יישובי הבדואים התחיל עוד לפני סיומו של הממשל הצבאי: בשנת 1965 אושרה תוכנית להקמת שלושה יישובים: תל שבע (הוקם בשנת 1967), רהט (1971) וכסיפה (1982); בשנת 1975 אושרו עוד ארבעה יישובים: ערערה (1981), שגב שלום (1984), חורה (1989) </w:t>
      </w:r>
      <w:proofErr w:type="spellStart"/>
      <w:r w:rsidRPr="00DB508D">
        <w:rPr>
          <w:sz w:val="18"/>
          <w:szCs w:val="20"/>
          <w:rtl/>
        </w:rPr>
        <w:t>ולקייה</w:t>
      </w:r>
      <w:proofErr w:type="spellEnd"/>
      <w:r w:rsidRPr="00DB508D">
        <w:rPr>
          <w:sz w:val="18"/>
          <w:szCs w:val="20"/>
          <w:rtl/>
        </w:rPr>
        <w:t xml:space="preserve"> (1990) (בן-דוד, 1993). בדצמבר 2003 הכירה המדינה ב-11 כפרים במסגרת המועצה האזורית אבו-בסמה. המועצה פורקה בשנת 2012, ובמקומה הוקמו שתי מועצות אזוריות: אל-קסום (אחראית ליישובים בציר באר שבע-ערד </w:t>
      </w:r>
      <w:proofErr w:type="spellStart"/>
      <w:r w:rsidRPr="00DB508D">
        <w:rPr>
          <w:sz w:val="18"/>
          <w:szCs w:val="20"/>
          <w:rtl/>
        </w:rPr>
        <w:t>ותראבין</w:t>
      </w:r>
      <w:proofErr w:type="spellEnd"/>
      <w:r w:rsidRPr="00DB508D">
        <w:rPr>
          <w:sz w:val="18"/>
          <w:szCs w:val="20"/>
          <w:rtl/>
        </w:rPr>
        <w:t>-אלסאנע) ונווה מדבר (אחראית ליישובים בציר באר שבע-דימונה וביר הדאג'). למעשה, מאז ההכרה ביישובים והקמת המועצות האזוריות לא חל שינוי משמעותי בפיתוח היישובים שהוכרו, ורוב הבתים לא זכו להיתרי בנייה או לחיבור לחשמל, למים, ולמערכת ביוב (דגן-בוזגלו, 2014).</w:t>
      </w:r>
      <w:r w:rsidRPr="00DB508D">
        <w:rPr>
          <w:sz w:val="18"/>
          <w:szCs w:val="20"/>
          <w:vertAlign w:val="superscript"/>
          <w:rtl/>
        </w:rPr>
        <w:footnoteReference w:id="14"/>
      </w:r>
      <w:r w:rsidRPr="00DB508D">
        <w:rPr>
          <w:sz w:val="18"/>
          <w:szCs w:val="20"/>
          <w:rtl/>
        </w:rPr>
        <w:t xml:space="preserve"> גם העיירות הבדואיות סבלו ועדיין סובלות מחוסר פיתוח כלכלי-תעסוקתי, עוני, רמת אבטלה גבוהה, תשתיות פיזיות וחברתיות נמוכות, רמת חינוך פורמלי ובלתי פורמלי ירודה, שירותים מוניציפליים שרמתם נמוכה, רמת פשיעה גבוהה וביטחון אישי נמוך</w:t>
      </w:r>
      <w:r w:rsidRPr="00DB508D">
        <w:rPr>
          <w:color w:val="FF0000"/>
          <w:sz w:val="18"/>
          <w:szCs w:val="20"/>
          <w:rtl/>
        </w:rPr>
        <w:t xml:space="preserve"> </w:t>
      </w:r>
      <w:r w:rsidRPr="00DB508D">
        <w:rPr>
          <w:sz w:val="18"/>
          <w:szCs w:val="20"/>
          <w:rtl/>
        </w:rPr>
        <w:t xml:space="preserve">(אבו בדר וגוטליב, 2008; בן-ישראל, 2013; </w:t>
      </w:r>
      <w:proofErr w:type="spellStart"/>
      <w:r w:rsidRPr="00DB508D">
        <w:rPr>
          <w:sz w:val="18"/>
          <w:szCs w:val="20"/>
          <w:rtl/>
        </w:rPr>
        <w:t>סבירסקי</w:t>
      </w:r>
      <w:proofErr w:type="spellEnd"/>
      <w:r w:rsidRPr="00DB508D">
        <w:rPr>
          <w:sz w:val="18"/>
          <w:szCs w:val="20"/>
          <w:rtl/>
        </w:rPr>
        <w:t xml:space="preserve"> וחסון, 2005).</w:t>
      </w:r>
    </w:p>
    <w:p w14:paraId="3B24DA1B" w14:textId="37B763B3" w:rsidR="00452401" w:rsidRPr="00DB508D" w:rsidRDefault="00452401" w:rsidP="00437DDA">
      <w:pPr>
        <w:spacing w:after="180" w:line="280" w:lineRule="exact"/>
        <w:jc w:val="both"/>
        <w:rPr>
          <w:sz w:val="18"/>
          <w:szCs w:val="20"/>
          <w:rtl/>
        </w:rPr>
      </w:pPr>
      <w:r w:rsidRPr="00DB508D">
        <w:rPr>
          <w:sz w:val="18"/>
          <w:szCs w:val="20"/>
          <w:rtl/>
        </w:rPr>
        <w:t xml:space="preserve">צמיחת החברה הבדואית החדשה, ובעיקר התפתחותה החברתית-כלכלית, אירעה בצילם של יחסים עוינים, חשדניים וסטראוטיפיים מצד הגורמים הממשלתיים וקבוצת הרוב בחברה הישראלית. הבדואים המעטים שנותרו בישראל בשנת 1948 נאלצו להתמודד עם בנייה מחדש של קהילתם בתנאי </w:t>
      </w:r>
      <w:r w:rsidR="00437DDA">
        <w:rPr>
          <w:rFonts w:hint="cs"/>
          <w:sz w:val="18"/>
          <w:szCs w:val="20"/>
          <w:rtl/>
        </w:rPr>
        <w:t xml:space="preserve">חוסר </w:t>
      </w:r>
      <w:r w:rsidRPr="00DB508D">
        <w:rPr>
          <w:sz w:val="18"/>
          <w:szCs w:val="20"/>
          <w:rtl/>
        </w:rPr>
        <w:t>ודאות קיצוניים, היעדר משאבים, עוני והדרה (</w:t>
      </w:r>
      <w:proofErr w:type="spellStart"/>
      <w:r w:rsidRPr="00DB508D">
        <w:rPr>
          <w:sz w:val="18"/>
          <w:szCs w:val="20"/>
        </w:rPr>
        <w:t>Nasasra</w:t>
      </w:r>
      <w:proofErr w:type="spellEnd"/>
      <w:r w:rsidRPr="00DB508D">
        <w:rPr>
          <w:sz w:val="18"/>
          <w:szCs w:val="20"/>
        </w:rPr>
        <w:t>, 2017</w:t>
      </w:r>
      <w:r w:rsidRPr="00DB508D">
        <w:rPr>
          <w:sz w:val="18"/>
          <w:szCs w:val="20"/>
          <w:rtl/>
        </w:rPr>
        <w:t xml:space="preserve">). על אירועי 1948, אשר הביאו לגירוש או בריחה של 80–90% מהבדואים, יש להוסיף את דיכוי הבדואים באמצעות הממשל הצבאי, הפקעה מסיבית של קרקעותיהם, הרס כלכלתם </w:t>
      </w:r>
      <w:r w:rsidRPr="00DB508D">
        <w:rPr>
          <w:sz w:val="18"/>
          <w:szCs w:val="20"/>
          <w:rtl/>
        </w:rPr>
        <w:lastRenderedPageBreak/>
        <w:t>המסורתית ללא יצירת כלכלה חלופית; צמיחת הכפרים הבלתי מוכרים ללא תנאי מחיה בסיסיים ביותר, ותכנון והקמה של יישובים חלשים החסרים תשתיות עירוניות, כלכליות, חינוכיות וחברתיות ראויות. תנאים אלה הביאו להסתגרותה של החברה הבדואית ולהתכנסותה אל המסגרת השבטית הישנה, שהתקיימה בנגב במשך שנים רבות</w:t>
      </w:r>
      <w:r w:rsidRPr="00DB508D">
        <w:rPr>
          <w:rFonts w:hint="cs"/>
          <w:sz w:val="18"/>
          <w:szCs w:val="20"/>
          <w:rtl/>
        </w:rPr>
        <w:t xml:space="preserve"> (</w:t>
      </w:r>
      <w:proofErr w:type="spellStart"/>
      <w:r w:rsidRPr="00DB508D">
        <w:rPr>
          <w:sz w:val="18"/>
          <w:szCs w:val="20"/>
        </w:rPr>
        <w:t>Boneh</w:t>
      </w:r>
      <w:proofErr w:type="spellEnd"/>
      <w:r w:rsidRPr="00DB508D">
        <w:rPr>
          <w:sz w:val="18"/>
          <w:szCs w:val="20"/>
        </w:rPr>
        <w:t>,</w:t>
      </w:r>
      <w:r w:rsidR="00856912">
        <w:rPr>
          <w:sz w:val="18"/>
          <w:szCs w:val="20"/>
        </w:rPr>
        <w:t xml:space="preserve"> </w:t>
      </w:r>
      <w:r w:rsidRPr="00DB508D">
        <w:rPr>
          <w:sz w:val="18"/>
          <w:szCs w:val="20"/>
        </w:rPr>
        <w:t>1982; Tamari et al., 2016</w:t>
      </w:r>
      <w:r w:rsidRPr="00DB508D">
        <w:rPr>
          <w:rFonts w:hint="cs"/>
          <w:sz w:val="18"/>
          <w:szCs w:val="20"/>
          <w:rtl/>
        </w:rPr>
        <w:t>).</w:t>
      </w:r>
    </w:p>
    <w:p w14:paraId="0FD01D6C" w14:textId="7268E204" w:rsidR="00452401" w:rsidRPr="00DB508D" w:rsidRDefault="00452401" w:rsidP="00CA18C1">
      <w:pPr>
        <w:spacing w:after="180" w:line="280" w:lineRule="exact"/>
        <w:jc w:val="both"/>
        <w:rPr>
          <w:sz w:val="18"/>
          <w:szCs w:val="20"/>
        </w:rPr>
      </w:pPr>
      <w:r w:rsidRPr="00DB508D">
        <w:rPr>
          <w:sz w:val="18"/>
          <w:szCs w:val="20"/>
          <w:rtl/>
        </w:rPr>
        <w:t>המדינה ראתה בסוגיה הבדואית חסם בפני פיתוח הנגב כולו, ופעלה, בעיקר מאז ראשית המאה ה-21, להסדרת ההתיישבות הבדואית, לפיתוח היישובים ולשיפור השירותים העירוניים באמצעות שורה של החלטות ממשלה. אלה כללו תוכניות ותקציבים, וגם צעדים לאכיפת דיני המקרקעין (אבו ראס, 2011). בשנת 2007 מינתה הממשלה ועדה ציבורית בראשות שופט בית המשפט העליון (בדימוס) אליעזר גולדברג</w:t>
      </w:r>
      <w:r w:rsidR="00CA18C1">
        <w:rPr>
          <w:rFonts w:hint="cs"/>
          <w:sz w:val="18"/>
          <w:szCs w:val="20"/>
          <w:rtl/>
        </w:rPr>
        <w:t>,</w:t>
      </w:r>
      <w:r w:rsidRPr="00DB508D">
        <w:rPr>
          <w:sz w:val="18"/>
          <w:szCs w:val="20"/>
          <w:rtl/>
        </w:rPr>
        <w:t xml:space="preserve"> כדי שתגבש הצעת חוק והמלצות מדיניות להסדרת ההתיישבות הבדואית בנגב. הוועדה המליצה להכיר ככל האפשר בחלק מהכפרים הבלתי מוכרים, להגדיר את המבנים הבלתי חוקיים שבתחום תוכנית מתאר תקפה כ</w:t>
      </w:r>
      <w:r w:rsidRPr="001E1DDF">
        <w:rPr>
          <w:b/>
          <w:bCs/>
          <w:sz w:val="18"/>
          <w:szCs w:val="20"/>
          <w:rtl/>
        </w:rPr>
        <w:t xml:space="preserve">מבנים אפורים </w:t>
      </w:r>
      <w:r w:rsidRPr="00DB508D">
        <w:rPr>
          <w:sz w:val="18"/>
          <w:szCs w:val="20"/>
          <w:rtl/>
        </w:rPr>
        <w:t>במטרה להכשירם, להקים גוף ביצועי אחד – הרשות להסדרת ההתיישבות הבדואית בנגב – וליצור מסלול תכנו</w:t>
      </w:r>
      <w:r w:rsidR="00CA18C1">
        <w:rPr>
          <w:rFonts w:hint="cs"/>
          <w:sz w:val="18"/>
          <w:szCs w:val="20"/>
          <w:rtl/>
        </w:rPr>
        <w:t>ן</w:t>
      </w:r>
      <w:r w:rsidRPr="00DB508D">
        <w:rPr>
          <w:sz w:val="18"/>
          <w:szCs w:val="20"/>
          <w:rtl/>
        </w:rPr>
        <w:t xml:space="preserve"> קצר ליישום ההמלצות הללו. עוד המליצה הוועדה על מתן זכות בעלות על הקרקע מתוך התחשבות בזיקה היסטורית של הבדואים לאדמותיהם, וקבעה פיצויים – כולל פיצויים בקרקע חלופית (גולדברג, 2008). בשנת 2009 קיבלה הממשלה את המלצות ועדת גולדברג, וכדי ליישמן מינתה צוות בראשות אהוד </w:t>
      </w:r>
      <w:proofErr w:type="spellStart"/>
      <w:r w:rsidRPr="00DB508D">
        <w:rPr>
          <w:sz w:val="18"/>
          <w:szCs w:val="20"/>
          <w:rtl/>
        </w:rPr>
        <w:t>פראוור</w:t>
      </w:r>
      <w:proofErr w:type="spellEnd"/>
      <w:r w:rsidRPr="00DB508D">
        <w:rPr>
          <w:sz w:val="18"/>
          <w:szCs w:val="20"/>
          <w:rtl/>
        </w:rPr>
        <w:t xml:space="preserve"> לקביעת מתווה מפורט וישים להסדרת ההתיישבות הבדואית. בשנת 2011 קיבלה הממשלה את מתווה </w:t>
      </w:r>
      <w:proofErr w:type="spellStart"/>
      <w:r w:rsidRPr="00DB508D">
        <w:rPr>
          <w:sz w:val="18"/>
          <w:szCs w:val="20"/>
          <w:rtl/>
        </w:rPr>
        <w:t>פראוור</w:t>
      </w:r>
      <w:proofErr w:type="spellEnd"/>
      <w:r w:rsidRPr="00DB508D">
        <w:rPr>
          <w:sz w:val="18"/>
          <w:szCs w:val="20"/>
          <w:rtl/>
        </w:rPr>
        <w:t>, על המלצותיו: חקיקת חוק להסדרת תביעות הבעלות; מתן תמורה קרקעית בשיעור של 50% עבור תביעת בעלות בקרקע חקלאית מוחזקת ומוסדרת</w:t>
      </w:r>
      <w:r w:rsidR="00CA18C1">
        <w:rPr>
          <w:rFonts w:hint="cs"/>
          <w:sz w:val="18"/>
          <w:szCs w:val="20"/>
          <w:rtl/>
        </w:rPr>
        <w:t>,</w:t>
      </w:r>
      <w:r w:rsidRPr="00DB508D">
        <w:rPr>
          <w:sz w:val="18"/>
          <w:szCs w:val="20"/>
          <w:rtl/>
        </w:rPr>
        <w:t xml:space="preserve"> ותמורה כספית עבור קרקע שאינה מוחזקת; הסדרת ההתיישבות הבדואית על פי קריטריונים תכנוניים ברורים ובלוח זמנים קבוע; אכיפת חוקי התכנון והבנייה וחוקי המקרקעין; ופיתוח תשתיות ושירותים ציבוריים ליצירת מנופים לפיתוח כלכלי ביישובים הבדואיים בנגב (</w:t>
      </w:r>
      <w:proofErr w:type="spellStart"/>
      <w:r w:rsidRPr="00DB508D">
        <w:rPr>
          <w:sz w:val="18"/>
          <w:szCs w:val="20"/>
          <w:rtl/>
        </w:rPr>
        <w:t>ספקטור</w:t>
      </w:r>
      <w:proofErr w:type="spellEnd"/>
      <w:r w:rsidRPr="00DB508D">
        <w:rPr>
          <w:sz w:val="18"/>
          <w:szCs w:val="20"/>
          <w:rtl/>
        </w:rPr>
        <w:t xml:space="preserve">-בן ארי, 2013; </w:t>
      </w:r>
      <w:proofErr w:type="spellStart"/>
      <w:r w:rsidRPr="00DB508D">
        <w:rPr>
          <w:sz w:val="18"/>
          <w:szCs w:val="20"/>
          <w:rtl/>
        </w:rPr>
        <w:t>פראוור</w:t>
      </w:r>
      <w:proofErr w:type="spellEnd"/>
      <w:r w:rsidRPr="00DB508D">
        <w:rPr>
          <w:sz w:val="18"/>
          <w:szCs w:val="20"/>
          <w:rtl/>
        </w:rPr>
        <w:t xml:space="preserve">, 2011). </w:t>
      </w:r>
    </w:p>
    <w:p w14:paraId="3E056305" w14:textId="53F4B1E1" w:rsidR="00452401" w:rsidRPr="00DB508D" w:rsidRDefault="00452401" w:rsidP="00CA18C1">
      <w:pPr>
        <w:spacing w:after="180" w:line="280" w:lineRule="exact"/>
        <w:jc w:val="both"/>
        <w:rPr>
          <w:sz w:val="18"/>
          <w:szCs w:val="20"/>
        </w:rPr>
      </w:pPr>
      <w:r w:rsidRPr="00DB508D">
        <w:rPr>
          <w:sz w:val="18"/>
          <w:szCs w:val="20"/>
          <w:rtl/>
        </w:rPr>
        <w:t xml:space="preserve">בהחלטתה לקבל את מתווה </w:t>
      </w:r>
      <w:proofErr w:type="spellStart"/>
      <w:r w:rsidRPr="00DB508D">
        <w:rPr>
          <w:sz w:val="18"/>
          <w:szCs w:val="20"/>
          <w:rtl/>
        </w:rPr>
        <w:t>פראוור</w:t>
      </w:r>
      <w:proofErr w:type="spellEnd"/>
      <w:r w:rsidRPr="00DB508D">
        <w:rPr>
          <w:sz w:val="18"/>
          <w:szCs w:val="20"/>
          <w:rtl/>
        </w:rPr>
        <w:t xml:space="preserve"> הטילה הממשלה על השר בנימין בגין להוביל תהליך להסברתו לאוכלוסייה הבדואית. בשנת 2013 אימצה הממשלה את המלצות</w:t>
      </w:r>
      <w:r w:rsidR="00CA18C1">
        <w:rPr>
          <w:rFonts w:hint="cs"/>
          <w:sz w:val="18"/>
          <w:szCs w:val="20"/>
          <w:rtl/>
        </w:rPr>
        <w:t>יו של</w:t>
      </w:r>
      <w:r w:rsidRPr="00DB508D">
        <w:rPr>
          <w:sz w:val="18"/>
          <w:szCs w:val="20"/>
          <w:rtl/>
        </w:rPr>
        <w:t xml:space="preserve"> בגין לתיקונים בטיוטת הצעת החוק להסדרת התיישבות הבדואים בנגב, ואת העקרונות שהוצגו בדוח: הסדרה ככל </w:t>
      </w:r>
      <w:r w:rsidRPr="00DB508D">
        <w:rPr>
          <w:rFonts w:hint="cs"/>
          <w:sz w:val="18"/>
          <w:szCs w:val="20"/>
          <w:rtl/>
        </w:rPr>
        <w:t xml:space="preserve">האפשר </w:t>
      </w:r>
      <w:r w:rsidRPr="00DB508D">
        <w:rPr>
          <w:sz w:val="18"/>
          <w:szCs w:val="20"/>
          <w:rtl/>
        </w:rPr>
        <w:t xml:space="preserve">במקום, ובכפוף לשיקולי התכנון; הכרה ככל הניתן בכל הכפרים הבלתי מוכרים אשר יש בהם מסה מינימלית של תושבים וכושר נשיאה מוניציפלי, ובתנאי בל יעבור שההכרה לא תעמוד בסתירה לתוכנית מתאר מחוזית; שיתוף התושבים בתכנון היישובים ובקביעת סוג היישוב ואופיו בתוך פרק זמן מוגבל; התניית פתרון ההתיישבות בהסדרת תביעות הבעלות; הענקת תמורה בקרקע או בכסף לתובעי הבעלות על כל שטח תביעתם; ואכיפת חוקי המקרקעין וחוקי התכנון והבנייה כתנאי לקידום תוכנית ההתיישבות (בגין, 2013). בעקבות התנגדות חריפה משמאל ומימין למתווה </w:t>
      </w:r>
      <w:proofErr w:type="spellStart"/>
      <w:r w:rsidRPr="00DB508D">
        <w:rPr>
          <w:sz w:val="18"/>
          <w:szCs w:val="20"/>
          <w:rtl/>
        </w:rPr>
        <w:t>פראוור</w:t>
      </w:r>
      <w:proofErr w:type="spellEnd"/>
      <w:r w:rsidRPr="00DB508D">
        <w:rPr>
          <w:sz w:val="18"/>
          <w:szCs w:val="20"/>
          <w:rtl/>
        </w:rPr>
        <w:t xml:space="preserve">, להמלצות בגין ולהצעת החוק להסדרת ההתיישבות הבדואית בנגב, הודיע בגין בדצמבר 2013 </w:t>
      </w:r>
      <w:r w:rsidRPr="00DB508D">
        <w:rPr>
          <w:sz w:val="18"/>
          <w:szCs w:val="20"/>
          <w:rtl/>
        </w:rPr>
        <w:lastRenderedPageBreak/>
        <w:t xml:space="preserve">במסיבת עיתונאים כי הדיון בהצעת החוק בכנסת ייפסק, וכי ראש הממשלה קיבל את המלצתו להסיר את החוק משולחנה של הכנסת. </w:t>
      </w:r>
    </w:p>
    <w:p w14:paraId="6FB485CA" w14:textId="77777777" w:rsidR="00452401" w:rsidRPr="00DB508D" w:rsidRDefault="00452401" w:rsidP="00DB508D">
      <w:pPr>
        <w:spacing w:after="180" w:line="280" w:lineRule="exact"/>
        <w:jc w:val="both"/>
        <w:rPr>
          <w:sz w:val="18"/>
          <w:szCs w:val="20"/>
        </w:rPr>
      </w:pPr>
      <w:r w:rsidRPr="00DB508D">
        <w:rPr>
          <w:sz w:val="18"/>
          <w:szCs w:val="20"/>
          <w:rtl/>
        </w:rPr>
        <w:t>מאז ועד היום לא נקבעה מדיניות חדשה לפתרון בעיית הקרקעות והכפרים הבלתי מוכרים בנגב. בפברואר 2017 אישרה הממשלה תוכנית חומש לשנים 2017–2021 למגזר הבדואי (החלטת ממשלה 2397) בהיקף של כ-2.3 מיליארד שקלים, במטרה לה</w:t>
      </w:r>
      <w:r w:rsidRPr="00DB508D">
        <w:rPr>
          <w:rFonts w:hint="cs"/>
          <w:sz w:val="18"/>
          <w:szCs w:val="20"/>
          <w:rtl/>
        </w:rPr>
        <w:t>ביא ל</w:t>
      </w:r>
      <w:r w:rsidRPr="00DB508D">
        <w:rPr>
          <w:sz w:val="18"/>
          <w:szCs w:val="20"/>
          <w:rtl/>
        </w:rPr>
        <w:t xml:space="preserve">שיפור ניכר במצבם הסוציו-אקונומי של הבדואים בנגב, </w:t>
      </w:r>
      <w:r w:rsidRPr="00DB508D">
        <w:rPr>
          <w:rFonts w:hint="cs"/>
          <w:sz w:val="18"/>
          <w:szCs w:val="20"/>
          <w:rtl/>
        </w:rPr>
        <w:t>ל</w:t>
      </w:r>
      <w:r w:rsidRPr="00DB508D">
        <w:rPr>
          <w:sz w:val="18"/>
          <w:szCs w:val="20"/>
          <w:rtl/>
        </w:rPr>
        <w:t xml:space="preserve">צמצום פערים, </w:t>
      </w:r>
      <w:r w:rsidRPr="00DB508D">
        <w:rPr>
          <w:rFonts w:hint="cs"/>
          <w:sz w:val="18"/>
          <w:szCs w:val="20"/>
          <w:rtl/>
        </w:rPr>
        <w:t>ל</w:t>
      </w:r>
      <w:r w:rsidRPr="00DB508D">
        <w:rPr>
          <w:sz w:val="18"/>
          <w:szCs w:val="20"/>
          <w:rtl/>
        </w:rPr>
        <w:t xml:space="preserve">חיזוק הרשויות המקומיות הבדואיות, </w:t>
      </w:r>
      <w:r w:rsidRPr="00DB508D">
        <w:rPr>
          <w:rFonts w:hint="cs"/>
          <w:sz w:val="18"/>
          <w:szCs w:val="20"/>
          <w:rtl/>
        </w:rPr>
        <w:t>ל</w:t>
      </w:r>
      <w:r w:rsidRPr="00DB508D">
        <w:rPr>
          <w:sz w:val="18"/>
          <w:szCs w:val="20"/>
          <w:rtl/>
        </w:rPr>
        <w:t>שילוב הבדואים בחברה ובכלכלה הישראלית, ו</w:t>
      </w:r>
      <w:r w:rsidRPr="00DB508D">
        <w:rPr>
          <w:rFonts w:hint="cs"/>
          <w:sz w:val="18"/>
          <w:szCs w:val="20"/>
          <w:rtl/>
        </w:rPr>
        <w:t>ל</w:t>
      </w:r>
      <w:r w:rsidRPr="00DB508D">
        <w:rPr>
          <w:sz w:val="18"/>
          <w:szCs w:val="20"/>
          <w:rtl/>
        </w:rPr>
        <w:t>ביסוס היישובים הבדואיים בנגב בהיבט הכלכלי, החברתי והקהילתי</w:t>
      </w:r>
      <w:r w:rsidRPr="00DB508D">
        <w:rPr>
          <w:rFonts w:hint="cs"/>
          <w:sz w:val="18"/>
          <w:szCs w:val="20"/>
          <w:rtl/>
        </w:rPr>
        <w:t>. כל אלה כדי להביא לשי</w:t>
      </w:r>
      <w:r w:rsidRPr="00DB508D">
        <w:rPr>
          <w:sz w:val="18"/>
          <w:szCs w:val="20"/>
          <w:rtl/>
        </w:rPr>
        <w:t>פור רמת החיים ו</w:t>
      </w:r>
      <w:r w:rsidRPr="00DB508D">
        <w:rPr>
          <w:rFonts w:hint="cs"/>
          <w:sz w:val="18"/>
          <w:szCs w:val="20"/>
          <w:rtl/>
        </w:rPr>
        <w:t>ל</w:t>
      </w:r>
      <w:r w:rsidRPr="00DB508D">
        <w:rPr>
          <w:sz w:val="18"/>
          <w:szCs w:val="20"/>
          <w:rtl/>
        </w:rPr>
        <w:t>הבטחת עתיד הדורות הבאים (ממשלת ישראל, 201</w:t>
      </w:r>
      <w:r w:rsidRPr="00DB508D">
        <w:rPr>
          <w:rFonts w:hint="cs"/>
          <w:sz w:val="18"/>
          <w:szCs w:val="20"/>
          <w:rtl/>
        </w:rPr>
        <w:t>8</w:t>
      </w:r>
      <w:r w:rsidRPr="00DB508D">
        <w:rPr>
          <w:sz w:val="18"/>
          <w:szCs w:val="20"/>
          <w:rtl/>
        </w:rPr>
        <w:t>).</w:t>
      </w:r>
    </w:p>
    <w:p w14:paraId="7B7D8174" w14:textId="77777777" w:rsidR="00452401" w:rsidRPr="00DB508D" w:rsidRDefault="00452401" w:rsidP="00DB508D">
      <w:pPr>
        <w:spacing w:after="180" w:line="280" w:lineRule="exact"/>
        <w:jc w:val="both"/>
        <w:rPr>
          <w:sz w:val="18"/>
          <w:szCs w:val="20"/>
        </w:rPr>
      </w:pPr>
    </w:p>
    <w:p w14:paraId="18DC2EB6" w14:textId="4E3533BA" w:rsidR="00452401" w:rsidRPr="00452401" w:rsidRDefault="00452401" w:rsidP="00452401">
      <w:pPr>
        <w:pStyle w:val="KOT5"/>
        <w:spacing w:after="0"/>
        <w:ind w:right="0"/>
        <w:outlineLvl w:val="2"/>
        <w:rPr>
          <w:rFonts w:cs="Guttman Aharoni"/>
          <w:color w:val="00B0F0"/>
        </w:rPr>
      </w:pPr>
      <w:r w:rsidRPr="00452401">
        <w:rPr>
          <w:rFonts w:cs="Guttman Aharoni"/>
          <w:color w:val="00B0F0"/>
          <w:rtl/>
        </w:rPr>
        <w:t xml:space="preserve">מנגנוני שימור לעומת מנגנוני שינוי והשפעתם על הפריון </w:t>
      </w:r>
    </w:p>
    <w:p w14:paraId="51F8C16D" w14:textId="1A2934FE" w:rsidR="00452401" w:rsidRPr="00DB508D" w:rsidRDefault="00452401" w:rsidP="00455EF9">
      <w:pPr>
        <w:spacing w:after="180" w:line="280" w:lineRule="exact"/>
        <w:jc w:val="both"/>
        <w:rPr>
          <w:color w:val="FF0000"/>
          <w:sz w:val="18"/>
          <w:szCs w:val="20"/>
        </w:rPr>
      </w:pPr>
      <w:r w:rsidRPr="00DB508D">
        <w:rPr>
          <w:sz w:val="18"/>
          <w:szCs w:val="20"/>
          <w:rtl/>
        </w:rPr>
        <w:t>למרות קבלת הבדואים כאזרחים שווי זכויות לכאורה, התוצאה</w:t>
      </w:r>
      <w:r w:rsidRPr="00DB508D">
        <w:rPr>
          <w:rFonts w:hint="cs"/>
          <w:sz w:val="18"/>
          <w:szCs w:val="20"/>
          <w:rtl/>
        </w:rPr>
        <w:t xml:space="preserve"> </w:t>
      </w:r>
      <w:r w:rsidRPr="00DB508D">
        <w:rPr>
          <w:sz w:val="18"/>
          <w:szCs w:val="20"/>
          <w:rtl/>
        </w:rPr>
        <w:t>הייתה היווצרותה של חברה חלשה, ענייה ומודרת. גם תהליכי השינוי החברתי במחצית השנייה של המאה ה-20 לא סייעו ל</w:t>
      </w:r>
      <w:r w:rsidR="00492745">
        <w:rPr>
          <w:rFonts w:hint="cs"/>
          <w:sz w:val="18"/>
          <w:szCs w:val="20"/>
          <w:rtl/>
        </w:rPr>
        <w:t>בדואים</w:t>
      </w:r>
      <w:r w:rsidRPr="00DB508D">
        <w:rPr>
          <w:sz w:val="18"/>
          <w:szCs w:val="20"/>
          <w:rtl/>
        </w:rPr>
        <w:t xml:space="preserve"> לפתח חברה מודרנית ולפרוץ את המבנה החברתי המסורתי ואת המסגרת השבטית-פטריארכלית הנוקשה. אותם מאפיינים המשיכו להתקיים ביתר שאת עד לראשית המאה ה-21: הפיצול הפנימי והשבטיות התחזקו; היחסים העוינים בין השבטים החריפו; מנהג</w:t>
      </w:r>
      <w:r w:rsidRPr="00DB508D">
        <w:rPr>
          <w:rFonts w:hint="cs"/>
          <w:sz w:val="18"/>
          <w:szCs w:val="20"/>
          <w:rtl/>
        </w:rPr>
        <w:t>י</w:t>
      </w:r>
      <w:r w:rsidRPr="00DB508D">
        <w:rPr>
          <w:sz w:val="18"/>
          <w:szCs w:val="20"/>
          <w:rtl/>
        </w:rPr>
        <w:t xml:space="preserve"> הערבות הקולקטיבית ונקמת הדם נשמר</w:t>
      </w:r>
      <w:r w:rsidRPr="00DB508D">
        <w:rPr>
          <w:rFonts w:hint="cs"/>
          <w:sz w:val="18"/>
          <w:szCs w:val="20"/>
          <w:rtl/>
        </w:rPr>
        <w:t>ו</w:t>
      </w:r>
      <w:r w:rsidRPr="00DB508D">
        <w:rPr>
          <w:sz w:val="18"/>
          <w:szCs w:val="20"/>
          <w:rtl/>
        </w:rPr>
        <w:t xml:space="preserve"> ואיתם גם הפוליגמיה, האנדוגמיה, היחסים הפטריארכליים ומעמדה הנחות של האישה</w:t>
      </w:r>
      <w:r w:rsidRPr="00DB508D">
        <w:rPr>
          <w:color w:val="FF0000"/>
          <w:sz w:val="18"/>
          <w:szCs w:val="20"/>
          <w:rtl/>
        </w:rPr>
        <w:t xml:space="preserve"> </w:t>
      </w:r>
      <w:r w:rsidRPr="00DB508D">
        <w:rPr>
          <w:sz w:val="18"/>
          <w:szCs w:val="20"/>
          <w:rtl/>
        </w:rPr>
        <w:t>(אבו-</w:t>
      </w:r>
      <w:proofErr w:type="spellStart"/>
      <w:r w:rsidRPr="00DB508D">
        <w:rPr>
          <w:sz w:val="18"/>
          <w:szCs w:val="20"/>
          <w:rtl/>
        </w:rPr>
        <w:t>סריחאן</w:t>
      </w:r>
      <w:proofErr w:type="spellEnd"/>
      <w:r w:rsidRPr="00DB508D">
        <w:rPr>
          <w:sz w:val="18"/>
          <w:szCs w:val="20"/>
          <w:rtl/>
        </w:rPr>
        <w:t xml:space="preserve">, 2009; מרקס, 1974; </w:t>
      </w:r>
      <w:proofErr w:type="spellStart"/>
      <w:r w:rsidRPr="00DB508D">
        <w:rPr>
          <w:sz w:val="18"/>
          <w:szCs w:val="20"/>
          <w:rtl/>
        </w:rPr>
        <w:t>קרסל</w:t>
      </w:r>
      <w:proofErr w:type="spellEnd"/>
      <w:r w:rsidRPr="00DB508D">
        <w:rPr>
          <w:sz w:val="18"/>
          <w:szCs w:val="20"/>
          <w:rtl/>
        </w:rPr>
        <w:t>, 1982</w:t>
      </w:r>
      <w:r w:rsidRPr="00DB508D">
        <w:rPr>
          <w:rFonts w:hint="cs"/>
          <w:sz w:val="18"/>
          <w:szCs w:val="20"/>
          <w:rtl/>
        </w:rPr>
        <w:t xml:space="preserve">, </w:t>
      </w:r>
      <w:r w:rsidRPr="00DB508D">
        <w:rPr>
          <w:sz w:val="18"/>
          <w:szCs w:val="20"/>
          <w:rtl/>
        </w:rPr>
        <w:t>1976</w:t>
      </w:r>
      <w:r w:rsidR="00455EF9" w:rsidRPr="00DB508D">
        <w:rPr>
          <w:rFonts w:hint="cs"/>
          <w:sz w:val="18"/>
          <w:szCs w:val="20"/>
          <w:rtl/>
        </w:rPr>
        <w:t>;</w:t>
      </w:r>
      <w:r w:rsidR="00455EF9">
        <w:rPr>
          <w:rFonts w:hint="cs"/>
          <w:sz w:val="18"/>
          <w:szCs w:val="20"/>
          <w:rtl/>
        </w:rPr>
        <w:t xml:space="preserve"> </w:t>
      </w:r>
      <w:r w:rsidRPr="00DB508D">
        <w:rPr>
          <w:sz w:val="18"/>
          <w:szCs w:val="20"/>
        </w:rPr>
        <w:t>Al-</w:t>
      </w:r>
      <w:proofErr w:type="spellStart"/>
      <w:r w:rsidRPr="00DB508D">
        <w:rPr>
          <w:sz w:val="18"/>
          <w:szCs w:val="20"/>
        </w:rPr>
        <w:t>Krenawi</w:t>
      </w:r>
      <w:proofErr w:type="spellEnd"/>
      <w:r w:rsidRPr="00DB508D">
        <w:rPr>
          <w:sz w:val="18"/>
          <w:szCs w:val="20"/>
        </w:rPr>
        <w:t xml:space="preserve"> &amp; Slonim-</w:t>
      </w:r>
      <w:proofErr w:type="spellStart"/>
      <w:r w:rsidRPr="00DB508D">
        <w:rPr>
          <w:sz w:val="18"/>
          <w:szCs w:val="20"/>
        </w:rPr>
        <w:t>Nevo</w:t>
      </w:r>
      <w:proofErr w:type="spellEnd"/>
      <w:r w:rsidRPr="00DB508D">
        <w:rPr>
          <w:sz w:val="18"/>
          <w:szCs w:val="20"/>
        </w:rPr>
        <w:t>, 2003</w:t>
      </w:r>
      <w:r w:rsidR="00455EF9">
        <w:rPr>
          <w:rFonts w:hint="cs"/>
          <w:sz w:val="18"/>
          <w:szCs w:val="20"/>
          <w:rtl/>
        </w:rPr>
        <w:t>)</w:t>
      </w:r>
      <w:r w:rsidRPr="00DB508D">
        <w:rPr>
          <w:rFonts w:hint="cs"/>
          <w:sz w:val="18"/>
          <w:szCs w:val="20"/>
          <w:rtl/>
        </w:rPr>
        <w:t xml:space="preserve">. </w:t>
      </w:r>
      <w:r w:rsidRPr="00DB508D">
        <w:rPr>
          <w:sz w:val="18"/>
          <w:szCs w:val="20"/>
          <w:rtl/>
        </w:rPr>
        <w:t xml:space="preserve">כדי לשמור על קיום מינימלי בתנאי הישרדות קשים של עוני והדרה, של מחסור בתעסוקה ובמסגרות של חינוך, רווחה, תרבות ופנאי, נוסף על היחסים המתוחים עם המדינה, הבדואים פעלו לחזק את המשפחה ואת השבט כעוגן בסיסי – גם במחיר של </w:t>
      </w:r>
      <w:r w:rsidR="00455EF9">
        <w:rPr>
          <w:rFonts w:hint="cs"/>
          <w:sz w:val="18"/>
          <w:szCs w:val="20"/>
          <w:rtl/>
        </w:rPr>
        <w:t xml:space="preserve">יצירת </w:t>
      </w:r>
      <w:r w:rsidRPr="00DB508D">
        <w:rPr>
          <w:sz w:val="18"/>
          <w:szCs w:val="20"/>
          <w:rtl/>
        </w:rPr>
        <w:t>מעגלי איבה ועוינות בין השבטים. אחד האמצעים העיקריים לחיזוק המשפחה היה שליטה קפדנית בנישואיהן ובפריונן של הנשים, וחיזוק נורמות של פריון ושיעורי ילודה מהגבוהים בעולם (אבו-</w:t>
      </w:r>
      <w:proofErr w:type="spellStart"/>
      <w:r w:rsidRPr="00DB508D">
        <w:rPr>
          <w:sz w:val="18"/>
          <w:szCs w:val="20"/>
          <w:rtl/>
        </w:rPr>
        <w:t>סריחאן</w:t>
      </w:r>
      <w:proofErr w:type="spellEnd"/>
      <w:r w:rsidRPr="00DB508D">
        <w:rPr>
          <w:sz w:val="18"/>
          <w:szCs w:val="20"/>
          <w:rtl/>
        </w:rPr>
        <w:t>, 2017).</w:t>
      </w:r>
    </w:p>
    <w:p w14:paraId="4F214D1C" w14:textId="4B0D3719" w:rsidR="00452401" w:rsidRPr="00DB508D" w:rsidRDefault="00452401" w:rsidP="00455EF9">
      <w:pPr>
        <w:spacing w:after="180" w:line="280" w:lineRule="exact"/>
        <w:jc w:val="both"/>
        <w:rPr>
          <w:sz w:val="18"/>
          <w:szCs w:val="20"/>
          <w:rtl/>
        </w:rPr>
      </w:pPr>
      <w:r w:rsidRPr="00DB508D">
        <w:rPr>
          <w:sz w:val="18"/>
          <w:szCs w:val="20"/>
          <w:rtl/>
        </w:rPr>
        <w:t xml:space="preserve">ואולם, בשני העשורים האחרונים עברה החברה הבדואית שינויים מרחיקי לכת בכל אורחות חייה. מדובר בשינויים מהותיים ואיכותיים ברמת ההשכלה וברמת ההכנסה, ברמת החיים, בתעסוקה, במעמד האישה, ברמת השירותים העירוניים ושירותי החינוך, הרווחה, התרבות והפנאי, וברמת החשיפה לעולם הגלובלי. שינויים אלה, ובעיקר ההשכלה והעבודה של הנשים, גם אם לא הביאו לפירוק המסגרת השבטית </w:t>
      </w:r>
      <w:r w:rsidRPr="00DB508D">
        <w:rPr>
          <w:rFonts w:hint="cs"/>
          <w:sz w:val="18"/>
          <w:szCs w:val="20"/>
          <w:rtl/>
        </w:rPr>
        <w:t xml:space="preserve">הרי </w:t>
      </w:r>
      <w:r w:rsidRPr="00DB508D">
        <w:rPr>
          <w:sz w:val="18"/>
          <w:szCs w:val="20"/>
          <w:rtl/>
        </w:rPr>
        <w:t>פעלו להגדרה מחדש של היחסים בין בני הזוג, לחיזוק הקשר הזוגי, להשקעה באיכות הגידול של הילדים, בעידוד של שיח ציבורי נגד הנישואים האנדוגמיים והפוליגמיים ובעד זכויות נשים – וזאת תוך כדי שמירה על מעמדו של הגבר כנציג המשפחה כלפי חוץ (</w:t>
      </w:r>
      <w:r w:rsidRPr="00DB508D">
        <w:rPr>
          <w:sz w:val="18"/>
          <w:szCs w:val="20"/>
        </w:rPr>
        <w:t xml:space="preserve">Abu </w:t>
      </w:r>
      <w:proofErr w:type="spellStart"/>
      <w:r w:rsidRPr="00DB508D">
        <w:rPr>
          <w:sz w:val="18"/>
          <w:szCs w:val="20"/>
        </w:rPr>
        <w:t>Aleon</w:t>
      </w:r>
      <w:proofErr w:type="spellEnd"/>
      <w:r w:rsidRPr="00DB508D">
        <w:rPr>
          <w:sz w:val="18"/>
          <w:szCs w:val="20"/>
        </w:rPr>
        <w:t xml:space="preserve">, Weinstock, </w:t>
      </w:r>
      <w:proofErr w:type="spellStart"/>
      <w:r w:rsidRPr="00DB508D">
        <w:rPr>
          <w:sz w:val="18"/>
          <w:szCs w:val="20"/>
        </w:rPr>
        <w:t>Manago</w:t>
      </w:r>
      <w:proofErr w:type="spellEnd"/>
      <w:r w:rsidRPr="00DB508D">
        <w:rPr>
          <w:sz w:val="18"/>
          <w:szCs w:val="20"/>
        </w:rPr>
        <w:t>, &amp; Greenfield, 2019; Braun-</w:t>
      </w:r>
      <w:proofErr w:type="spellStart"/>
      <w:r w:rsidRPr="00DB508D">
        <w:rPr>
          <w:sz w:val="18"/>
          <w:szCs w:val="20"/>
        </w:rPr>
        <w:t>Lewensohn</w:t>
      </w:r>
      <w:proofErr w:type="spellEnd"/>
      <w:r w:rsidRPr="00DB508D">
        <w:rPr>
          <w:sz w:val="18"/>
          <w:szCs w:val="20"/>
        </w:rPr>
        <w:t>, Abu-Kaf, Al-Said, &amp; Huss, 2019</w:t>
      </w:r>
      <w:r w:rsidRPr="00DB508D">
        <w:rPr>
          <w:rFonts w:hint="cs"/>
          <w:sz w:val="18"/>
          <w:szCs w:val="20"/>
          <w:rtl/>
        </w:rPr>
        <w:t>).</w:t>
      </w:r>
    </w:p>
    <w:p w14:paraId="4B981532" w14:textId="550793FF" w:rsidR="00452401" w:rsidRPr="00DB508D" w:rsidRDefault="00452401" w:rsidP="00360874">
      <w:pPr>
        <w:spacing w:after="180" w:line="280" w:lineRule="exact"/>
        <w:jc w:val="both"/>
        <w:rPr>
          <w:sz w:val="18"/>
          <w:szCs w:val="20"/>
        </w:rPr>
      </w:pPr>
      <w:r w:rsidRPr="00DB508D">
        <w:rPr>
          <w:sz w:val="18"/>
          <w:szCs w:val="20"/>
          <w:rtl/>
        </w:rPr>
        <w:lastRenderedPageBreak/>
        <w:t xml:space="preserve">השינוי החברתי ממסורתיות למודרניות מתעצם מדור לדור. הדור הצעיר מבטא נטייה לאינדיבידואליות והתנגדות לערכים מסורתיים, שואף לרכוש השכלה ולהשתלב בעבודה, ומאמץ לבוש מודרני יחסית, מגורים בבית מודרני, </w:t>
      </w:r>
      <w:r w:rsidR="00360874">
        <w:rPr>
          <w:rFonts w:hint="cs"/>
          <w:sz w:val="18"/>
          <w:szCs w:val="20"/>
          <w:rtl/>
        </w:rPr>
        <w:t>דחייה של גיל הנישואין, תכנון משפחה ו</w:t>
      </w:r>
      <w:r w:rsidRPr="00DB508D">
        <w:rPr>
          <w:sz w:val="18"/>
          <w:szCs w:val="20"/>
          <w:rtl/>
        </w:rPr>
        <w:t>שימוש באמצעי מניעה</w:t>
      </w:r>
      <w:r w:rsidR="00360874">
        <w:rPr>
          <w:rFonts w:hint="cs"/>
          <w:sz w:val="18"/>
          <w:szCs w:val="20"/>
          <w:rtl/>
        </w:rPr>
        <w:t xml:space="preserve"> </w:t>
      </w:r>
      <w:r w:rsidRPr="00DB508D">
        <w:rPr>
          <w:sz w:val="18"/>
          <w:szCs w:val="20"/>
          <w:rtl/>
        </w:rPr>
        <w:t>(</w:t>
      </w:r>
      <w:proofErr w:type="spellStart"/>
      <w:r w:rsidRPr="00DB508D">
        <w:rPr>
          <w:sz w:val="18"/>
          <w:szCs w:val="20"/>
          <w:rtl/>
        </w:rPr>
        <w:t>אלאסד-אלהוזייל</w:t>
      </w:r>
      <w:proofErr w:type="spellEnd"/>
      <w:r w:rsidRPr="00DB508D">
        <w:rPr>
          <w:sz w:val="18"/>
          <w:szCs w:val="20"/>
          <w:rtl/>
        </w:rPr>
        <w:t>, 2016). האימוץ, ולו החלקי, של נורמות וערכים מודרניים על ידי גברים ונשים כאחד, הגביל את השימוש לרעה בגוף האישה ובפריון לדיכוי נשים ולהגבלת חירותן, והרחיב את חופש התנועה, חופש העיסוק וחופש הביטוי שלהן.</w:t>
      </w:r>
    </w:p>
    <w:p w14:paraId="2471F9D4" w14:textId="69B3CF69" w:rsidR="00452401" w:rsidRPr="00DB508D" w:rsidRDefault="00452401" w:rsidP="00360874">
      <w:pPr>
        <w:spacing w:after="180" w:line="280" w:lineRule="exact"/>
        <w:jc w:val="both"/>
        <w:rPr>
          <w:sz w:val="18"/>
          <w:szCs w:val="20"/>
        </w:rPr>
      </w:pPr>
      <w:r w:rsidRPr="00DB508D">
        <w:rPr>
          <w:sz w:val="18"/>
          <w:szCs w:val="20"/>
          <w:rtl/>
        </w:rPr>
        <w:t xml:space="preserve">הירידה בשיעורי הילודה היא אפוא חלק מתהליך שינוי שבו זוגות בדואים מאמצים יותר ויותר נורמות מודרניות </w:t>
      </w:r>
      <w:r w:rsidR="00360874">
        <w:rPr>
          <w:rFonts w:hint="cs"/>
          <w:sz w:val="18"/>
          <w:szCs w:val="20"/>
          <w:rtl/>
        </w:rPr>
        <w:t>במסגרת חיי המשפחה</w:t>
      </w:r>
      <w:r w:rsidRPr="00DB508D">
        <w:rPr>
          <w:sz w:val="18"/>
          <w:szCs w:val="20"/>
          <w:rtl/>
        </w:rPr>
        <w:t>. הילדים אינם נתפסים עוד כ"תעודת ביטוח" של האבות לעת זקנה, ואינם מסייעים בעבודה חקלאית במשק המשפחתי</w:t>
      </w:r>
      <w:r w:rsidR="00455EF9">
        <w:rPr>
          <w:rFonts w:hint="cs"/>
          <w:sz w:val="18"/>
          <w:szCs w:val="20"/>
          <w:rtl/>
        </w:rPr>
        <w:t xml:space="preserve">. בכך נפתח </w:t>
      </w:r>
      <w:r w:rsidRPr="00DB508D">
        <w:rPr>
          <w:sz w:val="18"/>
          <w:szCs w:val="20"/>
          <w:rtl/>
        </w:rPr>
        <w:t>פתח לאסטרטגיית ילודה אחרת, כזו של צמצום ילודה</w:t>
      </w:r>
      <w:r w:rsidRPr="00DB508D">
        <w:rPr>
          <w:rFonts w:hint="cs"/>
          <w:sz w:val="18"/>
          <w:szCs w:val="20"/>
          <w:rtl/>
        </w:rPr>
        <w:t xml:space="preserve"> (</w:t>
      </w:r>
      <w:r w:rsidRPr="00DB508D">
        <w:rPr>
          <w:sz w:val="18"/>
          <w:szCs w:val="20"/>
        </w:rPr>
        <w:t xml:space="preserve">Abu-Rabia, </w:t>
      </w:r>
      <w:proofErr w:type="spellStart"/>
      <w:r w:rsidRPr="00DB508D">
        <w:rPr>
          <w:sz w:val="18"/>
          <w:szCs w:val="20"/>
        </w:rPr>
        <w:t>Elbadour</w:t>
      </w:r>
      <w:proofErr w:type="spellEnd"/>
      <w:r w:rsidRPr="00DB508D">
        <w:rPr>
          <w:sz w:val="18"/>
          <w:szCs w:val="20"/>
        </w:rPr>
        <w:t xml:space="preserve"> &amp; </w:t>
      </w:r>
      <w:proofErr w:type="spellStart"/>
      <w:r w:rsidRPr="00DB508D">
        <w:rPr>
          <w:sz w:val="18"/>
          <w:szCs w:val="20"/>
        </w:rPr>
        <w:t>Scham</w:t>
      </w:r>
      <w:proofErr w:type="spellEnd"/>
      <w:r w:rsidRPr="00DB508D">
        <w:rPr>
          <w:sz w:val="18"/>
          <w:szCs w:val="20"/>
        </w:rPr>
        <w:t>, 2008; Meir &amp; Ben-David, 1992</w:t>
      </w:r>
      <w:r w:rsidRPr="00DB508D">
        <w:rPr>
          <w:sz w:val="18"/>
          <w:szCs w:val="20"/>
          <w:rtl/>
        </w:rPr>
        <w:t>)</w:t>
      </w:r>
      <w:r w:rsidRPr="00DB508D">
        <w:rPr>
          <w:rFonts w:hint="cs"/>
          <w:sz w:val="18"/>
          <w:szCs w:val="20"/>
          <w:rtl/>
        </w:rPr>
        <w:t>.</w:t>
      </w:r>
    </w:p>
    <w:p w14:paraId="438A0B9D" w14:textId="2181AFF1" w:rsidR="00452401" w:rsidRDefault="00452401" w:rsidP="00DB508D">
      <w:pPr>
        <w:spacing w:after="180" w:line="280" w:lineRule="exact"/>
        <w:jc w:val="both"/>
        <w:rPr>
          <w:sz w:val="18"/>
          <w:szCs w:val="20"/>
          <w:rtl/>
        </w:rPr>
      </w:pPr>
    </w:p>
    <w:p w14:paraId="07477E1B" w14:textId="77777777" w:rsidR="004B3169" w:rsidRPr="00DB508D" w:rsidRDefault="004B3169" w:rsidP="00DB508D">
      <w:pPr>
        <w:spacing w:after="180" w:line="280" w:lineRule="exact"/>
        <w:jc w:val="both"/>
        <w:rPr>
          <w:sz w:val="18"/>
          <w:szCs w:val="20"/>
          <w:rtl/>
        </w:rPr>
      </w:pPr>
    </w:p>
    <w:p w14:paraId="21EC5875" w14:textId="5E7040CF" w:rsidR="00452401" w:rsidRPr="00452401" w:rsidRDefault="00452401" w:rsidP="00452401">
      <w:pPr>
        <w:pStyle w:val="KOT4"/>
        <w:spacing w:after="0"/>
        <w:ind w:left="397" w:right="0" w:hanging="397"/>
        <w:rPr>
          <w:rFonts w:cs="Guttman Aharoni"/>
          <w:color w:val="00B0F0"/>
          <w:sz w:val="32"/>
          <w:szCs w:val="32"/>
        </w:rPr>
      </w:pPr>
      <w:r w:rsidRPr="00452401">
        <w:rPr>
          <w:rFonts w:cs="Guttman Aharoni" w:hint="cs"/>
          <w:color w:val="00B0F0"/>
          <w:sz w:val="32"/>
          <w:szCs w:val="32"/>
          <w:rtl/>
        </w:rPr>
        <w:t xml:space="preserve">3. </w:t>
      </w:r>
      <w:r w:rsidRPr="00452401">
        <w:rPr>
          <w:rFonts w:cs="Guttman Aharoni"/>
          <w:color w:val="00B0F0"/>
          <w:sz w:val="32"/>
          <w:szCs w:val="32"/>
        </w:rPr>
        <w:tab/>
      </w:r>
      <w:r w:rsidRPr="00452401">
        <w:rPr>
          <w:rFonts w:cs="Guttman Aharoni"/>
          <w:color w:val="00B0F0"/>
          <w:sz w:val="32"/>
          <w:szCs w:val="32"/>
          <w:rtl/>
        </w:rPr>
        <w:t xml:space="preserve">ילודה </w:t>
      </w:r>
    </w:p>
    <w:p w14:paraId="030A52DB" w14:textId="3744D0B0" w:rsidR="00452401" w:rsidRPr="00DB508D" w:rsidRDefault="00452401" w:rsidP="00D05CFB">
      <w:pPr>
        <w:spacing w:after="180" w:line="280" w:lineRule="exact"/>
        <w:jc w:val="both"/>
        <w:rPr>
          <w:sz w:val="18"/>
          <w:szCs w:val="20"/>
        </w:rPr>
      </w:pPr>
      <w:bookmarkStart w:id="5" w:name="_heading=h.1fob9te" w:colFirst="0" w:colLast="0"/>
      <w:bookmarkEnd w:id="5"/>
      <w:r w:rsidRPr="00DB508D">
        <w:rPr>
          <w:sz w:val="18"/>
          <w:szCs w:val="20"/>
          <w:rtl/>
        </w:rPr>
        <w:t xml:space="preserve">הירידה בשיעורי הפריון בעולם, שבמדינות רבות צנחו אל מתחת לשיעור התחלופה (2.1 ילדים לאישה), ובחלק מהמדינות אף אל </w:t>
      </w:r>
      <w:r w:rsidRPr="00DB508D">
        <w:rPr>
          <w:rFonts w:hint="cs"/>
          <w:sz w:val="18"/>
          <w:szCs w:val="20"/>
          <w:rtl/>
        </w:rPr>
        <w:t xml:space="preserve">מעט </w:t>
      </w:r>
      <w:r w:rsidRPr="00DB508D">
        <w:rPr>
          <w:sz w:val="18"/>
          <w:szCs w:val="20"/>
          <w:rtl/>
        </w:rPr>
        <w:t>מתחת לרמה הנמוכה ביותר</w:t>
      </w:r>
      <w:r w:rsidRPr="00DB508D">
        <w:rPr>
          <w:rFonts w:hint="cs"/>
          <w:sz w:val="18"/>
          <w:szCs w:val="20"/>
          <w:rtl/>
        </w:rPr>
        <w:t xml:space="preserve"> שנמדדה בעולם </w:t>
      </w:r>
      <w:r w:rsidRPr="00DB508D">
        <w:rPr>
          <w:sz w:val="18"/>
          <w:szCs w:val="20"/>
          <w:rtl/>
        </w:rPr>
        <w:t>–</w:t>
      </w:r>
      <w:r w:rsidRPr="00DB508D">
        <w:rPr>
          <w:rFonts w:hint="cs"/>
          <w:sz w:val="18"/>
          <w:szCs w:val="20"/>
          <w:rtl/>
        </w:rPr>
        <w:t xml:space="preserve"> </w:t>
      </w:r>
      <w:r w:rsidRPr="00DB508D">
        <w:rPr>
          <w:sz w:val="18"/>
          <w:szCs w:val="20"/>
          <w:rtl/>
        </w:rPr>
        <w:t>1.3 ילדים</w:t>
      </w:r>
      <w:r w:rsidRPr="00DB508D">
        <w:rPr>
          <w:rFonts w:hint="cs"/>
          <w:sz w:val="18"/>
          <w:szCs w:val="20"/>
          <w:rtl/>
        </w:rPr>
        <w:t xml:space="preserve"> (</w:t>
      </w:r>
      <w:proofErr w:type="spellStart"/>
      <w:r w:rsidRPr="00DB508D">
        <w:rPr>
          <w:sz w:val="18"/>
          <w:szCs w:val="20"/>
        </w:rPr>
        <w:t>Billari</w:t>
      </w:r>
      <w:proofErr w:type="spellEnd"/>
      <w:r w:rsidRPr="00DB508D">
        <w:rPr>
          <w:sz w:val="18"/>
          <w:szCs w:val="20"/>
        </w:rPr>
        <w:t xml:space="preserve"> &amp; Kohler, 2004; Kohler et al., 2006</w:t>
      </w:r>
      <w:r w:rsidRPr="00DB508D">
        <w:rPr>
          <w:rFonts w:hint="cs"/>
          <w:sz w:val="18"/>
          <w:szCs w:val="20"/>
          <w:rtl/>
        </w:rPr>
        <w:t xml:space="preserve">) </w:t>
      </w:r>
      <w:r w:rsidRPr="00DB508D">
        <w:rPr>
          <w:sz w:val="18"/>
          <w:szCs w:val="20"/>
          <w:rtl/>
        </w:rPr>
        <w:t>היא חלק בל-ינותק מתהליכי השינוי הרבים שמביאה עימה המודרניות. תיאוריית המעבר הדמוגרפי מדגישה כי הירידה בפריון קשורה לשינויים המבניים בכלכלה ובחברה, ומושפעת מהפיתוח הסוציו-אקונומי של המדינות ומהלחץ שהירידה בתמותה יוצרת על גודל האוכלוסייה.</w:t>
      </w:r>
      <w:r w:rsidRPr="00DB508D">
        <w:rPr>
          <w:sz w:val="18"/>
          <w:szCs w:val="20"/>
          <w:vertAlign w:val="superscript"/>
          <w:rtl/>
        </w:rPr>
        <w:footnoteReference w:id="15"/>
      </w:r>
      <w:r w:rsidRPr="00DB508D">
        <w:rPr>
          <w:sz w:val="18"/>
          <w:szCs w:val="20"/>
          <w:rtl/>
        </w:rPr>
        <w:t xml:space="preserve"> הקשר שבין תיעוש לבין פריון הוא הפוך: התיעוש מעלה את איכות החיים ונוטה לעודד הגבלת ילודה. הגורמים </w:t>
      </w:r>
      <w:r w:rsidR="00D05CFB">
        <w:rPr>
          <w:rFonts w:hint="cs"/>
          <w:sz w:val="18"/>
          <w:szCs w:val="20"/>
          <w:rtl/>
        </w:rPr>
        <w:t>ה</w:t>
      </w:r>
      <w:r w:rsidRPr="00DB508D">
        <w:rPr>
          <w:sz w:val="18"/>
          <w:szCs w:val="20"/>
          <w:rtl/>
        </w:rPr>
        <w:t>מעודדים את הירידה בפריון הם עיור, תיעוש, שיפור בתנאי הבריאות, עלייה ברמת ההשכלה, עלייה ברמת ההכנסה ובאיכות החיים ושיפור מעמד האישה</w:t>
      </w:r>
      <w:r w:rsidRPr="00DB508D">
        <w:rPr>
          <w:rFonts w:hint="cs"/>
          <w:sz w:val="18"/>
          <w:szCs w:val="20"/>
          <w:rtl/>
        </w:rPr>
        <w:t xml:space="preserve"> (</w:t>
      </w:r>
      <w:r w:rsidRPr="00DB508D">
        <w:rPr>
          <w:sz w:val="18"/>
          <w:szCs w:val="20"/>
        </w:rPr>
        <w:t xml:space="preserve">Chesnais, 1992; Emeka, 2006; Hirschman, 2001; Kirk, 1996; </w:t>
      </w:r>
      <w:proofErr w:type="spellStart"/>
      <w:r w:rsidRPr="00DB508D">
        <w:rPr>
          <w:sz w:val="18"/>
          <w:szCs w:val="20"/>
        </w:rPr>
        <w:t>Willekens</w:t>
      </w:r>
      <w:proofErr w:type="spellEnd"/>
      <w:r w:rsidRPr="00DB508D">
        <w:rPr>
          <w:sz w:val="18"/>
          <w:szCs w:val="20"/>
        </w:rPr>
        <w:t>, 2015</w:t>
      </w:r>
      <w:r w:rsidRPr="00DB508D">
        <w:rPr>
          <w:rFonts w:hint="cs"/>
          <w:sz w:val="18"/>
          <w:szCs w:val="20"/>
          <w:rtl/>
        </w:rPr>
        <w:t>)</w:t>
      </w:r>
      <w:r w:rsidRPr="00DB508D">
        <w:rPr>
          <w:sz w:val="18"/>
          <w:szCs w:val="20"/>
          <w:rtl/>
        </w:rPr>
        <w:t>. אולם התמונה הגדולה, גם אם היא נכונה, מסתירה פרטים חשובים, גם בקצב השינויים ואפילו בסדר הופעתם</w:t>
      </w:r>
      <w:r w:rsidR="00D05CFB">
        <w:rPr>
          <w:rFonts w:hint="cs"/>
          <w:sz w:val="18"/>
          <w:szCs w:val="20"/>
          <w:rtl/>
        </w:rPr>
        <w:t xml:space="preserve"> </w:t>
      </w:r>
      <w:r w:rsidRPr="00DB508D">
        <w:rPr>
          <w:sz w:val="18"/>
          <w:szCs w:val="20"/>
          <w:rtl/>
        </w:rPr>
        <w:t>(</w:t>
      </w:r>
      <w:proofErr w:type="spellStart"/>
      <w:r w:rsidRPr="00DB508D">
        <w:rPr>
          <w:sz w:val="18"/>
          <w:szCs w:val="20"/>
        </w:rPr>
        <w:t>Goldscheider</w:t>
      </w:r>
      <w:proofErr w:type="spellEnd"/>
      <w:r w:rsidRPr="00DB508D">
        <w:rPr>
          <w:sz w:val="18"/>
          <w:szCs w:val="20"/>
        </w:rPr>
        <w:t>, 1971</w:t>
      </w:r>
      <w:r w:rsidRPr="00DB508D">
        <w:rPr>
          <w:sz w:val="18"/>
          <w:szCs w:val="20"/>
          <w:rtl/>
        </w:rPr>
        <w:t>)</w:t>
      </w:r>
      <w:r w:rsidRPr="00DB508D">
        <w:rPr>
          <w:rFonts w:hint="cs"/>
          <w:sz w:val="18"/>
          <w:szCs w:val="20"/>
          <w:rtl/>
        </w:rPr>
        <w:t>.</w:t>
      </w:r>
    </w:p>
    <w:p w14:paraId="3E194093" w14:textId="77777777" w:rsidR="00452401" w:rsidRPr="00DB508D" w:rsidRDefault="00452401" w:rsidP="00DB508D">
      <w:pPr>
        <w:spacing w:after="180" w:line="280" w:lineRule="exact"/>
        <w:jc w:val="both"/>
        <w:rPr>
          <w:b/>
          <w:sz w:val="18"/>
          <w:szCs w:val="20"/>
        </w:rPr>
      </w:pPr>
      <w:bookmarkStart w:id="6" w:name="_heading=h.3znysh7" w:colFirst="0" w:colLast="0"/>
      <w:bookmarkEnd w:id="6"/>
    </w:p>
    <w:p w14:paraId="69CF16E7" w14:textId="6A0E56F6" w:rsidR="00452401" w:rsidRPr="00452401" w:rsidRDefault="00452401" w:rsidP="00452401">
      <w:pPr>
        <w:pStyle w:val="KOT5"/>
        <w:spacing w:after="0"/>
        <w:ind w:right="0"/>
        <w:outlineLvl w:val="2"/>
        <w:rPr>
          <w:rFonts w:cs="Guttman Aharoni"/>
          <w:color w:val="00B0F0"/>
        </w:rPr>
      </w:pPr>
      <w:r w:rsidRPr="00452401">
        <w:rPr>
          <w:rFonts w:cs="Guttman Aharoni"/>
          <w:color w:val="00B0F0"/>
          <w:rtl/>
        </w:rPr>
        <w:lastRenderedPageBreak/>
        <w:t xml:space="preserve">ההבדלים ברמת הילודה בין הקבוצות </w:t>
      </w:r>
    </w:p>
    <w:p w14:paraId="48AE820C" w14:textId="1F4489C8" w:rsidR="00452401" w:rsidRPr="00DB508D" w:rsidRDefault="00452401" w:rsidP="00D05CFB">
      <w:pPr>
        <w:spacing w:after="180" w:line="280" w:lineRule="exact"/>
        <w:jc w:val="both"/>
        <w:rPr>
          <w:sz w:val="18"/>
          <w:szCs w:val="20"/>
          <w:rtl/>
        </w:rPr>
      </w:pPr>
      <w:r w:rsidRPr="00DB508D">
        <w:rPr>
          <w:sz w:val="18"/>
          <w:szCs w:val="20"/>
          <w:rtl/>
        </w:rPr>
        <w:t>גם אם המגמה הכללית</w:t>
      </w:r>
      <w:r w:rsidR="00D05CFB">
        <w:rPr>
          <w:rFonts w:hint="cs"/>
          <w:sz w:val="18"/>
          <w:szCs w:val="20"/>
          <w:rtl/>
        </w:rPr>
        <w:t xml:space="preserve"> </w:t>
      </w:r>
      <w:r w:rsidR="00D05CFB" w:rsidRPr="00D05CFB">
        <w:rPr>
          <w:rFonts w:ascii="David" w:hAnsi="David"/>
          <w:sz w:val="18"/>
          <w:szCs w:val="20"/>
          <w:rtl/>
        </w:rPr>
        <w:t>–</w:t>
      </w:r>
      <w:r w:rsidRPr="00DB508D">
        <w:rPr>
          <w:sz w:val="18"/>
          <w:szCs w:val="20"/>
          <w:rtl/>
        </w:rPr>
        <w:t xml:space="preserve"> ירידה בילודה בד בבד עם תהליכי העיור והתיעוש והתפתחות כלכלת השוק</w:t>
      </w:r>
      <w:r w:rsidR="00D05CFB">
        <w:rPr>
          <w:rFonts w:hint="cs"/>
          <w:sz w:val="18"/>
          <w:szCs w:val="20"/>
          <w:rtl/>
        </w:rPr>
        <w:t xml:space="preserve"> </w:t>
      </w:r>
      <w:r w:rsidR="00D05CFB" w:rsidRPr="00D05CFB">
        <w:rPr>
          <w:rFonts w:ascii="David" w:hAnsi="David"/>
          <w:sz w:val="18"/>
          <w:szCs w:val="20"/>
          <w:rtl/>
        </w:rPr>
        <w:t>–</w:t>
      </w:r>
      <w:r w:rsidRPr="00DB508D">
        <w:rPr>
          <w:sz w:val="18"/>
          <w:szCs w:val="20"/>
          <w:rtl/>
        </w:rPr>
        <w:t xml:space="preserve"> ברורה מאוד, הרי הסיבות הספציפיות להבדלים ברמות הילודה בקבוצות שונות נהירות הרבה פחות. לרוב מוסכם כי </w:t>
      </w:r>
      <w:r w:rsidR="00D05CFB">
        <w:rPr>
          <w:rFonts w:hint="cs"/>
          <w:sz w:val="18"/>
          <w:szCs w:val="20"/>
          <w:rtl/>
        </w:rPr>
        <w:t>יש</w:t>
      </w:r>
      <w:r w:rsidR="00D05CFB" w:rsidRPr="00DB508D">
        <w:rPr>
          <w:sz w:val="18"/>
          <w:szCs w:val="20"/>
          <w:rtl/>
        </w:rPr>
        <w:t xml:space="preserve"> </w:t>
      </w:r>
      <w:r w:rsidRPr="00DB508D">
        <w:rPr>
          <w:sz w:val="18"/>
          <w:szCs w:val="20"/>
          <w:rtl/>
        </w:rPr>
        <w:t xml:space="preserve">קשר שלילי בין רמת ההשכלה של האישה לבין הפריון. נשים חסרות כל השכלה נוטות ללדת יותר ילדים מאשר נשים </w:t>
      </w:r>
      <w:r w:rsidRPr="00DB508D">
        <w:rPr>
          <w:rFonts w:hint="cs"/>
          <w:sz w:val="18"/>
          <w:szCs w:val="20"/>
          <w:rtl/>
        </w:rPr>
        <w:t xml:space="preserve">בעלות </w:t>
      </w:r>
      <w:r w:rsidRPr="00DB508D">
        <w:rPr>
          <w:sz w:val="18"/>
          <w:szCs w:val="20"/>
          <w:rtl/>
        </w:rPr>
        <w:t>השכלה יסודית; לנשים בעלות השכלה יסודית יש יותר ילדים מאשר לנשים בעלות השכלה תיכונית, ולנשים בעלות השכלה על-תיכונית יש פחות ילדים מ</w:t>
      </w:r>
      <w:r w:rsidRPr="00DB508D">
        <w:rPr>
          <w:rFonts w:hint="cs"/>
          <w:sz w:val="18"/>
          <w:szCs w:val="20"/>
          <w:rtl/>
        </w:rPr>
        <w:t xml:space="preserve">אשר </w:t>
      </w:r>
      <w:r w:rsidRPr="00DB508D">
        <w:rPr>
          <w:sz w:val="18"/>
          <w:szCs w:val="20"/>
          <w:rtl/>
        </w:rPr>
        <w:t>לשאר האוכלוסייה (</w:t>
      </w:r>
      <w:proofErr w:type="spellStart"/>
      <w:r w:rsidRPr="00DB508D">
        <w:rPr>
          <w:sz w:val="18"/>
          <w:szCs w:val="20"/>
          <w:rtl/>
        </w:rPr>
        <w:t>סבטאלו</w:t>
      </w:r>
      <w:proofErr w:type="spellEnd"/>
      <w:r w:rsidRPr="00DB508D">
        <w:rPr>
          <w:sz w:val="18"/>
          <w:szCs w:val="20"/>
          <w:rtl/>
        </w:rPr>
        <w:t xml:space="preserve">, אדלר, </w:t>
      </w:r>
      <w:proofErr w:type="spellStart"/>
      <w:r w:rsidRPr="00DB508D">
        <w:rPr>
          <w:sz w:val="18"/>
          <w:szCs w:val="20"/>
          <w:rtl/>
        </w:rPr>
        <w:t>שטרקשל</w:t>
      </w:r>
      <w:proofErr w:type="spellEnd"/>
      <w:r w:rsidRPr="00DB508D">
        <w:rPr>
          <w:sz w:val="18"/>
          <w:szCs w:val="20"/>
          <w:rtl/>
        </w:rPr>
        <w:t xml:space="preserve"> ופרץ, 1996;</w:t>
      </w:r>
      <w:proofErr w:type="spellStart"/>
      <w:r w:rsidRPr="00DB508D">
        <w:rPr>
          <w:sz w:val="18"/>
          <w:szCs w:val="20"/>
        </w:rPr>
        <w:t>Arokiasamy</w:t>
      </w:r>
      <w:proofErr w:type="spellEnd"/>
      <w:r w:rsidRPr="00DB508D">
        <w:rPr>
          <w:sz w:val="18"/>
          <w:szCs w:val="20"/>
        </w:rPr>
        <w:t xml:space="preserve">, </w:t>
      </w:r>
      <w:proofErr w:type="spellStart"/>
      <w:r w:rsidRPr="00DB508D">
        <w:rPr>
          <w:sz w:val="18"/>
          <w:szCs w:val="20"/>
        </w:rPr>
        <w:t>McNay</w:t>
      </w:r>
      <w:proofErr w:type="spellEnd"/>
      <w:r w:rsidRPr="00DB508D">
        <w:rPr>
          <w:sz w:val="18"/>
          <w:szCs w:val="20"/>
        </w:rPr>
        <w:t xml:space="preserve"> &amp; </w:t>
      </w:r>
      <w:proofErr w:type="spellStart"/>
      <w:r w:rsidRPr="00DB508D">
        <w:rPr>
          <w:sz w:val="18"/>
          <w:szCs w:val="20"/>
        </w:rPr>
        <w:t>Cassen</w:t>
      </w:r>
      <w:proofErr w:type="spellEnd"/>
      <w:r w:rsidRPr="00DB508D">
        <w:rPr>
          <w:sz w:val="18"/>
          <w:szCs w:val="20"/>
        </w:rPr>
        <w:t>, 2004</w:t>
      </w:r>
      <w:r w:rsidR="00D05CFB">
        <w:rPr>
          <w:sz w:val="18"/>
          <w:szCs w:val="20"/>
        </w:rPr>
        <w:t>;</w:t>
      </w:r>
      <w:r w:rsidRPr="00DB508D">
        <w:rPr>
          <w:sz w:val="18"/>
          <w:szCs w:val="20"/>
        </w:rPr>
        <w:t xml:space="preserve"> </w:t>
      </w:r>
      <w:proofErr w:type="spellStart"/>
      <w:r w:rsidRPr="00DB508D">
        <w:rPr>
          <w:sz w:val="18"/>
          <w:szCs w:val="20"/>
        </w:rPr>
        <w:t>Bongaarts</w:t>
      </w:r>
      <w:proofErr w:type="spellEnd"/>
      <w:r w:rsidRPr="00DB508D">
        <w:rPr>
          <w:sz w:val="18"/>
          <w:szCs w:val="20"/>
        </w:rPr>
        <w:t xml:space="preserve">, 2003; </w:t>
      </w:r>
      <w:proofErr w:type="spellStart"/>
      <w:r w:rsidRPr="00DB508D">
        <w:rPr>
          <w:sz w:val="18"/>
          <w:szCs w:val="20"/>
        </w:rPr>
        <w:t>Lavy</w:t>
      </w:r>
      <w:proofErr w:type="spellEnd"/>
      <w:r w:rsidRPr="00DB508D">
        <w:rPr>
          <w:sz w:val="18"/>
          <w:szCs w:val="20"/>
        </w:rPr>
        <w:t xml:space="preserve"> &amp; </w:t>
      </w:r>
      <w:proofErr w:type="spellStart"/>
      <w:r w:rsidRPr="00DB508D">
        <w:rPr>
          <w:sz w:val="18"/>
          <w:szCs w:val="20"/>
        </w:rPr>
        <w:t>Zablotsky</w:t>
      </w:r>
      <w:proofErr w:type="spellEnd"/>
      <w:r w:rsidRPr="00DB508D">
        <w:rPr>
          <w:sz w:val="18"/>
          <w:szCs w:val="20"/>
        </w:rPr>
        <w:t xml:space="preserve">, 2015; Okun, 2016; </w:t>
      </w:r>
      <w:proofErr w:type="spellStart"/>
      <w:r w:rsidRPr="00DB508D">
        <w:rPr>
          <w:sz w:val="18"/>
          <w:szCs w:val="20"/>
        </w:rPr>
        <w:t>Shain</w:t>
      </w:r>
      <w:proofErr w:type="spellEnd"/>
      <w:r w:rsidRPr="00DB508D">
        <w:rPr>
          <w:sz w:val="18"/>
          <w:szCs w:val="20"/>
        </w:rPr>
        <w:t>, 2019</w:t>
      </w:r>
      <w:r w:rsidRPr="00DB508D">
        <w:rPr>
          <w:rFonts w:hint="cs"/>
          <w:sz w:val="18"/>
          <w:szCs w:val="20"/>
          <w:rtl/>
        </w:rPr>
        <w:t xml:space="preserve">). </w:t>
      </w:r>
      <w:r w:rsidRPr="00DB508D">
        <w:rPr>
          <w:sz w:val="18"/>
          <w:szCs w:val="20"/>
          <w:rtl/>
        </w:rPr>
        <w:t>מעבר לכך, הפריון ביישובים כפריים וקטנים גבוה מהפריון ביישובים עירוניים גדולים (</w:t>
      </w:r>
      <w:r w:rsidRPr="00DB508D">
        <w:rPr>
          <w:sz w:val="18"/>
          <w:szCs w:val="20"/>
        </w:rPr>
        <w:t>Hill, 2013</w:t>
      </w:r>
      <w:r w:rsidRPr="00DB508D">
        <w:rPr>
          <w:sz w:val="18"/>
          <w:szCs w:val="20"/>
          <w:rtl/>
        </w:rPr>
        <w:t>). לעומת זאת, הקשר להכנסה אינו חד-משמעי (</w:t>
      </w:r>
      <w:r w:rsidRPr="00DB508D">
        <w:rPr>
          <w:sz w:val="18"/>
          <w:szCs w:val="20"/>
        </w:rPr>
        <w:t xml:space="preserve">Hansen, Jensen &amp; </w:t>
      </w:r>
      <w:proofErr w:type="spellStart"/>
      <w:r w:rsidRPr="00DB508D">
        <w:rPr>
          <w:sz w:val="18"/>
          <w:szCs w:val="20"/>
        </w:rPr>
        <w:t>Lønstrup</w:t>
      </w:r>
      <w:proofErr w:type="spellEnd"/>
      <w:r w:rsidRPr="00DB508D">
        <w:rPr>
          <w:sz w:val="18"/>
          <w:szCs w:val="20"/>
        </w:rPr>
        <w:t>, 2018</w:t>
      </w:r>
      <w:r w:rsidRPr="00DB508D">
        <w:rPr>
          <w:sz w:val="18"/>
          <w:szCs w:val="20"/>
          <w:rtl/>
        </w:rPr>
        <w:t>). היו שדיווחו על קשר שלילי</w:t>
      </w:r>
      <w:r w:rsidRPr="00DB508D">
        <w:rPr>
          <w:rFonts w:hint="cs"/>
          <w:sz w:val="18"/>
          <w:szCs w:val="20"/>
          <w:rtl/>
        </w:rPr>
        <w:t xml:space="preserve"> (</w:t>
      </w:r>
      <w:r w:rsidRPr="00DB508D">
        <w:rPr>
          <w:sz w:val="18"/>
          <w:szCs w:val="20"/>
        </w:rPr>
        <w:t>Cordoba &amp; Ripoll, 2016</w:t>
      </w:r>
      <w:r w:rsidRPr="00DB508D">
        <w:rPr>
          <w:rFonts w:hint="cs"/>
          <w:sz w:val="18"/>
          <w:szCs w:val="20"/>
          <w:rtl/>
        </w:rPr>
        <w:t>)</w:t>
      </w:r>
      <w:r w:rsidR="00D05CFB">
        <w:rPr>
          <w:rFonts w:hint="cs"/>
          <w:sz w:val="18"/>
          <w:szCs w:val="20"/>
          <w:rtl/>
        </w:rPr>
        <w:t>,</w:t>
      </w:r>
      <w:r w:rsidRPr="00DB508D">
        <w:rPr>
          <w:rFonts w:hint="cs"/>
          <w:sz w:val="18"/>
          <w:szCs w:val="20"/>
          <w:rtl/>
        </w:rPr>
        <w:t xml:space="preserve"> </w:t>
      </w:r>
      <w:r w:rsidRPr="00DB508D">
        <w:rPr>
          <w:sz w:val="18"/>
          <w:szCs w:val="20"/>
          <w:rtl/>
        </w:rPr>
        <w:t>ואילו אחרים מצאו קשר חיובי (</w:t>
      </w:r>
      <w:r w:rsidRPr="00DB508D">
        <w:rPr>
          <w:sz w:val="18"/>
          <w:szCs w:val="20"/>
        </w:rPr>
        <w:t>Zhu, 2019</w:t>
      </w:r>
      <w:r w:rsidRPr="00DB508D">
        <w:rPr>
          <w:sz w:val="18"/>
          <w:szCs w:val="20"/>
          <w:rtl/>
        </w:rPr>
        <w:t>)</w:t>
      </w:r>
      <w:r w:rsidRPr="00DB508D">
        <w:rPr>
          <w:rFonts w:hint="cs"/>
          <w:sz w:val="18"/>
          <w:szCs w:val="20"/>
          <w:rtl/>
        </w:rPr>
        <w:t>.</w:t>
      </w:r>
    </w:p>
    <w:p w14:paraId="69BFCFF0" w14:textId="71B307C6" w:rsidR="00452401" w:rsidRPr="00DB508D" w:rsidRDefault="00452401" w:rsidP="00A24B12">
      <w:pPr>
        <w:spacing w:after="180" w:line="280" w:lineRule="exact"/>
        <w:jc w:val="both"/>
        <w:rPr>
          <w:sz w:val="18"/>
          <w:szCs w:val="20"/>
        </w:rPr>
      </w:pPr>
      <w:bookmarkStart w:id="7" w:name="_heading=h.2et92p0" w:colFirst="0" w:colLast="0"/>
      <w:bookmarkEnd w:id="7"/>
      <w:r w:rsidRPr="00DB508D">
        <w:rPr>
          <w:sz w:val="18"/>
          <w:szCs w:val="20"/>
          <w:rtl/>
        </w:rPr>
        <w:t xml:space="preserve">אף כי תשומת לב רבה הופנתה לדת ולדתיות כגורמים </w:t>
      </w:r>
      <w:r w:rsidR="00D05CFB">
        <w:rPr>
          <w:rFonts w:hint="cs"/>
          <w:sz w:val="18"/>
          <w:szCs w:val="20"/>
          <w:rtl/>
        </w:rPr>
        <w:t>ה</w:t>
      </w:r>
      <w:r w:rsidRPr="00DB508D">
        <w:rPr>
          <w:sz w:val="18"/>
          <w:szCs w:val="20"/>
          <w:rtl/>
        </w:rPr>
        <w:t xml:space="preserve">עשויים לעודד או למנוע </w:t>
      </w:r>
      <w:r w:rsidR="00D05CFB">
        <w:rPr>
          <w:rFonts w:hint="cs"/>
          <w:sz w:val="18"/>
          <w:szCs w:val="20"/>
          <w:rtl/>
        </w:rPr>
        <w:t xml:space="preserve">שיעורי פריון גבוהים, </w:t>
      </w:r>
      <w:r w:rsidRPr="00DB508D">
        <w:rPr>
          <w:sz w:val="18"/>
          <w:szCs w:val="20"/>
          <w:rtl/>
        </w:rPr>
        <w:t>המסקנות אינן חד-משמעיות. קתולים, שדתם אוסרת שימוש באמצעי מניעה, נחשבו לקבוצה שהפריון בה גבוה</w:t>
      </w:r>
      <w:r w:rsidR="00D05CFB">
        <w:rPr>
          <w:rFonts w:hint="cs"/>
          <w:sz w:val="18"/>
          <w:szCs w:val="20"/>
          <w:rtl/>
        </w:rPr>
        <w:t xml:space="preserve"> (</w:t>
      </w:r>
      <w:r w:rsidRPr="00DB508D">
        <w:rPr>
          <w:sz w:val="18"/>
          <w:szCs w:val="20"/>
        </w:rPr>
        <w:t xml:space="preserve">Ryder &amp; </w:t>
      </w:r>
      <w:proofErr w:type="spellStart"/>
      <w:r w:rsidRPr="00DB508D">
        <w:rPr>
          <w:sz w:val="18"/>
          <w:szCs w:val="20"/>
        </w:rPr>
        <w:t>Westoff</w:t>
      </w:r>
      <w:proofErr w:type="spellEnd"/>
      <w:r w:rsidRPr="00DB508D">
        <w:rPr>
          <w:sz w:val="18"/>
          <w:szCs w:val="20"/>
        </w:rPr>
        <w:t>, 1971</w:t>
      </w:r>
      <w:r w:rsidRPr="00DB508D">
        <w:rPr>
          <w:sz w:val="18"/>
          <w:szCs w:val="20"/>
          <w:rtl/>
        </w:rPr>
        <w:t>), אולם עד מהרה התברר שאין הדבר כך</w:t>
      </w:r>
      <w:r w:rsidRPr="00DB508D">
        <w:rPr>
          <w:rFonts w:hint="cs"/>
          <w:sz w:val="18"/>
          <w:szCs w:val="20"/>
          <w:rtl/>
        </w:rPr>
        <w:t xml:space="preserve"> (</w:t>
      </w:r>
      <w:r w:rsidRPr="00DB508D">
        <w:rPr>
          <w:sz w:val="18"/>
          <w:szCs w:val="20"/>
        </w:rPr>
        <w:t xml:space="preserve">Jones &amp; </w:t>
      </w:r>
      <w:proofErr w:type="spellStart"/>
      <w:r w:rsidRPr="00DB508D">
        <w:rPr>
          <w:sz w:val="18"/>
          <w:szCs w:val="20"/>
        </w:rPr>
        <w:t>Westoff</w:t>
      </w:r>
      <w:proofErr w:type="spellEnd"/>
      <w:r w:rsidRPr="00DB508D">
        <w:rPr>
          <w:sz w:val="18"/>
          <w:szCs w:val="20"/>
        </w:rPr>
        <w:t>, 1979; McQuillan, 2004</w:t>
      </w:r>
      <w:r w:rsidRPr="00DB508D">
        <w:rPr>
          <w:rFonts w:hint="cs"/>
          <w:sz w:val="18"/>
          <w:szCs w:val="20"/>
          <w:rtl/>
        </w:rPr>
        <w:t>)</w:t>
      </w:r>
      <w:r w:rsidRPr="00DB508D">
        <w:rPr>
          <w:sz w:val="18"/>
          <w:szCs w:val="20"/>
          <w:rtl/>
        </w:rPr>
        <w:t>, ושהבדלי הילודה בין קתולים לפרוטסטנטים אינם אלא שיקוף של הבדלי ההשכלה וההכנסה בין הקבוצות. הפריון בקרב מוסלמים בדרום ובדרום-מזרח אסיה גבוה בהשוואה לקבוצות שדתן הינדואיזם או בודהיזם (</w:t>
      </w:r>
      <w:proofErr w:type="spellStart"/>
      <w:r w:rsidRPr="00DB508D">
        <w:rPr>
          <w:sz w:val="18"/>
          <w:szCs w:val="20"/>
        </w:rPr>
        <w:t>Borooah</w:t>
      </w:r>
      <w:proofErr w:type="spellEnd"/>
      <w:r w:rsidRPr="00DB508D">
        <w:rPr>
          <w:sz w:val="18"/>
          <w:szCs w:val="20"/>
        </w:rPr>
        <w:t>, 2004; Morgan, Sharon, Herbert &amp; Karen, 2002</w:t>
      </w:r>
      <w:r w:rsidRPr="00DB508D">
        <w:rPr>
          <w:sz w:val="18"/>
          <w:szCs w:val="20"/>
          <w:rtl/>
        </w:rPr>
        <w:t>), אולם הבדלים אל</w:t>
      </w:r>
      <w:r w:rsidRPr="00DB508D">
        <w:rPr>
          <w:rFonts w:hint="cs"/>
          <w:sz w:val="18"/>
          <w:szCs w:val="20"/>
          <w:rtl/>
        </w:rPr>
        <w:t>ו</w:t>
      </w:r>
      <w:r w:rsidRPr="00DB508D">
        <w:rPr>
          <w:sz w:val="18"/>
          <w:szCs w:val="20"/>
          <w:rtl/>
        </w:rPr>
        <w:t xml:space="preserve"> קשורים לזהות הקבוצתית והפוליטית ולרמת הארגון הקבוצתי במציאות של מאבקים עדתיים יותר מאשר למהות האסלאם, שאינו אוסר שימוש באמצעי מניעה. בנובמבר 1988 הוציא המופתי העליון של מצרים </w:t>
      </w:r>
      <w:r w:rsidRPr="001E1DDF">
        <w:rPr>
          <w:b/>
          <w:bCs/>
          <w:sz w:val="18"/>
          <w:szCs w:val="20"/>
          <w:rtl/>
        </w:rPr>
        <w:t>פתווה</w:t>
      </w:r>
      <w:r w:rsidRPr="00DB508D">
        <w:rPr>
          <w:sz w:val="18"/>
          <w:szCs w:val="20"/>
          <w:rtl/>
        </w:rPr>
        <w:t xml:space="preserve"> (פסק הלכה) שקבע</w:t>
      </w:r>
      <w:r w:rsidR="009F4BFB">
        <w:rPr>
          <w:rFonts w:hint="cs"/>
          <w:sz w:val="18"/>
          <w:szCs w:val="20"/>
          <w:rtl/>
        </w:rPr>
        <w:t>ה</w:t>
      </w:r>
      <w:r w:rsidRPr="00DB508D">
        <w:rPr>
          <w:sz w:val="18"/>
          <w:szCs w:val="20"/>
          <w:rtl/>
        </w:rPr>
        <w:t xml:space="preserve"> במפורש כי תכנון המשפחה עולה בקנה אחד עם עיקרי האמונה האסלאמית (איילון, 1995</w:t>
      </w:r>
      <w:r w:rsidRPr="00DB508D">
        <w:rPr>
          <w:rFonts w:hint="cs"/>
          <w:sz w:val="18"/>
          <w:szCs w:val="20"/>
          <w:rtl/>
        </w:rPr>
        <w:t>).</w:t>
      </w:r>
      <w:r w:rsidRPr="00DB508D">
        <w:rPr>
          <w:sz w:val="18"/>
          <w:szCs w:val="20"/>
          <w:vertAlign w:val="superscript"/>
          <w:rtl/>
        </w:rPr>
        <w:footnoteReference w:id="16"/>
      </w:r>
      <w:r w:rsidRPr="00DB508D">
        <w:rPr>
          <w:sz w:val="18"/>
          <w:szCs w:val="20"/>
          <w:rtl/>
        </w:rPr>
        <w:t xml:space="preserve"> באיראן תחת המשטר האסלאמי ירד הפריון הכולל מ-6.5 ב-1982 ל-2.1 ב-2018 (</w:t>
      </w:r>
      <w:r w:rsidRPr="00DB508D">
        <w:rPr>
          <w:sz w:val="18"/>
          <w:szCs w:val="20"/>
        </w:rPr>
        <w:t>The World Bank, 2020</w:t>
      </w:r>
      <w:r w:rsidRPr="00DB508D">
        <w:rPr>
          <w:sz w:val="18"/>
          <w:szCs w:val="20"/>
          <w:rtl/>
        </w:rPr>
        <w:t xml:space="preserve">), וגם בישראל אין קשר ישיר בין רמת דתיות גבוהה בקרב מוסלמים לבין רמת הילודה: באזורים עירוניים לא נמצא קשר בין </w:t>
      </w:r>
      <w:r w:rsidR="00A24B12">
        <w:rPr>
          <w:rFonts w:hint="cs"/>
          <w:sz w:val="18"/>
          <w:szCs w:val="20"/>
          <w:rtl/>
        </w:rPr>
        <w:t>רמת ה</w:t>
      </w:r>
      <w:r w:rsidRPr="00DB508D">
        <w:rPr>
          <w:sz w:val="18"/>
          <w:szCs w:val="20"/>
          <w:rtl/>
        </w:rPr>
        <w:t>דתיות לבין הפריון, ואילו באזורים הכפריים נמצא קשר שלילי ביניהם (</w:t>
      </w:r>
      <w:proofErr w:type="spellStart"/>
      <w:r w:rsidRPr="00DB508D">
        <w:rPr>
          <w:sz w:val="18"/>
          <w:szCs w:val="20"/>
          <w:rtl/>
        </w:rPr>
        <w:t>חליחל</w:t>
      </w:r>
      <w:proofErr w:type="spellEnd"/>
      <w:r w:rsidRPr="00DB508D">
        <w:rPr>
          <w:sz w:val="18"/>
          <w:szCs w:val="20"/>
          <w:rtl/>
        </w:rPr>
        <w:t xml:space="preserve">, 2011; </w:t>
      </w:r>
      <w:proofErr w:type="spellStart"/>
      <w:r w:rsidRPr="00DB508D">
        <w:rPr>
          <w:sz w:val="18"/>
          <w:szCs w:val="20"/>
        </w:rPr>
        <w:t>Schellekens</w:t>
      </w:r>
      <w:proofErr w:type="spellEnd"/>
      <w:r w:rsidRPr="00DB508D">
        <w:rPr>
          <w:sz w:val="18"/>
          <w:szCs w:val="20"/>
        </w:rPr>
        <w:t xml:space="preserve"> &amp; </w:t>
      </w:r>
      <w:proofErr w:type="spellStart"/>
      <w:r w:rsidRPr="00DB508D">
        <w:rPr>
          <w:sz w:val="18"/>
          <w:szCs w:val="20"/>
        </w:rPr>
        <w:t>Eisenbach</w:t>
      </w:r>
      <w:proofErr w:type="spellEnd"/>
      <w:r w:rsidRPr="00DB508D">
        <w:rPr>
          <w:sz w:val="18"/>
          <w:szCs w:val="20"/>
        </w:rPr>
        <w:t>, 2010</w:t>
      </w:r>
      <w:r w:rsidRPr="00DB508D">
        <w:rPr>
          <w:rFonts w:hint="cs"/>
          <w:sz w:val="18"/>
          <w:szCs w:val="20"/>
          <w:rtl/>
        </w:rPr>
        <w:t xml:space="preserve">). </w:t>
      </w:r>
      <w:r w:rsidRPr="00DB508D">
        <w:rPr>
          <w:sz w:val="18"/>
          <w:szCs w:val="20"/>
          <w:rtl/>
        </w:rPr>
        <w:t>מנגד, במחקר משנת 2018 נמצא קשר חיובי בין דתיות לפריון בחברה המוסלמית בישראל (</w:t>
      </w:r>
      <w:proofErr w:type="spellStart"/>
      <w:r w:rsidRPr="00DB508D">
        <w:rPr>
          <w:sz w:val="18"/>
          <w:szCs w:val="20"/>
        </w:rPr>
        <w:t>Schellekens</w:t>
      </w:r>
      <w:proofErr w:type="spellEnd"/>
      <w:r w:rsidRPr="00DB508D">
        <w:rPr>
          <w:sz w:val="18"/>
          <w:szCs w:val="20"/>
        </w:rPr>
        <w:t xml:space="preserve"> &amp; </w:t>
      </w:r>
      <w:proofErr w:type="spellStart"/>
      <w:r w:rsidRPr="00DB508D">
        <w:rPr>
          <w:sz w:val="18"/>
          <w:szCs w:val="20"/>
        </w:rPr>
        <w:t>Atrash</w:t>
      </w:r>
      <w:proofErr w:type="spellEnd"/>
      <w:r w:rsidRPr="00DB508D">
        <w:rPr>
          <w:sz w:val="18"/>
          <w:szCs w:val="20"/>
        </w:rPr>
        <w:t>, 2018</w:t>
      </w:r>
      <w:r w:rsidRPr="00DB508D">
        <w:rPr>
          <w:sz w:val="18"/>
          <w:szCs w:val="20"/>
          <w:rtl/>
        </w:rPr>
        <w:t xml:space="preserve">). זאת ועוד, הפריון הגבוה בחברה היהודית בישראל מוסבר לרוב </w:t>
      </w:r>
      <w:r w:rsidR="00A24B12">
        <w:rPr>
          <w:rFonts w:hint="cs"/>
          <w:sz w:val="18"/>
          <w:szCs w:val="20"/>
          <w:rtl/>
        </w:rPr>
        <w:t>ב</w:t>
      </w:r>
      <w:r w:rsidRPr="00DB508D">
        <w:rPr>
          <w:sz w:val="18"/>
          <w:szCs w:val="20"/>
          <w:rtl/>
        </w:rPr>
        <w:t>פריון הגבוה של האוכלוסייה הדתית (</w:t>
      </w:r>
      <w:proofErr w:type="spellStart"/>
      <w:r w:rsidRPr="00DB508D">
        <w:rPr>
          <w:sz w:val="18"/>
          <w:szCs w:val="20"/>
        </w:rPr>
        <w:t>DellaPergola</w:t>
      </w:r>
      <w:proofErr w:type="spellEnd"/>
      <w:r w:rsidRPr="00DB508D">
        <w:rPr>
          <w:sz w:val="18"/>
          <w:szCs w:val="20"/>
        </w:rPr>
        <w:t xml:space="preserve">, 2009, 2015; Friedlander &amp; Feldman, 1992; </w:t>
      </w:r>
      <w:proofErr w:type="spellStart"/>
      <w:r w:rsidRPr="00DB508D">
        <w:rPr>
          <w:sz w:val="18"/>
          <w:szCs w:val="20"/>
        </w:rPr>
        <w:t>Kupinsky</w:t>
      </w:r>
      <w:proofErr w:type="spellEnd"/>
      <w:r w:rsidRPr="00DB508D">
        <w:rPr>
          <w:sz w:val="18"/>
          <w:szCs w:val="20"/>
        </w:rPr>
        <w:t xml:space="preserve">, 1992; </w:t>
      </w:r>
      <w:proofErr w:type="spellStart"/>
      <w:r w:rsidRPr="00DB508D">
        <w:rPr>
          <w:sz w:val="18"/>
          <w:szCs w:val="20"/>
        </w:rPr>
        <w:t>Peritz</w:t>
      </w:r>
      <w:proofErr w:type="spellEnd"/>
      <w:r w:rsidRPr="00DB508D">
        <w:rPr>
          <w:sz w:val="18"/>
          <w:szCs w:val="20"/>
        </w:rPr>
        <w:t>, 1992</w:t>
      </w:r>
      <w:r w:rsidRPr="00DB508D">
        <w:rPr>
          <w:sz w:val="18"/>
          <w:szCs w:val="20"/>
          <w:rtl/>
        </w:rPr>
        <w:t xml:space="preserve">). אולם גם בקרב האוכלוסייה החילונית הפריון גבוה יחסית לקבוצות דומות באירופה, ואם יש ביהדות גורם </w:t>
      </w:r>
      <w:r w:rsidRPr="00DB508D">
        <w:rPr>
          <w:sz w:val="18"/>
          <w:szCs w:val="20"/>
          <w:rtl/>
        </w:rPr>
        <w:lastRenderedPageBreak/>
        <w:t xml:space="preserve">המניע ילודה גבוהה, </w:t>
      </w:r>
      <w:r w:rsidR="00A24B12">
        <w:rPr>
          <w:rFonts w:hint="cs"/>
          <w:sz w:val="18"/>
          <w:szCs w:val="20"/>
          <w:rtl/>
        </w:rPr>
        <w:t xml:space="preserve">נשאלת השאלה </w:t>
      </w:r>
      <w:r w:rsidRPr="00DB508D">
        <w:rPr>
          <w:sz w:val="18"/>
          <w:szCs w:val="20"/>
          <w:rtl/>
        </w:rPr>
        <w:t>מדוע הילודה היהודית בגולה היא כה נמוכה</w:t>
      </w:r>
      <w:r w:rsidRPr="00DB508D">
        <w:rPr>
          <w:rFonts w:hint="cs"/>
          <w:sz w:val="18"/>
          <w:szCs w:val="20"/>
          <w:rtl/>
        </w:rPr>
        <w:t xml:space="preserve"> ( </w:t>
      </w:r>
      <w:r w:rsidRPr="00DB508D">
        <w:rPr>
          <w:sz w:val="18"/>
          <w:szCs w:val="20"/>
        </w:rPr>
        <w:t xml:space="preserve">Anson &amp; Ajayi, 2018; Anson &amp; Meir, 1996; </w:t>
      </w:r>
      <w:proofErr w:type="spellStart"/>
      <w:r w:rsidRPr="00DB508D">
        <w:rPr>
          <w:sz w:val="18"/>
          <w:szCs w:val="20"/>
        </w:rPr>
        <w:t>Shain</w:t>
      </w:r>
      <w:proofErr w:type="spellEnd"/>
      <w:r w:rsidRPr="00DB508D">
        <w:rPr>
          <w:sz w:val="18"/>
          <w:szCs w:val="20"/>
        </w:rPr>
        <w:t>, 2019; Tolts, 2018</w:t>
      </w:r>
      <w:r w:rsidRPr="00DB508D">
        <w:rPr>
          <w:sz w:val="18"/>
          <w:szCs w:val="20"/>
          <w:rtl/>
        </w:rPr>
        <w:t>)</w:t>
      </w:r>
      <w:r w:rsidR="00A24B12">
        <w:rPr>
          <w:rFonts w:hint="cs"/>
          <w:sz w:val="18"/>
          <w:szCs w:val="20"/>
          <w:rtl/>
        </w:rPr>
        <w:t>.</w:t>
      </w:r>
    </w:p>
    <w:p w14:paraId="7E991242" w14:textId="774F2245" w:rsidR="00452401" w:rsidRPr="00DB508D" w:rsidRDefault="00452401" w:rsidP="00A24B12">
      <w:pPr>
        <w:spacing w:after="180" w:line="280" w:lineRule="exact"/>
        <w:jc w:val="both"/>
        <w:rPr>
          <w:sz w:val="18"/>
          <w:szCs w:val="20"/>
        </w:rPr>
      </w:pPr>
      <w:r w:rsidRPr="00DB508D">
        <w:rPr>
          <w:sz w:val="18"/>
          <w:szCs w:val="20"/>
          <w:rtl/>
        </w:rPr>
        <w:t>ה</w:t>
      </w:r>
      <w:r w:rsidR="00A24B12">
        <w:rPr>
          <w:rFonts w:hint="cs"/>
          <w:sz w:val="18"/>
          <w:szCs w:val="20"/>
          <w:rtl/>
        </w:rPr>
        <w:t>הולדה</w:t>
      </w:r>
      <w:r w:rsidRPr="00DB508D">
        <w:rPr>
          <w:sz w:val="18"/>
          <w:szCs w:val="20"/>
          <w:rtl/>
        </w:rPr>
        <w:t xml:space="preserve"> היא, מן הסתם, מעשה יחיד (או זוגי). אולם הפריון, הקצב שבו נשים הרות ויולדות, הוא תכונה חברתית, ויש להסביר אות</w:t>
      </w:r>
      <w:r w:rsidR="00A24B12">
        <w:rPr>
          <w:rFonts w:hint="cs"/>
          <w:sz w:val="18"/>
          <w:szCs w:val="20"/>
          <w:rtl/>
        </w:rPr>
        <w:t>ו</w:t>
      </w:r>
      <w:r w:rsidRPr="00DB508D">
        <w:rPr>
          <w:sz w:val="18"/>
          <w:szCs w:val="20"/>
          <w:rtl/>
        </w:rPr>
        <w:t xml:space="preserve"> תוך התייחסות למציאות שבה אנשים חיים את חייהם. "אף אם עקרות אישית היא תופעה פיסיולוגית, עקרות המונית (היא) [...] רצונית, סוג של משמעת אליה אנשים נותנים את עצמם מרצון" (</w:t>
      </w:r>
      <w:r w:rsidRPr="00DB508D">
        <w:rPr>
          <w:sz w:val="18"/>
          <w:szCs w:val="20"/>
        </w:rPr>
        <w:t>Durkheim, 1992, p. 194</w:t>
      </w:r>
      <w:r w:rsidRPr="00DB508D">
        <w:rPr>
          <w:sz w:val="18"/>
          <w:szCs w:val="20"/>
          <w:rtl/>
        </w:rPr>
        <w:t>). הילודה היא פעולה קבוצתית, תרומה לקצב גידולה של הקבוצה (כנגד התמותה וההגירה) ושיקוף יחסיה עם קבוצות אחרות. הילודה, במודע או לא במודע, היא למעשה חלק מאסטרטגיית ההישרדות של הקבוצה. קבוצת מיעוט הנאבקת באפליה, דוגמת היהודים בארצות הברית, תצמצם את פריונה ותמקד את מאמציה באיכויות המבטיחות הצלחה; קבוצת מיעוט הנאבקת בדיכוי פוליטי, דוגמת האוכלוסייה השחורה בארצות הברית, תגדיל את פריונה כדי להגביר את כוחה המספרי</w:t>
      </w:r>
      <w:r w:rsidRPr="00DB508D">
        <w:rPr>
          <w:rFonts w:hint="cs"/>
          <w:sz w:val="18"/>
          <w:szCs w:val="20"/>
          <w:rtl/>
        </w:rPr>
        <w:t xml:space="preserve"> (</w:t>
      </w:r>
      <w:proofErr w:type="spellStart"/>
      <w:r w:rsidRPr="00DB508D">
        <w:rPr>
          <w:sz w:val="18"/>
          <w:szCs w:val="20"/>
        </w:rPr>
        <w:t>Chabé</w:t>
      </w:r>
      <w:proofErr w:type="spellEnd"/>
      <w:r w:rsidRPr="00DB508D">
        <w:rPr>
          <w:sz w:val="18"/>
          <w:szCs w:val="20"/>
        </w:rPr>
        <w:t xml:space="preserve">-Ferret &amp; </w:t>
      </w:r>
      <w:proofErr w:type="spellStart"/>
      <w:r w:rsidRPr="00DB508D">
        <w:rPr>
          <w:sz w:val="18"/>
          <w:szCs w:val="20"/>
        </w:rPr>
        <w:t>Melindi-Ghidi</w:t>
      </w:r>
      <w:proofErr w:type="spellEnd"/>
      <w:r w:rsidRPr="00DB508D">
        <w:rPr>
          <w:sz w:val="18"/>
          <w:szCs w:val="20"/>
        </w:rPr>
        <w:t xml:space="preserve">, 2013; </w:t>
      </w:r>
      <w:proofErr w:type="spellStart"/>
      <w:r w:rsidRPr="00DB508D">
        <w:rPr>
          <w:sz w:val="18"/>
          <w:szCs w:val="20"/>
        </w:rPr>
        <w:t>Goldscheider</w:t>
      </w:r>
      <w:proofErr w:type="spellEnd"/>
      <w:r w:rsidRPr="00DB508D">
        <w:rPr>
          <w:sz w:val="18"/>
          <w:szCs w:val="20"/>
        </w:rPr>
        <w:t xml:space="preserve"> &amp; </w:t>
      </w:r>
      <w:proofErr w:type="spellStart"/>
      <w:r w:rsidRPr="00DB508D">
        <w:rPr>
          <w:sz w:val="18"/>
          <w:szCs w:val="20"/>
        </w:rPr>
        <w:t>Uhlenberg</w:t>
      </w:r>
      <w:proofErr w:type="spellEnd"/>
      <w:r w:rsidRPr="00DB508D">
        <w:rPr>
          <w:sz w:val="18"/>
          <w:szCs w:val="20"/>
        </w:rPr>
        <w:t>, 1969; Ritchey, 1975</w:t>
      </w:r>
      <w:r w:rsidRPr="00DB508D">
        <w:rPr>
          <w:rFonts w:hint="cs"/>
          <w:sz w:val="18"/>
          <w:szCs w:val="20"/>
          <w:rtl/>
        </w:rPr>
        <w:t>)</w:t>
      </w:r>
      <w:r w:rsidRPr="00DB508D">
        <w:rPr>
          <w:sz w:val="18"/>
          <w:szCs w:val="20"/>
          <w:rtl/>
        </w:rPr>
        <w:t>. קבוצה מלוכדת תקטין את פריונה, וקבוצה מבוזרת תגדיל את פריונה כדי לפצות על היעדר הביטחון שהסולידריות מעניקה (</w:t>
      </w:r>
      <w:r w:rsidRPr="00DB508D">
        <w:rPr>
          <w:sz w:val="18"/>
          <w:szCs w:val="20"/>
        </w:rPr>
        <w:t xml:space="preserve">Lopez &amp; </w:t>
      </w:r>
      <w:proofErr w:type="spellStart"/>
      <w:r w:rsidRPr="00DB508D">
        <w:rPr>
          <w:sz w:val="18"/>
          <w:szCs w:val="20"/>
        </w:rPr>
        <w:t>Sabagh</w:t>
      </w:r>
      <w:proofErr w:type="spellEnd"/>
      <w:r w:rsidRPr="00DB508D">
        <w:rPr>
          <w:sz w:val="18"/>
          <w:szCs w:val="20"/>
        </w:rPr>
        <w:t>, 1978</w:t>
      </w:r>
      <w:r w:rsidRPr="00DB508D">
        <w:rPr>
          <w:sz w:val="18"/>
          <w:szCs w:val="20"/>
          <w:rtl/>
        </w:rPr>
        <w:t>). מכאן שהפריון יכול להיות גם מעשה פוליטי, חלק מהמאבק הבין-קבוצתי, הסמוי או הגלוי, על חלוקת המשאבים בחברה</w:t>
      </w:r>
      <w:r w:rsidRPr="00DB508D">
        <w:rPr>
          <w:rFonts w:hint="cs"/>
          <w:sz w:val="18"/>
          <w:szCs w:val="20"/>
          <w:rtl/>
        </w:rPr>
        <w:t xml:space="preserve"> (</w:t>
      </w:r>
      <w:proofErr w:type="spellStart"/>
      <w:r w:rsidRPr="00DB508D">
        <w:rPr>
          <w:sz w:val="18"/>
          <w:szCs w:val="20"/>
        </w:rPr>
        <w:t>Fargues</w:t>
      </w:r>
      <w:proofErr w:type="spellEnd"/>
      <w:r w:rsidRPr="00DB508D">
        <w:rPr>
          <w:sz w:val="18"/>
          <w:szCs w:val="20"/>
        </w:rPr>
        <w:t>, 2000; Janus, 2013; Khawaja &amp; Randall, 2006</w:t>
      </w:r>
      <w:r w:rsidRPr="00DB508D">
        <w:rPr>
          <w:rFonts w:hint="cs"/>
          <w:sz w:val="18"/>
          <w:szCs w:val="20"/>
          <w:rtl/>
        </w:rPr>
        <w:t>).</w:t>
      </w:r>
      <w:r w:rsidRPr="00DB508D">
        <w:rPr>
          <w:sz w:val="18"/>
          <w:szCs w:val="20"/>
          <w:rtl/>
        </w:rPr>
        <w:t xml:space="preserve"> אם כן, גם כשבוחנים את הפריון ברמת הפרט יש לעשות זאת בהקשר של המציאות החברתית שבה המעשה מתרחש. </w:t>
      </w:r>
    </w:p>
    <w:p w14:paraId="515E79A4" w14:textId="77777777" w:rsidR="00452401" w:rsidRPr="00DB508D" w:rsidRDefault="00452401" w:rsidP="00DB508D">
      <w:pPr>
        <w:spacing w:after="180" w:line="280" w:lineRule="exact"/>
        <w:jc w:val="both"/>
        <w:rPr>
          <w:sz w:val="18"/>
          <w:szCs w:val="20"/>
        </w:rPr>
      </w:pPr>
    </w:p>
    <w:p w14:paraId="306D7899" w14:textId="432B06E4" w:rsidR="00452401" w:rsidRPr="00452401" w:rsidRDefault="00452401" w:rsidP="00452401">
      <w:pPr>
        <w:pStyle w:val="KOT5"/>
        <w:spacing w:after="0"/>
        <w:ind w:right="0"/>
        <w:outlineLvl w:val="2"/>
        <w:rPr>
          <w:rFonts w:cs="Guttman Aharoni"/>
          <w:color w:val="00B0F0"/>
        </w:rPr>
      </w:pPr>
      <w:r w:rsidRPr="00452401">
        <w:rPr>
          <w:rFonts w:cs="Guttman Aharoni"/>
          <w:color w:val="00B0F0"/>
          <w:rtl/>
        </w:rPr>
        <w:t xml:space="preserve">הירידה בפריון כמהפכת רבייה </w:t>
      </w:r>
    </w:p>
    <w:p w14:paraId="72B84E42" w14:textId="31E29EFD" w:rsidR="00452401" w:rsidRPr="00DB508D" w:rsidRDefault="00452401" w:rsidP="00B41A73">
      <w:pPr>
        <w:spacing w:after="180" w:line="280" w:lineRule="exact"/>
        <w:jc w:val="both"/>
        <w:rPr>
          <w:sz w:val="18"/>
          <w:szCs w:val="20"/>
        </w:rPr>
      </w:pPr>
      <w:r w:rsidRPr="00DB508D">
        <w:rPr>
          <w:sz w:val="18"/>
          <w:szCs w:val="20"/>
          <w:rtl/>
        </w:rPr>
        <w:t>הירידה שחלה במאות האחרונות בשיעורי הילודה היא חלק בל-ינותק מתהליכי השינוי הרבים שמביאה המודרניות. בכל החברות, השינויים החברתיים והכלכליים הכרוכים בתיעוש, בעיור ובהתפתחות כלכלת השוק כללו גם צמצום ילודה (</w:t>
      </w:r>
      <w:r w:rsidRPr="00DB508D">
        <w:rPr>
          <w:sz w:val="18"/>
          <w:szCs w:val="20"/>
        </w:rPr>
        <w:t>Davis, 1963; Friedlander, 1969; Mosher, 1980</w:t>
      </w:r>
      <w:r w:rsidRPr="00DB508D">
        <w:rPr>
          <w:sz w:val="18"/>
          <w:szCs w:val="20"/>
          <w:rtl/>
        </w:rPr>
        <w:t xml:space="preserve">), אף אם לא </w:t>
      </w:r>
      <w:r w:rsidR="00B41A73">
        <w:rPr>
          <w:rFonts w:hint="cs"/>
          <w:sz w:val="18"/>
          <w:szCs w:val="20"/>
          <w:rtl/>
        </w:rPr>
        <w:t>תמיד</w:t>
      </w:r>
      <w:r w:rsidR="00B41A73" w:rsidRPr="00DB508D">
        <w:rPr>
          <w:sz w:val="18"/>
          <w:szCs w:val="20"/>
          <w:rtl/>
        </w:rPr>
        <w:t xml:space="preserve"> </w:t>
      </w:r>
      <w:r w:rsidRPr="00DB508D">
        <w:rPr>
          <w:sz w:val="18"/>
          <w:szCs w:val="20"/>
          <w:rtl/>
        </w:rPr>
        <w:t xml:space="preserve">באותו קצב, וצמצום הילודה בתורו האיץ שינויים אחרים. מחד גיסא הירידה בפריון קשורה לשינויים אלה, ומאידך גיסא היא גם עיצבה את החברה, בכך שהשפיעה על קצב גידולה ומבנה הגילים בה. במילים אחרות, אין לראות בפריון רק תוצר של המציאות או של השינויים החברתיים והכלכליים, אלא רכיב מרכזי במערכת החברתית, סיבה ומסובב כמו כל רכיב אחר. </w:t>
      </w:r>
    </w:p>
    <w:p w14:paraId="239F4186" w14:textId="5CBD8535" w:rsidR="00452401" w:rsidRDefault="00452401" w:rsidP="00AA7F56">
      <w:pPr>
        <w:spacing w:after="180" w:line="280" w:lineRule="exact"/>
        <w:jc w:val="both"/>
        <w:rPr>
          <w:sz w:val="18"/>
          <w:szCs w:val="20"/>
          <w:rtl/>
        </w:rPr>
      </w:pPr>
      <w:r w:rsidRPr="00DB508D">
        <w:rPr>
          <w:sz w:val="18"/>
          <w:szCs w:val="20"/>
          <w:rtl/>
        </w:rPr>
        <w:t>הירידה בפריון היא חלק מ</w:t>
      </w:r>
      <w:r w:rsidRPr="001E1DDF">
        <w:rPr>
          <w:b/>
          <w:bCs/>
          <w:sz w:val="18"/>
          <w:szCs w:val="20"/>
          <w:rtl/>
        </w:rPr>
        <w:t xml:space="preserve">מהפכת הרבייה </w:t>
      </w:r>
      <w:r w:rsidRPr="00DB508D">
        <w:rPr>
          <w:sz w:val="18"/>
          <w:szCs w:val="20"/>
          <w:rtl/>
        </w:rPr>
        <w:t>(</w:t>
      </w:r>
      <w:r w:rsidRPr="00DB508D">
        <w:rPr>
          <w:sz w:val="18"/>
          <w:szCs w:val="20"/>
        </w:rPr>
        <w:t>Reproductive Revolution</w:t>
      </w:r>
      <w:r w:rsidRPr="00DB508D">
        <w:rPr>
          <w:sz w:val="18"/>
          <w:szCs w:val="20"/>
          <w:rtl/>
        </w:rPr>
        <w:t xml:space="preserve">), שינוי כולל בדרך שבה החברה משעתקת את עצמה ומקימה את הדור הבא. מערך זה כולל לא רק את רמת הילודה אלא גם את מבנה המשפחה, היחסים בין גברים לנשים, </w:t>
      </w:r>
      <w:r w:rsidR="00AA7F56" w:rsidRPr="00DB508D">
        <w:rPr>
          <w:sz w:val="18"/>
          <w:szCs w:val="20"/>
          <w:rtl/>
        </w:rPr>
        <w:t xml:space="preserve">מקורות התעסוקה </w:t>
      </w:r>
      <w:r w:rsidR="00AA7F56">
        <w:rPr>
          <w:rFonts w:hint="cs"/>
          <w:sz w:val="18"/>
          <w:szCs w:val="20"/>
          <w:rtl/>
        </w:rPr>
        <w:t>ו</w:t>
      </w:r>
      <w:r w:rsidRPr="00DB508D">
        <w:rPr>
          <w:sz w:val="18"/>
          <w:szCs w:val="20"/>
          <w:rtl/>
        </w:rPr>
        <w:t>אופי</w:t>
      </w:r>
      <w:r w:rsidR="00AA7F56">
        <w:rPr>
          <w:rFonts w:hint="cs"/>
          <w:sz w:val="18"/>
          <w:szCs w:val="20"/>
          <w:rtl/>
        </w:rPr>
        <w:t>ים</w:t>
      </w:r>
      <w:r w:rsidRPr="00DB508D">
        <w:rPr>
          <w:sz w:val="18"/>
          <w:szCs w:val="20"/>
          <w:rtl/>
        </w:rPr>
        <w:t>, התפתחות המדינה והיחסים עימה, וכיוצא באלה (</w:t>
      </w:r>
      <w:r w:rsidRPr="00DB508D">
        <w:rPr>
          <w:sz w:val="18"/>
          <w:szCs w:val="20"/>
        </w:rPr>
        <w:t>MacInnes &amp; Pérez, 2005</w:t>
      </w:r>
      <w:r w:rsidRPr="00DB508D">
        <w:rPr>
          <w:sz w:val="18"/>
          <w:szCs w:val="20"/>
          <w:rtl/>
        </w:rPr>
        <w:t>)</w:t>
      </w:r>
      <w:r w:rsidRPr="00DB508D">
        <w:rPr>
          <w:rFonts w:hint="cs"/>
          <w:sz w:val="18"/>
          <w:szCs w:val="20"/>
          <w:rtl/>
        </w:rPr>
        <w:t xml:space="preserve">. </w:t>
      </w:r>
      <w:r w:rsidRPr="00DB508D">
        <w:rPr>
          <w:sz w:val="18"/>
          <w:szCs w:val="20"/>
          <w:rtl/>
        </w:rPr>
        <w:t xml:space="preserve">הירידה בילודה היא אפוא חלק מתהליך מקיף שכולל עלייה ברמת החיים ובאיכותם, השקעה בחינוך ילדים ושחרור נשים מהמעגל הבלתי פוסק של היריון-לידה-הנקה-טיפול. התוצאה היא עלייה </w:t>
      </w:r>
      <w:r w:rsidRPr="00DB508D">
        <w:rPr>
          <w:sz w:val="18"/>
          <w:szCs w:val="20"/>
          <w:rtl/>
        </w:rPr>
        <w:lastRenderedPageBreak/>
        <w:t xml:space="preserve">ברמת החיים החומרית ובניידות החברתית, אוכלוסייה בריאה ומשכילה יותר, ויחס קטן והולך בין מספר הילדים למספר המבוגרים החיים בדור הבא. המשאבים האנושיים והחומריים הנדרשים כדי לקיים את הדור הבא קטנים והולכים, והם משתחררים למטרות יצרניות אחרות. מכאן שהירידה בילודה והעלייה בסיכוי שילד שנולד ישרוד עד לבגרות הביאו לעלייה באיכות החיים ובהשקעה בחינוך ילדים, ולשינוי מהותי בתפקידי </w:t>
      </w:r>
      <w:r w:rsidRPr="00DB508D">
        <w:rPr>
          <w:rFonts w:hint="cs"/>
          <w:sz w:val="18"/>
          <w:szCs w:val="20"/>
          <w:rtl/>
        </w:rPr>
        <w:t>ה</w:t>
      </w:r>
      <w:r w:rsidRPr="00DB508D">
        <w:rPr>
          <w:sz w:val="18"/>
          <w:szCs w:val="20"/>
          <w:rtl/>
        </w:rPr>
        <w:t xml:space="preserve">נשים בחברה. גידול ילדים הפך תפקיד </w:t>
      </w:r>
      <w:r w:rsidRPr="00DB508D">
        <w:rPr>
          <w:rFonts w:hint="cs"/>
          <w:sz w:val="18"/>
          <w:szCs w:val="20"/>
          <w:rtl/>
        </w:rPr>
        <w:t xml:space="preserve">אחד </w:t>
      </w:r>
      <w:r w:rsidRPr="00DB508D">
        <w:rPr>
          <w:sz w:val="18"/>
          <w:szCs w:val="20"/>
          <w:rtl/>
        </w:rPr>
        <w:t>מיני</w:t>
      </w:r>
      <w:r w:rsidRPr="00DB508D">
        <w:rPr>
          <w:rFonts w:hint="cs"/>
          <w:sz w:val="18"/>
          <w:szCs w:val="20"/>
          <w:rtl/>
        </w:rPr>
        <w:t xml:space="preserve"> </w:t>
      </w:r>
      <w:r w:rsidRPr="00DB508D">
        <w:rPr>
          <w:sz w:val="18"/>
          <w:szCs w:val="20"/>
          <w:rtl/>
        </w:rPr>
        <w:t>רבים, לאו דווקא העיקרי</w:t>
      </w:r>
      <w:r w:rsidRPr="00DB508D">
        <w:rPr>
          <w:rFonts w:hint="cs"/>
          <w:sz w:val="18"/>
          <w:szCs w:val="20"/>
          <w:rtl/>
        </w:rPr>
        <w:t>,</w:t>
      </w:r>
      <w:r w:rsidRPr="00DB508D">
        <w:rPr>
          <w:sz w:val="18"/>
          <w:szCs w:val="20"/>
          <w:rtl/>
        </w:rPr>
        <w:t xml:space="preserve"> ואף </w:t>
      </w:r>
      <w:r w:rsidRPr="00DB508D">
        <w:rPr>
          <w:rFonts w:hint="cs"/>
          <w:sz w:val="18"/>
          <w:szCs w:val="20"/>
          <w:rtl/>
        </w:rPr>
        <w:t xml:space="preserve">כזה </w:t>
      </w:r>
      <w:r w:rsidRPr="00DB508D">
        <w:rPr>
          <w:sz w:val="18"/>
          <w:szCs w:val="20"/>
          <w:rtl/>
        </w:rPr>
        <w:t>שלא מעטות מוותרות עליו (</w:t>
      </w:r>
      <w:proofErr w:type="spellStart"/>
      <w:r w:rsidRPr="00DB508D">
        <w:rPr>
          <w:sz w:val="18"/>
          <w:szCs w:val="20"/>
        </w:rPr>
        <w:t>Kreyenfeld</w:t>
      </w:r>
      <w:proofErr w:type="spellEnd"/>
      <w:r w:rsidRPr="00DB508D">
        <w:rPr>
          <w:sz w:val="18"/>
          <w:szCs w:val="20"/>
        </w:rPr>
        <w:t xml:space="preserve"> &amp; </w:t>
      </w:r>
      <w:proofErr w:type="spellStart"/>
      <w:r w:rsidRPr="00DB508D">
        <w:rPr>
          <w:sz w:val="18"/>
          <w:szCs w:val="20"/>
        </w:rPr>
        <w:t>Konietzka</w:t>
      </w:r>
      <w:proofErr w:type="spellEnd"/>
      <w:r w:rsidRPr="00DB508D">
        <w:rPr>
          <w:sz w:val="18"/>
          <w:szCs w:val="20"/>
        </w:rPr>
        <w:t>, 2017</w:t>
      </w:r>
      <w:r w:rsidRPr="00DB508D">
        <w:rPr>
          <w:sz w:val="18"/>
          <w:szCs w:val="20"/>
          <w:rtl/>
        </w:rPr>
        <w:t>). לצד השינויים הטכנולוגיים, דחיי</w:t>
      </w:r>
      <w:r w:rsidRPr="00DB508D">
        <w:rPr>
          <w:rFonts w:hint="cs"/>
          <w:sz w:val="18"/>
          <w:szCs w:val="20"/>
          <w:rtl/>
        </w:rPr>
        <w:t xml:space="preserve">ת גיל ההולדה וצמצום הילודה </w:t>
      </w:r>
      <w:r w:rsidRPr="00DB508D">
        <w:rPr>
          <w:sz w:val="18"/>
          <w:szCs w:val="20"/>
          <w:rtl/>
        </w:rPr>
        <w:t xml:space="preserve">פתחו את הדלת להשכלתן של נשים ולעבודתן מחוץ לבית, לשותפות גברים בגידול הילדים, ולטשטוש גובר והולך בתפקידי גברים ונשים בחברה. </w:t>
      </w:r>
    </w:p>
    <w:p w14:paraId="6DAC3351" w14:textId="77777777" w:rsidR="004B3169" w:rsidRPr="00DB508D" w:rsidRDefault="004B3169" w:rsidP="00AA7F56">
      <w:pPr>
        <w:spacing w:after="180" w:line="280" w:lineRule="exact"/>
        <w:jc w:val="both"/>
        <w:rPr>
          <w:sz w:val="18"/>
          <w:szCs w:val="20"/>
        </w:rPr>
      </w:pPr>
    </w:p>
    <w:p w14:paraId="61169A25" w14:textId="64B42567" w:rsidR="00452401" w:rsidRPr="00452401" w:rsidRDefault="00452401" w:rsidP="00452401">
      <w:pPr>
        <w:pStyle w:val="KOT5"/>
        <w:spacing w:after="0"/>
        <w:ind w:right="0"/>
        <w:outlineLvl w:val="2"/>
        <w:rPr>
          <w:rFonts w:cs="Guttman Aharoni"/>
          <w:color w:val="00B0F0"/>
        </w:rPr>
      </w:pPr>
      <w:r w:rsidRPr="00452401">
        <w:rPr>
          <w:rFonts w:cs="Guttman Aharoni"/>
          <w:color w:val="00B0F0"/>
          <w:rtl/>
        </w:rPr>
        <w:t xml:space="preserve">דפוסי פריון ומעבר דמוגרפי בחברה הבדואית בראייה היסטורית </w:t>
      </w:r>
    </w:p>
    <w:p w14:paraId="3B246C43" w14:textId="4BA06FE6" w:rsidR="00452401" w:rsidRPr="004B3169" w:rsidRDefault="00452401" w:rsidP="004B3169">
      <w:pPr>
        <w:spacing w:after="180" w:line="260" w:lineRule="exact"/>
        <w:jc w:val="both"/>
        <w:rPr>
          <w:spacing w:val="-2"/>
          <w:sz w:val="18"/>
          <w:szCs w:val="20"/>
        </w:rPr>
      </w:pPr>
      <w:r w:rsidRPr="00DB508D">
        <w:rPr>
          <w:sz w:val="18"/>
          <w:szCs w:val="20"/>
          <w:rtl/>
        </w:rPr>
        <w:t>החברה הבדואית המסורתית נהגה פריון טבעי, ללא כל ניסיון למנוע ילודה (</w:t>
      </w:r>
      <w:proofErr w:type="spellStart"/>
      <w:r w:rsidRPr="00DB508D">
        <w:rPr>
          <w:sz w:val="18"/>
          <w:szCs w:val="20"/>
        </w:rPr>
        <w:t>Muhsam</w:t>
      </w:r>
      <w:proofErr w:type="spellEnd"/>
      <w:r w:rsidRPr="00DB508D">
        <w:rPr>
          <w:sz w:val="18"/>
          <w:szCs w:val="20"/>
        </w:rPr>
        <w:t>, 1951</w:t>
      </w:r>
      <w:r w:rsidRPr="00DB508D">
        <w:rPr>
          <w:sz w:val="18"/>
          <w:szCs w:val="20"/>
          <w:rtl/>
        </w:rPr>
        <w:t>). באמצע שנות ה-50, כאשר היו הבדואים תחת ממשל צבאי ובתחילתו של תהליך התיישבות מואץ, שיעורי הילודה הגולמיים עמדו על 35–40 לאלף.</w:t>
      </w:r>
      <w:r w:rsidRPr="00DB508D">
        <w:rPr>
          <w:sz w:val="18"/>
          <w:szCs w:val="20"/>
          <w:vertAlign w:val="superscript"/>
          <w:rtl/>
        </w:rPr>
        <w:footnoteReference w:id="17"/>
      </w:r>
      <w:r w:rsidRPr="00DB508D">
        <w:rPr>
          <w:sz w:val="18"/>
          <w:szCs w:val="20"/>
          <w:rtl/>
        </w:rPr>
        <w:t xml:space="preserve"> הם התחילו לעלות בקצב מהיר עד לרמה של 62 ל-1,000 בראשית שנות ה-70, אז הואץ יישוב הבדואים בעיירות המתוכננות. מראשית שנות ה-70 עד לראשית שנות ה-80 הם ירדו במעט ועמדו על 48–50 ל-1,000. החל משנת 1983 שיעורי הילודה התחילו שוב לעלות בקצב מהיר, עד ליותר מ-60 ל-1,000 בסוף שנות ה-90 (מאיר ובן-דוד, 1989, 1994; </w:t>
      </w:r>
      <w:r w:rsidRPr="00DB508D">
        <w:rPr>
          <w:sz w:val="18"/>
          <w:szCs w:val="20"/>
        </w:rPr>
        <w:t>Meir, 1997, pp. 107–110</w:t>
      </w:r>
      <w:r w:rsidRPr="00DB508D">
        <w:rPr>
          <w:rFonts w:hint="cs"/>
          <w:sz w:val="18"/>
          <w:szCs w:val="20"/>
          <w:rtl/>
        </w:rPr>
        <w:t>)</w:t>
      </w:r>
      <w:r w:rsidR="00464B0E">
        <w:rPr>
          <w:rFonts w:hint="cs"/>
          <w:sz w:val="18"/>
          <w:szCs w:val="20"/>
          <w:rtl/>
        </w:rPr>
        <w:t>.</w:t>
      </w:r>
      <w:r w:rsidRPr="00DB508D">
        <w:rPr>
          <w:sz w:val="18"/>
          <w:szCs w:val="20"/>
          <w:rtl/>
        </w:rPr>
        <w:t xml:space="preserve"> המעבר הדמוגרפי </w:t>
      </w:r>
      <w:r w:rsidRPr="004B3169">
        <w:rPr>
          <w:spacing w:val="-2"/>
          <w:sz w:val="18"/>
          <w:szCs w:val="20"/>
          <w:rtl/>
        </w:rPr>
        <w:t>האמיתי בחברה הבדואית התחיל בראשית שנות ה-2000, אז החלו שיעורי הילודה לרדת בקצב מהיר</w:t>
      </w:r>
      <w:r w:rsidR="00464B0E" w:rsidRPr="004B3169">
        <w:rPr>
          <w:rFonts w:hint="cs"/>
          <w:spacing w:val="-2"/>
          <w:sz w:val="18"/>
          <w:szCs w:val="20"/>
          <w:rtl/>
        </w:rPr>
        <w:t>,</w:t>
      </w:r>
      <w:r w:rsidRPr="004B3169">
        <w:rPr>
          <w:spacing w:val="-2"/>
          <w:sz w:val="18"/>
          <w:szCs w:val="20"/>
          <w:rtl/>
        </w:rPr>
        <w:t xml:space="preserve"> והגיעו לרמה של 38.5 ל-1,000 בשנת 2018 (הלשכה המרכזית לסטטיסטיקה, 2019).</w:t>
      </w:r>
    </w:p>
    <w:p w14:paraId="7F5A129D" w14:textId="5E129F99" w:rsidR="00452401" w:rsidRPr="00DB508D" w:rsidRDefault="00452401" w:rsidP="004B3169">
      <w:pPr>
        <w:spacing w:after="180" w:line="260" w:lineRule="exact"/>
        <w:jc w:val="both"/>
        <w:rPr>
          <w:sz w:val="18"/>
          <w:szCs w:val="20"/>
          <w:rtl/>
        </w:rPr>
      </w:pPr>
      <w:r w:rsidRPr="00DB508D">
        <w:rPr>
          <w:sz w:val="18"/>
          <w:szCs w:val="20"/>
          <w:rtl/>
        </w:rPr>
        <w:t xml:space="preserve">העלייה בשיעורי הילודה בחברה הבדואית מאמצע שנות ה-50 עד לראשית שנות ה-70 שיקפה את התגובה הדמוגרפית של הבדואים לתהליך ההתיישבות, לתחילת השתלבותם בשוק העבודה הישראלי, ולאירועים כלכליים חיצוניים. בתקופה זו אימצו הבדואים מערכת כלכלית דואלית: חקלאות מסורתית, שבה הילדים הם כוח עבודה </w:t>
      </w:r>
      <w:r w:rsidRPr="00DB508D">
        <w:rPr>
          <w:rFonts w:hint="cs"/>
          <w:sz w:val="18"/>
          <w:szCs w:val="20"/>
          <w:rtl/>
        </w:rPr>
        <w:t>חשוב</w:t>
      </w:r>
      <w:r w:rsidRPr="00DB508D">
        <w:rPr>
          <w:sz w:val="18"/>
          <w:szCs w:val="20"/>
          <w:rtl/>
        </w:rPr>
        <w:t>, עם כלכלה מודרנית ועבודה שכירה במשק הישראלי – כדי לצמצם, ככל האפשר, את אי-הוודאות הכרוכה בהשתלבותם בכלכלת השוק. לעומת זאת, הירידה האיטית בשיעורי הילודה בראשית שנות ה-70 מעידה על צמיחה כלכלית מסוימת</w:t>
      </w:r>
      <w:r w:rsidRPr="00DB508D">
        <w:rPr>
          <w:rFonts w:hint="cs"/>
          <w:sz w:val="18"/>
          <w:szCs w:val="20"/>
          <w:rtl/>
        </w:rPr>
        <w:t xml:space="preserve"> ו</w:t>
      </w:r>
      <w:r w:rsidRPr="00DB508D">
        <w:rPr>
          <w:sz w:val="18"/>
          <w:szCs w:val="20"/>
          <w:rtl/>
        </w:rPr>
        <w:t>תחושת ביטחון בהשתלבות במערכת הכלכלית החיצונית</w:t>
      </w:r>
      <w:r w:rsidRPr="00DB508D">
        <w:rPr>
          <w:rFonts w:hint="cs"/>
          <w:sz w:val="18"/>
          <w:szCs w:val="20"/>
          <w:rtl/>
        </w:rPr>
        <w:t>,</w:t>
      </w:r>
      <w:r w:rsidRPr="00DB508D">
        <w:rPr>
          <w:sz w:val="18"/>
          <w:szCs w:val="20"/>
          <w:rtl/>
        </w:rPr>
        <w:t xml:space="preserve"> וקשורה גם לתהליך המודרניזציה החברתית שנבע מתהליך העיור המואץ. בשנת 1972 שיעור הריבוי הטבעי בחברה הבדואית הגיע לשיא של 5.8%, כלומר, האוכלוסייה הכפילה עצמה בכל 12 שנים</w:t>
      </w:r>
      <w:r w:rsidR="00464B0E">
        <w:rPr>
          <w:rFonts w:hint="cs"/>
          <w:sz w:val="18"/>
          <w:szCs w:val="20"/>
          <w:rtl/>
        </w:rPr>
        <w:t xml:space="preserve"> </w:t>
      </w:r>
      <w:r w:rsidRPr="00DB508D">
        <w:rPr>
          <w:sz w:val="18"/>
          <w:szCs w:val="20"/>
          <w:rtl/>
        </w:rPr>
        <w:t>(</w:t>
      </w:r>
      <w:r w:rsidRPr="00DB508D">
        <w:rPr>
          <w:sz w:val="18"/>
          <w:szCs w:val="20"/>
        </w:rPr>
        <w:t>Meir, 1984, 1986, 1997; Meir &amp; Ben-David, 1991, 1992</w:t>
      </w:r>
      <w:r w:rsidRPr="00DB508D">
        <w:rPr>
          <w:sz w:val="18"/>
          <w:szCs w:val="20"/>
          <w:rtl/>
        </w:rPr>
        <w:t>)</w:t>
      </w:r>
      <w:r w:rsidRPr="00DB508D">
        <w:rPr>
          <w:rFonts w:hint="cs"/>
          <w:sz w:val="18"/>
          <w:szCs w:val="20"/>
          <w:rtl/>
        </w:rPr>
        <w:t>.</w:t>
      </w:r>
    </w:p>
    <w:p w14:paraId="3D890DCB" w14:textId="0B81925E" w:rsidR="00452401" w:rsidRPr="00DB508D" w:rsidRDefault="00452401" w:rsidP="004B3169">
      <w:pPr>
        <w:spacing w:after="180" w:line="260" w:lineRule="exact"/>
        <w:jc w:val="both"/>
        <w:rPr>
          <w:sz w:val="18"/>
          <w:szCs w:val="20"/>
        </w:rPr>
      </w:pPr>
      <w:r w:rsidRPr="00DB508D">
        <w:rPr>
          <w:sz w:val="18"/>
          <w:szCs w:val="20"/>
          <w:rtl/>
        </w:rPr>
        <w:lastRenderedPageBreak/>
        <w:t>כדי להמחיש את שינויי הפריון בחברה הבדואית בנגב בראשית המאה ה-21, נציג את הנתונים על אודות הפריון הכולל (</w:t>
      </w:r>
      <w:r w:rsidRPr="00DB508D">
        <w:rPr>
          <w:sz w:val="18"/>
          <w:szCs w:val="20"/>
        </w:rPr>
        <w:t>TF</w:t>
      </w:r>
      <w:r w:rsidRPr="00DB508D">
        <w:rPr>
          <w:sz w:val="18"/>
          <w:szCs w:val="20"/>
          <w:rtl/>
        </w:rPr>
        <w:t xml:space="preserve">) שפרסמה הלשכה המרכזית לסטטיסטיקה החל משנת 1996. </w:t>
      </w:r>
      <w:r w:rsidR="00464B0E">
        <w:rPr>
          <w:rFonts w:hint="cs"/>
          <w:sz w:val="18"/>
          <w:szCs w:val="20"/>
          <w:rtl/>
        </w:rPr>
        <w:t>תרשים</w:t>
      </w:r>
      <w:r w:rsidR="00464B0E" w:rsidRPr="00DB508D">
        <w:rPr>
          <w:sz w:val="18"/>
          <w:szCs w:val="20"/>
          <w:rtl/>
        </w:rPr>
        <w:t xml:space="preserve"> </w:t>
      </w:r>
      <w:r w:rsidRPr="00DB508D">
        <w:rPr>
          <w:sz w:val="18"/>
          <w:szCs w:val="20"/>
          <w:rtl/>
        </w:rPr>
        <w:t>1 מציג את הפריון הכולל בקבוצות אוכלוסייה שונות בחברה הישראלית בשנים 1996–2018. בשנת 1998 (וגם בשנת 1996) עמד הפריון הכולל בחברה הבדואית בנגב על 10.06 ילדים, פי 2.5 מזה של המוסלמים במחוז הצפון, ויותר מפי 3 מהממוצע הארצי. רמת הפריון הגבוהה נותרה בעינה עד לראשית שנות ה-2000, ועמדה על יותר מ-9 ילדים לאישה. מאז שנת 2003 הפריון התחיל לרדת בעקביות ובקצב מהיר עד לרמה של 5.5 ילדים לאישה בתחילת העשור השני. אולם בעשור זה היא התייצבה, וב-2018 נותרה גבוהה בכ-2.8 ילדים מרמת הפריון בחברה המוסלמית בצפון (5.4 לעומת 2.6, בהתאמה)</w:t>
      </w:r>
      <w:r w:rsidRPr="00DB508D">
        <w:rPr>
          <w:rFonts w:hint="cs"/>
          <w:sz w:val="18"/>
          <w:szCs w:val="20"/>
          <w:rtl/>
        </w:rPr>
        <w:t>.</w:t>
      </w:r>
      <w:r w:rsidRPr="00DB508D">
        <w:rPr>
          <w:sz w:val="18"/>
          <w:szCs w:val="20"/>
          <w:rtl/>
        </w:rPr>
        <w:t xml:space="preserve"> </w:t>
      </w:r>
    </w:p>
    <w:p w14:paraId="7DAE2F40" w14:textId="3B04EA41" w:rsidR="00156EEE" w:rsidRDefault="00464B0E" w:rsidP="00156EEE">
      <w:pPr>
        <w:pStyle w:val="tab-name"/>
        <w:spacing w:before="300" w:line="260" w:lineRule="exact"/>
        <w:ind w:right="0"/>
        <w:rPr>
          <w:rFonts w:cs="Guttman Aharoni"/>
          <w:color w:val="auto"/>
          <w:sz w:val="20"/>
          <w:szCs w:val="20"/>
          <w:rtl/>
        </w:rPr>
      </w:pPr>
      <w:r>
        <w:rPr>
          <w:rFonts w:cs="Guttman Aharoni" w:hint="cs"/>
          <w:color w:val="auto"/>
          <w:sz w:val="20"/>
          <w:szCs w:val="20"/>
          <w:rtl/>
        </w:rPr>
        <w:t>תרשים</w:t>
      </w:r>
      <w:r w:rsidRPr="00156EEE">
        <w:rPr>
          <w:rFonts w:cs="Guttman Aharoni"/>
          <w:color w:val="auto"/>
          <w:sz w:val="20"/>
          <w:szCs w:val="20"/>
          <w:rtl/>
        </w:rPr>
        <w:t xml:space="preserve"> </w:t>
      </w:r>
      <w:r w:rsidR="00156EEE" w:rsidRPr="00156EEE">
        <w:rPr>
          <w:rFonts w:cs="Guttman Aharoni"/>
          <w:color w:val="auto"/>
          <w:sz w:val="20"/>
          <w:szCs w:val="20"/>
          <w:rtl/>
        </w:rPr>
        <w:t>1: הפריון הכולל לפי קבוצת אוכלוסייה, 1996–2018</w:t>
      </w:r>
    </w:p>
    <w:p w14:paraId="6F515527" w14:textId="5F3B758B" w:rsidR="008C53A7" w:rsidRDefault="00AF7CA3" w:rsidP="008C53A7">
      <w:pPr>
        <w:spacing w:after="120" w:line="240" w:lineRule="atLeast"/>
        <w:jc w:val="center"/>
        <w:rPr>
          <w:rFonts w:ascii="Tahoma" w:hAnsi="Tahoma" w:cs="Tahoma"/>
          <w:rtl/>
        </w:rPr>
      </w:pPr>
      <w:r>
        <w:rPr>
          <w:rFonts w:ascii="Tahoma" w:hAnsi="Tahoma" w:cs="Tahoma"/>
          <w:noProof/>
          <w:rtl/>
        </w:rPr>
        <w:drawing>
          <wp:inline distT="0" distB="0" distL="0" distR="0" wp14:anchorId="07194392" wp14:editId="31559369">
            <wp:extent cx="4103370" cy="226377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03370" cy="2263775"/>
                    </a:xfrm>
                    <a:prstGeom prst="rect">
                      <a:avLst/>
                    </a:prstGeom>
                  </pic:spPr>
                </pic:pic>
              </a:graphicData>
            </a:graphic>
          </wp:inline>
        </w:drawing>
      </w:r>
    </w:p>
    <w:p w14:paraId="2245419C" w14:textId="469B818D" w:rsidR="008C53A7" w:rsidRPr="008C53A7" w:rsidRDefault="008C53A7" w:rsidP="0080576F">
      <w:pPr>
        <w:spacing w:before="120" w:after="240" w:line="200" w:lineRule="exact"/>
        <w:jc w:val="both"/>
        <w:rPr>
          <w:sz w:val="16"/>
          <w:szCs w:val="18"/>
        </w:rPr>
      </w:pPr>
      <w:r w:rsidRPr="008C53A7">
        <w:rPr>
          <w:sz w:val="16"/>
          <w:szCs w:val="18"/>
          <w:rtl/>
        </w:rPr>
        <w:t>מקור: הלשכה המרכזית לסטטיסטיקה, שנתון סטטיסטי לישראל, שנים</w:t>
      </w:r>
      <w:r w:rsidR="0080576F">
        <w:rPr>
          <w:rFonts w:hint="cs"/>
          <w:sz w:val="16"/>
          <w:szCs w:val="18"/>
          <w:rtl/>
        </w:rPr>
        <w:t xml:space="preserve"> 1997</w:t>
      </w:r>
      <w:r w:rsidR="0080576F" w:rsidRPr="0080576F">
        <w:rPr>
          <w:rFonts w:ascii="David" w:hAnsi="David"/>
          <w:sz w:val="16"/>
          <w:szCs w:val="18"/>
          <w:rtl/>
        </w:rPr>
        <w:t>–</w:t>
      </w:r>
      <w:r w:rsidR="0080576F">
        <w:rPr>
          <w:rFonts w:ascii="David" w:hAnsi="David" w:hint="cs"/>
          <w:sz w:val="16"/>
          <w:szCs w:val="18"/>
          <w:rtl/>
        </w:rPr>
        <w:t>2019</w:t>
      </w:r>
    </w:p>
    <w:p w14:paraId="53B089BA" w14:textId="29719E3D" w:rsidR="00452401" w:rsidRDefault="00452401" w:rsidP="0080576F">
      <w:pPr>
        <w:spacing w:after="180" w:line="280" w:lineRule="exact"/>
        <w:jc w:val="both"/>
        <w:rPr>
          <w:sz w:val="18"/>
          <w:szCs w:val="20"/>
          <w:rtl/>
        </w:rPr>
      </w:pPr>
      <w:r w:rsidRPr="00DB508D">
        <w:rPr>
          <w:sz w:val="18"/>
          <w:szCs w:val="20"/>
          <w:rtl/>
        </w:rPr>
        <w:t xml:space="preserve">מה גרם </w:t>
      </w:r>
      <w:r w:rsidR="0080576F" w:rsidRPr="00DB508D">
        <w:rPr>
          <w:sz w:val="18"/>
          <w:szCs w:val="20"/>
          <w:rtl/>
        </w:rPr>
        <w:t xml:space="preserve">אפוא </w:t>
      </w:r>
      <w:r w:rsidRPr="00DB508D">
        <w:rPr>
          <w:sz w:val="18"/>
          <w:szCs w:val="20"/>
          <w:rtl/>
        </w:rPr>
        <w:t xml:space="preserve">לירידה </w:t>
      </w:r>
      <w:r w:rsidR="0080576F">
        <w:rPr>
          <w:rFonts w:hint="cs"/>
          <w:sz w:val="18"/>
          <w:szCs w:val="20"/>
          <w:rtl/>
        </w:rPr>
        <w:t xml:space="preserve">ניכרת </w:t>
      </w:r>
      <w:r w:rsidRPr="00DB508D">
        <w:rPr>
          <w:sz w:val="18"/>
          <w:szCs w:val="20"/>
          <w:rtl/>
        </w:rPr>
        <w:t xml:space="preserve">כל כך בשיעורי הפריון בחברה הבדואית ב-20 השנים האחרונות, ומה עצר אותה? במה הנשים הצעירות שונות מהנשים בדורות הקודמים, ועד כמה ההבדלים הללו מסבירים את התמורות בילודה? לאור הדיון מעלה אנו משערים שהמניע העיקרי הוא השיפור היחסי במעמד האישה, שיפור הנובע מהעלייה ברמת ההשכלה, מהשתלבותן של נשים בדואיות בשוק העבודה, מחשיפה לתהליכי גלובליזציה ולמדיה ותקשורת מכל העולם, ומאימוץ של אורחות חיים חדשים. מנגד, תהליכים אלה קשורים בעלייה גם ברמת ההכנסה וברמת החיים, וזו עשויה גם לעודד את הילודה. </w:t>
      </w:r>
    </w:p>
    <w:p w14:paraId="06D0425C" w14:textId="0239AE4E" w:rsidR="00AF7CA3" w:rsidRDefault="00AF7CA3" w:rsidP="0080576F">
      <w:pPr>
        <w:spacing w:after="180" w:line="280" w:lineRule="exact"/>
        <w:jc w:val="both"/>
        <w:rPr>
          <w:sz w:val="18"/>
          <w:szCs w:val="20"/>
          <w:rtl/>
        </w:rPr>
      </w:pPr>
    </w:p>
    <w:p w14:paraId="79E08DD2" w14:textId="77777777" w:rsidR="004B3169" w:rsidRPr="00DB508D" w:rsidRDefault="004B3169" w:rsidP="0080576F">
      <w:pPr>
        <w:spacing w:after="180" w:line="280" w:lineRule="exact"/>
        <w:jc w:val="both"/>
        <w:rPr>
          <w:sz w:val="18"/>
          <w:szCs w:val="20"/>
        </w:rPr>
      </w:pPr>
    </w:p>
    <w:p w14:paraId="47940301" w14:textId="1373214A" w:rsidR="00452401" w:rsidRPr="00452401" w:rsidRDefault="00452401" w:rsidP="00452401">
      <w:pPr>
        <w:pStyle w:val="KOT4"/>
        <w:spacing w:after="0"/>
        <w:ind w:left="397" w:right="0" w:hanging="397"/>
        <w:rPr>
          <w:rFonts w:cs="Guttman Aharoni"/>
          <w:color w:val="00B0F0"/>
          <w:sz w:val="32"/>
          <w:szCs w:val="32"/>
          <w:rtl/>
        </w:rPr>
      </w:pPr>
      <w:r w:rsidRPr="00452401">
        <w:rPr>
          <w:rFonts w:cs="Guttman Aharoni"/>
          <w:color w:val="00B0F0"/>
          <w:sz w:val="32"/>
          <w:szCs w:val="32"/>
          <w:rtl/>
        </w:rPr>
        <w:lastRenderedPageBreak/>
        <w:t xml:space="preserve">4. </w:t>
      </w:r>
      <w:bookmarkStart w:id="8" w:name="_Hlk78298717"/>
      <w:r w:rsidRPr="00452401">
        <w:rPr>
          <w:rFonts w:cs="Guttman Aharoni"/>
          <w:color w:val="00B0F0"/>
          <w:sz w:val="32"/>
          <w:szCs w:val="32"/>
        </w:rPr>
        <w:tab/>
      </w:r>
      <w:r w:rsidRPr="00452401">
        <w:rPr>
          <w:rFonts w:cs="Guttman Aharoni"/>
          <w:color w:val="00B0F0"/>
          <w:sz w:val="32"/>
          <w:szCs w:val="32"/>
          <w:rtl/>
        </w:rPr>
        <w:t>שיטת המחקר</w:t>
      </w:r>
      <w:bookmarkEnd w:id="8"/>
    </w:p>
    <w:p w14:paraId="6B3693D9" w14:textId="77777777" w:rsidR="008C53A7" w:rsidRPr="008C53A7" w:rsidRDefault="008C53A7" w:rsidP="008C53A7">
      <w:pPr>
        <w:spacing w:after="180" w:line="280" w:lineRule="exact"/>
        <w:jc w:val="both"/>
        <w:rPr>
          <w:sz w:val="18"/>
          <w:szCs w:val="20"/>
          <w:rtl/>
        </w:rPr>
      </w:pPr>
    </w:p>
    <w:p w14:paraId="1444181B" w14:textId="13277169" w:rsidR="00452401" w:rsidRPr="00452401" w:rsidRDefault="00452401" w:rsidP="00452401">
      <w:pPr>
        <w:pStyle w:val="KOT5"/>
        <w:spacing w:after="0"/>
        <w:ind w:right="0"/>
        <w:outlineLvl w:val="2"/>
        <w:rPr>
          <w:rFonts w:cs="Guttman Aharoni"/>
          <w:color w:val="00B0F0"/>
        </w:rPr>
      </w:pPr>
      <w:r w:rsidRPr="00452401">
        <w:rPr>
          <w:rFonts w:cs="Guttman Aharoni"/>
          <w:color w:val="00B0F0"/>
          <w:rtl/>
        </w:rPr>
        <w:t xml:space="preserve">איסוף הנתונים </w:t>
      </w:r>
    </w:p>
    <w:p w14:paraId="135D7603" w14:textId="159DEA30" w:rsidR="00452401" w:rsidRPr="008C53A7" w:rsidRDefault="00452401" w:rsidP="0080576F">
      <w:pPr>
        <w:spacing w:after="180" w:line="280" w:lineRule="exact"/>
        <w:jc w:val="both"/>
        <w:rPr>
          <w:spacing w:val="-2"/>
          <w:sz w:val="18"/>
          <w:szCs w:val="20"/>
        </w:rPr>
      </w:pPr>
      <w:r w:rsidRPr="008C53A7">
        <w:rPr>
          <w:spacing w:val="-2"/>
          <w:sz w:val="18"/>
          <w:szCs w:val="20"/>
          <w:rtl/>
        </w:rPr>
        <w:t>המחקר התבסס על נתונים מהסקר החברתי-כלכלי של האוכלוסייה הערבית בישראל שערכה אגודת הגליל בשנת 2007. הסקר הסתמך על שאלונים מובנים שמולאו על ידי סוקרים בבית המרואיינים, בקרב מדגם כלל-ארצי שנבחר באופן אקראי. שאלון המחקר כלל שישה פרקים בנושאים שונים: נתונים דמוגרפיים, חברתיים וכלכליים; משפחה; תנאי מגורים; תרבות ופנאי; רמת חיים; ביטחון אישי</w:t>
      </w:r>
      <w:r w:rsidRPr="008C53A7">
        <w:rPr>
          <w:rFonts w:hint="cs"/>
          <w:spacing w:val="-2"/>
          <w:sz w:val="18"/>
          <w:szCs w:val="20"/>
          <w:rtl/>
        </w:rPr>
        <w:t xml:space="preserve"> (</w:t>
      </w:r>
      <w:r w:rsidRPr="008C53A7">
        <w:rPr>
          <w:spacing w:val="-2"/>
          <w:sz w:val="18"/>
          <w:szCs w:val="20"/>
        </w:rPr>
        <w:t>Sheikh-Muhammad, 2008</w:t>
      </w:r>
      <w:r w:rsidRPr="008C53A7">
        <w:rPr>
          <w:spacing w:val="-2"/>
          <w:sz w:val="18"/>
          <w:szCs w:val="20"/>
          <w:rtl/>
        </w:rPr>
        <w:t>). המחקר שלנו התמקד ב-722 נשים מ-15 יישובים בדואיים בדרום, מהם שבעה יישובים מוכרים ושמונה כפרים בלתי מוכרים, שהם מדגם מייצג של כלל האוכלוסייה הבדואית בנגב. ל-217 מ</w:t>
      </w:r>
      <w:r w:rsidR="0080576F">
        <w:rPr>
          <w:rFonts w:hint="cs"/>
          <w:spacing w:val="-2"/>
          <w:sz w:val="18"/>
          <w:szCs w:val="20"/>
          <w:rtl/>
        </w:rPr>
        <w:t xml:space="preserve">הנשים </w:t>
      </w:r>
      <w:r w:rsidRPr="008C53A7">
        <w:rPr>
          <w:spacing w:val="-2"/>
          <w:sz w:val="18"/>
          <w:szCs w:val="20"/>
          <w:rtl/>
        </w:rPr>
        <w:t xml:space="preserve">נרשם מספר לידות לא ידוע. כולן רווקות, ארוסות (מנהג שעדיין רווח באוכלוסייה זו) או נשים נשואות מעל גיל 55. מאחר </w:t>
      </w:r>
      <w:r w:rsidRPr="008C53A7">
        <w:rPr>
          <w:rFonts w:hint="cs"/>
          <w:spacing w:val="-2"/>
          <w:sz w:val="18"/>
          <w:szCs w:val="20"/>
          <w:rtl/>
        </w:rPr>
        <w:t>ש</w:t>
      </w:r>
      <w:r w:rsidRPr="008C53A7">
        <w:rPr>
          <w:spacing w:val="-2"/>
          <w:sz w:val="18"/>
          <w:szCs w:val="20"/>
          <w:rtl/>
        </w:rPr>
        <w:t xml:space="preserve">עלה חשש שהנשים המבוגרות שמספר הלידות שלהן אינו ידוע אינן מהוות דגימה אקראית, החלטנו לוותר על כל קבוצת הגיל הזאת ונותרנו עם 491 נשים בגילים 18–52, כולן נשואות בעת הסקר (472) או בעבר (גרושות, אלמנות ופרודות). </w:t>
      </w:r>
    </w:p>
    <w:p w14:paraId="03851F65" w14:textId="77777777" w:rsidR="00452401" w:rsidRPr="00DB508D" w:rsidRDefault="00452401" w:rsidP="00DB508D">
      <w:pPr>
        <w:spacing w:after="180" w:line="280" w:lineRule="exact"/>
        <w:jc w:val="both"/>
        <w:rPr>
          <w:b/>
          <w:sz w:val="18"/>
          <w:szCs w:val="20"/>
        </w:rPr>
      </w:pPr>
    </w:p>
    <w:p w14:paraId="2512120D" w14:textId="569E5D7D" w:rsidR="00452401" w:rsidRPr="00452401" w:rsidRDefault="00452401" w:rsidP="00452401">
      <w:pPr>
        <w:pStyle w:val="KOT5"/>
        <w:spacing w:after="0"/>
        <w:ind w:right="0"/>
        <w:outlineLvl w:val="2"/>
        <w:rPr>
          <w:rFonts w:cs="Guttman Aharoni"/>
          <w:color w:val="00B0F0"/>
        </w:rPr>
      </w:pPr>
      <w:r w:rsidRPr="00452401">
        <w:rPr>
          <w:rFonts w:cs="Guttman Aharoni"/>
          <w:color w:val="00B0F0"/>
          <w:rtl/>
        </w:rPr>
        <w:t xml:space="preserve">המשתנה התלוי והמשתנים הבלתי תלויים </w:t>
      </w:r>
    </w:p>
    <w:p w14:paraId="414B4494" w14:textId="5FD7DD77" w:rsidR="00452401" w:rsidRPr="00452401" w:rsidRDefault="00452401" w:rsidP="00C27260">
      <w:pPr>
        <w:keepNext/>
        <w:keepLines/>
        <w:spacing w:before="360" w:line="280" w:lineRule="exact"/>
        <w:jc w:val="both"/>
        <w:outlineLvl w:val="3"/>
        <w:rPr>
          <w:b/>
          <w:bCs/>
          <w:color w:val="00B0F0"/>
          <w:sz w:val="20"/>
          <w:szCs w:val="22"/>
          <w:rtl/>
        </w:rPr>
      </w:pPr>
      <w:r w:rsidRPr="00452401">
        <w:rPr>
          <w:rFonts w:hint="cs"/>
          <w:b/>
          <w:bCs/>
          <w:color w:val="00B0F0"/>
          <w:sz w:val="20"/>
          <w:szCs w:val="22"/>
          <w:rtl/>
        </w:rPr>
        <w:t>המשתנה התלוי</w:t>
      </w:r>
    </w:p>
    <w:p w14:paraId="7F92C305" w14:textId="71D265A7" w:rsidR="00452401" w:rsidRPr="008C53A7" w:rsidRDefault="00452401" w:rsidP="00CC0B1D">
      <w:pPr>
        <w:spacing w:after="180" w:line="280" w:lineRule="exact"/>
        <w:jc w:val="both"/>
        <w:rPr>
          <w:spacing w:val="-2"/>
          <w:sz w:val="18"/>
          <w:szCs w:val="20"/>
        </w:rPr>
      </w:pPr>
      <w:r w:rsidRPr="008C53A7">
        <w:rPr>
          <w:rFonts w:hint="cs"/>
          <w:spacing w:val="-2"/>
          <w:sz w:val="18"/>
          <w:szCs w:val="20"/>
          <w:rtl/>
        </w:rPr>
        <w:t xml:space="preserve">המשתנה התלוי הוא מספר הלידות (לידות-חי; </w:t>
      </w:r>
      <w:r w:rsidRPr="008C53A7">
        <w:rPr>
          <w:spacing w:val="-2"/>
          <w:sz w:val="18"/>
          <w:szCs w:val="20"/>
        </w:rPr>
        <w:t>ch</w:t>
      </w:r>
      <w:r w:rsidRPr="008C53A7">
        <w:rPr>
          <w:spacing w:val="-2"/>
          <w:sz w:val="18"/>
          <w:szCs w:val="20"/>
          <w:lang w:bidi="ar-DZ"/>
        </w:rPr>
        <w:t>ildren ever born</w:t>
      </w:r>
      <w:r w:rsidR="00CC0B1D">
        <w:rPr>
          <w:rFonts w:hint="cs"/>
          <w:spacing w:val="-2"/>
          <w:sz w:val="18"/>
          <w:szCs w:val="20"/>
          <w:rtl/>
        </w:rPr>
        <w:t>)</w:t>
      </w:r>
      <w:r w:rsidRPr="008C53A7">
        <w:rPr>
          <w:rFonts w:hint="cs"/>
          <w:spacing w:val="-2"/>
          <w:sz w:val="18"/>
          <w:szCs w:val="20"/>
          <w:rtl/>
        </w:rPr>
        <w:t xml:space="preserve">, והוא </w:t>
      </w:r>
      <w:r w:rsidRPr="008C53A7">
        <w:rPr>
          <w:spacing w:val="-2"/>
          <w:sz w:val="18"/>
          <w:szCs w:val="20"/>
          <w:rtl/>
        </w:rPr>
        <w:t xml:space="preserve">נע מ-0 </w:t>
      </w:r>
      <w:r w:rsidR="00CC0B1D">
        <w:rPr>
          <w:rFonts w:hint="cs"/>
          <w:spacing w:val="-2"/>
          <w:sz w:val="18"/>
          <w:szCs w:val="20"/>
          <w:rtl/>
        </w:rPr>
        <w:t>ל-</w:t>
      </w:r>
      <w:r w:rsidRPr="008C53A7">
        <w:rPr>
          <w:spacing w:val="-2"/>
          <w:sz w:val="18"/>
          <w:szCs w:val="20"/>
          <w:rtl/>
        </w:rPr>
        <w:t xml:space="preserve">15 בהתפלגות אסימטרית חיובית, והחציון עמד על 4 ילדים. אנו נבחן את מספר הלידות כפונקציה של ארבע קבוצות גורמים עיקריות, הקשורות קשר הדוק לתהליך המודרניזציה הייחודי שעבר על החברה הבדואית במחצית השנייה של המאה ה-20 ובראשית המאה ה-21. </w:t>
      </w:r>
    </w:p>
    <w:p w14:paraId="3C508E2D" w14:textId="77777777" w:rsidR="00452401" w:rsidRPr="00DB508D" w:rsidRDefault="00452401" w:rsidP="00DB508D">
      <w:pPr>
        <w:spacing w:after="180" w:line="280" w:lineRule="exact"/>
        <w:jc w:val="both"/>
        <w:rPr>
          <w:sz w:val="18"/>
          <w:szCs w:val="20"/>
        </w:rPr>
      </w:pPr>
    </w:p>
    <w:p w14:paraId="796B3BD2" w14:textId="7757FF69" w:rsidR="00452401" w:rsidRPr="00452401" w:rsidRDefault="00452401" w:rsidP="00452401">
      <w:pPr>
        <w:keepNext/>
        <w:keepLines/>
        <w:spacing w:line="280" w:lineRule="exact"/>
        <w:jc w:val="both"/>
        <w:outlineLvl w:val="3"/>
        <w:rPr>
          <w:b/>
          <w:bCs/>
          <w:color w:val="00B0F0"/>
          <w:sz w:val="20"/>
          <w:szCs w:val="22"/>
          <w:rtl/>
        </w:rPr>
      </w:pPr>
      <w:r w:rsidRPr="00452401">
        <w:rPr>
          <w:b/>
          <w:bCs/>
          <w:color w:val="00B0F0"/>
          <w:sz w:val="20"/>
          <w:szCs w:val="22"/>
          <w:rtl/>
        </w:rPr>
        <w:t>המשתנים הבלתי תלויים</w:t>
      </w:r>
    </w:p>
    <w:p w14:paraId="21E2E193" w14:textId="5FFB8BCF" w:rsidR="00452401" w:rsidRPr="00DB508D" w:rsidRDefault="00452401" w:rsidP="00AF7CA3">
      <w:pPr>
        <w:spacing w:line="280" w:lineRule="exact"/>
        <w:ind w:left="397" w:hanging="397"/>
        <w:jc w:val="both"/>
        <w:rPr>
          <w:sz w:val="18"/>
          <w:szCs w:val="20"/>
        </w:rPr>
      </w:pPr>
      <w:r w:rsidRPr="00DB508D">
        <w:rPr>
          <w:sz w:val="18"/>
          <w:szCs w:val="20"/>
          <w:rtl/>
        </w:rPr>
        <w:t xml:space="preserve">1. </w:t>
      </w:r>
      <w:r w:rsidRPr="00DB508D">
        <w:rPr>
          <w:sz w:val="18"/>
          <w:szCs w:val="20"/>
          <w:rtl/>
        </w:rPr>
        <w:tab/>
        <w:t xml:space="preserve">משתני </w:t>
      </w:r>
      <w:r w:rsidRPr="00DB508D">
        <w:rPr>
          <w:rFonts w:hint="cs"/>
          <w:sz w:val="18"/>
          <w:szCs w:val="20"/>
          <w:rtl/>
        </w:rPr>
        <w:t>ה</w:t>
      </w:r>
      <w:r w:rsidRPr="00DB508D">
        <w:rPr>
          <w:sz w:val="18"/>
          <w:szCs w:val="20"/>
          <w:rtl/>
        </w:rPr>
        <w:t>רקע: גיל, הגיל בנישואים הראשונים, הגיל בלידה הראשונה, מצב הנישואים כיום;</w:t>
      </w:r>
    </w:p>
    <w:p w14:paraId="17F488AA" w14:textId="77777777" w:rsidR="00452401" w:rsidRPr="00DB508D" w:rsidRDefault="00452401" w:rsidP="00AF7CA3">
      <w:pPr>
        <w:spacing w:line="280" w:lineRule="exact"/>
        <w:ind w:left="397" w:hanging="397"/>
        <w:jc w:val="both"/>
        <w:rPr>
          <w:sz w:val="18"/>
          <w:szCs w:val="20"/>
        </w:rPr>
      </w:pPr>
      <w:r w:rsidRPr="00DB508D">
        <w:rPr>
          <w:sz w:val="18"/>
          <w:szCs w:val="20"/>
          <w:rtl/>
        </w:rPr>
        <w:t xml:space="preserve">2. </w:t>
      </w:r>
      <w:r w:rsidRPr="00DB508D">
        <w:rPr>
          <w:sz w:val="18"/>
          <w:szCs w:val="20"/>
          <w:rtl/>
        </w:rPr>
        <w:tab/>
        <w:t xml:space="preserve">משתני רמת </w:t>
      </w:r>
      <w:r w:rsidRPr="00DB508D">
        <w:rPr>
          <w:rFonts w:hint="cs"/>
          <w:sz w:val="18"/>
          <w:szCs w:val="20"/>
          <w:rtl/>
        </w:rPr>
        <w:t>ה</w:t>
      </w:r>
      <w:r w:rsidRPr="00DB508D">
        <w:rPr>
          <w:sz w:val="18"/>
          <w:szCs w:val="20"/>
          <w:rtl/>
        </w:rPr>
        <w:t>חיים: השכלה, עבודה, סוג יישוב, ציוד משק הבית;</w:t>
      </w:r>
    </w:p>
    <w:p w14:paraId="1B2BA772" w14:textId="77777777" w:rsidR="00452401" w:rsidRPr="00DB508D" w:rsidRDefault="00452401" w:rsidP="00AF7CA3">
      <w:pPr>
        <w:spacing w:line="280" w:lineRule="exact"/>
        <w:ind w:left="397" w:hanging="397"/>
        <w:jc w:val="both"/>
        <w:rPr>
          <w:sz w:val="18"/>
          <w:szCs w:val="20"/>
          <w:rtl/>
        </w:rPr>
      </w:pPr>
      <w:r w:rsidRPr="00DB508D">
        <w:rPr>
          <w:sz w:val="18"/>
          <w:szCs w:val="20"/>
          <w:rtl/>
        </w:rPr>
        <w:t xml:space="preserve">3. </w:t>
      </w:r>
      <w:r w:rsidRPr="00DB508D">
        <w:rPr>
          <w:sz w:val="18"/>
          <w:szCs w:val="20"/>
          <w:rtl/>
        </w:rPr>
        <w:tab/>
        <w:t>משתני המודרניזציה/מסורתיות: ברמה האישית ובקשרי הנישואים</w:t>
      </w:r>
      <w:r w:rsidRPr="00DB508D">
        <w:rPr>
          <w:rFonts w:hint="cs"/>
          <w:sz w:val="18"/>
          <w:szCs w:val="20"/>
          <w:rtl/>
        </w:rPr>
        <w:t>;</w:t>
      </w:r>
      <w:r w:rsidRPr="00DB508D">
        <w:rPr>
          <w:sz w:val="18"/>
          <w:szCs w:val="20"/>
          <w:vertAlign w:val="superscript"/>
          <w:rtl/>
        </w:rPr>
        <w:footnoteReference w:id="18"/>
      </w:r>
      <w:r w:rsidRPr="00DB508D">
        <w:rPr>
          <w:sz w:val="18"/>
          <w:szCs w:val="20"/>
          <w:rtl/>
        </w:rPr>
        <w:t xml:space="preserve"> </w:t>
      </w:r>
    </w:p>
    <w:p w14:paraId="74C3710A" w14:textId="77777777" w:rsidR="00452401" w:rsidRPr="00DB508D" w:rsidRDefault="00452401" w:rsidP="00AF7CA3">
      <w:pPr>
        <w:spacing w:line="280" w:lineRule="exact"/>
        <w:ind w:left="397" w:hanging="397"/>
        <w:jc w:val="both"/>
        <w:rPr>
          <w:sz w:val="18"/>
          <w:szCs w:val="20"/>
        </w:rPr>
      </w:pPr>
      <w:r w:rsidRPr="00DB508D">
        <w:rPr>
          <w:sz w:val="18"/>
          <w:szCs w:val="20"/>
          <w:rtl/>
        </w:rPr>
        <w:t xml:space="preserve">4. </w:t>
      </w:r>
      <w:r w:rsidRPr="00DB508D">
        <w:rPr>
          <w:sz w:val="18"/>
          <w:szCs w:val="20"/>
          <w:rtl/>
        </w:rPr>
        <w:tab/>
        <w:t>משתנ</w:t>
      </w:r>
      <w:r w:rsidRPr="00DB508D">
        <w:rPr>
          <w:rFonts w:hint="cs"/>
          <w:sz w:val="18"/>
          <w:szCs w:val="20"/>
          <w:rtl/>
        </w:rPr>
        <w:t>ה</w:t>
      </w:r>
      <w:r w:rsidRPr="00DB508D">
        <w:rPr>
          <w:sz w:val="18"/>
          <w:szCs w:val="20"/>
          <w:rtl/>
        </w:rPr>
        <w:t xml:space="preserve"> רמת המתחים עם המדינה</w:t>
      </w:r>
      <w:r w:rsidRPr="00DB508D">
        <w:rPr>
          <w:rFonts w:hint="cs"/>
          <w:sz w:val="18"/>
          <w:szCs w:val="20"/>
          <w:rtl/>
        </w:rPr>
        <w:t>.</w:t>
      </w:r>
      <w:r w:rsidRPr="00DB508D">
        <w:rPr>
          <w:sz w:val="18"/>
          <w:szCs w:val="20"/>
          <w:rtl/>
        </w:rPr>
        <w:t xml:space="preserve"> </w:t>
      </w:r>
    </w:p>
    <w:p w14:paraId="5C82270B" w14:textId="42D0D06D" w:rsidR="00452401" w:rsidRPr="00452401" w:rsidRDefault="00452401" w:rsidP="00452401">
      <w:pPr>
        <w:pStyle w:val="KOT4"/>
        <w:spacing w:after="0"/>
        <w:ind w:left="397" w:right="0" w:hanging="397"/>
        <w:rPr>
          <w:rFonts w:cs="Guttman Aharoni"/>
          <w:color w:val="00B0F0"/>
          <w:sz w:val="32"/>
          <w:szCs w:val="32"/>
          <w:rtl/>
        </w:rPr>
      </w:pPr>
      <w:r w:rsidRPr="00452401">
        <w:rPr>
          <w:rFonts w:cs="Guttman Aharoni" w:hint="cs"/>
          <w:color w:val="00B0F0"/>
          <w:sz w:val="32"/>
          <w:szCs w:val="32"/>
          <w:rtl/>
        </w:rPr>
        <w:lastRenderedPageBreak/>
        <w:t xml:space="preserve">5. </w:t>
      </w:r>
      <w:r w:rsidRPr="00452401">
        <w:rPr>
          <w:rFonts w:cs="Guttman Aharoni"/>
          <w:color w:val="00B0F0"/>
          <w:sz w:val="32"/>
          <w:szCs w:val="32"/>
        </w:rPr>
        <w:tab/>
      </w:r>
      <w:r w:rsidRPr="00452401">
        <w:rPr>
          <w:rFonts w:cs="Guttman Aharoni" w:hint="cs"/>
          <w:color w:val="00B0F0"/>
          <w:sz w:val="32"/>
          <w:szCs w:val="32"/>
          <w:rtl/>
        </w:rPr>
        <w:t>הממצאים</w:t>
      </w:r>
    </w:p>
    <w:p w14:paraId="0820B75A" w14:textId="2158DD9D" w:rsidR="00452401" w:rsidRDefault="00452401" w:rsidP="00DB508D">
      <w:pPr>
        <w:spacing w:after="180" w:line="280" w:lineRule="exact"/>
        <w:jc w:val="both"/>
        <w:rPr>
          <w:b/>
          <w:sz w:val="18"/>
          <w:szCs w:val="20"/>
          <w:rtl/>
        </w:rPr>
      </w:pPr>
      <w:r w:rsidRPr="00DB508D">
        <w:rPr>
          <w:rFonts w:hint="cs"/>
          <w:b/>
          <w:sz w:val="18"/>
          <w:szCs w:val="20"/>
          <w:rtl/>
        </w:rPr>
        <w:t xml:space="preserve">להלן יתואר הקשר בין </w:t>
      </w:r>
      <w:r w:rsidRPr="00DB508D">
        <w:rPr>
          <w:b/>
          <w:sz w:val="18"/>
          <w:szCs w:val="20"/>
          <w:rtl/>
        </w:rPr>
        <w:t xml:space="preserve">המשתנים הבלתי תלויים </w:t>
      </w:r>
      <w:r w:rsidRPr="00DB508D">
        <w:rPr>
          <w:rFonts w:hint="cs"/>
          <w:b/>
          <w:sz w:val="18"/>
          <w:szCs w:val="20"/>
          <w:rtl/>
        </w:rPr>
        <w:t>ל</w:t>
      </w:r>
      <w:r w:rsidRPr="00DB508D">
        <w:rPr>
          <w:b/>
          <w:sz w:val="18"/>
          <w:szCs w:val="20"/>
          <w:rtl/>
        </w:rPr>
        <w:t>ילודה</w:t>
      </w:r>
      <w:r w:rsidRPr="00DB508D">
        <w:rPr>
          <w:rFonts w:hint="cs"/>
          <w:b/>
          <w:sz w:val="18"/>
          <w:szCs w:val="20"/>
          <w:rtl/>
        </w:rPr>
        <w:t xml:space="preserve">: </w:t>
      </w:r>
    </w:p>
    <w:p w14:paraId="693A91BF" w14:textId="77777777" w:rsidR="008C53A7" w:rsidRPr="00DB508D" w:rsidRDefault="008C53A7" w:rsidP="00CD4ECC">
      <w:pPr>
        <w:spacing w:after="120"/>
        <w:jc w:val="both"/>
        <w:rPr>
          <w:b/>
          <w:sz w:val="18"/>
          <w:szCs w:val="20"/>
        </w:rPr>
      </w:pPr>
    </w:p>
    <w:p w14:paraId="6A26AFD0" w14:textId="18C86E06" w:rsidR="00452401" w:rsidRPr="00DB508D" w:rsidRDefault="00452401" w:rsidP="00DB508D">
      <w:pPr>
        <w:keepNext/>
        <w:keepLines/>
        <w:spacing w:line="280" w:lineRule="exact"/>
        <w:jc w:val="both"/>
        <w:outlineLvl w:val="3"/>
        <w:rPr>
          <w:b/>
          <w:bCs/>
          <w:color w:val="00B0F0"/>
          <w:sz w:val="20"/>
          <w:szCs w:val="22"/>
        </w:rPr>
      </w:pPr>
      <w:r w:rsidRPr="00DB508D">
        <w:rPr>
          <w:b/>
          <w:bCs/>
          <w:color w:val="00B0F0"/>
          <w:sz w:val="20"/>
          <w:szCs w:val="22"/>
          <w:rtl/>
        </w:rPr>
        <w:t>משתני הרקע</w:t>
      </w:r>
    </w:p>
    <w:p w14:paraId="6933C0A3" w14:textId="33CDADC8" w:rsidR="00452401" w:rsidRPr="00DB508D" w:rsidRDefault="00452401" w:rsidP="006119D5">
      <w:pPr>
        <w:spacing w:after="180" w:line="260" w:lineRule="exact"/>
        <w:jc w:val="both"/>
        <w:rPr>
          <w:sz w:val="18"/>
          <w:szCs w:val="20"/>
        </w:rPr>
      </w:pPr>
      <w:bookmarkStart w:id="9" w:name="_heading=h.tyjcwt" w:colFirst="0" w:colLast="0"/>
      <w:bookmarkEnd w:id="9"/>
      <w:r w:rsidRPr="00DB508D">
        <w:rPr>
          <w:bCs/>
          <w:sz w:val="18"/>
          <w:szCs w:val="20"/>
          <w:rtl/>
        </w:rPr>
        <w:t>גיל</w:t>
      </w:r>
      <w:r w:rsidRPr="00DB508D">
        <w:rPr>
          <w:rFonts w:hint="cs"/>
          <w:bCs/>
          <w:sz w:val="18"/>
          <w:szCs w:val="20"/>
          <w:rtl/>
        </w:rPr>
        <w:t>.</w:t>
      </w:r>
      <w:r w:rsidRPr="00DB508D">
        <w:rPr>
          <w:sz w:val="18"/>
          <w:szCs w:val="20"/>
          <w:rtl/>
        </w:rPr>
        <w:t xml:space="preserve"> ללא ספק, </w:t>
      </w:r>
      <w:r w:rsidR="00CC0B1D">
        <w:rPr>
          <w:rFonts w:hint="cs"/>
          <w:sz w:val="18"/>
          <w:szCs w:val="20"/>
          <w:rtl/>
        </w:rPr>
        <w:t>ה</w:t>
      </w:r>
      <w:r w:rsidRPr="00DB508D">
        <w:rPr>
          <w:sz w:val="18"/>
          <w:szCs w:val="20"/>
          <w:rtl/>
        </w:rPr>
        <w:t>גיל הוא המשתנה ה</w:t>
      </w:r>
      <w:r w:rsidR="00CC0B1D">
        <w:rPr>
          <w:rFonts w:hint="cs"/>
          <w:sz w:val="18"/>
          <w:szCs w:val="20"/>
          <w:rtl/>
        </w:rPr>
        <w:t>עיקרי</w:t>
      </w:r>
      <w:r w:rsidRPr="00DB508D">
        <w:rPr>
          <w:sz w:val="18"/>
          <w:szCs w:val="20"/>
          <w:rtl/>
        </w:rPr>
        <w:t xml:space="preserve"> המ</w:t>
      </w:r>
      <w:r w:rsidR="00CC0B1D">
        <w:rPr>
          <w:rFonts w:hint="cs"/>
          <w:sz w:val="18"/>
          <w:szCs w:val="20"/>
          <w:rtl/>
        </w:rPr>
        <w:t>שפיע על</w:t>
      </w:r>
      <w:r w:rsidRPr="00DB508D">
        <w:rPr>
          <w:sz w:val="18"/>
          <w:szCs w:val="20"/>
          <w:rtl/>
        </w:rPr>
        <w:t xml:space="preserve"> רמת הילודה, לא רק מפני שמספר הלידות עולה עם הגיל, אלא גם משום שחלק ניכר מהמשתנים האחרים – השכלה, עבודה, מסורתיות וכיוצא באלה – משתנים אף הם עם הגיל. הגיל משקף את </w:t>
      </w:r>
      <w:r w:rsidRPr="00DB508D">
        <w:rPr>
          <w:rFonts w:hint="cs"/>
          <w:sz w:val="18"/>
          <w:szCs w:val="20"/>
          <w:rtl/>
        </w:rPr>
        <w:t xml:space="preserve">פרק </w:t>
      </w:r>
      <w:r w:rsidRPr="00DB508D">
        <w:rPr>
          <w:sz w:val="18"/>
          <w:szCs w:val="20"/>
          <w:rtl/>
        </w:rPr>
        <w:t xml:space="preserve">הזמן שבו נשים </w:t>
      </w:r>
      <w:r w:rsidR="00CC0B1D">
        <w:rPr>
          <w:rFonts w:hint="cs"/>
          <w:sz w:val="18"/>
          <w:szCs w:val="20"/>
          <w:rtl/>
        </w:rPr>
        <w:t>עשויות ללדת</w:t>
      </w:r>
      <w:r w:rsidRPr="00DB508D">
        <w:rPr>
          <w:sz w:val="18"/>
          <w:szCs w:val="20"/>
          <w:rtl/>
        </w:rPr>
        <w:t xml:space="preserve">, אך גם הבדלים בין-דוריים, ומכאן שנשים בגילים שונים גדלו וילדו בתנאים אחרים. אי לכך, גם בשלב ראשוני זה נציג את הקשרים בין המשתנים השונים לבין </w:t>
      </w:r>
      <w:r w:rsidRPr="008C53A7">
        <w:rPr>
          <w:spacing w:val="-2"/>
          <w:sz w:val="18"/>
          <w:szCs w:val="20"/>
          <w:rtl/>
        </w:rPr>
        <w:t xml:space="preserve">הילודה תוך פיקוח על גיל האישה. הגילים קובצו </w:t>
      </w:r>
      <w:proofErr w:type="spellStart"/>
      <w:r w:rsidRPr="008C53A7">
        <w:rPr>
          <w:spacing w:val="-2"/>
          <w:sz w:val="18"/>
          <w:szCs w:val="20"/>
          <w:rtl/>
        </w:rPr>
        <w:t>בחמישונים</w:t>
      </w:r>
      <w:proofErr w:type="spellEnd"/>
      <w:r w:rsidRPr="008C53A7">
        <w:rPr>
          <w:spacing w:val="-2"/>
          <w:sz w:val="18"/>
          <w:szCs w:val="20"/>
          <w:rtl/>
        </w:rPr>
        <w:t>, מקבוצת הגיל 18–22 עד קבוצת הגיל 48–52.</w:t>
      </w:r>
      <w:r w:rsidRPr="008C53A7">
        <w:rPr>
          <w:spacing w:val="-2"/>
          <w:sz w:val="18"/>
          <w:szCs w:val="20"/>
          <w:vertAlign w:val="superscript"/>
          <w:rtl/>
        </w:rPr>
        <w:footnoteReference w:id="19"/>
      </w:r>
      <w:r w:rsidRPr="008C53A7">
        <w:rPr>
          <w:spacing w:val="-2"/>
          <w:sz w:val="18"/>
          <w:szCs w:val="20"/>
          <w:rtl/>
        </w:rPr>
        <w:t xml:space="preserve"> התפלגות מספר הלידות בכל קבוצת גיל מוצגת ב</w:t>
      </w:r>
      <w:r w:rsidR="006119D5">
        <w:rPr>
          <w:rFonts w:hint="cs"/>
          <w:spacing w:val="-2"/>
          <w:sz w:val="18"/>
          <w:szCs w:val="20"/>
          <w:rtl/>
        </w:rPr>
        <w:t xml:space="preserve">תרשים </w:t>
      </w:r>
      <w:r w:rsidRPr="008C53A7">
        <w:rPr>
          <w:spacing w:val="-2"/>
          <w:sz w:val="18"/>
          <w:szCs w:val="20"/>
          <w:rtl/>
        </w:rPr>
        <w:t>2. מספר הלידות לאישה עולה בהתמדה בקצב של ילד אחד עד 2 ילדים לכל 5 שנים, עד 8 ילדים לנשים סביב גיל 50</w:t>
      </w:r>
      <w:r w:rsidRPr="00DB508D">
        <w:rPr>
          <w:sz w:val="18"/>
          <w:szCs w:val="20"/>
          <w:rtl/>
        </w:rPr>
        <w:t>.</w:t>
      </w:r>
    </w:p>
    <w:p w14:paraId="4B68E461" w14:textId="4FDC9D0E" w:rsidR="008C53A7" w:rsidRPr="008C53A7" w:rsidRDefault="006119D5" w:rsidP="006119D5">
      <w:pPr>
        <w:pStyle w:val="tab-name"/>
        <w:spacing w:before="300" w:line="260" w:lineRule="exact"/>
        <w:ind w:right="0"/>
        <w:rPr>
          <w:rFonts w:cs="Guttman Aharoni"/>
          <w:color w:val="auto"/>
          <w:sz w:val="20"/>
          <w:szCs w:val="20"/>
        </w:rPr>
      </w:pPr>
      <w:bookmarkStart w:id="10" w:name="_Hlk78814329"/>
      <w:r>
        <w:rPr>
          <w:rFonts w:cs="Guttman Aharoni" w:hint="cs"/>
          <w:color w:val="auto"/>
          <w:sz w:val="20"/>
          <w:szCs w:val="20"/>
          <w:rtl/>
        </w:rPr>
        <w:t>תרשים</w:t>
      </w:r>
      <w:r w:rsidRPr="008C53A7">
        <w:rPr>
          <w:rFonts w:cs="Guttman Aharoni"/>
          <w:color w:val="auto"/>
          <w:sz w:val="20"/>
          <w:szCs w:val="20"/>
          <w:rtl/>
        </w:rPr>
        <w:t xml:space="preserve"> </w:t>
      </w:r>
      <w:r w:rsidR="008C53A7" w:rsidRPr="008C53A7">
        <w:rPr>
          <w:rFonts w:cs="Guttman Aharoni"/>
          <w:color w:val="auto"/>
          <w:sz w:val="20"/>
          <w:szCs w:val="20"/>
          <w:rtl/>
        </w:rPr>
        <w:t>2: מספר לידות, לפי קבוצת גיל</w:t>
      </w:r>
      <w:r w:rsidR="00AF7CA3">
        <w:rPr>
          <w:rFonts w:cs="Guttman Aharoni" w:hint="cs"/>
          <w:color w:val="auto"/>
          <w:sz w:val="20"/>
          <w:szCs w:val="20"/>
          <w:rtl/>
        </w:rPr>
        <w:t>*</w:t>
      </w:r>
    </w:p>
    <w:p w14:paraId="120E349C" w14:textId="24ED2371" w:rsidR="008C53A7" w:rsidRDefault="009C2E9D" w:rsidP="00CD4ECC">
      <w:pPr>
        <w:spacing w:line="240" w:lineRule="atLeast"/>
        <w:jc w:val="center"/>
        <w:rPr>
          <w:rFonts w:ascii="Tahoma" w:hAnsi="Tahoma" w:cs="Tahoma"/>
          <w:noProof/>
          <w:rtl/>
          <w:lang w:val="he-IL"/>
        </w:rPr>
      </w:pPr>
      <w:r>
        <w:rPr>
          <w:rFonts w:ascii="Tahoma" w:hAnsi="Tahoma" w:cs="Tahoma"/>
          <w:noProof/>
        </w:rPr>
        <w:drawing>
          <wp:inline distT="0" distB="0" distL="0" distR="0" wp14:anchorId="3F663D2C" wp14:editId="6A0A3701">
            <wp:extent cx="3867150" cy="272415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67150" cy="2724150"/>
                    </a:xfrm>
                    <a:prstGeom prst="rect">
                      <a:avLst/>
                    </a:prstGeom>
                    <a:noFill/>
                    <a:ln>
                      <a:noFill/>
                    </a:ln>
                  </pic:spPr>
                </pic:pic>
              </a:graphicData>
            </a:graphic>
          </wp:inline>
        </w:drawing>
      </w:r>
      <w:bookmarkEnd w:id="10"/>
    </w:p>
    <w:p w14:paraId="20601DFC" w14:textId="40B51E6A" w:rsidR="00C3061B" w:rsidRPr="00CD4ECC" w:rsidRDefault="00282C1D" w:rsidP="00CD4ECC">
      <w:pPr>
        <w:spacing w:before="120" w:after="240"/>
        <w:ind w:left="397" w:hanging="397"/>
        <w:jc w:val="both"/>
        <w:rPr>
          <w:sz w:val="16"/>
          <w:szCs w:val="18"/>
        </w:rPr>
      </w:pPr>
      <w:r>
        <w:rPr>
          <w:rFonts w:hint="cs"/>
          <w:sz w:val="16"/>
          <w:szCs w:val="18"/>
          <w:rtl/>
        </w:rPr>
        <w:t>*</w:t>
      </w:r>
      <w:r w:rsidR="00C3061B" w:rsidRPr="00CD4ECC">
        <w:rPr>
          <w:sz w:val="16"/>
          <w:szCs w:val="18"/>
          <w:rtl/>
        </w:rPr>
        <w:tab/>
        <w:t>אורך התיבה משקף את פיזור התצפיות בין שני הרבעונים. רוחב התיבה הוא יחסי לגודל הקבוצה. הקו שבתוך התיבה הוא חציון מספר הילדים.</w:t>
      </w:r>
    </w:p>
    <w:p w14:paraId="1588FC71" w14:textId="5D8203B7" w:rsidR="00452401" w:rsidRPr="00DB508D" w:rsidRDefault="00452401" w:rsidP="006119D5">
      <w:pPr>
        <w:spacing w:after="180" w:line="280" w:lineRule="exact"/>
        <w:jc w:val="both"/>
        <w:rPr>
          <w:sz w:val="18"/>
          <w:szCs w:val="20"/>
          <w:rtl/>
        </w:rPr>
      </w:pPr>
      <w:r w:rsidRPr="00DB508D">
        <w:rPr>
          <w:bCs/>
          <w:sz w:val="18"/>
          <w:szCs w:val="20"/>
          <w:rtl/>
        </w:rPr>
        <w:lastRenderedPageBreak/>
        <w:t xml:space="preserve">גיל </w:t>
      </w:r>
      <w:r w:rsidRPr="00DB508D">
        <w:rPr>
          <w:rFonts w:hint="cs"/>
          <w:bCs/>
          <w:sz w:val="18"/>
          <w:szCs w:val="20"/>
          <w:rtl/>
        </w:rPr>
        <w:t>ב</w:t>
      </w:r>
      <w:r w:rsidRPr="00DB508D">
        <w:rPr>
          <w:bCs/>
          <w:sz w:val="18"/>
          <w:szCs w:val="20"/>
          <w:rtl/>
        </w:rPr>
        <w:t xml:space="preserve">נישואים </w:t>
      </w:r>
      <w:r w:rsidRPr="00DB508D">
        <w:rPr>
          <w:rFonts w:hint="cs"/>
          <w:bCs/>
          <w:sz w:val="18"/>
          <w:szCs w:val="20"/>
          <w:rtl/>
        </w:rPr>
        <w:t>ה</w:t>
      </w:r>
      <w:r w:rsidRPr="00DB508D">
        <w:rPr>
          <w:bCs/>
          <w:sz w:val="18"/>
          <w:szCs w:val="20"/>
          <w:rtl/>
        </w:rPr>
        <w:t>ראשונים</w:t>
      </w:r>
      <w:r w:rsidRPr="00DB508D">
        <w:rPr>
          <w:rFonts w:hint="cs"/>
          <w:bCs/>
          <w:sz w:val="18"/>
          <w:szCs w:val="20"/>
          <w:rtl/>
        </w:rPr>
        <w:t>.</w:t>
      </w:r>
      <w:r w:rsidRPr="00DB508D">
        <w:rPr>
          <w:sz w:val="18"/>
          <w:szCs w:val="20"/>
          <w:rtl/>
        </w:rPr>
        <w:t xml:space="preserve"> ציפינו למצוא עלייה בגיל הנישואים הראשונים כסימן לשינוי העובר על החברה הבדואית, ולא היא! למעשה, גיל </w:t>
      </w:r>
      <w:r w:rsidRPr="00DB508D">
        <w:rPr>
          <w:rFonts w:hint="cs"/>
          <w:sz w:val="18"/>
          <w:szCs w:val="20"/>
          <w:rtl/>
        </w:rPr>
        <w:t xml:space="preserve">הנישואים הראשונים </w:t>
      </w:r>
      <w:r w:rsidRPr="00DB508D">
        <w:rPr>
          <w:sz w:val="18"/>
          <w:szCs w:val="20"/>
          <w:rtl/>
        </w:rPr>
        <w:t>הממוצע גבוה יותר בקרב נשים בשנות ה-40 לחייהן מאשר בקרב צעירות (אם כי יש לזכור כי בקבוצה הצעירה ביותר רק 25% מהנשים במדגם המקורי כבר נישאו, לעומת 80% בקבוצת הגיל 23–27, ויותר מ-90% בקבוצות המבוגרות יותר). בפועל, בניכוי השפעת הגיל, נשים שנישאות בגיל צעיר יולדות יותר ילדים</w:t>
      </w:r>
      <w:r w:rsidRPr="00DB508D">
        <w:rPr>
          <w:rFonts w:hint="cs"/>
          <w:sz w:val="18"/>
          <w:szCs w:val="20"/>
          <w:rtl/>
        </w:rPr>
        <w:t xml:space="preserve"> </w:t>
      </w:r>
      <w:r w:rsidRPr="00DB508D">
        <w:rPr>
          <w:sz w:val="18"/>
          <w:szCs w:val="20"/>
          <w:rtl/>
        </w:rPr>
        <w:t>(</w:t>
      </w:r>
      <w:r w:rsidRPr="00DB508D">
        <w:rPr>
          <w:sz w:val="18"/>
          <w:szCs w:val="20"/>
          <w:lang w:val="fr-CA"/>
        </w:rPr>
        <w:t xml:space="preserve">z = -8.24, p </w:t>
      </w:r>
      <w:r w:rsidRPr="00DB508D">
        <w:rPr>
          <w:sz w:val="18"/>
          <w:szCs w:val="20"/>
          <w:lang w:val="en-GB"/>
        </w:rPr>
        <w:t>&lt; 0.001</w:t>
      </w:r>
      <w:r w:rsidRPr="00DB508D">
        <w:rPr>
          <w:sz w:val="18"/>
          <w:szCs w:val="20"/>
          <w:rtl/>
          <w:lang w:val="fr-CA"/>
        </w:rPr>
        <w:t>).</w:t>
      </w:r>
      <w:r w:rsidRPr="00DB508D">
        <w:rPr>
          <w:sz w:val="18"/>
          <w:szCs w:val="20"/>
          <w:vertAlign w:val="superscript"/>
          <w:rtl/>
        </w:rPr>
        <w:footnoteReference w:id="20"/>
      </w:r>
      <w:r w:rsidR="006119D5">
        <w:rPr>
          <w:rFonts w:hint="cs"/>
          <w:sz w:val="18"/>
          <w:szCs w:val="20"/>
          <w:rtl/>
        </w:rPr>
        <w:t xml:space="preserve"> </w:t>
      </w:r>
      <w:r w:rsidRPr="00DB508D">
        <w:rPr>
          <w:sz w:val="18"/>
          <w:szCs w:val="20"/>
          <w:rtl/>
        </w:rPr>
        <w:t>נשים שנישאו לפני גיל 20 (גיל ממוצע) ילדו בממוצע ילד אחד יותר מאלה שנישאו בגיל 20 ומעלה</w:t>
      </w:r>
      <w:r w:rsidRPr="00DB508D">
        <w:rPr>
          <w:rFonts w:hint="cs"/>
          <w:sz w:val="18"/>
          <w:szCs w:val="20"/>
          <w:rtl/>
        </w:rPr>
        <w:t xml:space="preserve"> (</w:t>
      </w:r>
      <w:r w:rsidRPr="00DB508D">
        <w:rPr>
          <w:sz w:val="18"/>
          <w:szCs w:val="20"/>
        </w:rPr>
        <w:t xml:space="preserve">t = -4.10, df = 486, </w:t>
      </w:r>
      <w:r w:rsidRPr="00DB508D">
        <w:rPr>
          <w:sz w:val="18"/>
          <w:szCs w:val="20"/>
          <w:lang w:val="fr-CA"/>
        </w:rPr>
        <w:t xml:space="preserve">p </w:t>
      </w:r>
      <w:r w:rsidRPr="00DB508D">
        <w:rPr>
          <w:sz w:val="18"/>
          <w:szCs w:val="20"/>
          <w:lang w:val="en-GB"/>
        </w:rPr>
        <w:t>&lt; 0.001</w:t>
      </w:r>
      <w:r w:rsidRPr="00DB508D">
        <w:rPr>
          <w:sz w:val="18"/>
          <w:szCs w:val="20"/>
          <w:rtl/>
          <w:lang w:val="en-GB"/>
        </w:rPr>
        <w:t>)</w:t>
      </w:r>
      <w:r w:rsidRPr="00DB508D">
        <w:rPr>
          <w:rFonts w:hint="cs"/>
          <w:sz w:val="18"/>
          <w:szCs w:val="20"/>
          <w:rtl/>
        </w:rPr>
        <w:t>.</w:t>
      </w:r>
      <w:r w:rsidRPr="00DB508D">
        <w:rPr>
          <w:sz w:val="18"/>
          <w:szCs w:val="20"/>
          <w:vertAlign w:val="superscript"/>
          <w:rtl/>
        </w:rPr>
        <w:footnoteReference w:id="21"/>
      </w:r>
    </w:p>
    <w:p w14:paraId="43494544" w14:textId="5FD57751" w:rsidR="00452401" w:rsidRPr="00DB508D" w:rsidRDefault="00452401" w:rsidP="006119D5">
      <w:pPr>
        <w:spacing w:after="180" w:line="280" w:lineRule="exact"/>
        <w:jc w:val="both"/>
        <w:rPr>
          <w:sz w:val="18"/>
          <w:szCs w:val="20"/>
          <w:rtl/>
        </w:rPr>
      </w:pPr>
      <w:r w:rsidRPr="00DB508D">
        <w:rPr>
          <w:rFonts w:hint="cs"/>
          <w:bCs/>
          <w:sz w:val="18"/>
          <w:szCs w:val="20"/>
          <w:rtl/>
        </w:rPr>
        <w:t>ה</w:t>
      </w:r>
      <w:r w:rsidRPr="00DB508D">
        <w:rPr>
          <w:bCs/>
          <w:sz w:val="18"/>
          <w:szCs w:val="20"/>
          <w:rtl/>
        </w:rPr>
        <w:t xml:space="preserve">גיל </w:t>
      </w:r>
      <w:r w:rsidRPr="00DB508D">
        <w:rPr>
          <w:rFonts w:hint="cs"/>
          <w:bCs/>
          <w:sz w:val="18"/>
          <w:szCs w:val="20"/>
          <w:rtl/>
        </w:rPr>
        <w:t>ב</w:t>
      </w:r>
      <w:r w:rsidRPr="00DB508D">
        <w:rPr>
          <w:bCs/>
          <w:sz w:val="18"/>
          <w:szCs w:val="20"/>
          <w:rtl/>
        </w:rPr>
        <w:t xml:space="preserve">לידה </w:t>
      </w:r>
      <w:r w:rsidRPr="00DB508D">
        <w:rPr>
          <w:rFonts w:hint="cs"/>
          <w:bCs/>
          <w:sz w:val="18"/>
          <w:szCs w:val="20"/>
          <w:rtl/>
        </w:rPr>
        <w:t>ה</w:t>
      </w:r>
      <w:r w:rsidRPr="00DB508D">
        <w:rPr>
          <w:bCs/>
          <w:sz w:val="18"/>
          <w:szCs w:val="20"/>
          <w:rtl/>
        </w:rPr>
        <w:t>ראשונה</w:t>
      </w:r>
      <w:r w:rsidRPr="00DB508D">
        <w:rPr>
          <w:rFonts w:hint="cs"/>
          <w:bCs/>
          <w:sz w:val="18"/>
          <w:szCs w:val="20"/>
          <w:rtl/>
        </w:rPr>
        <w:t>.</w:t>
      </w:r>
      <w:r w:rsidRPr="00DB508D">
        <w:rPr>
          <w:sz w:val="18"/>
          <w:szCs w:val="20"/>
          <w:rtl/>
        </w:rPr>
        <w:t xml:space="preserve"> הגיל בלידה הראשונה קשור קשר הדוק לגיל הנישואין (</w:t>
      </w:r>
      <w:r w:rsidRPr="00DB508D">
        <w:rPr>
          <w:sz w:val="18"/>
          <w:szCs w:val="20"/>
        </w:rPr>
        <w:t>r = 0.958</w:t>
      </w:r>
      <w:r w:rsidRPr="00DB508D">
        <w:rPr>
          <w:sz w:val="18"/>
          <w:szCs w:val="20"/>
          <w:rtl/>
        </w:rPr>
        <w:t>), ויותר מ-80% מהנשים יולדות בשנת הנישואים הראשונה או בשנה שאחריה. גם כאן, אין קשר של ממש לקבוצת הגיל, אולם יש לשים לב</w:t>
      </w:r>
      <w:r w:rsidRPr="00DB508D">
        <w:rPr>
          <w:rFonts w:hint="cs"/>
          <w:sz w:val="18"/>
          <w:szCs w:val="20"/>
          <w:rtl/>
        </w:rPr>
        <w:t xml:space="preserve"> לכך ש-</w:t>
      </w:r>
      <w:r w:rsidRPr="00DB508D">
        <w:rPr>
          <w:sz w:val="18"/>
          <w:szCs w:val="20"/>
          <w:rtl/>
        </w:rPr>
        <w:t>44% מהנשים בקבוצת הגיל 18–22 (עוד) לא ילדו, ו</w:t>
      </w:r>
      <w:r w:rsidRPr="00DB508D">
        <w:rPr>
          <w:rFonts w:hint="cs"/>
          <w:sz w:val="18"/>
          <w:szCs w:val="20"/>
          <w:rtl/>
        </w:rPr>
        <w:t xml:space="preserve">שגם 12% מהנשים </w:t>
      </w:r>
      <w:r w:rsidRPr="00DB508D">
        <w:rPr>
          <w:sz w:val="18"/>
          <w:szCs w:val="20"/>
          <w:rtl/>
        </w:rPr>
        <w:t>בקבוצת הגיל 23–27 (עוד) לא ילדו, מה ש</w:t>
      </w:r>
      <w:r w:rsidRPr="00DB508D">
        <w:rPr>
          <w:rFonts w:hint="cs"/>
          <w:sz w:val="18"/>
          <w:szCs w:val="20"/>
          <w:rtl/>
        </w:rPr>
        <w:t>ב</w:t>
      </w:r>
      <w:r w:rsidRPr="00DB508D">
        <w:rPr>
          <w:sz w:val="18"/>
          <w:szCs w:val="20"/>
          <w:rtl/>
        </w:rPr>
        <w:t>וודאי יעלה את ממוצע גיל הלידה הראשונה בשתי הקבוצות הללו. כשמסתכלים על שני המשתנים האלה יחד, בניכוי השפעות הגיל, מתברר שהגורם העיקרי הוא גיל הלידה הראשונה. בפועל, בהתחשב בקבוצת הגיל, כל דחייה של שנה ב</w:t>
      </w:r>
      <w:r w:rsidRPr="00DB508D">
        <w:rPr>
          <w:rFonts w:hint="cs"/>
          <w:sz w:val="18"/>
          <w:szCs w:val="20"/>
          <w:rtl/>
        </w:rPr>
        <w:t>גיל ה</w:t>
      </w:r>
      <w:r w:rsidRPr="00DB508D">
        <w:rPr>
          <w:sz w:val="18"/>
          <w:szCs w:val="20"/>
          <w:rtl/>
        </w:rPr>
        <w:t>לידה הראשונה מקטינה את סך כל הלידות בכ-7%</w:t>
      </w:r>
      <w:r w:rsidRPr="00DB508D">
        <w:rPr>
          <w:rFonts w:hint="cs"/>
          <w:sz w:val="18"/>
          <w:szCs w:val="20"/>
          <w:rtl/>
        </w:rPr>
        <w:t xml:space="preserve"> (</w:t>
      </w:r>
      <w:r w:rsidRPr="00DB508D">
        <w:rPr>
          <w:sz w:val="18"/>
          <w:szCs w:val="20"/>
        </w:rPr>
        <w:t>z = -2.60, p = 0.009</w:t>
      </w:r>
      <w:r w:rsidRPr="00DB508D">
        <w:rPr>
          <w:rFonts w:hint="cs"/>
          <w:sz w:val="18"/>
          <w:szCs w:val="20"/>
          <w:rtl/>
        </w:rPr>
        <w:t>).</w:t>
      </w:r>
    </w:p>
    <w:p w14:paraId="6CF32B76" w14:textId="77777777" w:rsidR="00452401" w:rsidRPr="00DB508D" w:rsidRDefault="00452401" w:rsidP="00DB508D">
      <w:pPr>
        <w:spacing w:after="180" w:line="280" w:lineRule="exact"/>
        <w:jc w:val="both"/>
        <w:rPr>
          <w:sz w:val="18"/>
          <w:szCs w:val="20"/>
          <w:rtl/>
        </w:rPr>
      </w:pPr>
      <w:r w:rsidRPr="00DB508D">
        <w:rPr>
          <w:bCs/>
          <w:sz w:val="18"/>
          <w:szCs w:val="20"/>
          <w:rtl/>
        </w:rPr>
        <w:t>מצב נישואים כיום</w:t>
      </w:r>
      <w:r w:rsidRPr="00DB508D">
        <w:rPr>
          <w:rFonts w:hint="cs"/>
          <w:bCs/>
          <w:sz w:val="18"/>
          <w:szCs w:val="20"/>
          <w:rtl/>
        </w:rPr>
        <w:t>.</w:t>
      </w:r>
      <w:r w:rsidRPr="00DB508D">
        <w:rPr>
          <w:sz w:val="18"/>
          <w:szCs w:val="20"/>
          <w:rtl/>
        </w:rPr>
        <w:t xml:space="preserve"> הגירושים הם תופעה נדירה ביותר בחברה הבדואית, ועם הירידה בתמותה פוחתת גם האלמנוּת (אם כי בקבוצה הצעירה ביותר, 18–22, 4.3% מאלה שנישאו אי-פעם היו גרושות, שיעור גבוה מבכל קבוצת גיל אחרת). בסך הכול, פחות מ-4% מהנשים היו לא נשואות (אלמנות, גרושות ופרודות), ולכן איחדנו את שלוש הקטגוריות כדי ליצור משתנה דיכוטומי: נשואה/לא נשואה. בפועל, בניכוי השפעות הגיל, למצב הנישואים העכשווי אין כל השפעה על מספר הלידות</w:t>
      </w:r>
      <w:r w:rsidRPr="00DB508D">
        <w:rPr>
          <w:rFonts w:hint="cs"/>
          <w:sz w:val="18"/>
          <w:szCs w:val="20"/>
          <w:rtl/>
        </w:rPr>
        <w:t xml:space="preserve"> (</w:t>
      </w:r>
      <w:r w:rsidRPr="00DB508D">
        <w:rPr>
          <w:sz w:val="18"/>
          <w:szCs w:val="20"/>
        </w:rPr>
        <w:t>t = 1.54, p = 0.121</w:t>
      </w:r>
      <w:r w:rsidRPr="00DB508D">
        <w:rPr>
          <w:rFonts w:hint="cs"/>
          <w:sz w:val="18"/>
          <w:szCs w:val="20"/>
          <w:rtl/>
        </w:rPr>
        <w:t>).</w:t>
      </w:r>
    </w:p>
    <w:p w14:paraId="47D749A6" w14:textId="77777777" w:rsidR="00452401" w:rsidRPr="00DB508D" w:rsidRDefault="00452401" w:rsidP="00DB508D">
      <w:pPr>
        <w:spacing w:after="180" w:line="280" w:lineRule="exact"/>
        <w:jc w:val="both"/>
        <w:rPr>
          <w:b/>
          <w:sz w:val="18"/>
          <w:szCs w:val="20"/>
        </w:rPr>
      </w:pPr>
    </w:p>
    <w:p w14:paraId="293141D8" w14:textId="5C318BC2" w:rsidR="00452401" w:rsidRPr="00DB508D" w:rsidRDefault="00452401" w:rsidP="00DB508D">
      <w:pPr>
        <w:keepNext/>
        <w:keepLines/>
        <w:spacing w:line="280" w:lineRule="exact"/>
        <w:jc w:val="both"/>
        <w:outlineLvl w:val="3"/>
        <w:rPr>
          <w:b/>
          <w:bCs/>
          <w:color w:val="00B0F0"/>
          <w:sz w:val="20"/>
          <w:szCs w:val="22"/>
        </w:rPr>
      </w:pPr>
      <w:r w:rsidRPr="00DB508D">
        <w:rPr>
          <w:b/>
          <w:bCs/>
          <w:color w:val="00B0F0"/>
          <w:sz w:val="20"/>
          <w:szCs w:val="22"/>
          <w:rtl/>
        </w:rPr>
        <w:t xml:space="preserve">משתני רמת </w:t>
      </w:r>
      <w:r w:rsidRPr="00DB508D">
        <w:rPr>
          <w:rFonts w:hint="cs"/>
          <w:b/>
          <w:bCs/>
          <w:color w:val="00B0F0"/>
          <w:sz w:val="20"/>
          <w:szCs w:val="22"/>
          <w:rtl/>
        </w:rPr>
        <w:t>ה</w:t>
      </w:r>
      <w:r w:rsidRPr="00DB508D">
        <w:rPr>
          <w:b/>
          <w:bCs/>
          <w:color w:val="00B0F0"/>
          <w:sz w:val="20"/>
          <w:szCs w:val="22"/>
          <w:rtl/>
        </w:rPr>
        <w:t>חיים</w:t>
      </w:r>
    </w:p>
    <w:p w14:paraId="61B7BB75" w14:textId="1B4F5796" w:rsidR="00452401" w:rsidRPr="00DB508D" w:rsidRDefault="00452401" w:rsidP="00DB508D">
      <w:pPr>
        <w:spacing w:after="180" w:line="280" w:lineRule="exact"/>
        <w:jc w:val="both"/>
        <w:rPr>
          <w:sz w:val="18"/>
          <w:szCs w:val="20"/>
        </w:rPr>
      </w:pPr>
      <w:r w:rsidRPr="00DB508D">
        <w:rPr>
          <w:b/>
          <w:bCs/>
          <w:sz w:val="18"/>
          <w:szCs w:val="20"/>
          <w:rtl/>
        </w:rPr>
        <w:t>השכלה</w:t>
      </w:r>
      <w:r w:rsidRPr="00DB508D">
        <w:rPr>
          <w:rFonts w:hint="cs"/>
          <w:b/>
          <w:bCs/>
          <w:sz w:val="18"/>
          <w:szCs w:val="20"/>
          <w:rtl/>
        </w:rPr>
        <w:t>.</w:t>
      </w:r>
      <w:r w:rsidRPr="00DB508D">
        <w:rPr>
          <w:sz w:val="18"/>
          <w:szCs w:val="20"/>
          <w:rtl/>
        </w:rPr>
        <w:t xml:space="preserve"> הבחנו בין ארבע רמות השכלה: ללא תעודה; יסודי בלבד; חטיבת ביניים או תיכון; בגרות והשכלה על-תיכונית, כולל תואר ראשון ומעלה. ככל שהגיל יורד, רמת ההשכלה עולה. שיעור הנשים שלא סיימו בית ספר יסודי ירד מ-80% בגיל 48–52 ל-6.5% בגיל 18–22. </w:t>
      </w:r>
      <w:r w:rsidR="00AF7CA3">
        <w:rPr>
          <w:sz w:val="18"/>
          <w:szCs w:val="20"/>
          <w:rtl/>
        </w:rPr>
        <w:br/>
      </w:r>
      <w:r w:rsidRPr="00DB508D">
        <w:rPr>
          <w:sz w:val="18"/>
          <w:szCs w:val="20"/>
          <w:rtl/>
        </w:rPr>
        <w:t>ל-15% מהנשים בגיל 23–32 יש השכלה על-תיכונית. בניכוי השפעות הגיל, ההשפעה העיקרית של ההשכלה היא בקרב בעלות ההשכלה העל-תיכונית, ומספר הלידות שלהן עומד על 60% ממספר הלידות בקרב שאר הנשים. על כן, התייחסנו להשכלה כאל משתנה דיכוטומי, המשווה בין נשים בעלות השכלה על-תיכונית לבין נשים שאינן בעלת השכלה על-תיכונית.</w:t>
      </w:r>
    </w:p>
    <w:p w14:paraId="609F55FD" w14:textId="4DDFE451" w:rsidR="00452401" w:rsidRPr="00DB508D" w:rsidRDefault="00452401" w:rsidP="00DB508D">
      <w:pPr>
        <w:tabs>
          <w:tab w:val="right" w:pos="8732"/>
        </w:tabs>
        <w:spacing w:after="180" w:line="280" w:lineRule="exact"/>
        <w:jc w:val="both"/>
        <w:rPr>
          <w:sz w:val="18"/>
          <w:szCs w:val="20"/>
          <w:rtl/>
        </w:rPr>
      </w:pPr>
      <w:r w:rsidRPr="00DB508D">
        <w:rPr>
          <w:bCs/>
          <w:sz w:val="18"/>
          <w:szCs w:val="20"/>
          <w:rtl/>
        </w:rPr>
        <w:lastRenderedPageBreak/>
        <w:t>עבודה</w:t>
      </w:r>
      <w:r w:rsidRPr="00DB508D">
        <w:rPr>
          <w:rFonts w:hint="cs"/>
          <w:bCs/>
          <w:sz w:val="18"/>
          <w:szCs w:val="20"/>
          <w:rtl/>
        </w:rPr>
        <w:t>.</w:t>
      </w:r>
      <w:r w:rsidRPr="00DB508D">
        <w:rPr>
          <w:sz w:val="18"/>
          <w:szCs w:val="20"/>
          <w:rtl/>
        </w:rPr>
        <w:t xml:space="preserve"> השאלה התייחסה</w:t>
      </w:r>
      <w:r w:rsidRPr="00DB508D">
        <w:rPr>
          <w:rFonts w:hint="cs"/>
          <w:sz w:val="18"/>
          <w:szCs w:val="20"/>
          <w:rtl/>
        </w:rPr>
        <w:t xml:space="preserve"> למצב התעסוקה של </w:t>
      </w:r>
      <w:r w:rsidRPr="00DB508D">
        <w:rPr>
          <w:sz w:val="18"/>
          <w:szCs w:val="20"/>
          <w:rtl/>
        </w:rPr>
        <w:t>האישה</w:t>
      </w:r>
      <w:r w:rsidRPr="00DB508D">
        <w:rPr>
          <w:rFonts w:hint="cs"/>
          <w:sz w:val="18"/>
          <w:szCs w:val="20"/>
          <w:rtl/>
        </w:rPr>
        <w:t xml:space="preserve"> </w:t>
      </w:r>
      <w:r w:rsidRPr="00DB508D">
        <w:rPr>
          <w:sz w:val="18"/>
          <w:szCs w:val="20"/>
          <w:rtl/>
        </w:rPr>
        <w:t xml:space="preserve">בעת מילוי השאלון, לאו דווקא בתקופה שבה ילדה, אולם העובדה שהיא עובדת מצביעה כשלעצמה על שבירת מוסכמות מסורתיות ועל שאיפת המשפחה להעלות את רמת ההכנסה. גם כך, שיעור השתתפותן של הנשים בשוק העבודה היה נמוך מאוד, והוא ירד עם הגיל: שיעור הנשים הצעירות (בגיל </w:t>
      </w:r>
      <w:r w:rsidR="00AF7CA3">
        <w:rPr>
          <w:sz w:val="18"/>
          <w:szCs w:val="20"/>
          <w:rtl/>
        </w:rPr>
        <w:br/>
      </w:r>
      <w:r w:rsidRPr="00DB508D">
        <w:rPr>
          <w:sz w:val="18"/>
          <w:szCs w:val="20"/>
          <w:rtl/>
        </w:rPr>
        <w:t xml:space="preserve">23–27) שעבדו </w:t>
      </w:r>
      <w:r w:rsidRPr="00DB508D">
        <w:rPr>
          <w:rFonts w:hint="cs"/>
          <w:sz w:val="18"/>
          <w:szCs w:val="20"/>
          <w:rtl/>
        </w:rPr>
        <w:t xml:space="preserve">עמד על </w:t>
      </w:r>
      <w:r w:rsidRPr="00DB508D">
        <w:rPr>
          <w:sz w:val="18"/>
          <w:szCs w:val="20"/>
          <w:rtl/>
        </w:rPr>
        <w:t xml:space="preserve">22%, ואילו שיעור הנשים בגילים 43–52 </w:t>
      </w:r>
      <w:r w:rsidRPr="00DB508D">
        <w:rPr>
          <w:rFonts w:hint="cs"/>
          <w:sz w:val="18"/>
          <w:szCs w:val="20"/>
          <w:rtl/>
        </w:rPr>
        <w:t xml:space="preserve">עמד על </w:t>
      </w:r>
      <w:r w:rsidRPr="00DB508D">
        <w:rPr>
          <w:sz w:val="18"/>
          <w:szCs w:val="20"/>
          <w:rtl/>
        </w:rPr>
        <w:t xml:space="preserve">3% </w:t>
      </w:r>
      <w:r w:rsidRPr="00DB508D">
        <w:rPr>
          <w:rFonts w:hint="cs"/>
          <w:sz w:val="18"/>
          <w:szCs w:val="20"/>
          <w:rtl/>
        </w:rPr>
        <w:t xml:space="preserve">בלבד </w:t>
      </w:r>
      <w:r w:rsidRPr="00DB508D">
        <w:rPr>
          <w:sz w:val="18"/>
          <w:szCs w:val="20"/>
          <w:rtl/>
        </w:rPr>
        <w:t xml:space="preserve">(רק 3 נשים). נמצא קשר הדוק גם בין עבודה להשכלה: </w:t>
      </w:r>
      <w:r w:rsidRPr="00DB508D">
        <w:rPr>
          <w:rFonts w:hint="cs"/>
          <w:sz w:val="18"/>
          <w:szCs w:val="20"/>
          <w:rtl/>
        </w:rPr>
        <w:t>75%</w:t>
      </w:r>
      <w:r w:rsidRPr="00DB508D">
        <w:rPr>
          <w:sz w:val="18"/>
          <w:szCs w:val="20"/>
          <w:rtl/>
        </w:rPr>
        <w:t xml:space="preserve"> מהנשים שהן בעלות השכלה על-תיכונית עבדו, ואילו פחות מ-5% מהנשים </w:t>
      </w:r>
      <w:r w:rsidRPr="00DB508D">
        <w:rPr>
          <w:rFonts w:hint="cs"/>
          <w:sz w:val="18"/>
          <w:szCs w:val="20"/>
          <w:rtl/>
        </w:rPr>
        <w:t xml:space="preserve">שאין להן </w:t>
      </w:r>
      <w:r w:rsidRPr="00DB508D">
        <w:rPr>
          <w:sz w:val="18"/>
          <w:szCs w:val="20"/>
          <w:rtl/>
        </w:rPr>
        <w:t>תעודת בגרות עבדו. בניכוי שתי ההשפעות האלה</w:t>
      </w:r>
      <w:r w:rsidRPr="00DB508D">
        <w:rPr>
          <w:rFonts w:hint="cs"/>
          <w:sz w:val="18"/>
          <w:szCs w:val="20"/>
          <w:rtl/>
        </w:rPr>
        <w:t xml:space="preserve"> </w:t>
      </w:r>
      <w:r w:rsidRPr="00DB508D">
        <w:rPr>
          <w:sz w:val="18"/>
          <w:szCs w:val="20"/>
          <w:rtl/>
        </w:rPr>
        <w:t>– הגיל וההשכלה</w:t>
      </w:r>
      <w:r w:rsidRPr="00DB508D">
        <w:rPr>
          <w:rFonts w:hint="cs"/>
          <w:sz w:val="18"/>
          <w:szCs w:val="20"/>
          <w:rtl/>
        </w:rPr>
        <w:t xml:space="preserve"> </w:t>
      </w:r>
      <w:r w:rsidRPr="00DB508D">
        <w:rPr>
          <w:sz w:val="18"/>
          <w:szCs w:val="20"/>
          <w:rtl/>
        </w:rPr>
        <w:t>– לנשים העובדות לא היו פחות ילדים מאשר לנשים שלא עבדו (</w:t>
      </w:r>
      <w:r w:rsidRPr="00DB508D">
        <w:rPr>
          <w:sz w:val="18"/>
          <w:szCs w:val="20"/>
        </w:rPr>
        <w:t>z = 0.904, p= 0.366</w:t>
      </w:r>
      <w:r w:rsidRPr="00DB508D">
        <w:rPr>
          <w:sz w:val="18"/>
          <w:szCs w:val="20"/>
          <w:rtl/>
        </w:rPr>
        <w:t>)</w:t>
      </w:r>
      <w:r w:rsidRPr="00DB508D">
        <w:rPr>
          <w:rFonts w:hint="cs"/>
          <w:sz w:val="18"/>
          <w:szCs w:val="20"/>
          <w:rtl/>
        </w:rPr>
        <w:t>.</w:t>
      </w:r>
    </w:p>
    <w:p w14:paraId="5BB2A69F" w14:textId="0C363ADA" w:rsidR="00452401" w:rsidRPr="00DB508D" w:rsidRDefault="00452401" w:rsidP="0031724D">
      <w:pPr>
        <w:tabs>
          <w:tab w:val="right" w:pos="8732"/>
        </w:tabs>
        <w:spacing w:after="180" w:line="280" w:lineRule="exact"/>
        <w:jc w:val="both"/>
        <w:rPr>
          <w:sz w:val="18"/>
          <w:szCs w:val="20"/>
          <w:rtl/>
        </w:rPr>
      </w:pPr>
      <w:r w:rsidRPr="00DB508D">
        <w:rPr>
          <w:rFonts w:hint="cs"/>
          <w:bCs/>
          <w:sz w:val="18"/>
          <w:szCs w:val="20"/>
          <w:rtl/>
        </w:rPr>
        <w:t>ה</w:t>
      </w:r>
      <w:r w:rsidRPr="00DB508D">
        <w:rPr>
          <w:bCs/>
          <w:sz w:val="18"/>
          <w:szCs w:val="20"/>
          <w:rtl/>
        </w:rPr>
        <w:t xml:space="preserve">ציוד </w:t>
      </w:r>
      <w:r w:rsidRPr="00DB508D">
        <w:rPr>
          <w:rFonts w:hint="cs"/>
          <w:bCs/>
          <w:sz w:val="18"/>
          <w:szCs w:val="20"/>
          <w:rtl/>
        </w:rPr>
        <w:t>ב</w:t>
      </w:r>
      <w:r w:rsidRPr="00DB508D">
        <w:rPr>
          <w:bCs/>
          <w:sz w:val="18"/>
          <w:szCs w:val="20"/>
          <w:rtl/>
        </w:rPr>
        <w:t>משק הבית</w:t>
      </w:r>
      <w:r w:rsidRPr="00DB508D">
        <w:rPr>
          <w:rFonts w:hint="cs"/>
          <w:bCs/>
          <w:sz w:val="18"/>
          <w:szCs w:val="20"/>
          <w:rtl/>
        </w:rPr>
        <w:t>.</w:t>
      </w:r>
      <w:r w:rsidRPr="00DB508D">
        <w:rPr>
          <w:sz w:val="18"/>
          <w:szCs w:val="20"/>
          <w:rtl/>
        </w:rPr>
        <w:t xml:space="preserve"> בנינו סולם המשקף את הציוד במשק הבית, והוא מורכב מ-19 פריטים העשויים להיחשב חיוניים</w:t>
      </w:r>
      <w:r w:rsidR="00767BA7">
        <w:rPr>
          <w:rFonts w:hint="cs"/>
          <w:sz w:val="18"/>
          <w:szCs w:val="20"/>
          <w:rtl/>
        </w:rPr>
        <w:t>.</w:t>
      </w:r>
      <w:r w:rsidRPr="00DB508D">
        <w:rPr>
          <w:sz w:val="18"/>
          <w:szCs w:val="20"/>
          <w:rtl/>
        </w:rPr>
        <w:t xml:space="preserve"> המספרים בסוגריים </w:t>
      </w:r>
      <w:r w:rsidRPr="00DB508D">
        <w:rPr>
          <w:rFonts w:hint="cs"/>
          <w:sz w:val="18"/>
          <w:szCs w:val="20"/>
          <w:rtl/>
        </w:rPr>
        <w:t xml:space="preserve">מציינים את </w:t>
      </w:r>
      <w:r w:rsidRPr="00DB508D">
        <w:rPr>
          <w:sz w:val="18"/>
          <w:szCs w:val="20"/>
          <w:rtl/>
        </w:rPr>
        <w:t xml:space="preserve">שיעור משקי הבית </w:t>
      </w:r>
      <w:r w:rsidRPr="00DB508D">
        <w:rPr>
          <w:rFonts w:hint="cs"/>
          <w:sz w:val="18"/>
          <w:szCs w:val="20"/>
          <w:rtl/>
        </w:rPr>
        <w:t>שהפריט נמצא בהם:</w:t>
      </w:r>
      <w:r w:rsidRPr="00DB508D">
        <w:rPr>
          <w:sz w:val="18"/>
          <w:szCs w:val="20"/>
          <w:rtl/>
        </w:rPr>
        <w:t xml:space="preserve"> תנור אפייה</w:t>
      </w:r>
      <w:r w:rsidRPr="00DB508D">
        <w:rPr>
          <w:rFonts w:hint="cs"/>
          <w:sz w:val="18"/>
          <w:szCs w:val="20"/>
          <w:rtl/>
        </w:rPr>
        <w:t>/</w:t>
      </w:r>
      <w:r w:rsidRPr="00DB508D">
        <w:rPr>
          <w:sz w:val="18"/>
          <w:szCs w:val="20"/>
          <w:rtl/>
        </w:rPr>
        <w:t>גז (45%), מקרר (85%), מקפיא (20%), מזגן (28%), מכונת כביסה (70%), מייבש כביסה (14%), הסקה (15%), שואב אבק (21%), מיקרוגל (38%), דוד שמש (88%), מכונית פרטית (70%), סטריאו/רדיו (43%),</w:t>
      </w:r>
      <w:r w:rsidR="0031724D">
        <w:rPr>
          <w:rFonts w:hint="cs"/>
          <w:sz w:val="18"/>
          <w:szCs w:val="20"/>
          <w:rtl/>
        </w:rPr>
        <w:t xml:space="preserve"> די.וי.די (35%), </w:t>
      </w:r>
      <w:r w:rsidRPr="00DB508D">
        <w:rPr>
          <w:sz w:val="18"/>
          <w:szCs w:val="20"/>
          <w:rtl/>
        </w:rPr>
        <w:t>טלוויזיה (86%), וידאו (43%), כבלים/לוויין (81%); קו טלפון</w:t>
      </w:r>
      <w:r w:rsidRPr="00DB508D">
        <w:rPr>
          <w:rFonts w:hint="cs"/>
          <w:sz w:val="18"/>
          <w:szCs w:val="20"/>
          <w:rtl/>
        </w:rPr>
        <w:t xml:space="preserve"> ביתי</w:t>
      </w:r>
      <w:r w:rsidRPr="00DB508D">
        <w:rPr>
          <w:sz w:val="18"/>
          <w:szCs w:val="20"/>
          <w:rtl/>
        </w:rPr>
        <w:t xml:space="preserve"> (18%), ספרייה ביתית (31%), מחשב (29%) ואינטרנט (15%)</w:t>
      </w:r>
      <w:r w:rsidRPr="00DB508D">
        <w:rPr>
          <w:rFonts w:hint="cs"/>
          <w:sz w:val="18"/>
          <w:szCs w:val="20"/>
          <w:rtl/>
        </w:rPr>
        <w:t xml:space="preserve"> (</w:t>
      </w:r>
      <w:r w:rsidRPr="00DB508D">
        <w:rPr>
          <w:sz w:val="18"/>
          <w:szCs w:val="20"/>
          <w:lang w:bidi="ar-JO"/>
        </w:rPr>
        <w:t>Cronbach α = 0.894</w:t>
      </w:r>
      <w:r w:rsidRPr="00DB508D">
        <w:rPr>
          <w:rFonts w:hint="cs"/>
          <w:sz w:val="18"/>
          <w:szCs w:val="20"/>
          <w:rtl/>
        </w:rPr>
        <w:t xml:space="preserve">). </w:t>
      </w:r>
      <w:r w:rsidRPr="00DB508D">
        <w:rPr>
          <w:sz w:val="18"/>
          <w:szCs w:val="20"/>
          <w:rtl/>
        </w:rPr>
        <w:t xml:space="preserve">הסולם נבנה כממוצע התשובות החיוביות, כש-0 פירושו אין שום פריט, ו-1 פירושו כולם ישנם. התפלגות הסולם קרובה לסימטריות, הממוצע הוא 0.438, וסטיית התקן היא 0.244. באופן כללי, רמת הציוד במשק הבית עולה עם הגיל, ובניכוי השפעות הגיל יש קשר חיובי בין רמת הציוד </w:t>
      </w:r>
      <w:r w:rsidRPr="00DB508D">
        <w:rPr>
          <w:rFonts w:hint="cs"/>
          <w:sz w:val="18"/>
          <w:szCs w:val="20"/>
          <w:rtl/>
        </w:rPr>
        <w:t xml:space="preserve">בבית </w:t>
      </w:r>
      <w:r w:rsidRPr="00DB508D">
        <w:rPr>
          <w:sz w:val="18"/>
          <w:szCs w:val="20"/>
          <w:rtl/>
        </w:rPr>
        <w:t xml:space="preserve">לבין מספר הילדים </w:t>
      </w:r>
      <w:r w:rsidR="00282C1D">
        <w:rPr>
          <w:sz w:val="18"/>
          <w:szCs w:val="20"/>
          <w:rtl/>
        </w:rPr>
        <w:br/>
      </w:r>
      <w:r w:rsidRPr="00DB508D">
        <w:rPr>
          <w:sz w:val="18"/>
          <w:szCs w:val="20"/>
          <w:rtl/>
        </w:rPr>
        <w:t>(</w:t>
      </w:r>
      <w:r w:rsidRPr="00DB508D">
        <w:rPr>
          <w:sz w:val="18"/>
          <w:szCs w:val="20"/>
        </w:rPr>
        <w:t>z = 4.04, p &lt; 0.001</w:t>
      </w:r>
      <w:r w:rsidRPr="00DB508D">
        <w:rPr>
          <w:sz w:val="18"/>
          <w:szCs w:val="20"/>
          <w:rtl/>
        </w:rPr>
        <w:t>). על פני כלל המדגם, מ</w:t>
      </w:r>
      <w:r w:rsidRPr="00DB508D">
        <w:rPr>
          <w:rFonts w:hint="cs"/>
          <w:sz w:val="18"/>
          <w:szCs w:val="20"/>
          <w:rtl/>
        </w:rPr>
        <w:t xml:space="preserve">ספר הילדים הממוצע </w:t>
      </w:r>
      <w:r w:rsidRPr="00DB508D">
        <w:rPr>
          <w:sz w:val="18"/>
          <w:szCs w:val="20"/>
          <w:rtl/>
        </w:rPr>
        <w:t>של נשים ממשפחות שרמת החיים בהן גבוהה (מעל החציון הכללי) היה גבוה בכמעט ילד אחד מזה של נשים ממשפחות שרמת החיים בהן נמוכה (</w:t>
      </w:r>
      <w:r w:rsidRPr="00DB508D">
        <w:rPr>
          <w:sz w:val="18"/>
          <w:szCs w:val="20"/>
        </w:rPr>
        <w:t>t = -3.32, df = 419, p = 0.0009</w:t>
      </w:r>
      <w:r w:rsidRPr="00DB508D">
        <w:rPr>
          <w:sz w:val="18"/>
          <w:szCs w:val="20"/>
          <w:rtl/>
        </w:rPr>
        <w:t>)</w:t>
      </w:r>
      <w:r w:rsidRPr="00DB508D">
        <w:rPr>
          <w:rFonts w:hint="cs"/>
          <w:sz w:val="18"/>
          <w:szCs w:val="20"/>
          <w:rtl/>
        </w:rPr>
        <w:t>.</w:t>
      </w:r>
    </w:p>
    <w:p w14:paraId="6FAF0830" w14:textId="1E29FE01" w:rsidR="00452401" w:rsidRPr="00DB508D" w:rsidRDefault="00452401" w:rsidP="0008207C">
      <w:pPr>
        <w:spacing w:after="180" w:line="280" w:lineRule="exact"/>
        <w:jc w:val="both"/>
        <w:rPr>
          <w:sz w:val="18"/>
          <w:szCs w:val="20"/>
          <w:rtl/>
        </w:rPr>
      </w:pPr>
      <w:r w:rsidRPr="00DB508D">
        <w:rPr>
          <w:bCs/>
          <w:sz w:val="18"/>
          <w:szCs w:val="20"/>
          <w:rtl/>
        </w:rPr>
        <w:t>סוג יישוב</w:t>
      </w:r>
      <w:r w:rsidRPr="00DB508D">
        <w:rPr>
          <w:rFonts w:hint="cs"/>
          <w:bCs/>
          <w:sz w:val="18"/>
          <w:szCs w:val="20"/>
          <w:rtl/>
        </w:rPr>
        <w:t>.</w:t>
      </w:r>
      <w:r w:rsidRPr="00DB508D">
        <w:rPr>
          <w:bCs/>
          <w:sz w:val="18"/>
          <w:szCs w:val="20"/>
          <w:rtl/>
        </w:rPr>
        <w:t xml:space="preserve"> </w:t>
      </w:r>
      <w:r w:rsidRPr="00DB508D">
        <w:rPr>
          <w:sz w:val="18"/>
          <w:szCs w:val="20"/>
          <w:rtl/>
        </w:rPr>
        <w:t>מחצית עד שני שלישים מהאוכלוסייה הבדואית גרים כיום ביישובים מוכרים, והשאר בכפרים הבלתי מוכרים, כולל אלה שהוכרו בתחילת המאה הנוכחית אך מציאות החיים בפועל לא השתנתה בהם</w:t>
      </w:r>
      <w:r w:rsidRPr="00DB508D">
        <w:rPr>
          <w:color w:val="FF0000"/>
          <w:sz w:val="18"/>
          <w:szCs w:val="20"/>
          <w:rtl/>
        </w:rPr>
        <w:t xml:space="preserve"> </w:t>
      </w:r>
      <w:r w:rsidRPr="00DB508D">
        <w:rPr>
          <w:sz w:val="18"/>
          <w:szCs w:val="20"/>
          <w:rtl/>
        </w:rPr>
        <w:t xml:space="preserve">(דגן-בוזגלו, 2014). במדגם, 44% מהנשים היו מהכפרים. </w:t>
      </w:r>
      <w:r w:rsidR="001903D4">
        <w:rPr>
          <w:rFonts w:hint="cs"/>
          <w:sz w:val="18"/>
          <w:szCs w:val="20"/>
          <w:rtl/>
        </w:rPr>
        <w:t>גילן ה</w:t>
      </w:r>
      <w:r w:rsidRPr="00DB508D">
        <w:rPr>
          <w:sz w:val="18"/>
          <w:szCs w:val="20"/>
          <w:rtl/>
        </w:rPr>
        <w:t>ממוצע של תושבות היישובים המוכרים היה גבוה מזה של תושבות הכפרים הבלתי מוכרים –</w:t>
      </w:r>
      <w:r w:rsidR="001903D4">
        <w:rPr>
          <w:rFonts w:hint="cs"/>
          <w:sz w:val="18"/>
          <w:szCs w:val="20"/>
          <w:rtl/>
        </w:rPr>
        <w:t xml:space="preserve"> </w:t>
      </w:r>
      <w:r w:rsidRPr="00DB508D">
        <w:rPr>
          <w:sz w:val="18"/>
          <w:szCs w:val="20"/>
          <w:rtl/>
        </w:rPr>
        <w:t>35.5 לעומת</w:t>
      </w:r>
      <w:r w:rsidRPr="00DB508D">
        <w:rPr>
          <w:rFonts w:hint="cs"/>
          <w:sz w:val="18"/>
          <w:szCs w:val="20"/>
          <w:rtl/>
        </w:rPr>
        <w:t xml:space="preserve"> </w:t>
      </w:r>
      <w:r w:rsidRPr="00DB508D">
        <w:rPr>
          <w:sz w:val="18"/>
          <w:szCs w:val="20"/>
          <w:rtl/>
        </w:rPr>
        <w:t>31.6</w:t>
      </w:r>
      <w:r w:rsidRPr="00DB508D">
        <w:rPr>
          <w:rFonts w:hint="cs"/>
          <w:sz w:val="18"/>
          <w:szCs w:val="20"/>
          <w:rtl/>
        </w:rPr>
        <w:t xml:space="preserve"> (</w:t>
      </w:r>
      <w:r w:rsidRPr="00DB508D">
        <w:rPr>
          <w:sz w:val="18"/>
          <w:szCs w:val="20"/>
          <w:rtl/>
        </w:rPr>
        <w:t xml:space="preserve"> </w:t>
      </w:r>
      <w:r w:rsidRPr="00DB508D">
        <w:rPr>
          <w:sz w:val="18"/>
          <w:szCs w:val="20"/>
        </w:rPr>
        <w:t>t = 4.98, df = 404, p &lt; 0.001</w:t>
      </w:r>
      <w:r w:rsidRPr="00DB508D">
        <w:rPr>
          <w:rFonts w:hint="cs"/>
          <w:sz w:val="18"/>
          <w:szCs w:val="20"/>
          <w:rtl/>
        </w:rPr>
        <w:t xml:space="preserve">). </w:t>
      </w:r>
      <w:r w:rsidRPr="00DB508D">
        <w:rPr>
          <w:sz w:val="18"/>
          <w:szCs w:val="20"/>
          <w:rtl/>
        </w:rPr>
        <w:t>בניכוי השפעות הגיל, לא היה הבדל ב</w:t>
      </w:r>
      <w:r w:rsidR="0008207C">
        <w:rPr>
          <w:rFonts w:hint="cs"/>
          <w:sz w:val="18"/>
          <w:szCs w:val="20"/>
          <w:rtl/>
        </w:rPr>
        <w:t xml:space="preserve">ין </w:t>
      </w:r>
      <w:r w:rsidRPr="00DB508D">
        <w:rPr>
          <w:sz w:val="18"/>
          <w:szCs w:val="20"/>
          <w:rtl/>
        </w:rPr>
        <w:t>מספר הילדים של נשים ביישובים המוכרים ל</w:t>
      </w:r>
      <w:r w:rsidR="0008207C">
        <w:rPr>
          <w:rFonts w:hint="cs"/>
          <w:sz w:val="18"/>
          <w:szCs w:val="20"/>
          <w:rtl/>
        </w:rPr>
        <w:t xml:space="preserve">זה </w:t>
      </w:r>
      <w:r w:rsidRPr="00DB508D">
        <w:rPr>
          <w:sz w:val="18"/>
          <w:szCs w:val="20"/>
          <w:rtl/>
        </w:rPr>
        <w:t>של נשים בכפרים הבלתי</w:t>
      </w:r>
      <w:r w:rsidRPr="00DB508D">
        <w:rPr>
          <w:rFonts w:hint="cs"/>
          <w:sz w:val="18"/>
          <w:szCs w:val="20"/>
          <w:rtl/>
        </w:rPr>
        <w:t xml:space="preserve"> </w:t>
      </w:r>
      <w:r w:rsidRPr="00DB508D">
        <w:rPr>
          <w:sz w:val="18"/>
          <w:szCs w:val="20"/>
          <w:rtl/>
        </w:rPr>
        <w:t>מוכרים</w:t>
      </w:r>
      <w:r w:rsidR="0008207C">
        <w:rPr>
          <w:rFonts w:hint="cs"/>
          <w:sz w:val="18"/>
          <w:szCs w:val="20"/>
          <w:rtl/>
        </w:rPr>
        <w:t xml:space="preserve"> </w:t>
      </w:r>
      <w:r w:rsidRPr="00DB508D">
        <w:rPr>
          <w:sz w:val="18"/>
          <w:szCs w:val="20"/>
          <w:rtl/>
        </w:rPr>
        <w:t>(</w:t>
      </w:r>
      <w:r w:rsidRPr="00DB508D">
        <w:rPr>
          <w:sz w:val="18"/>
          <w:szCs w:val="20"/>
        </w:rPr>
        <w:t>z = 1.04, p = 0.298</w:t>
      </w:r>
      <w:r w:rsidRPr="00DB508D">
        <w:rPr>
          <w:sz w:val="18"/>
          <w:szCs w:val="20"/>
          <w:rtl/>
        </w:rPr>
        <w:t>)</w:t>
      </w:r>
      <w:r w:rsidRPr="00DB508D">
        <w:rPr>
          <w:rFonts w:hint="cs"/>
          <w:sz w:val="18"/>
          <w:szCs w:val="20"/>
          <w:rtl/>
        </w:rPr>
        <w:t>.</w:t>
      </w:r>
    </w:p>
    <w:p w14:paraId="28D9FEE4" w14:textId="77777777" w:rsidR="00452401" w:rsidRPr="00DB508D" w:rsidRDefault="00452401" w:rsidP="00DB508D">
      <w:pPr>
        <w:spacing w:after="180" w:line="280" w:lineRule="exact"/>
        <w:jc w:val="both"/>
        <w:rPr>
          <w:b/>
          <w:sz w:val="18"/>
          <w:szCs w:val="20"/>
        </w:rPr>
      </w:pPr>
    </w:p>
    <w:p w14:paraId="4E144892" w14:textId="73CB786D" w:rsidR="00452401" w:rsidRPr="00DB508D" w:rsidRDefault="00452401" w:rsidP="00DB508D">
      <w:pPr>
        <w:keepNext/>
        <w:keepLines/>
        <w:spacing w:line="280" w:lineRule="exact"/>
        <w:jc w:val="both"/>
        <w:outlineLvl w:val="3"/>
        <w:rPr>
          <w:b/>
          <w:bCs/>
          <w:color w:val="00B0F0"/>
          <w:sz w:val="20"/>
          <w:szCs w:val="22"/>
        </w:rPr>
      </w:pPr>
      <w:r w:rsidRPr="00DB508D">
        <w:rPr>
          <w:b/>
          <w:bCs/>
          <w:color w:val="00B0F0"/>
          <w:sz w:val="20"/>
          <w:szCs w:val="22"/>
          <w:rtl/>
        </w:rPr>
        <w:t>משתני מודרניזציה/מסורתיות</w:t>
      </w:r>
    </w:p>
    <w:p w14:paraId="7B30D769" w14:textId="0171601C" w:rsidR="00452401" w:rsidRPr="00DB508D" w:rsidRDefault="00452401" w:rsidP="0008207C">
      <w:pPr>
        <w:spacing w:after="180" w:line="280" w:lineRule="exact"/>
        <w:jc w:val="both"/>
        <w:rPr>
          <w:sz w:val="18"/>
          <w:szCs w:val="20"/>
          <w:rtl/>
        </w:rPr>
      </w:pPr>
      <w:r w:rsidRPr="00DB508D">
        <w:rPr>
          <w:bCs/>
          <w:sz w:val="18"/>
          <w:szCs w:val="20"/>
          <w:rtl/>
        </w:rPr>
        <w:t>סגנון חיים מסורתי</w:t>
      </w:r>
      <w:r w:rsidRPr="00DB508D">
        <w:rPr>
          <w:rFonts w:hint="cs"/>
          <w:bCs/>
          <w:sz w:val="18"/>
          <w:szCs w:val="20"/>
          <w:rtl/>
        </w:rPr>
        <w:t>/</w:t>
      </w:r>
      <w:r w:rsidRPr="00DB508D">
        <w:rPr>
          <w:bCs/>
          <w:sz w:val="18"/>
          <w:szCs w:val="20"/>
          <w:rtl/>
        </w:rPr>
        <w:t>עירוני-מודרני</w:t>
      </w:r>
      <w:r w:rsidRPr="00DB508D">
        <w:rPr>
          <w:rFonts w:hint="cs"/>
          <w:bCs/>
          <w:sz w:val="18"/>
          <w:szCs w:val="20"/>
          <w:rtl/>
        </w:rPr>
        <w:t>.</w:t>
      </w:r>
      <w:r w:rsidRPr="00DB508D">
        <w:rPr>
          <w:sz w:val="18"/>
          <w:szCs w:val="20"/>
          <w:rtl/>
        </w:rPr>
        <w:t xml:space="preserve"> סולם מצרפי רציף המשלב 10 משתנים המשקפים אימוץ אורחות חיים עירוניים בני זמננו: קריאת ספרים, מגזינים ועיתונים; יציאה לנופש בארץ ובחו"ל; צפייה בטלוויזיה; פעילות ספורטיבית; יציאה לטיולים, לפארקים ולמסעדות </w:t>
      </w:r>
      <w:r w:rsidRPr="00DB508D">
        <w:rPr>
          <w:sz w:val="18"/>
          <w:szCs w:val="20"/>
          <w:rtl/>
        </w:rPr>
        <w:lastRenderedPageBreak/>
        <w:t>(</w:t>
      </w:r>
      <w:r w:rsidRPr="00DB508D">
        <w:rPr>
          <w:sz w:val="18"/>
          <w:szCs w:val="20"/>
        </w:rPr>
        <w:t>Cronbach α = 0.793</w:t>
      </w:r>
      <w:r w:rsidRPr="00DB508D">
        <w:rPr>
          <w:sz w:val="18"/>
          <w:szCs w:val="20"/>
          <w:rtl/>
        </w:rPr>
        <w:t>)</w:t>
      </w:r>
      <w:r w:rsidRPr="00DB508D">
        <w:rPr>
          <w:rFonts w:hint="cs"/>
          <w:sz w:val="18"/>
          <w:szCs w:val="20"/>
          <w:rtl/>
        </w:rPr>
        <w:t xml:space="preserve">. </w:t>
      </w:r>
      <w:r w:rsidRPr="00DB508D">
        <w:rPr>
          <w:sz w:val="18"/>
          <w:szCs w:val="20"/>
          <w:rtl/>
        </w:rPr>
        <w:t xml:space="preserve">התפלגות הסולם אינה סימטרית חיובית, הממוצע הוא 0.366, וסטיית התקן היא 0.26. יש לציין שרק 307 נשים ענו על שאלות אלה, ורובן המכריע של </w:t>
      </w:r>
      <w:r w:rsidRPr="00DB508D">
        <w:rPr>
          <w:rFonts w:hint="cs"/>
          <w:sz w:val="18"/>
          <w:szCs w:val="20"/>
          <w:rtl/>
        </w:rPr>
        <w:t xml:space="preserve">מי שלא </w:t>
      </w:r>
      <w:r w:rsidRPr="00DB508D">
        <w:rPr>
          <w:sz w:val="18"/>
          <w:szCs w:val="20"/>
          <w:rtl/>
        </w:rPr>
        <w:t>ענו היו בנות יותר מ-40. אנו משערים כי אי מתן תשובה לשאלות אלה קשור גם לתוכן הסולם, ולכן, כדי לא לאבד את הלא משיבות נתנו להן ציון ממוצע וצירפנו משתנה נוסף, דמה,</w:t>
      </w:r>
      <w:r w:rsidRPr="00DB508D">
        <w:rPr>
          <w:color w:val="FF0000"/>
          <w:sz w:val="18"/>
          <w:szCs w:val="20"/>
          <w:rtl/>
        </w:rPr>
        <w:t xml:space="preserve"> </w:t>
      </w:r>
      <w:r w:rsidRPr="00DB508D">
        <w:rPr>
          <w:sz w:val="18"/>
          <w:szCs w:val="20"/>
          <w:rtl/>
        </w:rPr>
        <w:t xml:space="preserve">בעל ציון 1 למי שלא </w:t>
      </w:r>
      <w:r w:rsidRPr="00DB508D">
        <w:rPr>
          <w:rFonts w:hint="cs"/>
          <w:sz w:val="18"/>
          <w:szCs w:val="20"/>
          <w:rtl/>
        </w:rPr>
        <w:t>השיבה ל</w:t>
      </w:r>
      <w:r w:rsidRPr="00DB508D">
        <w:rPr>
          <w:sz w:val="18"/>
          <w:szCs w:val="20"/>
          <w:rtl/>
        </w:rPr>
        <w:t xml:space="preserve">שאלות, ו-0 למי שכן </w:t>
      </w:r>
      <w:r w:rsidRPr="00DB508D">
        <w:rPr>
          <w:rFonts w:hint="cs"/>
          <w:sz w:val="18"/>
          <w:szCs w:val="20"/>
          <w:rtl/>
        </w:rPr>
        <w:t>השיבה</w:t>
      </w:r>
      <w:r w:rsidRPr="00DB508D">
        <w:rPr>
          <w:sz w:val="18"/>
          <w:szCs w:val="20"/>
          <w:rtl/>
        </w:rPr>
        <w:t>. עבור אלה שכן ענו על השאלות, רמת המסורתיות עלתה עם הגיל. בניכוי השפעות הגיל, מספר הלידות היה גבוה יותר בקרב אלו שלא ענו על השאלות (</w:t>
      </w:r>
      <w:r w:rsidRPr="00DB508D">
        <w:rPr>
          <w:sz w:val="18"/>
          <w:szCs w:val="20"/>
        </w:rPr>
        <w:t>z = 2.53, p = 0.0056</w:t>
      </w:r>
      <w:r w:rsidRPr="00DB508D">
        <w:rPr>
          <w:sz w:val="18"/>
          <w:szCs w:val="20"/>
          <w:rtl/>
        </w:rPr>
        <w:t>), וירד ב</w:t>
      </w:r>
      <w:r w:rsidRPr="00DB508D">
        <w:rPr>
          <w:rFonts w:hint="cs"/>
          <w:sz w:val="18"/>
          <w:szCs w:val="20"/>
          <w:rtl/>
        </w:rPr>
        <w:t xml:space="preserve">מתינות </w:t>
      </w:r>
      <w:r w:rsidRPr="00DB508D">
        <w:rPr>
          <w:sz w:val="18"/>
          <w:szCs w:val="20"/>
          <w:rtl/>
        </w:rPr>
        <w:t>ככל שהתשובה על יותר שאלות הייתה חיובית</w:t>
      </w:r>
      <w:r w:rsidRPr="00DB508D">
        <w:rPr>
          <w:rFonts w:hint="cs"/>
          <w:sz w:val="18"/>
          <w:szCs w:val="20"/>
          <w:rtl/>
        </w:rPr>
        <w:t xml:space="preserve"> (</w:t>
      </w:r>
      <w:r w:rsidRPr="00DB508D">
        <w:rPr>
          <w:sz w:val="18"/>
          <w:szCs w:val="20"/>
        </w:rPr>
        <w:t>z = -1.75, p = 0.040</w:t>
      </w:r>
      <w:r w:rsidRPr="00DB508D">
        <w:rPr>
          <w:rFonts w:hint="cs"/>
          <w:sz w:val="18"/>
          <w:szCs w:val="20"/>
          <w:rtl/>
        </w:rPr>
        <w:t>).</w:t>
      </w:r>
    </w:p>
    <w:p w14:paraId="1BC4D733" w14:textId="7580CD23" w:rsidR="00452401" w:rsidRPr="00DB508D" w:rsidRDefault="00452401" w:rsidP="0008207C">
      <w:pPr>
        <w:spacing w:after="180" w:line="280" w:lineRule="exact"/>
        <w:jc w:val="both"/>
        <w:rPr>
          <w:color w:val="FF0000"/>
          <w:sz w:val="18"/>
          <w:szCs w:val="20"/>
          <w:rtl/>
        </w:rPr>
      </w:pPr>
      <w:r w:rsidRPr="00DB508D">
        <w:rPr>
          <w:bCs/>
          <w:sz w:val="18"/>
          <w:szCs w:val="20"/>
          <w:rtl/>
        </w:rPr>
        <w:t>מסורתיות של מבנה משק הבית.</w:t>
      </w:r>
      <w:r w:rsidRPr="00DB508D">
        <w:rPr>
          <w:sz w:val="18"/>
          <w:szCs w:val="20"/>
          <w:rtl/>
        </w:rPr>
        <w:t xml:space="preserve"> שליש (33.5%) מהנשים היו נשואות לבן דוד מ</w:t>
      </w:r>
      <w:r w:rsidRPr="00DB508D">
        <w:rPr>
          <w:rFonts w:hint="cs"/>
          <w:sz w:val="18"/>
          <w:szCs w:val="20"/>
          <w:rtl/>
        </w:rPr>
        <w:t>דרגה ר</w:t>
      </w:r>
      <w:r w:rsidRPr="00DB508D">
        <w:rPr>
          <w:sz w:val="18"/>
          <w:szCs w:val="20"/>
          <w:rtl/>
        </w:rPr>
        <w:t xml:space="preserve">אשונה (בן אח/אחות של האב או האם); 36.8% היו נשואות לאדם מתוך השבט, והיתר (29.6%) נישאו </w:t>
      </w:r>
      <w:r w:rsidR="0008207C">
        <w:rPr>
          <w:rFonts w:hint="cs"/>
          <w:sz w:val="18"/>
          <w:szCs w:val="20"/>
          <w:rtl/>
        </w:rPr>
        <w:t>ל</w:t>
      </w:r>
      <w:r w:rsidRPr="00DB508D">
        <w:rPr>
          <w:rFonts w:hint="cs"/>
          <w:sz w:val="18"/>
          <w:szCs w:val="20"/>
          <w:rtl/>
        </w:rPr>
        <w:t xml:space="preserve">אדם </w:t>
      </w:r>
      <w:r w:rsidRPr="00DB508D">
        <w:rPr>
          <w:sz w:val="18"/>
          <w:szCs w:val="20"/>
          <w:rtl/>
        </w:rPr>
        <w:t xml:space="preserve">מחוץ לשבט. בכל קבוצות הגיל, בין 20 ל-30% מהנשים </w:t>
      </w:r>
      <w:r w:rsidRPr="00DB508D">
        <w:rPr>
          <w:rFonts w:hint="cs"/>
          <w:sz w:val="18"/>
          <w:szCs w:val="20"/>
          <w:rtl/>
        </w:rPr>
        <w:t xml:space="preserve">היו </w:t>
      </w:r>
      <w:r w:rsidRPr="00DB508D">
        <w:rPr>
          <w:sz w:val="18"/>
          <w:szCs w:val="20"/>
          <w:rtl/>
        </w:rPr>
        <w:t xml:space="preserve">נשואות </w:t>
      </w:r>
      <w:r w:rsidRPr="00DB508D">
        <w:rPr>
          <w:rFonts w:hint="cs"/>
          <w:sz w:val="18"/>
          <w:szCs w:val="20"/>
          <w:rtl/>
        </w:rPr>
        <w:t xml:space="preserve">לגבר </w:t>
      </w:r>
      <w:r w:rsidRPr="00DB508D">
        <w:rPr>
          <w:sz w:val="18"/>
          <w:szCs w:val="20"/>
          <w:rtl/>
        </w:rPr>
        <w:t>מחוץ למעגל המשפחה</w:t>
      </w:r>
      <w:r w:rsidRPr="00DB508D">
        <w:rPr>
          <w:rFonts w:hint="cs"/>
          <w:sz w:val="18"/>
          <w:szCs w:val="20"/>
          <w:rtl/>
        </w:rPr>
        <w:t>.</w:t>
      </w:r>
      <w:r w:rsidRPr="00DB508D">
        <w:rPr>
          <w:sz w:val="18"/>
          <w:szCs w:val="20"/>
          <w:rtl/>
        </w:rPr>
        <w:t xml:space="preserve"> </w:t>
      </w:r>
      <w:r w:rsidRPr="00DB508D">
        <w:rPr>
          <w:rFonts w:hint="cs"/>
          <w:sz w:val="18"/>
          <w:szCs w:val="20"/>
          <w:rtl/>
        </w:rPr>
        <w:t xml:space="preserve">עם זאת, </w:t>
      </w:r>
      <w:r w:rsidRPr="00DB508D">
        <w:rPr>
          <w:sz w:val="18"/>
          <w:szCs w:val="20"/>
          <w:rtl/>
        </w:rPr>
        <w:t>בשלוש קבוצות הגיל ה</w:t>
      </w:r>
      <w:r w:rsidRPr="00DB508D">
        <w:rPr>
          <w:rFonts w:hint="cs"/>
          <w:sz w:val="18"/>
          <w:szCs w:val="20"/>
          <w:rtl/>
        </w:rPr>
        <w:t xml:space="preserve">מבוגרות יותר </w:t>
      </w:r>
      <w:r w:rsidRPr="00DB508D">
        <w:rPr>
          <w:sz w:val="18"/>
          <w:szCs w:val="20"/>
          <w:rtl/>
        </w:rPr>
        <w:t>מרבית הנישואים האנדוגמיים ה</w:t>
      </w:r>
      <w:r w:rsidRPr="00DB508D">
        <w:rPr>
          <w:rFonts w:hint="cs"/>
          <w:sz w:val="18"/>
          <w:szCs w:val="20"/>
          <w:rtl/>
        </w:rPr>
        <w:t xml:space="preserve">יו </w:t>
      </w:r>
      <w:r w:rsidRPr="00DB508D">
        <w:rPr>
          <w:sz w:val="18"/>
          <w:szCs w:val="20"/>
          <w:rtl/>
        </w:rPr>
        <w:t>בתוך המשפחה הקרובה (נישואי</w:t>
      </w:r>
      <w:r w:rsidRPr="00DB508D">
        <w:rPr>
          <w:rFonts w:hint="cs"/>
          <w:sz w:val="18"/>
          <w:szCs w:val="20"/>
          <w:rtl/>
        </w:rPr>
        <w:t>ם ל</w:t>
      </w:r>
      <w:r w:rsidRPr="00DB508D">
        <w:rPr>
          <w:sz w:val="18"/>
          <w:szCs w:val="20"/>
          <w:rtl/>
        </w:rPr>
        <w:t xml:space="preserve">בן דוד), </w:t>
      </w:r>
      <w:r w:rsidRPr="00DB508D">
        <w:rPr>
          <w:rFonts w:hint="cs"/>
          <w:sz w:val="18"/>
          <w:szCs w:val="20"/>
          <w:rtl/>
        </w:rPr>
        <w:t xml:space="preserve">ואילו </w:t>
      </w:r>
      <w:r w:rsidRPr="00DB508D">
        <w:rPr>
          <w:sz w:val="18"/>
          <w:szCs w:val="20"/>
          <w:rtl/>
        </w:rPr>
        <w:t>בקבוצות הגיל ה</w:t>
      </w:r>
      <w:r w:rsidRPr="00DB508D">
        <w:rPr>
          <w:rFonts w:hint="cs"/>
          <w:sz w:val="18"/>
          <w:szCs w:val="20"/>
          <w:rtl/>
        </w:rPr>
        <w:t xml:space="preserve">צעירות יותר </w:t>
      </w:r>
      <w:r w:rsidRPr="00DB508D">
        <w:rPr>
          <w:sz w:val="18"/>
          <w:szCs w:val="20"/>
          <w:rtl/>
        </w:rPr>
        <w:t>מרבית הנישואים האנדוגמיים ה</w:t>
      </w:r>
      <w:r w:rsidRPr="00DB508D">
        <w:rPr>
          <w:rFonts w:hint="cs"/>
          <w:sz w:val="18"/>
          <w:szCs w:val="20"/>
          <w:rtl/>
        </w:rPr>
        <w:t xml:space="preserve">יו </w:t>
      </w:r>
      <w:r w:rsidRPr="00DB508D">
        <w:rPr>
          <w:sz w:val="18"/>
          <w:szCs w:val="20"/>
          <w:rtl/>
        </w:rPr>
        <w:t>בתוך השבט, ולא לבן הדוד. נמצא כי בניכוי השפעות הגיל, אין קשר בין קרבת הנישואים לבין מספר הלידות</w:t>
      </w:r>
      <w:r w:rsidRPr="00DB508D">
        <w:rPr>
          <w:rFonts w:hint="cs"/>
          <w:sz w:val="18"/>
          <w:szCs w:val="20"/>
          <w:rtl/>
        </w:rPr>
        <w:t xml:space="preserve"> (</w:t>
      </w:r>
      <w:r w:rsidRPr="00DB508D">
        <w:rPr>
          <w:sz w:val="18"/>
          <w:szCs w:val="20"/>
        </w:rPr>
        <w:t>LRχ</w:t>
      </w:r>
      <w:r w:rsidRPr="00DB508D">
        <w:rPr>
          <w:sz w:val="18"/>
          <w:szCs w:val="20"/>
          <w:vertAlign w:val="superscript"/>
        </w:rPr>
        <w:t>2</w:t>
      </w:r>
      <w:r w:rsidRPr="00DB508D">
        <w:rPr>
          <w:sz w:val="18"/>
          <w:szCs w:val="20"/>
        </w:rPr>
        <w:t xml:space="preserve"> = 3.62, df = 2, p = 0.164</w:t>
      </w:r>
      <w:r w:rsidRPr="00DB508D">
        <w:rPr>
          <w:rFonts w:hint="cs"/>
          <w:sz w:val="18"/>
          <w:szCs w:val="20"/>
          <w:rtl/>
        </w:rPr>
        <w:t>).</w:t>
      </w:r>
    </w:p>
    <w:p w14:paraId="69808356" w14:textId="7236B2D0" w:rsidR="00452401" w:rsidRPr="00DB508D" w:rsidRDefault="00452401" w:rsidP="0008207C">
      <w:pPr>
        <w:spacing w:after="180" w:line="280" w:lineRule="exact"/>
        <w:jc w:val="both"/>
        <w:rPr>
          <w:sz w:val="18"/>
          <w:szCs w:val="20"/>
        </w:rPr>
      </w:pPr>
      <w:r w:rsidRPr="00DB508D">
        <w:rPr>
          <w:bCs/>
          <w:sz w:val="18"/>
          <w:szCs w:val="20"/>
          <w:rtl/>
        </w:rPr>
        <w:t>מתחים עם המדינה</w:t>
      </w:r>
      <w:r w:rsidRPr="00DB508D">
        <w:rPr>
          <w:rFonts w:hint="cs"/>
          <w:bCs/>
          <w:sz w:val="18"/>
          <w:szCs w:val="20"/>
          <w:rtl/>
        </w:rPr>
        <w:t>.</w:t>
      </w:r>
      <w:r w:rsidRPr="00DB508D">
        <w:rPr>
          <w:sz w:val="18"/>
          <w:szCs w:val="20"/>
          <w:rtl/>
        </w:rPr>
        <w:t xml:space="preserve"> היעדר הכרה ותוכניות מתאר בכפרים הבלתי מוכרים, והיעדר מגרשים לבנייה ביישובים המוכרים, מונעים אפשרות לקבל אישורי בנייה חיוניים</w:t>
      </w:r>
      <w:r w:rsidR="0008207C">
        <w:rPr>
          <w:rFonts w:hint="cs"/>
          <w:sz w:val="18"/>
          <w:szCs w:val="20"/>
          <w:rtl/>
        </w:rPr>
        <w:t>,</w:t>
      </w:r>
      <w:r w:rsidRPr="00DB508D">
        <w:rPr>
          <w:sz w:val="18"/>
          <w:szCs w:val="20"/>
          <w:rtl/>
        </w:rPr>
        <w:t xml:space="preserve"> ומובילים לבנייה בלתי חוקית ובעקבותיה להרס מבנים על ידי הרשויות. השאלון התייחס לארבעה סוגי עימותים עם הרשויות: הפקעת קרקעות; הפקעת בתים; הריסת בתים</w:t>
      </w:r>
      <w:r w:rsidR="0008207C">
        <w:rPr>
          <w:rFonts w:hint="cs"/>
          <w:sz w:val="18"/>
          <w:szCs w:val="20"/>
          <w:rtl/>
        </w:rPr>
        <w:t>;</w:t>
      </w:r>
      <w:r w:rsidRPr="00DB508D">
        <w:rPr>
          <w:sz w:val="18"/>
          <w:szCs w:val="20"/>
          <w:rtl/>
        </w:rPr>
        <w:t xml:space="preserve"> השמדת עצים ויבולים. שיעור המשפחות שהיו מעורבות בעימותים אלה היה נמוך מהצפוי (18%), רובן ככולן בכפרים הבלתי מוכרים. העימותים לא היו קשורים לגיל, אולם בקרב נשים שמשפחותיהן חוו עימותים מכל ארבעת הסוגים מספר הלידות</w:t>
      </w:r>
      <w:r w:rsidR="0008207C">
        <w:rPr>
          <w:rFonts w:hint="cs"/>
          <w:sz w:val="18"/>
          <w:szCs w:val="20"/>
          <w:rtl/>
        </w:rPr>
        <w:t xml:space="preserve"> הממוצע</w:t>
      </w:r>
      <w:r w:rsidRPr="00DB508D">
        <w:rPr>
          <w:sz w:val="18"/>
          <w:szCs w:val="20"/>
          <w:rtl/>
        </w:rPr>
        <w:t xml:space="preserve"> היה נמוך במובהק: 2.7 לעומת 4.7 (</w:t>
      </w:r>
      <w:r w:rsidRPr="00DB508D">
        <w:rPr>
          <w:sz w:val="18"/>
          <w:szCs w:val="20"/>
        </w:rPr>
        <w:t>t = 6.53, df = 60.4, p &lt; 0.001</w:t>
      </w:r>
      <w:r w:rsidRPr="00DB508D">
        <w:rPr>
          <w:sz w:val="18"/>
          <w:szCs w:val="20"/>
          <w:rtl/>
        </w:rPr>
        <w:t>)</w:t>
      </w:r>
      <w:r w:rsidRPr="00DB508D">
        <w:rPr>
          <w:rFonts w:hint="cs"/>
          <w:sz w:val="18"/>
          <w:szCs w:val="20"/>
          <w:rtl/>
        </w:rPr>
        <w:t>.</w:t>
      </w:r>
    </w:p>
    <w:p w14:paraId="023B62D9" w14:textId="77777777" w:rsidR="00452401" w:rsidRPr="00DB508D" w:rsidRDefault="00452401" w:rsidP="00DB508D">
      <w:pPr>
        <w:spacing w:after="180" w:line="280" w:lineRule="exact"/>
        <w:jc w:val="both"/>
        <w:rPr>
          <w:sz w:val="18"/>
          <w:szCs w:val="20"/>
        </w:rPr>
      </w:pPr>
    </w:p>
    <w:p w14:paraId="3B4BC1D3" w14:textId="14755D0E" w:rsidR="00452401" w:rsidRPr="00452401" w:rsidRDefault="00452401" w:rsidP="00452401">
      <w:pPr>
        <w:pStyle w:val="KOT5"/>
        <w:spacing w:after="0"/>
        <w:ind w:right="0"/>
        <w:outlineLvl w:val="2"/>
        <w:rPr>
          <w:rFonts w:cs="Guttman Aharoni"/>
          <w:color w:val="00B0F0"/>
        </w:rPr>
      </w:pPr>
      <w:r w:rsidRPr="00452401">
        <w:rPr>
          <w:rFonts w:cs="Guttman Aharoni"/>
          <w:color w:val="00B0F0"/>
          <w:rtl/>
        </w:rPr>
        <w:t>המודל הרב</w:t>
      </w:r>
      <w:r w:rsidRPr="008C53A7">
        <w:rPr>
          <w:rFonts w:ascii="David" w:hAnsi="David" w:cs="David"/>
          <w:color w:val="00B0F0"/>
          <w:rtl/>
        </w:rPr>
        <w:t>-</w:t>
      </w:r>
      <w:r w:rsidRPr="00452401">
        <w:rPr>
          <w:rFonts w:cs="Guttman Aharoni"/>
          <w:color w:val="00B0F0"/>
          <w:rtl/>
        </w:rPr>
        <w:t>משתני</w:t>
      </w:r>
    </w:p>
    <w:p w14:paraId="64578ED3" w14:textId="77777777" w:rsidR="00452401" w:rsidRPr="00DB508D" w:rsidRDefault="00452401" w:rsidP="00DB508D">
      <w:pPr>
        <w:spacing w:after="180" w:line="280" w:lineRule="exact"/>
        <w:jc w:val="both"/>
        <w:rPr>
          <w:sz w:val="18"/>
          <w:szCs w:val="20"/>
        </w:rPr>
      </w:pPr>
      <w:r w:rsidRPr="00DB508D">
        <w:rPr>
          <w:sz w:val="18"/>
          <w:szCs w:val="20"/>
          <w:rtl/>
        </w:rPr>
        <w:t xml:space="preserve">בהינתן הקשר שבין המשתנים, פנינו לניתוח רב-משתני כדי לבחון מה הם המשתנים העיקריים הקשורים לרמת הילודה. המודל הוא מודל </w:t>
      </w:r>
      <w:proofErr w:type="spellStart"/>
      <w:r w:rsidRPr="00DB508D">
        <w:rPr>
          <w:sz w:val="18"/>
          <w:szCs w:val="20"/>
          <w:rtl/>
        </w:rPr>
        <w:t>פואסון</w:t>
      </w:r>
      <w:proofErr w:type="spellEnd"/>
      <w:r w:rsidRPr="00DB508D">
        <w:rPr>
          <w:sz w:val="18"/>
          <w:szCs w:val="20"/>
          <w:rtl/>
        </w:rPr>
        <w:t>, ובו המשתנה התלוי הוא מספר הלידות לאישה. נוכח ההבדלים בין קבוצות הגיל המודל הוא מקונן (</w:t>
      </w:r>
      <w:r w:rsidRPr="00DB508D">
        <w:rPr>
          <w:sz w:val="18"/>
          <w:szCs w:val="20"/>
        </w:rPr>
        <w:t>nested</w:t>
      </w:r>
      <w:r w:rsidRPr="00DB508D">
        <w:rPr>
          <w:sz w:val="18"/>
          <w:szCs w:val="20"/>
          <w:rtl/>
        </w:rPr>
        <w:t xml:space="preserve">) בתוך קבוצות הגיל, כך שהקבוע מוצג לכל קבוצת גיל בנפרד, והמקדמים הם ייחודיים לקבוצות הגיל. </w:t>
      </w:r>
    </w:p>
    <w:p w14:paraId="0E0F16F6" w14:textId="66182EF4" w:rsidR="00452401" w:rsidRPr="00DB508D" w:rsidRDefault="00452401" w:rsidP="00DB508D">
      <w:pPr>
        <w:spacing w:after="180" w:line="280" w:lineRule="exact"/>
        <w:jc w:val="both"/>
        <w:rPr>
          <w:sz w:val="18"/>
          <w:szCs w:val="20"/>
        </w:rPr>
      </w:pPr>
      <w:r w:rsidRPr="00DB508D">
        <w:rPr>
          <w:sz w:val="18"/>
          <w:szCs w:val="20"/>
          <w:rtl/>
        </w:rPr>
        <w:t xml:space="preserve">לוח 1 להלן מציג את המודל המקיף ביותר לאחר ניפוי משתנים לא מובהקים, ומופיעים בו הגיל בלידה הראשונה, השכלה גבוהה, רמת החיים ועימותים עם הממשל. עבור נשים שטרם ילדו לא מופיע הגיל בלידה הראשונה, וגם עבור אחדות שכן ילדו. את גיל הלידה מרכזנו בחציון, גיל 20, הענקנו לנשים שגילן חסר ערך 0 (שווה ערך ל-20), והוספנו משתנה דמה </w:t>
      </w:r>
      <w:r w:rsidRPr="00DB508D">
        <w:rPr>
          <w:sz w:val="18"/>
          <w:szCs w:val="20"/>
          <w:rtl/>
        </w:rPr>
        <w:lastRenderedPageBreak/>
        <w:t>שערכו 0 לנשים שגיל</w:t>
      </w:r>
      <w:r w:rsidRPr="00DB508D">
        <w:rPr>
          <w:rFonts w:hint="cs"/>
          <w:sz w:val="18"/>
          <w:szCs w:val="20"/>
          <w:rtl/>
        </w:rPr>
        <w:t>ן</w:t>
      </w:r>
      <w:r w:rsidRPr="00DB508D">
        <w:rPr>
          <w:sz w:val="18"/>
          <w:szCs w:val="20"/>
          <w:rtl/>
        </w:rPr>
        <w:t xml:space="preserve"> </w:t>
      </w:r>
      <w:r w:rsidRPr="00DB508D">
        <w:rPr>
          <w:rFonts w:hint="cs"/>
          <w:sz w:val="18"/>
          <w:szCs w:val="20"/>
          <w:rtl/>
        </w:rPr>
        <w:t>ב</w:t>
      </w:r>
      <w:r w:rsidRPr="00DB508D">
        <w:rPr>
          <w:sz w:val="18"/>
          <w:szCs w:val="20"/>
          <w:rtl/>
        </w:rPr>
        <w:t>לידה הראשונה ידוע, ו-1 לנשים שגיל</w:t>
      </w:r>
      <w:r w:rsidRPr="00DB508D">
        <w:rPr>
          <w:rFonts w:hint="cs"/>
          <w:sz w:val="18"/>
          <w:szCs w:val="20"/>
          <w:rtl/>
        </w:rPr>
        <w:t>ן ב</w:t>
      </w:r>
      <w:r w:rsidRPr="00DB508D">
        <w:rPr>
          <w:sz w:val="18"/>
          <w:szCs w:val="20"/>
          <w:rtl/>
        </w:rPr>
        <w:t>לידה הראשונה אינו ידוע. גם את מדד רמת החיים מרכזנו בערך הממוצע, 0.438.</w:t>
      </w:r>
    </w:p>
    <w:p w14:paraId="25C3B41B" w14:textId="77777777" w:rsidR="005C3C07" w:rsidRPr="00731656" w:rsidRDefault="005C3C07" w:rsidP="005C3C07">
      <w:pPr>
        <w:pStyle w:val="tab-name"/>
        <w:spacing w:before="300" w:line="260" w:lineRule="exact"/>
        <w:ind w:right="0"/>
        <w:rPr>
          <w:rFonts w:cs="Guttman Aharoni"/>
          <w:color w:val="auto"/>
          <w:sz w:val="20"/>
          <w:szCs w:val="20"/>
        </w:rPr>
      </w:pPr>
      <w:r w:rsidRPr="00731656">
        <w:rPr>
          <w:rFonts w:cs="Guttman Aharoni"/>
          <w:color w:val="auto"/>
          <w:sz w:val="20"/>
          <w:szCs w:val="20"/>
          <w:rtl/>
        </w:rPr>
        <w:t xml:space="preserve">לוח 1: מודל לניבוי מספר לידות לאישה (מודל </w:t>
      </w:r>
      <w:proofErr w:type="spellStart"/>
      <w:r w:rsidRPr="00731656">
        <w:rPr>
          <w:rFonts w:cs="Guttman Aharoni"/>
          <w:color w:val="auto"/>
          <w:sz w:val="20"/>
          <w:szCs w:val="20"/>
          <w:rtl/>
        </w:rPr>
        <w:t>פואסון</w:t>
      </w:r>
      <w:proofErr w:type="spellEnd"/>
      <w:r w:rsidRPr="00731656">
        <w:rPr>
          <w:rFonts w:cs="Guttman Aharoni"/>
          <w:color w:val="auto"/>
          <w:sz w:val="20"/>
          <w:szCs w:val="20"/>
          <w:rtl/>
        </w:rPr>
        <w:t>)</w:t>
      </w:r>
    </w:p>
    <w:p w14:paraId="5FE14347" w14:textId="77777777" w:rsidR="005C3C07" w:rsidRDefault="005C3C07" w:rsidP="005C3C07">
      <w:pPr>
        <w:spacing w:after="180" w:line="280" w:lineRule="exact"/>
        <w:jc w:val="both"/>
        <w:rPr>
          <w:rFonts w:ascii="David" w:hAnsi="David"/>
          <w:sz w:val="20"/>
          <w:szCs w:val="20"/>
        </w:rPr>
      </w:pPr>
      <w:r>
        <w:rPr>
          <w:rFonts w:ascii="David" w:hAnsi="David"/>
          <w:sz w:val="20"/>
          <w:szCs w:val="20"/>
          <w:rtl/>
        </w:rPr>
        <w:t xml:space="preserve">מקדמים </w:t>
      </w:r>
      <w:proofErr w:type="spellStart"/>
      <w:r>
        <w:rPr>
          <w:rFonts w:ascii="David" w:hAnsi="David"/>
          <w:sz w:val="20"/>
          <w:szCs w:val="20"/>
          <w:rtl/>
        </w:rPr>
        <w:t>מעריכיים</w:t>
      </w:r>
      <w:proofErr w:type="spellEnd"/>
      <w:r>
        <w:rPr>
          <w:rFonts w:ascii="David" w:hAnsi="David" w:hint="cs"/>
          <w:sz w:val="20"/>
          <w:szCs w:val="20"/>
          <w:rtl/>
        </w:rPr>
        <w:t xml:space="preserve"> (</w:t>
      </w:r>
      <w:r>
        <w:rPr>
          <w:rFonts w:ascii="David" w:hAnsi="David"/>
          <w:sz w:val="20"/>
          <w:szCs w:val="20"/>
        </w:rPr>
        <w:t>(e</w:t>
      </w:r>
      <w:r>
        <w:rPr>
          <w:rFonts w:ascii="David" w:hAnsi="David"/>
          <w:sz w:val="20"/>
          <w:szCs w:val="20"/>
          <w:vertAlign w:val="superscript"/>
        </w:rPr>
        <w:t>β</w:t>
      </w:r>
      <w:r>
        <w:rPr>
          <w:rFonts w:ascii="David" w:hAnsi="David"/>
          <w:sz w:val="20"/>
          <w:szCs w:val="20"/>
          <w:rtl/>
        </w:rPr>
        <w:t xml:space="preserve"> (ערכי </w:t>
      </w:r>
      <w:r>
        <w:rPr>
          <w:rFonts w:ascii="David" w:hAnsi="David"/>
          <w:sz w:val="20"/>
          <w:szCs w:val="20"/>
        </w:rPr>
        <w:t>z</w:t>
      </w:r>
      <w:r>
        <w:rPr>
          <w:rFonts w:ascii="David" w:hAnsi="David"/>
          <w:sz w:val="20"/>
          <w:szCs w:val="20"/>
          <w:rtl/>
        </w:rPr>
        <w:t xml:space="preserve"> בסוגריים)</w:t>
      </w:r>
    </w:p>
    <w:tbl>
      <w:tblPr>
        <w:bidiVisual/>
        <w:tblW w:w="6464" w:type="dxa"/>
        <w:jc w:val="center"/>
        <w:tblBorders>
          <w:top w:val="single" w:sz="8" w:space="0" w:color="000000"/>
          <w:left w:val="single" w:sz="8" w:space="0" w:color="000000"/>
          <w:bottom w:val="single" w:sz="8" w:space="0" w:color="000000"/>
          <w:right w:val="single" w:sz="8" w:space="0" w:color="000000"/>
          <w:insideV w:val="single" w:sz="4" w:space="0" w:color="000000"/>
        </w:tblBorders>
        <w:tblCellMar>
          <w:left w:w="57" w:type="dxa"/>
          <w:right w:w="57" w:type="dxa"/>
        </w:tblCellMar>
        <w:tblLook w:val="0400" w:firstRow="0" w:lastRow="0" w:firstColumn="0" w:lastColumn="0" w:noHBand="0" w:noVBand="1"/>
      </w:tblPr>
      <w:tblGrid>
        <w:gridCol w:w="2012"/>
        <w:gridCol w:w="636"/>
        <w:gridCol w:w="636"/>
        <w:gridCol w:w="636"/>
        <w:gridCol w:w="636"/>
        <w:gridCol w:w="636"/>
        <w:gridCol w:w="636"/>
        <w:gridCol w:w="636"/>
      </w:tblGrid>
      <w:tr w:rsidR="005C3C07" w14:paraId="1A98BA9C" w14:textId="77777777" w:rsidTr="004B3169">
        <w:trPr>
          <w:tblHeader/>
          <w:jc w:val="center"/>
        </w:trPr>
        <w:tc>
          <w:tcPr>
            <w:tcW w:w="0" w:type="auto"/>
            <w:tcBorders>
              <w:top w:val="single" w:sz="8" w:space="0" w:color="000000"/>
              <w:bottom w:val="nil"/>
              <w:right w:val="single" w:sz="4" w:space="0" w:color="000000"/>
            </w:tcBorders>
            <w:shd w:val="clear" w:color="auto" w:fill="auto"/>
          </w:tcPr>
          <w:p w14:paraId="5FDEE1F8" w14:textId="77777777" w:rsidR="005C3C07" w:rsidRPr="00E53F92" w:rsidRDefault="005C3C07" w:rsidP="0062633B">
            <w:pPr>
              <w:tabs>
                <w:tab w:val="left" w:pos="1148"/>
              </w:tabs>
              <w:spacing w:before="60" w:after="60" w:line="220" w:lineRule="exact"/>
              <w:rPr>
                <w:b/>
                <w:bCs/>
                <w:color w:val="000000"/>
                <w:sz w:val="16"/>
                <w:szCs w:val="18"/>
              </w:rPr>
            </w:pPr>
          </w:p>
        </w:tc>
        <w:tc>
          <w:tcPr>
            <w:tcW w:w="0" w:type="auto"/>
            <w:gridSpan w:val="7"/>
            <w:tcBorders>
              <w:top w:val="single" w:sz="8" w:space="0" w:color="000000"/>
              <w:left w:val="single" w:sz="4" w:space="0" w:color="000000"/>
              <w:bottom w:val="single" w:sz="4" w:space="0" w:color="000000"/>
            </w:tcBorders>
            <w:shd w:val="clear" w:color="auto" w:fill="auto"/>
          </w:tcPr>
          <w:p w14:paraId="048FC582" w14:textId="77777777" w:rsidR="005C3C07" w:rsidRPr="00E53F92" w:rsidRDefault="005C3C07" w:rsidP="0062633B">
            <w:pPr>
              <w:tabs>
                <w:tab w:val="left" w:pos="1148"/>
              </w:tabs>
              <w:spacing w:before="60" w:after="60" w:line="220" w:lineRule="exact"/>
              <w:jc w:val="center"/>
              <w:rPr>
                <w:b/>
                <w:bCs/>
                <w:color w:val="000000"/>
                <w:sz w:val="16"/>
                <w:szCs w:val="18"/>
              </w:rPr>
            </w:pPr>
            <w:r w:rsidRPr="00E53F92">
              <w:rPr>
                <w:b/>
                <w:bCs/>
                <w:color w:val="000000"/>
                <w:sz w:val="16"/>
                <w:szCs w:val="18"/>
                <w:rtl/>
              </w:rPr>
              <w:t>קבוצת גיל</w:t>
            </w:r>
          </w:p>
        </w:tc>
      </w:tr>
      <w:tr w:rsidR="005C3C07" w14:paraId="68F53F64" w14:textId="77777777" w:rsidTr="004B3169">
        <w:trPr>
          <w:tblHeader/>
          <w:jc w:val="center"/>
        </w:trPr>
        <w:tc>
          <w:tcPr>
            <w:tcW w:w="0" w:type="auto"/>
            <w:tcBorders>
              <w:top w:val="nil"/>
              <w:bottom w:val="single" w:sz="8" w:space="0" w:color="000000"/>
              <w:right w:val="single" w:sz="4" w:space="0" w:color="000000"/>
            </w:tcBorders>
            <w:shd w:val="clear" w:color="auto" w:fill="auto"/>
          </w:tcPr>
          <w:p w14:paraId="703BB6DB" w14:textId="77777777" w:rsidR="005C3C07" w:rsidRPr="00E53F92" w:rsidRDefault="005C3C07" w:rsidP="0062633B">
            <w:pPr>
              <w:tabs>
                <w:tab w:val="left" w:pos="1148"/>
              </w:tabs>
              <w:spacing w:before="60" w:after="60" w:line="220" w:lineRule="exact"/>
              <w:rPr>
                <w:b/>
                <w:bCs/>
                <w:color w:val="000000"/>
                <w:sz w:val="16"/>
                <w:szCs w:val="18"/>
              </w:rPr>
            </w:pPr>
          </w:p>
        </w:tc>
        <w:tc>
          <w:tcPr>
            <w:tcW w:w="0" w:type="auto"/>
            <w:tcBorders>
              <w:top w:val="single" w:sz="4" w:space="0" w:color="000000"/>
              <w:left w:val="single" w:sz="4" w:space="0" w:color="000000"/>
              <w:bottom w:val="single" w:sz="8" w:space="0" w:color="000000"/>
              <w:right w:val="single" w:sz="4" w:space="0" w:color="000000"/>
            </w:tcBorders>
            <w:shd w:val="clear" w:color="auto" w:fill="auto"/>
          </w:tcPr>
          <w:p w14:paraId="3DE2D4A3" w14:textId="77777777" w:rsidR="005C3C07" w:rsidRPr="00E53F92" w:rsidRDefault="005C3C07" w:rsidP="0062633B">
            <w:pPr>
              <w:tabs>
                <w:tab w:val="left" w:pos="1148"/>
              </w:tabs>
              <w:spacing w:before="60" w:after="60" w:line="220" w:lineRule="exact"/>
              <w:rPr>
                <w:b/>
                <w:bCs/>
                <w:sz w:val="16"/>
                <w:szCs w:val="18"/>
              </w:rPr>
            </w:pPr>
            <w:r w:rsidRPr="00E53F92">
              <w:rPr>
                <w:b/>
                <w:bCs/>
                <w:sz w:val="16"/>
                <w:szCs w:val="18"/>
              </w:rPr>
              <w:t>18</w:t>
            </w:r>
            <w:r w:rsidRPr="00E53F92">
              <w:rPr>
                <w:b/>
                <w:bCs/>
                <w:sz w:val="16"/>
                <w:szCs w:val="18"/>
                <w:rtl/>
              </w:rPr>
              <w:t>–</w:t>
            </w:r>
            <w:r w:rsidRPr="00E53F92">
              <w:rPr>
                <w:b/>
                <w:bCs/>
                <w:sz w:val="16"/>
                <w:szCs w:val="18"/>
              </w:rPr>
              <w:t>22</w:t>
            </w:r>
          </w:p>
        </w:tc>
        <w:tc>
          <w:tcPr>
            <w:tcW w:w="0" w:type="auto"/>
            <w:tcBorders>
              <w:top w:val="single" w:sz="4" w:space="0" w:color="000000"/>
              <w:left w:val="single" w:sz="4" w:space="0" w:color="000000"/>
              <w:bottom w:val="single" w:sz="8" w:space="0" w:color="000000"/>
              <w:right w:val="single" w:sz="4" w:space="0" w:color="000000"/>
            </w:tcBorders>
            <w:shd w:val="clear" w:color="auto" w:fill="auto"/>
          </w:tcPr>
          <w:p w14:paraId="42044C67" w14:textId="77777777" w:rsidR="005C3C07" w:rsidRPr="00E53F92" w:rsidRDefault="005C3C07" w:rsidP="0062633B">
            <w:pPr>
              <w:tabs>
                <w:tab w:val="left" w:pos="1148"/>
              </w:tabs>
              <w:spacing w:before="60" w:after="60" w:line="220" w:lineRule="exact"/>
              <w:rPr>
                <w:b/>
                <w:bCs/>
                <w:sz w:val="16"/>
                <w:szCs w:val="18"/>
              </w:rPr>
            </w:pPr>
            <w:r w:rsidRPr="00E53F92">
              <w:rPr>
                <w:b/>
                <w:bCs/>
                <w:sz w:val="16"/>
                <w:szCs w:val="18"/>
              </w:rPr>
              <w:t>23</w:t>
            </w:r>
            <w:r w:rsidRPr="00E53F92">
              <w:rPr>
                <w:b/>
                <w:bCs/>
                <w:sz w:val="16"/>
                <w:szCs w:val="18"/>
                <w:rtl/>
              </w:rPr>
              <w:t>–</w:t>
            </w:r>
            <w:r w:rsidRPr="00E53F92">
              <w:rPr>
                <w:b/>
                <w:bCs/>
                <w:sz w:val="16"/>
                <w:szCs w:val="18"/>
              </w:rPr>
              <w:t>27</w:t>
            </w:r>
          </w:p>
        </w:tc>
        <w:tc>
          <w:tcPr>
            <w:tcW w:w="0" w:type="auto"/>
            <w:tcBorders>
              <w:top w:val="single" w:sz="4" w:space="0" w:color="000000"/>
              <w:left w:val="single" w:sz="4" w:space="0" w:color="000000"/>
              <w:bottom w:val="single" w:sz="8" w:space="0" w:color="000000"/>
              <w:right w:val="single" w:sz="4" w:space="0" w:color="000000"/>
            </w:tcBorders>
            <w:shd w:val="clear" w:color="auto" w:fill="auto"/>
          </w:tcPr>
          <w:p w14:paraId="39F3E76E" w14:textId="77777777" w:rsidR="005C3C07" w:rsidRPr="00E53F92" w:rsidRDefault="005C3C07" w:rsidP="0062633B">
            <w:pPr>
              <w:tabs>
                <w:tab w:val="left" w:pos="1148"/>
              </w:tabs>
              <w:spacing w:before="60" w:after="60" w:line="220" w:lineRule="exact"/>
              <w:rPr>
                <w:b/>
                <w:bCs/>
                <w:sz w:val="16"/>
                <w:szCs w:val="18"/>
              </w:rPr>
            </w:pPr>
            <w:r w:rsidRPr="00E53F92">
              <w:rPr>
                <w:b/>
                <w:bCs/>
                <w:sz w:val="16"/>
                <w:szCs w:val="18"/>
              </w:rPr>
              <w:t>28</w:t>
            </w:r>
            <w:r w:rsidRPr="00E53F92">
              <w:rPr>
                <w:b/>
                <w:bCs/>
                <w:sz w:val="16"/>
                <w:szCs w:val="18"/>
                <w:rtl/>
              </w:rPr>
              <w:t>–</w:t>
            </w:r>
            <w:r w:rsidRPr="00E53F92">
              <w:rPr>
                <w:b/>
                <w:bCs/>
                <w:sz w:val="16"/>
                <w:szCs w:val="18"/>
              </w:rPr>
              <w:t>32</w:t>
            </w:r>
          </w:p>
        </w:tc>
        <w:tc>
          <w:tcPr>
            <w:tcW w:w="0" w:type="auto"/>
            <w:tcBorders>
              <w:top w:val="single" w:sz="4" w:space="0" w:color="000000"/>
              <w:left w:val="single" w:sz="4" w:space="0" w:color="000000"/>
              <w:bottom w:val="single" w:sz="8" w:space="0" w:color="000000"/>
              <w:right w:val="single" w:sz="4" w:space="0" w:color="000000"/>
            </w:tcBorders>
            <w:shd w:val="clear" w:color="auto" w:fill="auto"/>
          </w:tcPr>
          <w:p w14:paraId="5D0242E6" w14:textId="77777777" w:rsidR="005C3C07" w:rsidRPr="00E53F92" w:rsidRDefault="005C3C07" w:rsidP="0062633B">
            <w:pPr>
              <w:tabs>
                <w:tab w:val="left" w:pos="1148"/>
              </w:tabs>
              <w:spacing w:before="60" w:after="60" w:line="220" w:lineRule="exact"/>
              <w:rPr>
                <w:b/>
                <w:bCs/>
                <w:sz w:val="16"/>
                <w:szCs w:val="18"/>
              </w:rPr>
            </w:pPr>
            <w:r w:rsidRPr="00E53F92">
              <w:rPr>
                <w:b/>
                <w:bCs/>
                <w:sz w:val="16"/>
                <w:szCs w:val="18"/>
              </w:rPr>
              <w:t>33</w:t>
            </w:r>
            <w:r w:rsidRPr="00E53F92">
              <w:rPr>
                <w:b/>
                <w:bCs/>
                <w:sz w:val="16"/>
                <w:szCs w:val="18"/>
                <w:rtl/>
              </w:rPr>
              <w:t>–</w:t>
            </w:r>
            <w:r w:rsidRPr="00E53F92">
              <w:rPr>
                <w:b/>
                <w:bCs/>
                <w:sz w:val="16"/>
                <w:szCs w:val="18"/>
              </w:rPr>
              <w:t>37</w:t>
            </w:r>
          </w:p>
        </w:tc>
        <w:tc>
          <w:tcPr>
            <w:tcW w:w="0" w:type="auto"/>
            <w:tcBorders>
              <w:top w:val="single" w:sz="4" w:space="0" w:color="000000"/>
              <w:left w:val="single" w:sz="4" w:space="0" w:color="000000"/>
              <w:bottom w:val="single" w:sz="8" w:space="0" w:color="000000"/>
              <w:right w:val="single" w:sz="4" w:space="0" w:color="000000"/>
            </w:tcBorders>
            <w:shd w:val="clear" w:color="auto" w:fill="auto"/>
          </w:tcPr>
          <w:p w14:paraId="3ACD4686" w14:textId="77777777" w:rsidR="005C3C07" w:rsidRPr="00E53F92" w:rsidRDefault="005C3C07" w:rsidP="0062633B">
            <w:pPr>
              <w:tabs>
                <w:tab w:val="left" w:pos="1148"/>
              </w:tabs>
              <w:spacing w:before="60" w:after="60" w:line="220" w:lineRule="exact"/>
              <w:rPr>
                <w:b/>
                <w:bCs/>
                <w:sz w:val="16"/>
                <w:szCs w:val="18"/>
              </w:rPr>
            </w:pPr>
            <w:r w:rsidRPr="00E53F92">
              <w:rPr>
                <w:b/>
                <w:bCs/>
                <w:sz w:val="16"/>
                <w:szCs w:val="18"/>
              </w:rPr>
              <w:t>38</w:t>
            </w:r>
            <w:r w:rsidRPr="00E53F92">
              <w:rPr>
                <w:b/>
                <w:bCs/>
                <w:sz w:val="16"/>
                <w:szCs w:val="18"/>
                <w:rtl/>
              </w:rPr>
              <w:t>–</w:t>
            </w:r>
            <w:r w:rsidRPr="00E53F92">
              <w:rPr>
                <w:b/>
                <w:bCs/>
                <w:sz w:val="16"/>
                <w:szCs w:val="18"/>
              </w:rPr>
              <w:t>42</w:t>
            </w:r>
          </w:p>
        </w:tc>
        <w:tc>
          <w:tcPr>
            <w:tcW w:w="0" w:type="auto"/>
            <w:tcBorders>
              <w:top w:val="single" w:sz="4" w:space="0" w:color="000000"/>
              <w:left w:val="single" w:sz="4" w:space="0" w:color="000000"/>
              <w:bottom w:val="single" w:sz="8" w:space="0" w:color="000000"/>
              <w:right w:val="single" w:sz="4" w:space="0" w:color="000000"/>
            </w:tcBorders>
            <w:shd w:val="clear" w:color="auto" w:fill="auto"/>
          </w:tcPr>
          <w:p w14:paraId="70175BC4" w14:textId="77777777" w:rsidR="005C3C07" w:rsidRPr="00E53F92" w:rsidRDefault="005C3C07" w:rsidP="0062633B">
            <w:pPr>
              <w:tabs>
                <w:tab w:val="left" w:pos="1148"/>
              </w:tabs>
              <w:spacing w:before="60" w:after="60" w:line="220" w:lineRule="exact"/>
              <w:rPr>
                <w:b/>
                <w:bCs/>
                <w:sz w:val="16"/>
                <w:szCs w:val="18"/>
              </w:rPr>
            </w:pPr>
            <w:r w:rsidRPr="00E53F92">
              <w:rPr>
                <w:b/>
                <w:bCs/>
                <w:sz w:val="16"/>
                <w:szCs w:val="18"/>
              </w:rPr>
              <w:t>42</w:t>
            </w:r>
            <w:r w:rsidRPr="00E53F92">
              <w:rPr>
                <w:b/>
                <w:bCs/>
                <w:sz w:val="16"/>
                <w:szCs w:val="18"/>
                <w:rtl/>
              </w:rPr>
              <w:t>–</w:t>
            </w:r>
            <w:r w:rsidRPr="00E53F92">
              <w:rPr>
                <w:b/>
                <w:bCs/>
                <w:sz w:val="16"/>
                <w:szCs w:val="18"/>
              </w:rPr>
              <w:t>47</w:t>
            </w:r>
          </w:p>
        </w:tc>
        <w:tc>
          <w:tcPr>
            <w:tcW w:w="0" w:type="auto"/>
            <w:tcBorders>
              <w:top w:val="single" w:sz="4" w:space="0" w:color="000000"/>
              <w:left w:val="single" w:sz="4" w:space="0" w:color="000000"/>
              <w:bottom w:val="single" w:sz="8" w:space="0" w:color="000000"/>
            </w:tcBorders>
            <w:shd w:val="clear" w:color="auto" w:fill="auto"/>
          </w:tcPr>
          <w:p w14:paraId="4B286D48" w14:textId="77777777" w:rsidR="005C3C07" w:rsidRPr="00E53F92" w:rsidRDefault="005C3C07" w:rsidP="0062633B">
            <w:pPr>
              <w:tabs>
                <w:tab w:val="left" w:pos="1148"/>
              </w:tabs>
              <w:spacing w:before="60" w:after="60" w:line="220" w:lineRule="exact"/>
              <w:rPr>
                <w:b/>
                <w:bCs/>
                <w:sz w:val="16"/>
                <w:szCs w:val="18"/>
                <w:rtl/>
              </w:rPr>
            </w:pPr>
            <w:r w:rsidRPr="00E53F92">
              <w:rPr>
                <w:rFonts w:hint="cs"/>
                <w:b/>
                <w:bCs/>
                <w:sz w:val="16"/>
                <w:szCs w:val="18"/>
                <w:rtl/>
              </w:rPr>
              <w:t>48</w:t>
            </w:r>
            <w:r w:rsidRPr="00E53F92">
              <w:rPr>
                <w:b/>
                <w:bCs/>
                <w:sz w:val="16"/>
                <w:szCs w:val="18"/>
                <w:rtl/>
              </w:rPr>
              <w:t>–</w:t>
            </w:r>
            <w:r w:rsidRPr="00E53F92">
              <w:rPr>
                <w:rFonts w:hint="cs"/>
                <w:b/>
                <w:bCs/>
                <w:sz w:val="16"/>
                <w:szCs w:val="18"/>
                <w:rtl/>
              </w:rPr>
              <w:t>52</w:t>
            </w:r>
          </w:p>
        </w:tc>
      </w:tr>
      <w:tr w:rsidR="005C3C07" w14:paraId="2AC31467" w14:textId="77777777" w:rsidTr="004B3169">
        <w:trPr>
          <w:jc w:val="center"/>
        </w:trPr>
        <w:tc>
          <w:tcPr>
            <w:tcW w:w="0" w:type="auto"/>
            <w:tcBorders>
              <w:top w:val="single" w:sz="8" w:space="0" w:color="000000"/>
              <w:bottom w:val="single" w:sz="4" w:space="0" w:color="000000"/>
              <w:right w:val="single" w:sz="4" w:space="0" w:color="000000"/>
            </w:tcBorders>
            <w:shd w:val="clear" w:color="auto" w:fill="auto"/>
          </w:tcPr>
          <w:p w14:paraId="238DD02C" w14:textId="77777777" w:rsidR="005C3C07" w:rsidRPr="00E53F92" w:rsidRDefault="005C3C07" w:rsidP="0062633B">
            <w:pPr>
              <w:tabs>
                <w:tab w:val="left" w:pos="1148"/>
              </w:tabs>
              <w:spacing w:before="60" w:after="60" w:line="220" w:lineRule="exact"/>
              <w:rPr>
                <w:color w:val="000000"/>
                <w:sz w:val="16"/>
                <w:szCs w:val="18"/>
              </w:rPr>
            </w:pPr>
            <w:r w:rsidRPr="00E53F92">
              <w:rPr>
                <w:color w:val="000000"/>
                <w:sz w:val="16"/>
                <w:szCs w:val="18"/>
                <w:rtl/>
              </w:rPr>
              <w:t>קבוע</w:t>
            </w:r>
          </w:p>
        </w:tc>
        <w:tc>
          <w:tcPr>
            <w:tcW w:w="0" w:type="auto"/>
            <w:tcBorders>
              <w:top w:val="single" w:sz="8" w:space="0" w:color="000000"/>
              <w:left w:val="single" w:sz="4" w:space="0" w:color="000000"/>
              <w:bottom w:val="single" w:sz="4" w:space="0" w:color="000000"/>
              <w:right w:val="single" w:sz="4" w:space="0" w:color="000000"/>
            </w:tcBorders>
            <w:shd w:val="clear" w:color="auto" w:fill="auto"/>
            <w:vAlign w:val="bottom"/>
          </w:tcPr>
          <w:p w14:paraId="1277F098" w14:textId="77777777" w:rsidR="005C3C07" w:rsidRPr="00E53F92" w:rsidRDefault="005C3C07" w:rsidP="0062633B">
            <w:pPr>
              <w:tabs>
                <w:tab w:val="left" w:pos="1148"/>
              </w:tabs>
              <w:spacing w:before="60" w:after="60" w:line="220" w:lineRule="exact"/>
              <w:rPr>
                <w:sz w:val="16"/>
                <w:szCs w:val="18"/>
              </w:rPr>
            </w:pPr>
            <w:r w:rsidRPr="00E53F92">
              <w:rPr>
                <w:sz w:val="16"/>
                <w:szCs w:val="18"/>
              </w:rPr>
              <w:t>1.52</w:t>
            </w:r>
          </w:p>
        </w:tc>
        <w:tc>
          <w:tcPr>
            <w:tcW w:w="0" w:type="auto"/>
            <w:tcBorders>
              <w:top w:val="single" w:sz="8" w:space="0" w:color="000000"/>
              <w:left w:val="single" w:sz="4" w:space="0" w:color="000000"/>
              <w:bottom w:val="single" w:sz="4" w:space="0" w:color="000000"/>
              <w:right w:val="single" w:sz="4" w:space="0" w:color="000000"/>
            </w:tcBorders>
            <w:shd w:val="clear" w:color="auto" w:fill="auto"/>
            <w:vAlign w:val="bottom"/>
          </w:tcPr>
          <w:p w14:paraId="1E55AB12" w14:textId="77777777" w:rsidR="005C3C07" w:rsidRPr="00E53F92" w:rsidRDefault="005C3C07" w:rsidP="0062633B">
            <w:pPr>
              <w:tabs>
                <w:tab w:val="left" w:pos="1148"/>
              </w:tabs>
              <w:spacing w:before="60" w:after="60" w:line="220" w:lineRule="exact"/>
              <w:rPr>
                <w:sz w:val="16"/>
                <w:szCs w:val="18"/>
              </w:rPr>
            </w:pPr>
            <w:r w:rsidRPr="00E53F92">
              <w:rPr>
                <w:sz w:val="16"/>
                <w:szCs w:val="18"/>
              </w:rPr>
              <w:t>2.84</w:t>
            </w:r>
          </w:p>
        </w:tc>
        <w:tc>
          <w:tcPr>
            <w:tcW w:w="0" w:type="auto"/>
            <w:tcBorders>
              <w:top w:val="single" w:sz="8" w:space="0" w:color="000000"/>
              <w:left w:val="single" w:sz="4" w:space="0" w:color="000000"/>
              <w:bottom w:val="single" w:sz="4" w:space="0" w:color="000000"/>
              <w:right w:val="single" w:sz="4" w:space="0" w:color="000000"/>
            </w:tcBorders>
            <w:shd w:val="clear" w:color="auto" w:fill="auto"/>
            <w:vAlign w:val="bottom"/>
          </w:tcPr>
          <w:p w14:paraId="57909FB0" w14:textId="77777777" w:rsidR="005C3C07" w:rsidRPr="00E53F92" w:rsidRDefault="005C3C07" w:rsidP="0062633B">
            <w:pPr>
              <w:tabs>
                <w:tab w:val="left" w:pos="1148"/>
              </w:tabs>
              <w:spacing w:before="60" w:after="60" w:line="220" w:lineRule="exact"/>
              <w:rPr>
                <w:sz w:val="16"/>
                <w:szCs w:val="18"/>
              </w:rPr>
            </w:pPr>
            <w:r w:rsidRPr="00E53F92">
              <w:rPr>
                <w:sz w:val="16"/>
                <w:szCs w:val="18"/>
              </w:rPr>
              <w:t>4.38</w:t>
            </w:r>
          </w:p>
        </w:tc>
        <w:tc>
          <w:tcPr>
            <w:tcW w:w="0" w:type="auto"/>
            <w:tcBorders>
              <w:top w:val="single" w:sz="8" w:space="0" w:color="000000"/>
              <w:left w:val="single" w:sz="4" w:space="0" w:color="000000"/>
              <w:bottom w:val="single" w:sz="4" w:space="0" w:color="000000"/>
              <w:right w:val="single" w:sz="4" w:space="0" w:color="000000"/>
            </w:tcBorders>
            <w:shd w:val="clear" w:color="auto" w:fill="auto"/>
            <w:vAlign w:val="bottom"/>
          </w:tcPr>
          <w:p w14:paraId="624B0E15" w14:textId="77777777" w:rsidR="005C3C07" w:rsidRPr="00E53F92" w:rsidRDefault="005C3C07" w:rsidP="0062633B">
            <w:pPr>
              <w:tabs>
                <w:tab w:val="left" w:pos="1148"/>
              </w:tabs>
              <w:spacing w:before="60" w:after="60" w:line="220" w:lineRule="exact"/>
              <w:rPr>
                <w:sz w:val="16"/>
                <w:szCs w:val="18"/>
              </w:rPr>
            </w:pPr>
            <w:r w:rsidRPr="00E53F92">
              <w:rPr>
                <w:sz w:val="16"/>
                <w:szCs w:val="18"/>
              </w:rPr>
              <w:t>5.54</w:t>
            </w:r>
          </w:p>
        </w:tc>
        <w:tc>
          <w:tcPr>
            <w:tcW w:w="0" w:type="auto"/>
            <w:tcBorders>
              <w:top w:val="single" w:sz="8" w:space="0" w:color="000000"/>
              <w:left w:val="single" w:sz="4" w:space="0" w:color="000000"/>
              <w:bottom w:val="single" w:sz="4" w:space="0" w:color="000000"/>
              <w:right w:val="single" w:sz="4" w:space="0" w:color="000000"/>
            </w:tcBorders>
            <w:shd w:val="clear" w:color="auto" w:fill="auto"/>
            <w:vAlign w:val="bottom"/>
          </w:tcPr>
          <w:p w14:paraId="74683216" w14:textId="77777777" w:rsidR="005C3C07" w:rsidRPr="00E53F92" w:rsidRDefault="005C3C07" w:rsidP="0062633B">
            <w:pPr>
              <w:tabs>
                <w:tab w:val="left" w:pos="1148"/>
              </w:tabs>
              <w:spacing w:before="60" w:after="60" w:line="220" w:lineRule="exact"/>
              <w:rPr>
                <w:sz w:val="16"/>
                <w:szCs w:val="18"/>
              </w:rPr>
            </w:pPr>
            <w:r w:rsidRPr="00E53F92">
              <w:rPr>
                <w:sz w:val="16"/>
                <w:szCs w:val="18"/>
              </w:rPr>
              <w:t>7.08</w:t>
            </w:r>
          </w:p>
        </w:tc>
        <w:tc>
          <w:tcPr>
            <w:tcW w:w="0" w:type="auto"/>
            <w:tcBorders>
              <w:top w:val="single" w:sz="8" w:space="0" w:color="000000"/>
              <w:left w:val="single" w:sz="4" w:space="0" w:color="000000"/>
              <w:bottom w:val="single" w:sz="4" w:space="0" w:color="000000"/>
              <w:right w:val="single" w:sz="4" w:space="0" w:color="000000"/>
            </w:tcBorders>
            <w:shd w:val="clear" w:color="auto" w:fill="auto"/>
            <w:vAlign w:val="bottom"/>
          </w:tcPr>
          <w:p w14:paraId="5C567CDD" w14:textId="77777777" w:rsidR="005C3C07" w:rsidRPr="00E53F92" w:rsidRDefault="005C3C07" w:rsidP="0062633B">
            <w:pPr>
              <w:tabs>
                <w:tab w:val="left" w:pos="1148"/>
              </w:tabs>
              <w:spacing w:before="60" w:after="60" w:line="220" w:lineRule="exact"/>
              <w:rPr>
                <w:sz w:val="16"/>
                <w:szCs w:val="18"/>
              </w:rPr>
            </w:pPr>
            <w:r w:rsidRPr="00E53F92">
              <w:rPr>
                <w:sz w:val="16"/>
                <w:szCs w:val="18"/>
              </w:rPr>
              <w:t>7.18</w:t>
            </w:r>
          </w:p>
        </w:tc>
        <w:tc>
          <w:tcPr>
            <w:tcW w:w="0" w:type="auto"/>
            <w:tcBorders>
              <w:top w:val="single" w:sz="8" w:space="0" w:color="000000"/>
              <w:left w:val="single" w:sz="4" w:space="0" w:color="000000"/>
              <w:bottom w:val="single" w:sz="4" w:space="0" w:color="000000"/>
            </w:tcBorders>
            <w:shd w:val="clear" w:color="auto" w:fill="auto"/>
            <w:vAlign w:val="bottom"/>
          </w:tcPr>
          <w:p w14:paraId="7D010253" w14:textId="77777777" w:rsidR="005C3C07" w:rsidRPr="00E53F92" w:rsidRDefault="005C3C07" w:rsidP="0062633B">
            <w:pPr>
              <w:tabs>
                <w:tab w:val="left" w:pos="1148"/>
              </w:tabs>
              <w:spacing w:before="60" w:after="60" w:line="220" w:lineRule="exact"/>
              <w:rPr>
                <w:sz w:val="16"/>
                <w:szCs w:val="18"/>
              </w:rPr>
            </w:pPr>
            <w:r w:rsidRPr="00E53F92">
              <w:rPr>
                <w:sz w:val="16"/>
                <w:szCs w:val="18"/>
              </w:rPr>
              <w:t>7.49</w:t>
            </w:r>
          </w:p>
        </w:tc>
      </w:tr>
      <w:tr w:rsidR="005C3C07" w14:paraId="57F718AE" w14:textId="77777777" w:rsidTr="004B3169">
        <w:trPr>
          <w:jc w:val="center"/>
        </w:trPr>
        <w:tc>
          <w:tcPr>
            <w:tcW w:w="0" w:type="auto"/>
            <w:vMerge w:val="restart"/>
            <w:tcBorders>
              <w:top w:val="single" w:sz="4" w:space="0" w:color="000000"/>
              <w:bottom w:val="nil"/>
              <w:right w:val="single" w:sz="4" w:space="0" w:color="000000"/>
            </w:tcBorders>
            <w:shd w:val="clear" w:color="auto" w:fill="auto"/>
          </w:tcPr>
          <w:p w14:paraId="18F27CC7" w14:textId="77777777" w:rsidR="005C3C07" w:rsidRPr="00E53F92" w:rsidRDefault="005C3C07" w:rsidP="0062633B">
            <w:pPr>
              <w:tabs>
                <w:tab w:val="left" w:pos="1148"/>
              </w:tabs>
              <w:spacing w:before="60" w:after="60" w:line="220" w:lineRule="exact"/>
              <w:rPr>
                <w:color w:val="000000"/>
                <w:sz w:val="16"/>
                <w:szCs w:val="18"/>
              </w:rPr>
            </w:pPr>
            <w:r w:rsidRPr="00E53F92">
              <w:rPr>
                <w:color w:val="000000"/>
                <w:sz w:val="16"/>
                <w:szCs w:val="18"/>
                <w:rtl/>
              </w:rPr>
              <w:t>גיל לידה ראשונה</w:t>
            </w:r>
          </w:p>
        </w:tc>
        <w:tc>
          <w:tcPr>
            <w:tcW w:w="0" w:type="auto"/>
            <w:tcBorders>
              <w:top w:val="single" w:sz="4" w:space="0" w:color="000000"/>
              <w:left w:val="single" w:sz="4" w:space="0" w:color="000000"/>
              <w:bottom w:val="nil"/>
              <w:right w:val="single" w:sz="4" w:space="0" w:color="000000"/>
            </w:tcBorders>
            <w:shd w:val="clear" w:color="auto" w:fill="auto"/>
            <w:vAlign w:val="bottom"/>
          </w:tcPr>
          <w:p w14:paraId="29A98B1A" w14:textId="77777777" w:rsidR="005C3C07" w:rsidRPr="00E53F92" w:rsidRDefault="005C3C07" w:rsidP="0062633B">
            <w:pPr>
              <w:tabs>
                <w:tab w:val="left" w:pos="1148"/>
              </w:tabs>
              <w:spacing w:before="60" w:after="60" w:line="220" w:lineRule="exact"/>
              <w:rPr>
                <w:sz w:val="16"/>
                <w:szCs w:val="18"/>
              </w:rPr>
            </w:pPr>
            <w:r w:rsidRPr="00E53F92">
              <w:rPr>
                <w:sz w:val="16"/>
                <w:szCs w:val="18"/>
              </w:rPr>
              <w:t>0.854</w:t>
            </w:r>
          </w:p>
        </w:tc>
        <w:tc>
          <w:tcPr>
            <w:tcW w:w="0" w:type="auto"/>
            <w:tcBorders>
              <w:top w:val="single" w:sz="4" w:space="0" w:color="000000"/>
              <w:left w:val="single" w:sz="4" w:space="0" w:color="000000"/>
              <w:bottom w:val="nil"/>
              <w:right w:val="single" w:sz="4" w:space="0" w:color="000000"/>
            </w:tcBorders>
            <w:shd w:val="clear" w:color="auto" w:fill="auto"/>
            <w:vAlign w:val="bottom"/>
          </w:tcPr>
          <w:p w14:paraId="684A2FBF" w14:textId="77777777" w:rsidR="005C3C07" w:rsidRPr="00E53F92" w:rsidRDefault="005C3C07" w:rsidP="0062633B">
            <w:pPr>
              <w:tabs>
                <w:tab w:val="left" w:pos="1148"/>
              </w:tabs>
              <w:spacing w:before="60" w:after="60" w:line="220" w:lineRule="exact"/>
              <w:rPr>
                <w:sz w:val="16"/>
                <w:szCs w:val="18"/>
              </w:rPr>
            </w:pPr>
            <w:r w:rsidRPr="00E53F92">
              <w:rPr>
                <w:sz w:val="16"/>
                <w:szCs w:val="18"/>
              </w:rPr>
              <w:t>0.870</w:t>
            </w:r>
          </w:p>
        </w:tc>
        <w:tc>
          <w:tcPr>
            <w:tcW w:w="0" w:type="auto"/>
            <w:tcBorders>
              <w:top w:val="single" w:sz="4" w:space="0" w:color="000000"/>
              <w:left w:val="single" w:sz="4" w:space="0" w:color="000000"/>
              <w:bottom w:val="nil"/>
              <w:right w:val="single" w:sz="4" w:space="0" w:color="000000"/>
            </w:tcBorders>
            <w:shd w:val="clear" w:color="auto" w:fill="auto"/>
            <w:vAlign w:val="bottom"/>
          </w:tcPr>
          <w:p w14:paraId="0116A149" w14:textId="77777777" w:rsidR="005C3C07" w:rsidRPr="00E53F92" w:rsidRDefault="005C3C07" w:rsidP="0062633B">
            <w:pPr>
              <w:tabs>
                <w:tab w:val="left" w:pos="1148"/>
              </w:tabs>
              <w:spacing w:before="60" w:after="60" w:line="220" w:lineRule="exact"/>
              <w:rPr>
                <w:sz w:val="16"/>
                <w:szCs w:val="18"/>
              </w:rPr>
            </w:pPr>
            <w:r w:rsidRPr="00E53F92">
              <w:rPr>
                <w:sz w:val="16"/>
                <w:szCs w:val="18"/>
              </w:rPr>
              <w:t>0.929</w:t>
            </w:r>
          </w:p>
        </w:tc>
        <w:tc>
          <w:tcPr>
            <w:tcW w:w="0" w:type="auto"/>
            <w:tcBorders>
              <w:top w:val="single" w:sz="4" w:space="0" w:color="000000"/>
              <w:left w:val="single" w:sz="4" w:space="0" w:color="000000"/>
              <w:bottom w:val="nil"/>
              <w:right w:val="single" w:sz="4" w:space="0" w:color="000000"/>
            </w:tcBorders>
            <w:shd w:val="clear" w:color="auto" w:fill="auto"/>
            <w:vAlign w:val="bottom"/>
          </w:tcPr>
          <w:p w14:paraId="5C361A66" w14:textId="77777777" w:rsidR="005C3C07" w:rsidRPr="00E53F92" w:rsidRDefault="005C3C07" w:rsidP="0062633B">
            <w:pPr>
              <w:tabs>
                <w:tab w:val="left" w:pos="1148"/>
              </w:tabs>
              <w:spacing w:before="60" w:after="60" w:line="220" w:lineRule="exact"/>
              <w:rPr>
                <w:sz w:val="16"/>
                <w:szCs w:val="18"/>
              </w:rPr>
            </w:pPr>
            <w:r w:rsidRPr="00E53F92">
              <w:rPr>
                <w:sz w:val="16"/>
                <w:szCs w:val="18"/>
              </w:rPr>
              <w:t>0.933</w:t>
            </w:r>
          </w:p>
        </w:tc>
        <w:tc>
          <w:tcPr>
            <w:tcW w:w="0" w:type="auto"/>
            <w:tcBorders>
              <w:top w:val="single" w:sz="4" w:space="0" w:color="000000"/>
              <w:left w:val="single" w:sz="4" w:space="0" w:color="000000"/>
              <w:bottom w:val="nil"/>
              <w:right w:val="single" w:sz="4" w:space="0" w:color="000000"/>
            </w:tcBorders>
            <w:shd w:val="clear" w:color="auto" w:fill="auto"/>
            <w:vAlign w:val="bottom"/>
          </w:tcPr>
          <w:p w14:paraId="229FB3B1" w14:textId="77777777" w:rsidR="005C3C07" w:rsidRPr="00E53F92" w:rsidRDefault="005C3C07" w:rsidP="0062633B">
            <w:pPr>
              <w:tabs>
                <w:tab w:val="left" w:pos="1148"/>
              </w:tabs>
              <w:spacing w:before="60" w:after="60" w:line="220" w:lineRule="exact"/>
              <w:rPr>
                <w:sz w:val="16"/>
                <w:szCs w:val="18"/>
              </w:rPr>
            </w:pPr>
            <w:r w:rsidRPr="00E53F92">
              <w:rPr>
                <w:sz w:val="16"/>
                <w:szCs w:val="18"/>
              </w:rPr>
              <w:t>0.982</w:t>
            </w:r>
          </w:p>
        </w:tc>
        <w:tc>
          <w:tcPr>
            <w:tcW w:w="0" w:type="auto"/>
            <w:tcBorders>
              <w:top w:val="single" w:sz="4" w:space="0" w:color="000000"/>
              <w:left w:val="single" w:sz="4" w:space="0" w:color="000000"/>
              <w:bottom w:val="nil"/>
              <w:right w:val="single" w:sz="4" w:space="0" w:color="000000"/>
            </w:tcBorders>
            <w:shd w:val="clear" w:color="auto" w:fill="auto"/>
            <w:vAlign w:val="bottom"/>
          </w:tcPr>
          <w:p w14:paraId="63BD5D2C" w14:textId="77777777" w:rsidR="005C3C07" w:rsidRPr="00E53F92" w:rsidRDefault="005C3C07" w:rsidP="0062633B">
            <w:pPr>
              <w:tabs>
                <w:tab w:val="left" w:pos="1148"/>
              </w:tabs>
              <w:spacing w:before="60" w:after="60" w:line="220" w:lineRule="exact"/>
              <w:rPr>
                <w:sz w:val="16"/>
                <w:szCs w:val="18"/>
              </w:rPr>
            </w:pPr>
            <w:r w:rsidRPr="00E53F92">
              <w:rPr>
                <w:sz w:val="16"/>
                <w:szCs w:val="18"/>
              </w:rPr>
              <w:t>0.957</w:t>
            </w:r>
          </w:p>
        </w:tc>
        <w:tc>
          <w:tcPr>
            <w:tcW w:w="0" w:type="auto"/>
            <w:tcBorders>
              <w:top w:val="single" w:sz="4" w:space="0" w:color="000000"/>
              <w:left w:val="single" w:sz="4" w:space="0" w:color="000000"/>
              <w:bottom w:val="nil"/>
            </w:tcBorders>
            <w:shd w:val="clear" w:color="auto" w:fill="auto"/>
            <w:vAlign w:val="bottom"/>
          </w:tcPr>
          <w:p w14:paraId="72AC52F3" w14:textId="77777777" w:rsidR="005C3C07" w:rsidRPr="00E53F92" w:rsidRDefault="005C3C07" w:rsidP="0062633B">
            <w:pPr>
              <w:tabs>
                <w:tab w:val="left" w:pos="1148"/>
              </w:tabs>
              <w:spacing w:before="60" w:after="60" w:line="220" w:lineRule="exact"/>
              <w:rPr>
                <w:sz w:val="16"/>
                <w:szCs w:val="18"/>
              </w:rPr>
            </w:pPr>
            <w:r w:rsidRPr="00E53F92">
              <w:rPr>
                <w:sz w:val="16"/>
                <w:szCs w:val="18"/>
              </w:rPr>
              <w:t>0.999</w:t>
            </w:r>
          </w:p>
        </w:tc>
      </w:tr>
      <w:tr w:rsidR="005C3C07" w14:paraId="71FBA85B" w14:textId="77777777" w:rsidTr="004B3169">
        <w:trPr>
          <w:jc w:val="center"/>
        </w:trPr>
        <w:tc>
          <w:tcPr>
            <w:tcW w:w="0" w:type="auto"/>
            <w:vMerge/>
            <w:tcBorders>
              <w:top w:val="nil"/>
              <w:bottom w:val="single" w:sz="4" w:space="0" w:color="000000"/>
              <w:right w:val="single" w:sz="4" w:space="0" w:color="000000"/>
            </w:tcBorders>
            <w:shd w:val="clear" w:color="auto" w:fill="auto"/>
          </w:tcPr>
          <w:p w14:paraId="3D7AB456" w14:textId="77777777" w:rsidR="005C3C07" w:rsidRPr="00E53F92" w:rsidRDefault="005C3C07" w:rsidP="0062633B">
            <w:pPr>
              <w:pBdr>
                <w:top w:val="nil"/>
                <w:left w:val="nil"/>
                <w:bottom w:val="nil"/>
                <w:right w:val="nil"/>
                <w:between w:val="nil"/>
              </w:pBdr>
              <w:tabs>
                <w:tab w:val="left" w:pos="1148"/>
              </w:tabs>
              <w:spacing w:before="60" w:after="60" w:line="220" w:lineRule="exact"/>
              <w:rPr>
                <w:color w:val="000000"/>
                <w:sz w:val="16"/>
                <w:szCs w:val="18"/>
              </w:rPr>
            </w:pPr>
          </w:p>
        </w:tc>
        <w:tc>
          <w:tcPr>
            <w:tcW w:w="0" w:type="auto"/>
            <w:tcBorders>
              <w:top w:val="nil"/>
              <w:left w:val="single" w:sz="4" w:space="0" w:color="000000"/>
              <w:bottom w:val="single" w:sz="4" w:space="0" w:color="000000"/>
              <w:right w:val="single" w:sz="4" w:space="0" w:color="000000"/>
            </w:tcBorders>
            <w:shd w:val="clear" w:color="auto" w:fill="auto"/>
            <w:vAlign w:val="bottom"/>
          </w:tcPr>
          <w:p w14:paraId="27651B04" w14:textId="77777777" w:rsidR="005C3C07" w:rsidRPr="00E53F92" w:rsidRDefault="005C3C07" w:rsidP="0062633B">
            <w:pPr>
              <w:tabs>
                <w:tab w:val="left" w:pos="1148"/>
              </w:tabs>
              <w:spacing w:before="60" w:after="60" w:line="220" w:lineRule="exact"/>
              <w:rPr>
                <w:sz w:val="16"/>
                <w:szCs w:val="18"/>
              </w:rPr>
            </w:pPr>
            <w:r w:rsidRPr="00E53F92">
              <w:rPr>
                <w:sz w:val="16"/>
                <w:szCs w:val="18"/>
              </w:rPr>
              <w:t>(-1.19)</w:t>
            </w:r>
          </w:p>
        </w:tc>
        <w:tc>
          <w:tcPr>
            <w:tcW w:w="0" w:type="auto"/>
            <w:tcBorders>
              <w:top w:val="nil"/>
              <w:left w:val="single" w:sz="4" w:space="0" w:color="000000"/>
              <w:bottom w:val="single" w:sz="4" w:space="0" w:color="000000"/>
              <w:right w:val="single" w:sz="4" w:space="0" w:color="000000"/>
            </w:tcBorders>
            <w:shd w:val="clear" w:color="auto" w:fill="auto"/>
            <w:vAlign w:val="bottom"/>
          </w:tcPr>
          <w:p w14:paraId="6CCA1EC6" w14:textId="77777777" w:rsidR="005C3C07" w:rsidRPr="00E53F92" w:rsidRDefault="005C3C07" w:rsidP="0062633B">
            <w:pPr>
              <w:tabs>
                <w:tab w:val="left" w:pos="1148"/>
              </w:tabs>
              <w:spacing w:before="60" w:after="60" w:line="220" w:lineRule="exact"/>
              <w:rPr>
                <w:sz w:val="16"/>
                <w:szCs w:val="18"/>
              </w:rPr>
            </w:pPr>
            <w:r w:rsidRPr="00E53F92">
              <w:rPr>
                <w:sz w:val="16"/>
                <w:szCs w:val="18"/>
              </w:rPr>
              <w:t>(-3.58)</w:t>
            </w:r>
          </w:p>
        </w:tc>
        <w:tc>
          <w:tcPr>
            <w:tcW w:w="0" w:type="auto"/>
            <w:tcBorders>
              <w:top w:val="nil"/>
              <w:left w:val="single" w:sz="4" w:space="0" w:color="000000"/>
              <w:bottom w:val="single" w:sz="4" w:space="0" w:color="000000"/>
              <w:right w:val="single" w:sz="4" w:space="0" w:color="000000"/>
            </w:tcBorders>
            <w:shd w:val="clear" w:color="auto" w:fill="auto"/>
            <w:vAlign w:val="bottom"/>
          </w:tcPr>
          <w:p w14:paraId="210B8638" w14:textId="77777777" w:rsidR="005C3C07" w:rsidRPr="00E53F92" w:rsidRDefault="005C3C07" w:rsidP="0062633B">
            <w:pPr>
              <w:tabs>
                <w:tab w:val="left" w:pos="1148"/>
              </w:tabs>
              <w:spacing w:before="60" w:after="60" w:line="220" w:lineRule="exact"/>
              <w:rPr>
                <w:sz w:val="16"/>
                <w:szCs w:val="18"/>
              </w:rPr>
            </w:pPr>
            <w:r w:rsidRPr="00E53F92">
              <w:rPr>
                <w:sz w:val="16"/>
                <w:szCs w:val="18"/>
              </w:rPr>
              <w:t>(-3.85)</w:t>
            </w:r>
          </w:p>
        </w:tc>
        <w:tc>
          <w:tcPr>
            <w:tcW w:w="0" w:type="auto"/>
            <w:tcBorders>
              <w:top w:val="nil"/>
              <w:left w:val="single" w:sz="4" w:space="0" w:color="000000"/>
              <w:bottom w:val="single" w:sz="4" w:space="0" w:color="000000"/>
              <w:right w:val="single" w:sz="4" w:space="0" w:color="000000"/>
            </w:tcBorders>
            <w:shd w:val="clear" w:color="auto" w:fill="auto"/>
            <w:vAlign w:val="bottom"/>
          </w:tcPr>
          <w:p w14:paraId="5228E896" w14:textId="77777777" w:rsidR="005C3C07" w:rsidRPr="00E53F92" w:rsidRDefault="005C3C07" w:rsidP="0062633B">
            <w:pPr>
              <w:tabs>
                <w:tab w:val="left" w:pos="1148"/>
              </w:tabs>
              <w:spacing w:before="60" w:after="60" w:line="220" w:lineRule="exact"/>
              <w:rPr>
                <w:sz w:val="16"/>
                <w:szCs w:val="18"/>
              </w:rPr>
            </w:pPr>
            <w:r w:rsidRPr="00E53F92">
              <w:rPr>
                <w:sz w:val="16"/>
                <w:szCs w:val="18"/>
              </w:rPr>
              <w:t>(-3.71)</w:t>
            </w:r>
          </w:p>
        </w:tc>
        <w:tc>
          <w:tcPr>
            <w:tcW w:w="0" w:type="auto"/>
            <w:tcBorders>
              <w:top w:val="nil"/>
              <w:left w:val="single" w:sz="4" w:space="0" w:color="000000"/>
              <w:bottom w:val="single" w:sz="4" w:space="0" w:color="000000"/>
              <w:right w:val="single" w:sz="4" w:space="0" w:color="000000"/>
            </w:tcBorders>
            <w:shd w:val="clear" w:color="auto" w:fill="auto"/>
            <w:vAlign w:val="bottom"/>
          </w:tcPr>
          <w:p w14:paraId="066F9EF5" w14:textId="77777777" w:rsidR="005C3C07" w:rsidRPr="00E53F92" w:rsidRDefault="005C3C07" w:rsidP="0062633B">
            <w:pPr>
              <w:tabs>
                <w:tab w:val="left" w:pos="1148"/>
              </w:tabs>
              <w:spacing w:before="60" w:after="60" w:line="220" w:lineRule="exact"/>
              <w:rPr>
                <w:sz w:val="16"/>
                <w:szCs w:val="18"/>
              </w:rPr>
            </w:pPr>
            <w:r w:rsidRPr="00E53F92">
              <w:rPr>
                <w:sz w:val="16"/>
                <w:szCs w:val="18"/>
              </w:rPr>
              <w:t>(-1.04)</w:t>
            </w:r>
          </w:p>
        </w:tc>
        <w:tc>
          <w:tcPr>
            <w:tcW w:w="0" w:type="auto"/>
            <w:tcBorders>
              <w:top w:val="nil"/>
              <w:left w:val="single" w:sz="4" w:space="0" w:color="000000"/>
              <w:bottom w:val="single" w:sz="4" w:space="0" w:color="000000"/>
              <w:right w:val="single" w:sz="4" w:space="0" w:color="000000"/>
            </w:tcBorders>
            <w:shd w:val="clear" w:color="auto" w:fill="auto"/>
            <w:vAlign w:val="bottom"/>
          </w:tcPr>
          <w:p w14:paraId="0331D607" w14:textId="77777777" w:rsidR="005C3C07" w:rsidRPr="00E53F92" w:rsidRDefault="005C3C07" w:rsidP="0062633B">
            <w:pPr>
              <w:tabs>
                <w:tab w:val="left" w:pos="1148"/>
              </w:tabs>
              <w:spacing w:before="60" w:after="60" w:line="220" w:lineRule="exact"/>
              <w:rPr>
                <w:sz w:val="16"/>
                <w:szCs w:val="18"/>
              </w:rPr>
            </w:pPr>
            <w:r w:rsidRPr="00E53F92">
              <w:rPr>
                <w:sz w:val="16"/>
                <w:szCs w:val="18"/>
              </w:rPr>
              <w:t>(-2.73)</w:t>
            </w:r>
          </w:p>
        </w:tc>
        <w:tc>
          <w:tcPr>
            <w:tcW w:w="0" w:type="auto"/>
            <w:tcBorders>
              <w:top w:val="nil"/>
              <w:left w:val="single" w:sz="4" w:space="0" w:color="000000"/>
              <w:bottom w:val="single" w:sz="4" w:space="0" w:color="000000"/>
            </w:tcBorders>
            <w:shd w:val="clear" w:color="auto" w:fill="auto"/>
            <w:vAlign w:val="bottom"/>
          </w:tcPr>
          <w:p w14:paraId="29EC86C9" w14:textId="77777777" w:rsidR="005C3C07" w:rsidRPr="00E53F92" w:rsidRDefault="005C3C07" w:rsidP="0062633B">
            <w:pPr>
              <w:tabs>
                <w:tab w:val="left" w:pos="1148"/>
              </w:tabs>
              <w:spacing w:before="60" w:after="60" w:line="220" w:lineRule="exact"/>
              <w:rPr>
                <w:sz w:val="16"/>
                <w:szCs w:val="18"/>
              </w:rPr>
            </w:pPr>
            <w:r w:rsidRPr="00E53F92">
              <w:rPr>
                <w:sz w:val="16"/>
                <w:szCs w:val="18"/>
              </w:rPr>
              <w:t>(-0.04)</w:t>
            </w:r>
          </w:p>
        </w:tc>
      </w:tr>
      <w:tr w:rsidR="005C3C07" w14:paraId="51ACD6B6" w14:textId="77777777" w:rsidTr="004B3169">
        <w:trPr>
          <w:jc w:val="center"/>
        </w:trPr>
        <w:tc>
          <w:tcPr>
            <w:tcW w:w="0" w:type="auto"/>
            <w:vMerge w:val="restart"/>
            <w:tcBorders>
              <w:top w:val="single" w:sz="4" w:space="0" w:color="000000"/>
              <w:bottom w:val="nil"/>
              <w:right w:val="single" w:sz="4" w:space="0" w:color="000000"/>
            </w:tcBorders>
            <w:shd w:val="clear" w:color="auto" w:fill="auto"/>
          </w:tcPr>
          <w:p w14:paraId="5E76AC02" w14:textId="77777777" w:rsidR="005C3C07" w:rsidRPr="00E53F92" w:rsidRDefault="005C3C07" w:rsidP="0062633B">
            <w:pPr>
              <w:tabs>
                <w:tab w:val="left" w:pos="1148"/>
              </w:tabs>
              <w:spacing w:before="60" w:after="60" w:line="220" w:lineRule="exact"/>
              <w:rPr>
                <w:color w:val="000000"/>
                <w:sz w:val="16"/>
                <w:szCs w:val="18"/>
              </w:rPr>
            </w:pPr>
            <w:r w:rsidRPr="00E53F92">
              <w:rPr>
                <w:color w:val="000000"/>
                <w:sz w:val="16"/>
                <w:szCs w:val="18"/>
                <w:rtl/>
              </w:rPr>
              <w:t>גיל לידה ראשונה</w:t>
            </w:r>
            <w:r w:rsidRPr="00E53F92">
              <w:rPr>
                <w:rFonts w:hint="cs"/>
                <w:color w:val="000000"/>
                <w:sz w:val="16"/>
                <w:szCs w:val="18"/>
                <w:rtl/>
              </w:rPr>
              <w:t xml:space="preserve"> </w:t>
            </w:r>
            <w:r w:rsidRPr="00E53F92">
              <w:rPr>
                <w:color w:val="000000"/>
                <w:sz w:val="16"/>
                <w:szCs w:val="18"/>
                <w:rtl/>
              </w:rPr>
              <w:t>לא ידוע</w:t>
            </w:r>
          </w:p>
        </w:tc>
        <w:tc>
          <w:tcPr>
            <w:tcW w:w="0" w:type="auto"/>
            <w:tcBorders>
              <w:top w:val="single" w:sz="4" w:space="0" w:color="000000"/>
              <w:left w:val="single" w:sz="4" w:space="0" w:color="000000"/>
              <w:bottom w:val="nil"/>
              <w:right w:val="single" w:sz="4" w:space="0" w:color="000000"/>
            </w:tcBorders>
            <w:shd w:val="clear" w:color="auto" w:fill="auto"/>
            <w:vAlign w:val="bottom"/>
          </w:tcPr>
          <w:p w14:paraId="09B1B9CC" w14:textId="77777777" w:rsidR="005C3C07" w:rsidRPr="00E53F92" w:rsidRDefault="005C3C07" w:rsidP="0062633B">
            <w:pPr>
              <w:tabs>
                <w:tab w:val="left" w:pos="1148"/>
              </w:tabs>
              <w:spacing w:before="60" w:after="60" w:line="220" w:lineRule="exact"/>
              <w:rPr>
                <w:sz w:val="16"/>
                <w:szCs w:val="18"/>
              </w:rPr>
            </w:pPr>
            <w:r w:rsidRPr="00E53F92">
              <w:rPr>
                <w:sz w:val="16"/>
                <w:szCs w:val="18"/>
              </w:rPr>
              <w:t>0.000</w:t>
            </w:r>
          </w:p>
        </w:tc>
        <w:tc>
          <w:tcPr>
            <w:tcW w:w="0" w:type="auto"/>
            <w:tcBorders>
              <w:top w:val="single" w:sz="4" w:space="0" w:color="000000"/>
              <w:left w:val="single" w:sz="4" w:space="0" w:color="000000"/>
              <w:bottom w:val="nil"/>
              <w:right w:val="single" w:sz="4" w:space="0" w:color="000000"/>
            </w:tcBorders>
            <w:shd w:val="clear" w:color="auto" w:fill="auto"/>
            <w:vAlign w:val="bottom"/>
          </w:tcPr>
          <w:p w14:paraId="02317E43" w14:textId="77777777" w:rsidR="005C3C07" w:rsidRPr="00E53F92" w:rsidRDefault="005C3C07" w:rsidP="0062633B">
            <w:pPr>
              <w:tabs>
                <w:tab w:val="left" w:pos="1148"/>
              </w:tabs>
              <w:spacing w:before="60" w:after="60" w:line="220" w:lineRule="exact"/>
              <w:rPr>
                <w:sz w:val="16"/>
                <w:szCs w:val="18"/>
              </w:rPr>
            </w:pPr>
            <w:r w:rsidRPr="00E53F92">
              <w:rPr>
                <w:sz w:val="16"/>
                <w:szCs w:val="18"/>
              </w:rPr>
              <w:t>0.000</w:t>
            </w:r>
          </w:p>
        </w:tc>
        <w:tc>
          <w:tcPr>
            <w:tcW w:w="0" w:type="auto"/>
            <w:tcBorders>
              <w:top w:val="single" w:sz="4" w:space="0" w:color="000000"/>
              <w:left w:val="single" w:sz="4" w:space="0" w:color="000000"/>
              <w:bottom w:val="nil"/>
              <w:right w:val="single" w:sz="4" w:space="0" w:color="000000"/>
            </w:tcBorders>
            <w:shd w:val="clear" w:color="auto" w:fill="auto"/>
            <w:vAlign w:val="bottom"/>
          </w:tcPr>
          <w:p w14:paraId="3FC577D4" w14:textId="77777777" w:rsidR="005C3C07" w:rsidRPr="00E53F92" w:rsidRDefault="005C3C07" w:rsidP="0062633B">
            <w:pPr>
              <w:tabs>
                <w:tab w:val="left" w:pos="1148"/>
              </w:tabs>
              <w:spacing w:before="60" w:after="60" w:line="220" w:lineRule="exact"/>
              <w:rPr>
                <w:sz w:val="16"/>
                <w:szCs w:val="18"/>
              </w:rPr>
            </w:pPr>
            <w:r w:rsidRPr="00E53F92">
              <w:rPr>
                <w:sz w:val="16"/>
                <w:szCs w:val="18"/>
              </w:rPr>
              <w:t>0.288</w:t>
            </w:r>
          </w:p>
        </w:tc>
        <w:tc>
          <w:tcPr>
            <w:tcW w:w="0" w:type="auto"/>
            <w:tcBorders>
              <w:top w:val="single" w:sz="4" w:space="0" w:color="000000"/>
              <w:left w:val="single" w:sz="4" w:space="0" w:color="000000"/>
              <w:bottom w:val="nil"/>
              <w:right w:val="single" w:sz="4" w:space="0" w:color="000000"/>
            </w:tcBorders>
            <w:shd w:val="clear" w:color="auto" w:fill="auto"/>
            <w:vAlign w:val="bottom"/>
          </w:tcPr>
          <w:p w14:paraId="1592CF4C" w14:textId="77777777" w:rsidR="005C3C07" w:rsidRPr="00E53F92" w:rsidRDefault="005C3C07" w:rsidP="0062633B">
            <w:pPr>
              <w:tabs>
                <w:tab w:val="left" w:pos="1148"/>
              </w:tabs>
              <w:spacing w:before="60" w:after="60" w:line="220" w:lineRule="exact"/>
              <w:rPr>
                <w:sz w:val="16"/>
                <w:szCs w:val="18"/>
              </w:rPr>
            </w:pPr>
            <w:r w:rsidRPr="00E53F92">
              <w:rPr>
                <w:sz w:val="16"/>
                <w:szCs w:val="18"/>
              </w:rPr>
              <w:t>0.760</w:t>
            </w:r>
          </w:p>
        </w:tc>
        <w:tc>
          <w:tcPr>
            <w:tcW w:w="0" w:type="auto"/>
            <w:tcBorders>
              <w:top w:val="single" w:sz="4" w:space="0" w:color="000000"/>
              <w:left w:val="single" w:sz="4" w:space="0" w:color="000000"/>
              <w:bottom w:val="nil"/>
              <w:right w:val="single" w:sz="4" w:space="0" w:color="000000"/>
            </w:tcBorders>
            <w:shd w:val="clear" w:color="auto" w:fill="auto"/>
            <w:vAlign w:val="bottom"/>
          </w:tcPr>
          <w:p w14:paraId="3C274178" w14:textId="77777777" w:rsidR="005C3C07" w:rsidRPr="00E53F92" w:rsidRDefault="005C3C07" w:rsidP="0062633B">
            <w:pPr>
              <w:tabs>
                <w:tab w:val="left" w:pos="1148"/>
              </w:tabs>
              <w:spacing w:before="60" w:after="60" w:line="220" w:lineRule="exact"/>
              <w:rPr>
                <w:sz w:val="16"/>
                <w:szCs w:val="18"/>
              </w:rPr>
            </w:pPr>
            <w:r w:rsidRPr="00E53F92">
              <w:rPr>
                <w:sz w:val="16"/>
                <w:szCs w:val="18"/>
              </w:rPr>
              <w:t>0.665</w:t>
            </w:r>
          </w:p>
        </w:tc>
        <w:tc>
          <w:tcPr>
            <w:tcW w:w="0" w:type="auto"/>
            <w:tcBorders>
              <w:top w:val="single" w:sz="4" w:space="0" w:color="000000"/>
              <w:left w:val="single" w:sz="4" w:space="0" w:color="000000"/>
              <w:bottom w:val="nil"/>
              <w:right w:val="single" w:sz="4" w:space="0" w:color="000000"/>
            </w:tcBorders>
            <w:shd w:val="clear" w:color="auto" w:fill="auto"/>
            <w:vAlign w:val="bottom"/>
          </w:tcPr>
          <w:p w14:paraId="49076E89" w14:textId="77777777" w:rsidR="005C3C07" w:rsidRPr="00E53F92" w:rsidRDefault="005C3C07" w:rsidP="0062633B">
            <w:pPr>
              <w:tabs>
                <w:tab w:val="left" w:pos="1148"/>
              </w:tabs>
              <w:spacing w:before="60" w:after="60" w:line="220" w:lineRule="exact"/>
              <w:rPr>
                <w:sz w:val="16"/>
                <w:szCs w:val="18"/>
              </w:rPr>
            </w:pPr>
            <w:r w:rsidRPr="00E53F92">
              <w:rPr>
                <w:sz w:val="16"/>
                <w:szCs w:val="18"/>
              </w:rPr>
              <w:t>0.753</w:t>
            </w:r>
          </w:p>
        </w:tc>
        <w:tc>
          <w:tcPr>
            <w:tcW w:w="0" w:type="auto"/>
            <w:tcBorders>
              <w:top w:val="single" w:sz="4" w:space="0" w:color="000000"/>
              <w:left w:val="single" w:sz="4" w:space="0" w:color="000000"/>
              <w:bottom w:val="nil"/>
            </w:tcBorders>
            <w:shd w:val="clear" w:color="auto" w:fill="auto"/>
            <w:vAlign w:val="bottom"/>
          </w:tcPr>
          <w:p w14:paraId="3D2864B9" w14:textId="77777777" w:rsidR="005C3C07" w:rsidRPr="00E53F92" w:rsidRDefault="005C3C07" w:rsidP="0062633B">
            <w:pPr>
              <w:tabs>
                <w:tab w:val="left" w:pos="1148"/>
              </w:tabs>
              <w:spacing w:before="60" w:after="60" w:line="220" w:lineRule="exact"/>
              <w:rPr>
                <w:sz w:val="16"/>
                <w:szCs w:val="18"/>
              </w:rPr>
            </w:pPr>
            <w:r w:rsidRPr="00E53F92">
              <w:rPr>
                <w:sz w:val="16"/>
                <w:szCs w:val="18"/>
              </w:rPr>
              <w:t>0.847</w:t>
            </w:r>
          </w:p>
        </w:tc>
      </w:tr>
      <w:tr w:rsidR="005C3C07" w14:paraId="0D29C600" w14:textId="77777777" w:rsidTr="004B3169">
        <w:trPr>
          <w:jc w:val="center"/>
        </w:trPr>
        <w:tc>
          <w:tcPr>
            <w:tcW w:w="0" w:type="auto"/>
            <w:vMerge/>
            <w:tcBorders>
              <w:top w:val="nil"/>
              <w:bottom w:val="single" w:sz="4" w:space="0" w:color="000000"/>
              <w:right w:val="single" w:sz="4" w:space="0" w:color="000000"/>
            </w:tcBorders>
            <w:shd w:val="clear" w:color="auto" w:fill="auto"/>
          </w:tcPr>
          <w:p w14:paraId="6EB5E539" w14:textId="77777777" w:rsidR="005C3C07" w:rsidRPr="00E53F92" w:rsidRDefault="005C3C07" w:rsidP="0062633B">
            <w:pPr>
              <w:pBdr>
                <w:top w:val="nil"/>
                <w:left w:val="nil"/>
                <w:bottom w:val="nil"/>
                <w:right w:val="nil"/>
                <w:between w:val="nil"/>
              </w:pBdr>
              <w:tabs>
                <w:tab w:val="left" w:pos="1148"/>
              </w:tabs>
              <w:spacing w:before="60" w:after="60" w:line="220" w:lineRule="exact"/>
              <w:rPr>
                <w:color w:val="000000"/>
                <w:sz w:val="16"/>
                <w:szCs w:val="18"/>
              </w:rPr>
            </w:pPr>
          </w:p>
        </w:tc>
        <w:tc>
          <w:tcPr>
            <w:tcW w:w="0" w:type="auto"/>
            <w:tcBorders>
              <w:top w:val="nil"/>
              <w:left w:val="single" w:sz="4" w:space="0" w:color="000000"/>
              <w:bottom w:val="single" w:sz="4" w:space="0" w:color="000000"/>
              <w:right w:val="single" w:sz="4" w:space="0" w:color="000000"/>
            </w:tcBorders>
            <w:shd w:val="clear" w:color="auto" w:fill="auto"/>
            <w:vAlign w:val="bottom"/>
          </w:tcPr>
          <w:p w14:paraId="5327A521" w14:textId="77777777" w:rsidR="005C3C07" w:rsidRPr="00E53F92" w:rsidRDefault="005C3C07" w:rsidP="0062633B">
            <w:pPr>
              <w:tabs>
                <w:tab w:val="left" w:pos="1148"/>
              </w:tabs>
              <w:spacing w:before="60" w:after="60" w:line="220" w:lineRule="exact"/>
              <w:rPr>
                <w:sz w:val="14"/>
                <w:szCs w:val="16"/>
              </w:rPr>
            </w:pPr>
          </w:p>
        </w:tc>
        <w:tc>
          <w:tcPr>
            <w:tcW w:w="0" w:type="auto"/>
            <w:tcBorders>
              <w:top w:val="nil"/>
              <w:left w:val="single" w:sz="4" w:space="0" w:color="000000"/>
              <w:bottom w:val="single" w:sz="4" w:space="0" w:color="000000"/>
              <w:right w:val="single" w:sz="4" w:space="0" w:color="000000"/>
            </w:tcBorders>
            <w:shd w:val="clear" w:color="auto" w:fill="auto"/>
            <w:vAlign w:val="bottom"/>
          </w:tcPr>
          <w:p w14:paraId="32F6D2B5" w14:textId="77777777" w:rsidR="005C3C07" w:rsidRPr="00E53F92" w:rsidRDefault="005C3C07" w:rsidP="0062633B">
            <w:pPr>
              <w:tabs>
                <w:tab w:val="left" w:pos="1148"/>
              </w:tabs>
              <w:spacing w:before="60" w:after="60" w:line="220" w:lineRule="exact"/>
              <w:rPr>
                <w:sz w:val="14"/>
                <w:szCs w:val="16"/>
              </w:rPr>
            </w:pPr>
          </w:p>
        </w:tc>
        <w:tc>
          <w:tcPr>
            <w:tcW w:w="0" w:type="auto"/>
            <w:tcBorders>
              <w:top w:val="nil"/>
              <w:left w:val="single" w:sz="4" w:space="0" w:color="000000"/>
              <w:bottom w:val="single" w:sz="4" w:space="0" w:color="000000"/>
              <w:right w:val="single" w:sz="4" w:space="0" w:color="000000"/>
            </w:tcBorders>
            <w:shd w:val="clear" w:color="auto" w:fill="auto"/>
            <w:vAlign w:val="bottom"/>
          </w:tcPr>
          <w:p w14:paraId="41FE3CED" w14:textId="77777777" w:rsidR="005C3C07" w:rsidRPr="00E53F92" w:rsidRDefault="005C3C07" w:rsidP="0062633B">
            <w:pPr>
              <w:tabs>
                <w:tab w:val="left" w:pos="1148"/>
              </w:tabs>
              <w:spacing w:before="60" w:after="60" w:line="220" w:lineRule="exact"/>
              <w:rPr>
                <w:sz w:val="14"/>
                <w:szCs w:val="16"/>
              </w:rPr>
            </w:pPr>
            <w:r w:rsidRPr="00E53F92">
              <w:rPr>
                <w:sz w:val="14"/>
                <w:szCs w:val="16"/>
              </w:rPr>
              <w:t>(-2.46)</w:t>
            </w:r>
          </w:p>
        </w:tc>
        <w:tc>
          <w:tcPr>
            <w:tcW w:w="0" w:type="auto"/>
            <w:tcBorders>
              <w:top w:val="nil"/>
              <w:left w:val="single" w:sz="4" w:space="0" w:color="000000"/>
              <w:bottom w:val="single" w:sz="4" w:space="0" w:color="000000"/>
              <w:right w:val="single" w:sz="4" w:space="0" w:color="000000"/>
            </w:tcBorders>
            <w:shd w:val="clear" w:color="auto" w:fill="auto"/>
            <w:vAlign w:val="bottom"/>
          </w:tcPr>
          <w:p w14:paraId="51741B66" w14:textId="77777777" w:rsidR="005C3C07" w:rsidRPr="00E53F92" w:rsidRDefault="005C3C07" w:rsidP="0062633B">
            <w:pPr>
              <w:tabs>
                <w:tab w:val="left" w:pos="1148"/>
              </w:tabs>
              <w:spacing w:before="60" w:after="60" w:line="220" w:lineRule="exact"/>
              <w:rPr>
                <w:sz w:val="14"/>
                <w:szCs w:val="16"/>
              </w:rPr>
            </w:pPr>
            <w:r w:rsidRPr="00E53F92">
              <w:rPr>
                <w:sz w:val="14"/>
                <w:szCs w:val="16"/>
              </w:rPr>
              <w:t>(-1.17)</w:t>
            </w:r>
          </w:p>
        </w:tc>
        <w:tc>
          <w:tcPr>
            <w:tcW w:w="0" w:type="auto"/>
            <w:tcBorders>
              <w:top w:val="nil"/>
              <w:left w:val="single" w:sz="4" w:space="0" w:color="000000"/>
              <w:bottom w:val="single" w:sz="4" w:space="0" w:color="000000"/>
              <w:right w:val="single" w:sz="4" w:space="0" w:color="000000"/>
            </w:tcBorders>
            <w:shd w:val="clear" w:color="auto" w:fill="auto"/>
            <w:vAlign w:val="bottom"/>
          </w:tcPr>
          <w:p w14:paraId="6E4C06F2" w14:textId="77777777" w:rsidR="005C3C07" w:rsidRPr="00E53F92" w:rsidRDefault="005C3C07" w:rsidP="0062633B">
            <w:pPr>
              <w:tabs>
                <w:tab w:val="left" w:pos="1148"/>
              </w:tabs>
              <w:spacing w:before="60" w:after="60" w:line="220" w:lineRule="exact"/>
              <w:rPr>
                <w:sz w:val="14"/>
                <w:szCs w:val="16"/>
              </w:rPr>
            </w:pPr>
            <w:r w:rsidRPr="00E53F92">
              <w:rPr>
                <w:sz w:val="14"/>
                <w:szCs w:val="16"/>
              </w:rPr>
              <w:t>(-2.39)</w:t>
            </w:r>
          </w:p>
        </w:tc>
        <w:tc>
          <w:tcPr>
            <w:tcW w:w="0" w:type="auto"/>
            <w:tcBorders>
              <w:top w:val="nil"/>
              <w:left w:val="single" w:sz="4" w:space="0" w:color="000000"/>
              <w:bottom w:val="single" w:sz="4" w:space="0" w:color="000000"/>
              <w:right w:val="single" w:sz="4" w:space="0" w:color="000000"/>
            </w:tcBorders>
            <w:shd w:val="clear" w:color="auto" w:fill="auto"/>
            <w:vAlign w:val="bottom"/>
          </w:tcPr>
          <w:p w14:paraId="75B36B85" w14:textId="77777777" w:rsidR="005C3C07" w:rsidRPr="00E53F92" w:rsidRDefault="005C3C07" w:rsidP="0062633B">
            <w:pPr>
              <w:tabs>
                <w:tab w:val="left" w:pos="1148"/>
              </w:tabs>
              <w:spacing w:before="60" w:after="60" w:line="220" w:lineRule="exact"/>
              <w:rPr>
                <w:sz w:val="14"/>
                <w:szCs w:val="16"/>
              </w:rPr>
            </w:pPr>
            <w:r w:rsidRPr="00E53F92">
              <w:rPr>
                <w:sz w:val="14"/>
                <w:szCs w:val="16"/>
              </w:rPr>
              <w:t>(-0.92)</w:t>
            </w:r>
          </w:p>
        </w:tc>
        <w:tc>
          <w:tcPr>
            <w:tcW w:w="0" w:type="auto"/>
            <w:tcBorders>
              <w:top w:val="nil"/>
              <w:left w:val="single" w:sz="4" w:space="0" w:color="000000"/>
              <w:bottom w:val="single" w:sz="4" w:space="0" w:color="000000"/>
            </w:tcBorders>
            <w:shd w:val="clear" w:color="auto" w:fill="auto"/>
            <w:vAlign w:val="bottom"/>
          </w:tcPr>
          <w:p w14:paraId="7F30C606" w14:textId="77777777" w:rsidR="005C3C07" w:rsidRPr="00E53F92" w:rsidRDefault="005C3C07" w:rsidP="0062633B">
            <w:pPr>
              <w:tabs>
                <w:tab w:val="left" w:pos="1148"/>
              </w:tabs>
              <w:spacing w:before="60" w:after="60" w:line="220" w:lineRule="exact"/>
              <w:rPr>
                <w:sz w:val="14"/>
                <w:szCs w:val="16"/>
              </w:rPr>
            </w:pPr>
            <w:r w:rsidRPr="00E53F92">
              <w:rPr>
                <w:sz w:val="14"/>
                <w:szCs w:val="16"/>
              </w:rPr>
              <w:t>(-0.58)</w:t>
            </w:r>
          </w:p>
        </w:tc>
      </w:tr>
      <w:tr w:rsidR="005C3C07" w14:paraId="60DEC30B" w14:textId="77777777" w:rsidTr="004B3169">
        <w:trPr>
          <w:jc w:val="center"/>
        </w:trPr>
        <w:tc>
          <w:tcPr>
            <w:tcW w:w="0" w:type="auto"/>
            <w:vMerge w:val="restart"/>
            <w:tcBorders>
              <w:top w:val="single" w:sz="4" w:space="0" w:color="000000"/>
              <w:bottom w:val="nil"/>
              <w:right w:val="single" w:sz="4" w:space="0" w:color="000000"/>
            </w:tcBorders>
            <w:shd w:val="clear" w:color="auto" w:fill="auto"/>
          </w:tcPr>
          <w:p w14:paraId="169D9E2F" w14:textId="77777777" w:rsidR="005C3C07" w:rsidRPr="00E53F92" w:rsidRDefault="005C3C07" w:rsidP="0062633B">
            <w:pPr>
              <w:tabs>
                <w:tab w:val="left" w:pos="1148"/>
              </w:tabs>
              <w:spacing w:before="60" w:after="60" w:line="220" w:lineRule="exact"/>
              <w:rPr>
                <w:color w:val="000000"/>
                <w:sz w:val="16"/>
                <w:szCs w:val="18"/>
              </w:rPr>
            </w:pPr>
            <w:r w:rsidRPr="00E53F92">
              <w:rPr>
                <w:color w:val="000000"/>
                <w:sz w:val="16"/>
                <w:szCs w:val="18"/>
                <w:rtl/>
              </w:rPr>
              <w:t>השכלה</w:t>
            </w:r>
            <w:r w:rsidRPr="00E53F92">
              <w:rPr>
                <w:rFonts w:hint="cs"/>
                <w:color w:val="000000"/>
                <w:sz w:val="16"/>
                <w:szCs w:val="18"/>
                <w:rtl/>
              </w:rPr>
              <w:t xml:space="preserve"> </w:t>
            </w:r>
            <w:r w:rsidRPr="00E53F92">
              <w:rPr>
                <w:color w:val="000000"/>
                <w:sz w:val="16"/>
                <w:szCs w:val="18"/>
                <w:rtl/>
              </w:rPr>
              <w:t>על-תיכונית</w:t>
            </w:r>
          </w:p>
        </w:tc>
        <w:tc>
          <w:tcPr>
            <w:tcW w:w="0" w:type="auto"/>
            <w:tcBorders>
              <w:top w:val="single" w:sz="4" w:space="0" w:color="000000"/>
              <w:left w:val="single" w:sz="4" w:space="0" w:color="000000"/>
              <w:bottom w:val="nil"/>
              <w:right w:val="single" w:sz="4" w:space="0" w:color="000000"/>
            </w:tcBorders>
            <w:shd w:val="clear" w:color="auto" w:fill="auto"/>
            <w:vAlign w:val="bottom"/>
          </w:tcPr>
          <w:p w14:paraId="37CA1CAF" w14:textId="77777777" w:rsidR="005C3C07" w:rsidRPr="00E53F92" w:rsidRDefault="005C3C07" w:rsidP="0062633B">
            <w:pPr>
              <w:tabs>
                <w:tab w:val="left" w:pos="1148"/>
              </w:tabs>
              <w:spacing w:before="60" w:after="60" w:line="220" w:lineRule="exact"/>
              <w:rPr>
                <w:sz w:val="16"/>
                <w:szCs w:val="18"/>
              </w:rPr>
            </w:pPr>
            <w:r w:rsidRPr="00E53F92">
              <w:rPr>
                <w:sz w:val="16"/>
                <w:szCs w:val="18"/>
              </w:rPr>
              <w:t>0.894</w:t>
            </w:r>
          </w:p>
        </w:tc>
        <w:tc>
          <w:tcPr>
            <w:tcW w:w="0" w:type="auto"/>
            <w:tcBorders>
              <w:top w:val="single" w:sz="4" w:space="0" w:color="000000"/>
              <w:left w:val="single" w:sz="4" w:space="0" w:color="000000"/>
              <w:bottom w:val="nil"/>
              <w:right w:val="single" w:sz="4" w:space="0" w:color="000000"/>
            </w:tcBorders>
            <w:shd w:val="clear" w:color="auto" w:fill="auto"/>
            <w:vAlign w:val="bottom"/>
          </w:tcPr>
          <w:p w14:paraId="5FBB3479" w14:textId="77777777" w:rsidR="005C3C07" w:rsidRPr="00E53F92" w:rsidRDefault="005C3C07" w:rsidP="0062633B">
            <w:pPr>
              <w:tabs>
                <w:tab w:val="left" w:pos="1148"/>
              </w:tabs>
              <w:spacing w:before="60" w:after="60" w:line="220" w:lineRule="exact"/>
              <w:rPr>
                <w:sz w:val="16"/>
                <w:szCs w:val="18"/>
              </w:rPr>
            </w:pPr>
            <w:r w:rsidRPr="00E53F92">
              <w:rPr>
                <w:sz w:val="16"/>
                <w:szCs w:val="18"/>
              </w:rPr>
              <w:t>0.610</w:t>
            </w:r>
          </w:p>
        </w:tc>
        <w:tc>
          <w:tcPr>
            <w:tcW w:w="0" w:type="auto"/>
            <w:tcBorders>
              <w:top w:val="single" w:sz="4" w:space="0" w:color="000000"/>
              <w:left w:val="single" w:sz="4" w:space="0" w:color="000000"/>
              <w:bottom w:val="nil"/>
              <w:right w:val="single" w:sz="4" w:space="0" w:color="000000"/>
            </w:tcBorders>
            <w:shd w:val="clear" w:color="auto" w:fill="auto"/>
            <w:vAlign w:val="bottom"/>
          </w:tcPr>
          <w:p w14:paraId="2BD8EA10" w14:textId="77777777" w:rsidR="005C3C07" w:rsidRPr="00E53F92" w:rsidRDefault="005C3C07" w:rsidP="0062633B">
            <w:pPr>
              <w:tabs>
                <w:tab w:val="left" w:pos="1148"/>
              </w:tabs>
              <w:spacing w:before="60" w:after="60" w:line="220" w:lineRule="exact"/>
              <w:rPr>
                <w:sz w:val="16"/>
                <w:szCs w:val="18"/>
              </w:rPr>
            </w:pPr>
            <w:r w:rsidRPr="00E53F92">
              <w:rPr>
                <w:sz w:val="16"/>
                <w:szCs w:val="18"/>
              </w:rPr>
              <w:t>0.703</w:t>
            </w:r>
          </w:p>
        </w:tc>
        <w:tc>
          <w:tcPr>
            <w:tcW w:w="0" w:type="auto"/>
            <w:tcBorders>
              <w:top w:val="single" w:sz="4" w:space="0" w:color="000000"/>
              <w:left w:val="single" w:sz="4" w:space="0" w:color="000000"/>
              <w:bottom w:val="nil"/>
              <w:right w:val="single" w:sz="4" w:space="0" w:color="000000"/>
            </w:tcBorders>
            <w:shd w:val="clear" w:color="auto" w:fill="auto"/>
            <w:vAlign w:val="bottom"/>
          </w:tcPr>
          <w:p w14:paraId="3B983510" w14:textId="77777777" w:rsidR="005C3C07" w:rsidRPr="00E53F92" w:rsidRDefault="005C3C07" w:rsidP="0062633B">
            <w:pPr>
              <w:tabs>
                <w:tab w:val="left" w:pos="1148"/>
              </w:tabs>
              <w:spacing w:before="60" w:after="60" w:line="220" w:lineRule="exact"/>
              <w:rPr>
                <w:sz w:val="16"/>
                <w:szCs w:val="18"/>
              </w:rPr>
            </w:pPr>
            <w:r w:rsidRPr="00E53F92">
              <w:rPr>
                <w:sz w:val="16"/>
                <w:szCs w:val="18"/>
              </w:rPr>
              <w:t>0.805</w:t>
            </w:r>
          </w:p>
        </w:tc>
        <w:tc>
          <w:tcPr>
            <w:tcW w:w="0" w:type="auto"/>
            <w:tcBorders>
              <w:top w:val="single" w:sz="4" w:space="0" w:color="000000"/>
              <w:left w:val="single" w:sz="4" w:space="0" w:color="000000"/>
              <w:bottom w:val="nil"/>
              <w:right w:val="single" w:sz="4" w:space="0" w:color="000000"/>
            </w:tcBorders>
            <w:shd w:val="clear" w:color="auto" w:fill="auto"/>
            <w:vAlign w:val="bottom"/>
          </w:tcPr>
          <w:p w14:paraId="59388B11" w14:textId="77777777" w:rsidR="005C3C07" w:rsidRPr="00E53F92" w:rsidRDefault="005C3C07" w:rsidP="0062633B">
            <w:pPr>
              <w:tabs>
                <w:tab w:val="left" w:pos="1148"/>
              </w:tabs>
              <w:spacing w:before="60" w:after="60" w:line="220" w:lineRule="exact"/>
              <w:rPr>
                <w:sz w:val="16"/>
                <w:szCs w:val="18"/>
              </w:rPr>
            </w:pPr>
            <w:r w:rsidRPr="00E53F92">
              <w:rPr>
                <w:sz w:val="16"/>
                <w:szCs w:val="18"/>
              </w:rPr>
              <w:t>0.508</w:t>
            </w:r>
          </w:p>
        </w:tc>
        <w:tc>
          <w:tcPr>
            <w:tcW w:w="0" w:type="auto"/>
            <w:tcBorders>
              <w:top w:val="single" w:sz="4" w:space="0" w:color="000000"/>
              <w:left w:val="single" w:sz="4" w:space="0" w:color="000000"/>
              <w:bottom w:val="nil"/>
              <w:right w:val="single" w:sz="4" w:space="0" w:color="000000"/>
            </w:tcBorders>
            <w:shd w:val="clear" w:color="auto" w:fill="auto"/>
            <w:vAlign w:val="bottom"/>
          </w:tcPr>
          <w:p w14:paraId="693BE65C" w14:textId="77777777" w:rsidR="005C3C07" w:rsidRPr="00E53F92" w:rsidRDefault="005C3C07" w:rsidP="0062633B">
            <w:pPr>
              <w:tabs>
                <w:tab w:val="left" w:pos="1148"/>
              </w:tabs>
              <w:spacing w:before="60" w:after="60" w:line="220" w:lineRule="exact"/>
              <w:rPr>
                <w:sz w:val="16"/>
                <w:szCs w:val="18"/>
              </w:rPr>
            </w:pPr>
            <w:r w:rsidRPr="00E53F92">
              <w:rPr>
                <w:sz w:val="16"/>
                <w:szCs w:val="18"/>
              </w:rPr>
              <w:t>0.964</w:t>
            </w:r>
          </w:p>
        </w:tc>
        <w:tc>
          <w:tcPr>
            <w:tcW w:w="0" w:type="auto"/>
            <w:tcBorders>
              <w:top w:val="single" w:sz="4" w:space="0" w:color="000000"/>
              <w:left w:val="single" w:sz="4" w:space="0" w:color="000000"/>
              <w:bottom w:val="nil"/>
            </w:tcBorders>
            <w:shd w:val="clear" w:color="auto" w:fill="auto"/>
            <w:vAlign w:val="bottom"/>
          </w:tcPr>
          <w:p w14:paraId="3A0159CC" w14:textId="77777777" w:rsidR="005C3C07" w:rsidRPr="00E53F92" w:rsidRDefault="005C3C07" w:rsidP="0062633B">
            <w:pPr>
              <w:tabs>
                <w:tab w:val="left" w:pos="1148"/>
              </w:tabs>
              <w:spacing w:before="60" w:after="60" w:line="220" w:lineRule="exact"/>
              <w:rPr>
                <w:sz w:val="16"/>
                <w:szCs w:val="18"/>
              </w:rPr>
            </w:pPr>
          </w:p>
        </w:tc>
      </w:tr>
      <w:tr w:rsidR="005C3C07" w14:paraId="4BCC90C9" w14:textId="77777777" w:rsidTr="004B3169">
        <w:trPr>
          <w:jc w:val="center"/>
        </w:trPr>
        <w:tc>
          <w:tcPr>
            <w:tcW w:w="0" w:type="auto"/>
            <w:vMerge/>
            <w:tcBorders>
              <w:top w:val="nil"/>
              <w:bottom w:val="single" w:sz="4" w:space="0" w:color="000000"/>
              <w:right w:val="single" w:sz="4" w:space="0" w:color="000000"/>
            </w:tcBorders>
            <w:shd w:val="clear" w:color="auto" w:fill="auto"/>
          </w:tcPr>
          <w:p w14:paraId="5CED7854" w14:textId="77777777" w:rsidR="005C3C07" w:rsidRPr="00E53F92" w:rsidRDefault="005C3C07" w:rsidP="0062633B">
            <w:pPr>
              <w:pBdr>
                <w:top w:val="nil"/>
                <w:left w:val="nil"/>
                <w:bottom w:val="nil"/>
                <w:right w:val="nil"/>
                <w:between w:val="nil"/>
              </w:pBdr>
              <w:tabs>
                <w:tab w:val="left" w:pos="1148"/>
              </w:tabs>
              <w:spacing w:before="60" w:after="60" w:line="220" w:lineRule="exact"/>
              <w:rPr>
                <w:color w:val="000000"/>
                <w:sz w:val="16"/>
                <w:szCs w:val="18"/>
              </w:rPr>
            </w:pPr>
          </w:p>
        </w:tc>
        <w:tc>
          <w:tcPr>
            <w:tcW w:w="0" w:type="auto"/>
            <w:tcBorders>
              <w:top w:val="nil"/>
              <w:left w:val="single" w:sz="4" w:space="0" w:color="000000"/>
              <w:bottom w:val="single" w:sz="4" w:space="0" w:color="000000"/>
              <w:right w:val="single" w:sz="4" w:space="0" w:color="000000"/>
            </w:tcBorders>
            <w:shd w:val="clear" w:color="auto" w:fill="auto"/>
            <w:vAlign w:val="bottom"/>
          </w:tcPr>
          <w:p w14:paraId="1D2E079C" w14:textId="77777777" w:rsidR="005C3C07" w:rsidRPr="00E53F92" w:rsidRDefault="005C3C07" w:rsidP="0062633B">
            <w:pPr>
              <w:tabs>
                <w:tab w:val="left" w:pos="1148"/>
              </w:tabs>
              <w:spacing w:before="60" w:after="60" w:line="220" w:lineRule="exact"/>
              <w:rPr>
                <w:sz w:val="14"/>
                <w:szCs w:val="16"/>
              </w:rPr>
            </w:pPr>
            <w:r w:rsidRPr="00E53F92">
              <w:rPr>
                <w:sz w:val="14"/>
                <w:szCs w:val="16"/>
              </w:rPr>
              <w:t>(-0.10)</w:t>
            </w:r>
          </w:p>
        </w:tc>
        <w:tc>
          <w:tcPr>
            <w:tcW w:w="0" w:type="auto"/>
            <w:tcBorders>
              <w:top w:val="nil"/>
              <w:left w:val="single" w:sz="4" w:space="0" w:color="000000"/>
              <w:bottom w:val="single" w:sz="4" w:space="0" w:color="000000"/>
              <w:right w:val="single" w:sz="4" w:space="0" w:color="000000"/>
            </w:tcBorders>
            <w:shd w:val="clear" w:color="auto" w:fill="auto"/>
            <w:vAlign w:val="bottom"/>
          </w:tcPr>
          <w:p w14:paraId="09E69E07" w14:textId="77777777" w:rsidR="005C3C07" w:rsidRPr="00E53F92" w:rsidRDefault="005C3C07" w:rsidP="0062633B">
            <w:pPr>
              <w:tabs>
                <w:tab w:val="left" w:pos="1148"/>
              </w:tabs>
              <w:spacing w:before="60" w:after="60" w:line="220" w:lineRule="exact"/>
              <w:rPr>
                <w:sz w:val="14"/>
                <w:szCs w:val="16"/>
              </w:rPr>
            </w:pPr>
            <w:r w:rsidRPr="00E53F92">
              <w:rPr>
                <w:sz w:val="14"/>
                <w:szCs w:val="16"/>
              </w:rPr>
              <w:t>(-2.01)</w:t>
            </w:r>
          </w:p>
        </w:tc>
        <w:tc>
          <w:tcPr>
            <w:tcW w:w="0" w:type="auto"/>
            <w:tcBorders>
              <w:top w:val="nil"/>
              <w:left w:val="single" w:sz="4" w:space="0" w:color="000000"/>
              <w:bottom w:val="single" w:sz="4" w:space="0" w:color="000000"/>
              <w:right w:val="single" w:sz="4" w:space="0" w:color="000000"/>
            </w:tcBorders>
            <w:shd w:val="clear" w:color="auto" w:fill="auto"/>
            <w:vAlign w:val="bottom"/>
          </w:tcPr>
          <w:p w14:paraId="6F49286A" w14:textId="77777777" w:rsidR="005C3C07" w:rsidRPr="00E53F92" w:rsidRDefault="005C3C07" w:rsidP="0062633B">
            <w:pPr>
              <w:tabs>
                <w:tab w:val="left" w:pos="1148"/>
              </w:tabs>
              <w:spacing w:before="60" w:after="60" w:line="220" w:lineRule="exact"/>
              <w:rPr>
                <w:sz w:val="14"/>
                <w:szCs w:val="16"/>
              </w:rPr>
            </w:pPr>
            <w:r w:rsidRPr="00E53F92">
              <w:rPr>
                <w:sz w:val="14"/>
                <w:szCs w:val="16"/>
              </w:rPr>
              <w:t>(-1.74)</w:t>
            </w:r>
          </w:p>
        </w:tc>
        <w:tc>
          <w:tcPr>
            <w:tcW w:w="0" w:type="auto"/>
            <w:tcBorders>
              <w:top w:val="nil"/>
              <w:left w:val="single" w:sz="4" w:space="0" w:color="000000"/>
              <w:bottom w:val="single" w:sz="4" w:space="0" w:color="000000"/>
              <w:right w:val="single" w:sz="4" w:space="0" w:color="000000"/>
            </w:tcBorders>
            <w:shd w:val="clear" w:color="auto" w:fill="auto"/>
            <w:vAlign w:val="bottom"/>
          </w:tcPr>
          <w:p w14:paraId="64A05B59" w14:textId="77777777" w:rsidR="005C3C07" w:rsidRPr="00E53F92" w:rsidRDefault="005C3C07" w:rsidP="0062633B">
            <w:pPr>
              <w:tabs>
                <w:tab w:val="left" w:pos="1148"/>
              </w:tabs>
              <w:spacing w:before="60" w:after="60" w:line="220" w:lineRule="exact"/>
              <w:rPr>
                <w:sz w:val="14"/>
                <w:szCs w:val="16"/>
              </w:rPr>
            </w:pPr>
            <w:r w:rsidRPr="00E53F92">
              <w:rPr>
                <w:sz w:val="14"/>
                <w:szCs w:val="16"/>
              </w:rPr>
              <w:t>(-0.80)</w:t>
            </w:r>
          </w:p>
        </w:tc>
        <w:tc>
          <w:tcPr>
            <w:tcW w:w="0" w:type="auto"/>
            <w:tcBorders>
              <w:top w:val="nil"/>
              <w:left w:val="single" w:sz="4" w:space="0" w:color="000000"/>
              <w:bottom w:val="single" w:sz="4" w:space="0" w:color="000000"/>
              <w:right w:val="single" w:sz="4" w:space="0" w:color="000000"/>
            </w:tcBorders>
            <w:shd w:val="clear" w:color="auto" w:fill="auto"/>
            <w:vAlign w:val="bottom"/>
          </w:tcPr>
          <w:p w14:paraId="76DD5473" w14:textId="77777777" w:rsidR="005C3C07" w:rsidRPr="00E53F92" w:rsidRDefault="005C3C07" w:rsidP="0062633B">
            <w:pPr>
              <w:tabs>
                <w:tab w:val="left" w:pos="1148"/>
              </w:tabs>
              <w:spacing w:before="60" w:after="60" w:line="220" w:lineRule="exact"/>
              <w:rPr>
                <w:sz w:val="14"/>
                <w:szCs w:val="16"/>
              </w:rPr>
            </w:pPr>
            <w:r w:rsidRPr="00E53F92">
              <w:rPr>
                <w:sz w:val="14"/>
                <w:szCs w:val="16"/>
              </w:rPr>
              <w:t>(-2.39)</w:t>
            </w:r>
          </w:p>
        </w:tc>
        <w:tc>
          <w:tcPr>
            <w:tcW w:w="0" w:type="auto"/>
            <w:tcBorders>
              <w:top w:val="nil"/>
              <w:left w:val="single" w:sz="4" w:space="0" w:color="000000"/>
              <w:bottom w:val="single" w:sz="4" w:space="0" w:color="000000"/>
              <w:right w:val="single" w:sz="4" w:space="0" w:color="000000"/>
            </w:tcBorders>
            <w:shd w:val="clear" w:color="auto" w:fill="auto"/>
            <w:vAlign w:val="bottom"/>
          </w:tcPr>
          <w:p w14:paraId="23FDA7EE" w14:textId="77777777" w:rsidR="005C3C07" w:rsidRPr="00E53F92" w:rsidRDefault="005C3C07" w:rsidP="0062633B">
            <w:pPr>
              <w:tabs>
                <w:tab w:val="left" w:pos="1148"/>
              </w:tabs>
              <w:spacing w:before="60" w:after="60" w:line="220" w:lineRule="exact"/>
              <w:rPr>
                <w:sz w:val="14"/>
                <w:szCs w:val="16"/>
              </w:rPr>
            </w:pPr>
            <w:r w:rsidRPr="00E53F92">
              <w:rPr>
                <w:sz w:val="14"/>
                <w:szCs w:val="16"/>
              </w:rPr>
              <w:t>(-0.10)</w:t>
            </w:r>
          </w:p>
        </w:tc>
        <w:tc>
          <w:tcPr>
            <w:tcW w:w="0" w:type="auto"/>
            <w:tcBorders>
              <w:top w:val="nil"/>
              <w:left w:val="single" w:sz="4" w:space="0" w:color="000000"/>
              <w:bottom w:val="single" w:sz="4" w:space="0" w:color="000000"/>
            </w:tcBorders>
            <w:shd w:val="clear" w:color="auto" w:fill="auto"/>
            <w:vAlign w:val="bottom"/>
          </w:tcPr>
          <w:p w14:paraId="55201B85" w14:textId="77777777" w:rsidR="005C3C07" w:rsidRPr="00E53F92" w:rsidRDefault="005C3C07" w:rsidP="0062633B">
            <w:pPr>
              <w:tabs>
                <w:tab w:val="left" w:pos="1148"/>
              </w:tabs>
              <w:spacing w:before="60" w:after="60" w:line="220" w:lineRule="exact"/>
              <w:rPr>
                <w:sz w:val="14"/>
                <w:szCs w:val="16"/>
              </w:rPr>
            </w:pPr>
          </w:p>
        </w:tc>
      </w:tr>
      <w:tr w:rsidR="005C3C07" w14:paraId="5A233B13" w14:textId="77777777" w:rsidTr="004B3169">
        <w:trPr>
          <w:jc w:val="center"/>
        </w:trPr>
        <w:tc>
          <w:tcPr>
            <w:tcW w:w="0" w:type="auto"/>
            <w:vMerge w:val="restart"/>
            <w:tcBorders>
              <w:top w:val="single" w:sz="4" w:space="0" w:color="000000"/>
              <w:bottom w:val="nil"/>
              <w:right w:val="single" w:sz="4" w:space="0" w:color="000000"/>
            </w:tcBorders>
            <w:shd w:val="clear" w:color="auto" w:fill="auto"/>
          </w:tcPr>
          <w:p w14:paraId="01DB5633" w14:textId="77777777" w:rsidR="005C3C07" w:rsidRPr="00E53F92" w:rsidRDefault="005C3C07" w:rsidP="0062633B">
            <w:pPr>
              <w:tabs>
                <w:tab w:val="left" w:pos="1148"/>
              </w:tabs>
              <w:spacing w:before="60" w:after="60" w:line="220" w:lineRule="exact"/>
              <w:rPr>
                <w:color w:val="000000"/>
                <w:sz w:val="16"/>
                <w:szCs w:val="18"/>
              </w:rPr>
            </w:pPr>
            <w:r w:rsidRPr="00E53F92">
              <w:rPr>
                <w:color w:val="000000"/>
                <w:sz w:val="16"/>
                <w:szCs w:val="18"/>
                <w:rtl/>
              </w:rPr>
              <w:t>ציוד ביתי</w:t>
            </w:r>
          </w:p>
        </w:tc>
        <w:tc>
          <w:tcPr>
            <w:tcW w:w="0" w:type="auto"/>
            <w:tcBorders>
              <w:top w:val="single" w:sz="4" w:space="0" w:color="000000"/>
              <w:left w:val="single" w:sz="4" w:space="0" w:color="000000"/>
              <w:bottom w:val="nil"/>
              <w:right w:val="single" w:sz="4" w:space="0" w:color="000000"/>
            </w:tcBorders>
            <w:shd w:val="clear" w:color="auto" w:fill="auto"/>
            <w:vAlign w:val="bottom"/>
          </w:tcPr>
          <w:p w14:paraId="56869A93" w14:textId="77777777" w:rsidR="005C3C07" w:rsidRPr="00E53F92" w:rsidRDefault="005C3C07" w:rsidP="0062633B">
            <w:pPr>
              <w:tabs>
                <w:tab w:val="left" w:pos="1148"/>
              </w:tabs>
              <w:spacing w:before="60" w:after="60" w:line="220" w:lineRule="exact"/>
              <w:rPr>
                <w:sz w:val="16"/>
                <w:szCs w:val="18"/>
              </w:rPr>
            </w:pPr>
            <w:r w:rsidRPr="00E53F92">
              <w:rPr>
                <w:sz w:val="16"/>
                <w:szCs w:val="18"/>
              </w:rPr>
              <w:t>0.905</w:t>
            </w:r>
          </w:p>
        </w:tc>
        <w:tc>
          <w:tcPr>
            <w:tcW w:w="0" w:type="auto"/>
            <w:tcBorders>
              <w:top w:val="single" w:sz="4" w:space="0" w:color="000000"/>
              <w:left w:val="single" w:sz="4" w:space="0" w:color="000000"/>
              <w:bottom w:val="nil"/>
              <w:right w:val="single" w:sz="4" w:space="0" w:color="000000"/>
            </w:tcBorders>
            <w:shd w:val="clear" w:color="auto" w:fill="auto"/>
            <w:vAlign w:val="bottom"/>
          </w:tcPr>
          <w:p w14:paraId="04E4CE27" w14:textId="77777777" w:rsidR="005C3C07" w:rsidRPr="00E53F92" w:rsidRDefault="005C3C07" w:rsidP="0062633B">
            <w:pPr>
              <w:tabs>
                <w:tab w:val="left" w:pos="1148"/>
              </w:tabs>
              <w:spacing w:before="60" w:after="60" w:line="220" w:lineRule="exact"/>
              <w:rPr>
                <w:sz w:val="16"/>
                <w:szCs w:val="18"/>
              </w:rPr>
            </w:pPr>
            <w:r w:rsidRPr="00E53F92">
              <w:rPr>
                <w:sz w:val="16"/>
                <w:szCs w:val="18"/>
              </w:rPr>
              <w:t>1.31</w:t>
            </w:r>
          </w:p>
        </w:tc>
        <w:tc>
          <w:tcPr>
            <w:tcW w:w="0" w:type="auto"/>
            <w:tcBorders>
              <w:top w:val="single" w:sz="4" w:space="0" w:color="000000"/>
              <w:left w:val="single" w:sz="4" w:space="0" w:color="000000"/>
              <w:bottom w:val="nil"/>
              <w:right w:val="single" w:sz="4" w:space="0" w:color="000000"/>
            </w:tcBorders>
            <w:shd w:val="clear" w:color="auto" w:fill="auto"/>
            <w:vAlign w:val="bottom"/>
          </w:tcPr>
          <w:p w14:paraId="58C562FE" w14:textId="77777777" w:rsidR="005C3C07" w:rsidRPr="00E53F92" w:rsidRDefault="005C3C07" w:rsidP="0062633B">
            <w:pPr>
              <w:tabs>
                <w:tab w:val="left" w:pos="1148"/>
              </w:tabs>
              <w:spacing w:before="60" w:after="60" w:line="220" w:lineRule="exact"/>
              <w:rPr>
                <w:sz w:val="16"/>
                <w:szCs w:val="18"/>
              </w:rPr>
            </w:pPr>
            <w:r w:rsidRPr="00E53F92">
              <w:rPr>
                <w:sz w:val="16"/>
                <w:szCs w:val="18"/>
              </w:rPr>
              <w:t>1.27</w:t>
            </w:r>
          </w:p>
        </w:tc>
        <w:tc>
          <w:tcPr>
            <w:tcW w:w="0" w:type="auto"/>
            <w:tcBorders>
              <w:top w:val="single" w:sz="4" w:space="0" w:color="000000"/>
              <w:left w:val="single" w:sz="4" w:space="0" w:color="000000"/>
              <w:bottom w:val="nil"/>
              <w:right w:val="single" w:sz="4" w:space="0" w:color="000000"/>
            </w:tcBorders>
            <w:shd w:val="clear" w:color="auto" w:fill="auto"/>
            <w:vAlign w:val="bottom"/>
          </w:tcPr>
          <w:p w14:paraId="2773864A" w14:textId="77777777" w:rsidR="005C3C07" w:rsidRPr="00E53F92" w:rsidRDefault="005C3C07" w:rsidP="0062633B">
            <w:pPr>
              <w:tabs>
                <w:tab w:val="left" w:pos="1148"/>
              </w:tabs>
              <w:spacing w:before="60" w:after="60" w:line="220" w:lineRule="exact"/>
              <w:rPr>
                <w:sz w:val="16"/>
                <w:szCs w:val="18"/>
              </w:rPr>
            </w:pPr>
            <w:r w:rsidRPr="00E53F92">
              <w:rPr>
                <w:sz w:val="16"/>
                <w:szCs w:val="18"/>
              </w:rPr>
              <w:t>0.876</w:t>
            </w:r>
          </w:p>
        </w:tc>
        <w:tc>
          <w:tcPr>
            <w:tcW w:w="0" w:type="auto"/>
            <w:tcBorders>
              <w:top w:val="single" w:sz="4" w:space="0" w:color="000000"/>
              <w:left w:val="single" w:sz="4" w:space="0" w:color="000000"/>
              <w:bottom w:val="nil"/>
              <w:right w:val="single" w:sz="4" w:space="0" w:color="000000"/>
            </w:tcBorders>
            <w:shd w:val="clear" w:color="auto" w:fill="auto"/>
            <w:vAlign w:val="bottom"/>
          </w:tcPr>
          <w:p w14:paraId="15F37A76" w14:textId="77777777" w:rsidR="005C3C07" w:rsidRPr="00E53F92" w:rsidRDefault="005C3C07" w:rsidP="0062633B">
            <w:pPr>
              <w:tabs>
                <w:tab w:val="left" w:pos="1148"/>
              </w:tabs>
              <w:spacing w:before="60" w:after="60" w:line="220" w:lineRule="exact"/>
              <w:rPr>
                <w:sz w:val="16"/>
                <w:szCs w:val="18"/>
              </w:rPr>
            </w:pPr>
            <w:r w:rsidRPr="00E53F92">
              <w:rPr>
                <w:sz w:val="16"/>
                <w:szCs w:val="18"/>
              </w:rPr>
              <w:t>1.50</w:t>
            </w:r>
          </w:p>
        </w:tc>
        <w:tc>
          <w:tcPr>
            <w:tcW w:w="0" w:type="auto"/>
            <w:tcBorders>
              <w:top w:val="single" w:sz="4" w:space="0" w:color="000000"/>
              <w:left w:val="single" w:sz="4" w:space="0" w:color="000000"/>
              <w:bottom w:val="nil"/>
              <w:right w:val="single" w:sz="4" w:space="0" w:color="000000"/>
            </w:tcBorders>
            <w:shd w:val="clear" w:color="auto" w:fill="auto"/>
            <w:vAlign w:val="bottom"/>
          </w:tcPr>
          <w:p w14:paraId="38ADAF79" w14:textId="77777777" w:rsidR="005C3C07" w:rsidRPr="00E53F92" w:rsidRDefault="005C3C07" w:rsidP="0062633B">
            <w:pPr>
              <w:tabs>
                <w:tab w:val="left" w:pos="1148"/>
              </w:tabs>
              <w:spacing w:before="60" w:after="60" w:line="220" w:lineRule="exact"/>
              <w:rPr>
                <w:sz w:val="16"/>
                <w:szCs w:val="18"/>
              </w:rPr>
            </w:pPr>
            <w:r w:rsidRPr="00E53F92">
              <w:rPr>
                <w:sz w:val="16"/>
                <w:szCs w:val="18"/>
              </w:rPr>
              <w:t>1.32</w:t>
            </w:r>
          </w:p>
        </w:tc>
        <w:tc>
          <w:tcPr>
            <w:tcW w:w="0" w:type="auto"/>
            <w:tcBorders>
              <w:top w:val="single" w:sz="4" w:space="0" w:color="000000"/>
              <w:left w:val="single" w:sz="4" w:space="0" w:color="000000"/>
              <w:bottom w:val="nil"/>
            </w:tcBorders>
            <w:shd w:val="clear" w:color="auto" w:fill="auto"/>
            <w:vAlign w:val="bottom"/>
          </w:tcPr>
          <w:p w14:paraId="7A318E0B" w14:textId="77777777" w:rsidR="005C3C07" w:rsidRPr="00E53F92" w:rsidRDefault="005C3C07" w:rsidP="0062633B">
            <w:pPr>
              <w:tabs>
                <w:tab w:val="left" w:pos="1148"/>
              </w:tabs>
              <w:spacing w:before="60" w:after="60" w:line="220" w:lineRule="exact"/>
              <w:rPr>
                <w:sz w:val="16"/>
                <w:szCs w:val="18"/>
              </w:rPr>
            </w:pPr>
            <w:r w:rsidRPr="00E53F92">
              <w:rPr>
                <w:sz w:val="16"/>
                <w:szCs w:val="18"/>
              </w:rPr>
              <w:t>1.17</w:t>
            </w:r>
          </w:p>
        </w:tc>
      </w:tr>
      <w:tr w:rsidR="005C3C07" w14:paraId="1AA10673" w14:textId="77777777" w:rsidTr="004B3169">
        <w:trPr>
          <w:jc w:val="center"/>
        </w:trPr>
        <w:tc>
          <w:tcPr>
            <w:tcW w:w="0" w:type="auto"/>
            <w:vMerge/>
            <w:tcBorders>
              <w:top w:val="nil"/>
              <w:bottom w:val="single" w:sz="4" w:space="0" w:color="000000"/>
              <w:right w:val="single" w:sz="4" w:space="0" w:color="000000"/>
            </w:tcBorders>
            <w:shd w:val="clear" w:color="auto" w:fill="auto"/>
          </w:tcPr>
          <w:p w14:paraId="149E2424" w14:textId="77777777" w:rsidR="005C3C07" w:rsidRPr="00E53F92" w:rsidRDefault="005C3C07" w:rsidP="0062633B">
            <w:pPr>
              <w:pBdr>
                <w:top w:val="nil"/>
                <w:left w:val="nil"/>
                <w:bottom w:val="nil"/>
                <w:right w:val="nil"/>
                <w:between w:val="nil"/>
              </w:pBdr>
              <w:tabs>
                <w:tab w:val="left" w:pos="1148"/>
              </w:tabs>
              <w:spacing w:before="60" w:after="60" w:line="220" w:lineRule="exact"/>
              <w:rPr>
                <w:color w:val="000000"/>
                <w:sz w:val="16"/>
                <w:szCs w:val="18"/>
              </w:rPr>
            </w:pPr>
          </w:p>
        </w:tc>
        <w:tc>
          <w:tcPr>
            <w:tcW w:w="0" w:type="auto"/>
            <w:tcBorders>
              <w:top w:val="nil"/>
              <w:left w:val="single" w:sz="4" w:space="0" w:color="000000"/>
              <w:bottom w:val="single" w:sz="4" w:space="0" w:color="000000"/>
              <w:right w:val="single" w:sz="4" w:space="0" w:color="000000"/>
            </w:tcBorders>
            <w:shd w:val="clear" w:color="auto" w:fill="auto"/>
            <w:vAlign w:val="bottom"/>
          </w:tcPr>
          <w:p w14:paraId="11DD438F" w14:textId="77777777" w:rsidR="005C3C07" w:rsidRPr="00E53F92" w:rsidRDefault="005C3C07" w:rsidP="0062633B">
            <w:pPr>
              <w:tabs>
                <w:tab w:val="left" w:pos="1148"/>
              </w:tabs>
              <w:spacing w:before="60" w:after="60" w:line="220" w:lineRule="exact"/>
              <w:rPr>
                <w:sz w:val="16"/>
                <w:szCs w:val="18"/>
              </w:rPr>
            </w:pPr>
            <w:r w:rsidRPr="00E53F92">
              <w:rPr>
                <w:sz w:val="16"/>
                <w:szCs w:val="18"/>
              </w:rPr>
              <w:t>(-0.12)</w:t>
            </w:r>
          </w:p>
        </w:tc>
        <w:tc>
          <w:tcPr>
            <w:tcW w:w="0" w:type="auto"/>
            <w:tcBorders>
              <w:top w:val="nil"/>
              <w:left w:val="single" w:sz="4" w:space="0" w:color="000000"/>
              <w:bottom w:val="single" w:sz="4" w:space="0" w:color="000000"/>
              <w:right w:val="single" w:sz="4" w:space="0" w:color="000000"/>
            </w:tcBorders>
            <w:shd w:val="clear" w:color="auto" w:fill="auto"/>
            <w:vAlign w:val="bottom"/>
          </w:tcPr>
          <w:p w14:paraId="70758D8D" w14:textId="77777777" w:rsidR="005C3C07" w:rsidRPr="00E53F92" w:rsidRDefault="005C3C07" w:rsidP="0062633B">
            <w:pPr>
              <w:tabs>
                <w:tab w:val="left" w:pos="1148"/>
              </w:tabs>
              <w:spacing w:before="60" w:after="60" w:line="220" w:lineRule="exact"/>
              <w:rPr>
                <w:sz w:val="16"/>
                <w:szCs w:val="18"/>
              </w:rPr>
            </w:pPr>
            <w:r w:rsidRPr="00E53F92">
              <w:rPr>
                <w:sz w:val="16"/>
                <w:szCs w:val="18"/>
              </w:rPr>
              <w:t>(0.85)</w:t>
            </w:r>
          </w:p>
        </w:tc>
        <w:tc>
          <w:tcPr>
            <w:tcW w:w="0" w:type="auto"/>
            <w:tcBorders>
              <w:top w:val="nil"/>
              <w:left w:val="single" w:sz="4" w:space="0" w:color="000000"/>
              <w:bottom w:val="single" w:sz="4" w:space="0" w:color="000000"/>
              <w:right w:val="single" w:sz="4" w:space="0" w:color="000000"/>
            </w:tcBorders>
            <w:shd w:val="clear" w:color="auto" w:fill="auto"/>
            <w:vAlign w:val="bottom"/>
          </w:tcPr>
          <w:p w14:paraId="68C45ACC" w14:textId="77777777" w:rsidR="005C3C07" w:rsidRPr="00E53F92" w:rsidRDefault="005C3C07" w:rsidP="0062633B">
            <w:pPr>
              <w:tabs>
                <w:tab w:val="left" w:pos="1148"/>
              </w:tabs>
              <w:spacing w:before="60" w:after="60" w:line="220" w:lineRule="exact"/>
              <w:rPr>
                <w:sz w:val="16"/>
                <w:szCs w:val="18"/>
              </w:rPr>
            </w:pPr>
            <w:r w:rsidRPr="00E53F92">
              <w:rPr>
                <w:sz w:val="16"/>
                <w:szCs w:val="18"/>
              </w:rPr>
              <w:t>(0.99)</w:t>
            </w:r>
          </w:p>
        </w:tc>
        <w:tc>
          <w:tcPr>
            <w:tcW w:w="0" w:type="auto"/>
            <w:tcBorders>
              <w:top w:val="nil"/>
              <w:left w:val="single" w:sz="4" w:space="0" w:color="000000"/>
              <w:bottom w:val="single" w:sz="4" w:space="0" w:color="000000"/>
              <w:right w:val="single" w:sz="4" w:space="0" w:color="000000"/>
            </w:tcBorders>
            <w:shd w:val="clear" w:color="auto" w:fill="auto"/>
            <w:vAlign w:val="bottom"/>
          </w:tcPr>
          <w:p w14:paraId="4FDC389F" w14:textId="77777777" w:rsidR="005C3C07" w:rsidRPr="00E53F92" w:rsidRDefault="005C3C07" w:rsidP="0062633B">
            <w:pPr>
              <w:tabs>
                <w:tab w:val="left" w:pos="1148"/>
              </w:tabs>
              <w:spacing w:before="60" w:after="60" w:line="220" w:lineRule="exact"/>
              <w:rPr>
                <w:sz w:val="16"/>
                <w:szCs w:val="18"/>
              </w:rPr>
            </w:pPr>
            <w:r w:rsidRPr="00E53F92">
              <w:rPr>
                <w:sz w:val="16"/>
                <w:szCs w:val="18"/>
              </w:rPr>
              <w:t>(-0.50)</w:t>
            </w:r>
          </w:p>
        </w:tc>
        <w:tc>
          <w:tcPr>
            <w:tcW w:w="0" w:type="auto"/>
            <w:tcBorders>
              <w:top w:val="nil"/>
              <w:left w:val="single" w:sz="4" w:space="0" w:color="000000"/>
              <w:bottom w:val="single" w:sz="4" w:space="0" w:color="000000"/>
              <w:right w:val="single" w:sz="4" w:space="0" w:color="000000"/>
            </w:tcBorders>
            <w:shd w:val="clear" w:color="auto" w:fill="auto"/>
            <w:vAlign w:val="bottom"/>
          </w:tcPr>
          <w:p w14:paraId="4E7516E9" w14:textId="77777777" w:rsidR="005C3C07" w:rsidRPr="00E53F92" w:rsidRDefault="005C3C07" w:rsidP="0062633B">
            <w:pPr>
              <w:tabs>
                <w:tab w:val="left" w:pos="1148"/>
              </w:tabs>
              <w:spacing w:before="60" w:after="60" w:line="220" w:lineRule="exact"/>
              <w:rPr>
                <w:sz w:val="16"/>
                <w:szCs w:val="18"/>
              </w:rPr>
            </w:pPr>
            <w:r w:rsidRPr="00E53F92">
              <w:rPr>
                <w:sz w:val="16"/>
                <w:szCs w:val="18"/>
              </w:rPr>
              <w:t>(2.02)</w:t>
            </w:r>
          </w:p>
        </w:tc>
        <w:tc>
          <w:tcPr>
            <w:tcW w:w="0" w:type="auto"/>
            <w:tcBorders>
              <w:top w:val="nil"/>
              <w:left w:val="single" w:sz="4" w:space="0" w:color="000000"/>
              <w:bottom w:val="single" w:sz="4" w:space="0" w:color="000000"/>
              <w:right w:val="single" w:sz="4" w:space="0" w:color="000000"/>
            </w:tcBorders>
            <w:shd w:val="clear" w:color="auto" w:fill="auto"/>
            <w:vAlign w:val="bottom"/>
          </w:tcPr>
          <w:p w14:paraId="7CFCB8BD" w14:textId="77777777" w:rsidR="005C3C07" w:rsidRPr="00E53F92" w:rsidRDefault="005C3C07" w:rsidP="0062633B">
            <w:pPr>
              <w:tabs>
                <w:tab w:val="left" w:pos="1148"/>
              </w:tabs>
              <w:spacing w:before="60" w:after="60" w:line="220" w:lineRule="exact"/>
              <w:rPr>
                <w:sz w:val="16"/>
                <w:szCs w:val="18"/>
              </w:rPr>
            </w:pPr>
            <w:r w:rsidRPr="00E53F92">
              <w:rPr>
                <w:sz w:val="16"/>
                <w:szCs w:val="18"/>
              </w:rPr>
              <w:t>(1.13)</w:t>
            </w:r>
          </w:p>
        </w:tc>
        <w:tc>
          <w:tcPr>
            <w:tcW w:w="0" w:type="auto"/>
            <w:tcBorders>
              <w:top w:val="nil"/>
              <w:left w:val="single" w:sz="4" w:space="0" w:color="000000"/>
              <w:bottom w:val="single" w:sz="4" w:space="0" w:color="000000"/>
            </w:tcBorders>
            <w:shd w:val="clear" w:color="auto" w:fill="auto"/>
            <w:vAlign w:val="bottom"/>
          </w:tcPr>
          <w:p w14:paraId="06483189" w14:textId="77777777" w:rsidR="005C3C07" w:rsidRPr="00E53F92" w:rsidRDefault="005C3C07" w:rsidP="0062633B">
            <w:pPr>
              <w:tabs>
                <w:tab w:val="left" w:pos="1148"/>
              </w:tabs>
              <w:spacing w:before="60" w:after="60" w:line="220" w:lineRule="exact"/>
              <w:rPr>
                <w:sz w:val="16"/>
                <w:szCs w:val="18"/>
              </w:rPr>
            </w:pPr>
          </w:p>
        </w:tc>
      </w:tr>
      <w:tr w:rsidR="005C3C07" w14:paraId="7FFE9806" w14:textId="77777777" w:rsidTr="004B3169">
        <w:trPr>
          <w:jc w:val="center"/>
        </w:trPr>
        <w:tc>
          <w:tcPr>
            <w:tcW w:w="0" w:type="auto"/>
            <w:vMerge w:val="restart"/>
            <w:tcBorders>
              <w:top w:val="single" w:sz="4" w:space="0" w:color="000000"/>
              <w:bottom w:val="nil"/>
              <w:right w:val="single" w:sz="4" w:space="0" w:color="000000"/>
            </w:tcBorders>
            <w:shd w:val="clear" w:color="auto" w:fill="auto"/>
          </w:tcPr>
          <w:p w14:paraId="2E812DAA" w14:textId="77777777" w:rsidR="005C3C07" w:rsidRPr="00E53F92" w:rsidRDefault="005C3C07" w:rsidP="0062633B">
            <w:pPr>
              <w:tabs>
                <w:tab w:val="left" w:pos="1148"/>
              </w:tabs>
              <w:spacing w:before="60" w:after="60" w:line="220" w:lineRule="exact"/>
              <w:rPr>
                <w:color w:val="000000"/>
                <w:sz w:val="16"/>
                <w:szCs w:val="18"/>
                <w:rtl/>
              </w:rPr>
            </w:pPr>
            <w:r w:rsidRPr="00E53F92">
              <w:rPr>
                <w:color w:val="000000"/>
                <w:sz w:val="16"/>
                <w:szCs w:val="18"/>
                <w:rtl/>
              </w:rPr>
              <w:t>עימותים עם</w:t>
            </w:r>
            <w:r w:rsidRPr="00E53F92">
              <w:rPr>
                <w:rFonts w:hint="cs"/>
                <w:color w:val="000000"/>
                <w:sz w:val="16"/>
                <w:szCs w:val="18"/>
                <w:rtl/>
              </w:rPr>
              <w:t xml:space="preserve"> </w:t>
            </w:r>
            <w:r w:rsidRPr="00E53F92">
              <w:rPr>
                <w:color w:val="000000"/>
                <w:sz w:val="16"/>
                <w:szCs w:val="18"/>
                <w:rtl/>
              </w:rPr>
              <w:t>הממשל</w:t>
            </w:r>
          </w:p>
        </w:tc>
        <w:tc>
          <w:tcPr>
            <w:tcW w:w="0" w:type="auto"/>
            <w:tcBorders>
              <w:top w:val="single" w:sz="4" w:space="0" w:color="000000"/>
              <w:left w:val="single" w:sz="4" w:space="0" w:color="000000"/>
              <w:bottom w:val="nil"/>
              <w:right w:val="single" w:sz="4" w:space="0" w:color="000000"/>
            </w:tcBorders>
            <w:shd w:val="clear" w:color="auto" w:fill="auto"/>
            <w:vAlign w:val="bottom"/>
          </w:tcPr>
          <w:p w14:paraId="2CC19BF7" w14:textId="77777777" w:rsidR="005C3C07" w:rsidRPr="00E53F92" w:rsidRDefault="005C3C07" w:rsidP="0062633B">
            <w:pPr>
              <w:tabs>
                <w:tab w:val="left" w:pos="1148"/>
              </w:tabs>
              <w:spacing w:before="60" w:after="60" w:line="220" w:lineRule="exact"/>
              <w:rPr>
                <w:sz w:val="16"/>
                <w:szCs w:val="18"/>
              </w:rPr>
            </w:pPr>
            <w:r w:rsidRPr="00E53F92">
              <w:rPr>
                <w:sz w:val="16"/>
                <w:szCs w:val="18"/>
              </w:rPr>
              <w:t>0.741</w:t>
            </w:r>
          </w:p>
        </w:tc>
        <w:tc>
          <w:tcPr>
            <w:tcW w:w="0" w:type="auto"/>
            <w:tcBorders>
              <w:top w:val="single" w:sz="4" w:space="0" w:color="000000"/>
              <w:left w:val="single" w:sz="4" w:space="0" w:color="000000"/>
              <w:bottom w:val="nil"/>
              <w:right w:val="single" w:sz="4" w:space="0" w:color="000000"/>
            </w:tcBorders>
            <w:shd w:val="clear" w:color="auto" w:fill="auto"/>
            <w:vAlign w:val="bottom"/>
          </w:tcPr>
          <w:p w14:paraId="1A8917F8" w14:textId="77777777" w:rsidR="005C3C07" w:rsidRPr="00E53F92" w:rsidRDefault="005C3C07" w:rsidP="0062633B">
            <w:pPr>
              <w:tabs>
                <w:tab w:val="left" w:pos="1148"/>
              </w:tabs>
              <w:spacing w:before="60" w:after="60" w:line="220" w:lineRule="exact"/>
              <w:rPr>
                <w:sz w:val="16"/>
                <w:szCs w:val="18"/>
              </w:rPr>
            </w:pPr>
            <w:r w:rsidRPr="00E53F92">
              <w:rPr>
                <w:sz w:val="16"/>
                <w:szCs w:val="18"/>
              </w:rPr>
              <w:t>0.807</w:t>
            </w:r>
          </w:p>
        </w:tc>
        <w:tc>
          <w:tcPr>
            <w:tcW w:w="0" w:type="auto"/>
            <w:tcBorders>
              <w:top w:val="single" w:sz="4" w:space="0" w:color="000000"/>
              <w:left w:val="single" w:sz="4" w:space="0" w:color="000000"/>
              <w:bottom w:val="nil"/>
              <w:right w:val="single" w:sz="4" w:space="0" w:color="000000"/>
            </w:tcBorders>
            <w:shd w:val="clear" w:color="auto" w:fill="auto"/>
            <w:vAlign w:val="bottom"/>
          </w:tcPr>
          <w:p w14:paraId="18693247" w14:textId="77777777" w:rsidR="005C3C07" w:rsidRPr="00E53F92" w:rsidRDefault="005C3C07" w:rsidP="0062633B">
            <w:pPr>
              <w:tabs>
                <w:tab w:val="left" w:pos="1148"/>
              </w:tabs>
              <w:spacing w:before="60" w:after="60" w:line="220" w:lineRule="exact"/>
              <w:rPr>
                <w:sz w:val="16"/>
                <w:szCs w:val="18"/>
              </w:rPr>
            </w:pPr>
            <w:r w:rsidRPr="00E53F92">
              <w:rPr>
                <w:sz w:val="16"/>
                <w:szCs w:val="18"/>
              </w:rPr>
              <w:t>0.880</w:t>
            </w:r>
          </w:p>
        </w:tc>
        <w:tc>
          <w:tcPr>
            <w:tcW w:w="0" w:type="auto"/>
            <w:tcBorders>
              <w:top w:val="single" w:sz="4" w:space="0" w:color="000000"/>
              <w:left w:val="single" w:sz="4" w:space="0" w:color="000000"/>
              <w:bottom w:val="nil"/>
              <w:right w:val="single" w:sz="4" w:space="0" w:color="000000"/>
            </w:tcBorders>
            <w:shd w:val="clear" w:color="auto" w:fill="auto"/>
            <w:vAlign w:val="bottom"/>
          </w:tcPr>
          <w:p w14:paraId="16BA9594" w14:textId="77777777" w:rsidR="005C3C07" w:rsidRPr="00E53F92" w:rsidRDefault="005C3C07" w:rsidP="0062633B">
            <w:pPr>
              <w:tabs>
                <w:tab w:val="left" w:pos="1148"/>
              </w:tabs>
              <w:spacing w:before="60" w:after="60" w:line="220" w:lineRule="exact"/>
              <w:rPr>
                <w:sz w:val="16"/>
                <w:szCs w:val="18"/>
              </w:rPr>
            </w:pPr>
            <w:r w:rsidRPr="00E53F92">
              <w:rPr>
                <w:sz w:val="16"/>
                <w:szCs w:val="18"/>
              </w:rPr>
              <w:t>0.758</w:t>
            </w:r>
          </w:p>
        </w:tc>
        <w:tc>
          <w:tcPr>
            <w:tcW w:w="0" w:type="auto"/>
            <w:tcBorders>
              <w:top w:val="single" w:sz="4" w:space="0" w:color="000000"/>
              <w:left w:val="single" w:sz="4" w:space="0" w:color="000000"/>
              <w:bottom w:val="nil"/>
              <w:right w:val="single" w:sz="4" w:space="0" w:color="000000"/>
            </w:tcBorders>
            <w:shd w:val="clear" w:color="auto" w:fill="auto"/>
            <w:vAlign w:val="bottom"/>
          </w:tcPr>
          <w:p w14:paraId="0F0902B2" w14:textId="77777777" w:rsidR="005C3C07" w:rsidRPr="00E53F92" w:rsidRDefault="005C3C07" w:rsidP="0062633B">
            <w:pPr>
              <w:tabs>
                <w:tab w:val="left" w:pos="1148"/>
              </w:tabs>
              <w:spacing w:before="60" w:after="60" w:line="220" w:lineRule="exact"/>
              <w:rPr>
                <w:sz w:val="16"/>
                <w:szCs w:val="18"/>
              </w:rPr>
            </w:pPr>
            <w:r w:rsidRPr="00E53F92">
              <w:rPr>
                <w:sz w:val="16"/>
                <w:szCs w:val="18"/>
              </w:rPr>
              <w:t>0.660</w:t>
            </w:r>
          </w:p>
        </w:tc>
        <w:tc>
          <w:tcPr>
            <w:tcW w:w="0" w:type="auto"/>
            <w:tcBorders>
              <w:top w:val="single" w:sz="4" w:space="0" w:color="000000"/>
              <w:left w:val="single" w:sz="4" w:space="0" w:color="000000"/>
              <w:bottom w:val="nil"/>
              <w:right w:val="single" w:sz="4" w:space="0" w:color="000000"/>
            </w:tcBorders>
            <w:shd w:val="clear" w:color="auto" w:fill="auto"/>
            <w:vAlign w:val="bottom"/>
          </w:tcPr>
          <w:p w14:paraId="67B9156B" w14:textId="77777777" w:rsidR="005C3C07" w:rsidRPr="00E53F92" w:rsidRDefault="005C3C07" w:rsidP="0062633B">
            <w:pPr>
              <w:tabs>
                <w:tab w:val="left" w:pos="1148"/>
              </w:tabs>
              <w:spacing w:before="60" w:after="60" w:line="220" w:lineRule="exact"/>
              <w:rPr>
                <w:sz w:val="16"/>
                <w:szCs w:val="18"/>
              </w:rPr>
            </w:pPr>
            <w:r w:rsidRPr="00E53F92">
              <w:rPr>
                <w:sz w:val="16"/>
                <w:szCs w:val="18"/>
              </w:rPr>
              <w:t>0.624</w:t>
            </w:r>
          </w:p>
        </w:tc>
        <w:tc>
          <w:tcPr>
            <w:tcW w:w="0" w:type="auto"/>
            <w:tcBorders>
              <w:top w:val="single" w:sz="4" w:space="0" w:color="000000"/>
              <w:left w:val="single" w:sz="4" w:space="0" w:color="000000"/>
              <w:bottom w:val="nil"/>
            </w:tcBorders>
            <w:shd w:val="clear" w:color="auto" w:fill="auto"/>
            <w:vAlign w:val="bottom"/>
          </w:tcPr>
          <w:p w14:paraId="427790E6" w14:textId="77777777" w:rsidR="005C3C07" w:rsidRPr="00E53F92" w:rsidRDefault="005C3C07" w:rsidP="0062633B">
            <w:pPr>
              <w:tabs>
                <w:tab w:val="left" w:pos="1148"/>
              </w:tabs>
              <w:spacing w:before="60" w:after="60" w:line="220" w:lineRule="exact"/>
              <w:rPr>
                <w:sz w:val="16"/>
                <w:szCs w:val="18"/>
              </w:rPr>
            </w:pPr>
            <w:r w:rsidRPr="00E53F92">
              <w:rPr>
                <w:sz w:val="16"/>
                <w:szCs w:val="18"/>
              </w:rPr>
              <w:t>0.431</w:t>
            </w:r>
          </w:p>
        </w:tc>
      </w:tr>
      <w:tr w:rsidR="005C3C07" w14:paraId="1E1AF091" w14:textId="77777777" w:rsidTr="004B3169">
        <w:trPr>
          <w:jc w:val="center"/>
        </w:trPr>
        <w:tc>
          <w:tcPr>
            <w:tcW w:w="0" w:type="auto"/>
            <w:vMerge/>
            <w:tcBorders>
              <w:top w:val="nil"/>
              <w:bottom w:val="single" w:sz="4" w:space="0" w:color="000000"/>
              <w:right w:val="single" w:sz="4" w:space="0" w:color="000000"/>
            </w:tcBorders>
            <w:shd w:val="clear" w:color="auto" w:fill="auto"/>
          </w:tcPr>
          <w:p w14:paraId="651B2187" w14:textId="77777777" w:rsidR="005C3C07" w:rsidRPr="00E53F92" w:rsidRDefault="005C3C07" w:rsidP="0062633B">
            <w:pPr>
              <w:pBdr>
                <w:top w:val="nil"/>
                <w:left w:val="nil"/>
                <w:bottom w:val="nil"/>
                <w:right w:val="nil"/>
                <w:between w:val="nil"/>
              </w:pBdr>
              <w:tabs>
                <w:tab w:val="left" w:pos="1148"/>
              </w:tabs>
              <w:spacing w:before="60" w:after="60" w:line="220" w:lineRule="exact"/>
              <w:rPr>
                <w:color w:val="000000"/>
                <w:sz w:val="16"/>
                <w:szCs w:val="18"/>
              </w:rPr>
            </w:pPr>
          </w:p>
        </w:tc>
        <w:tc>
          <w:tcPr>
            <w:tcW w:w="0" w:type="auto"/>
            <w:tcBorders>
              <w:top w:val="nil"/>
              <w:left w:val="single" w:sz="4" w:space="0" w:color="000000"/>
              <w:bottom w:val="single" w:sz="4" w:space="0" w:color="000000"/>
              <w:right w:val="single" w:sz="4" w:space="0" w:color="000000"/>
            </w:tcBorders>
            <w:shd w:val="clear" w:color="auto" w:fill="auto"/>
            <w:vAlign w:val="bottom"/>
          </w:tcPr>
          <w:p w14:paraId="5CE221EA" w14:textId="77777777" w:rsidR="005C3C07" w:rsidRPr="00E53F92" w:rsidRDefault="005C3C07" w:rsidP="0062633B">
            <w:pPr>
              <w:tabs>
                <w:tab w:val="left" w:pos="1148"/>
              </w:tabs>
              <w:spacing w:before="60" w:after="60" w:line="220" w:lineRule="exact"/>
              <w:rPr>
                <w:sz w:val="14"/>
                <w:szCs w:val="16"/>
              </w:rPr>
            </w:pPr>
            <w:r w:rsidRPr="00E53F92">
              <w:rPr>
                <w:sz w:val="14"/>
                <w:szCs w:val="16"/>
              </w:rPr>
              <w:t>(-0.28)</w:t>
            </w:r>
          </w:p>
        </w:tc>
        <w:tc>
          <w:tcPr>
            <w:tcW w:w="0" w:type="auto"/>
            <w:tcBorders>
              <w:top w:val="nil"/>
              <w:left w:val="single" w:sz="4" w:space="0" w:color="000000"/>
              <w:bottom w:val="single" w:sz="4" w:space="0" w:color="000000"/>
              <w:right w:val="single" w:sz="4" w:space="0" w:color="000000"/>
            </w:tcBorders>
            <w:shd w:val="clear" w:color="auto" w:fill="auto"/>
            <w:vAlign w:val="bottom"/>
          </w:tcPr>
          <w:p w14:paraId="6A3C0118" w14:textId="77777777" w:rsidR="005C3C07" w:rsidRPr="00E53F92" w:rsidRDefault="005C3C07" w:rsidP="0062633B">
            <w:pPr>
              <w:tabs>
                <w:tab w:val="left" w:pos="1148"/>
              </w:tabs>
              <w:spacing w:before="60" w:after="60" w:line="220" w:lineRule="exact"/>
              <w:rPr>
                <w:sz w:val="14"/>
                <w:szCs w:val="16"/>
              </w:rPr>
            </w:pPr>
            <w:r w:rsidRPr="00E53F92">
              <w:rPr>
                <w:sz w:val="14"/>
                <w:szCs w:val="16"/>
              </w:rPr>
              <w:t>(-0.74)</w:t>
            </w:r>
          </w:p>
        </w:tc>
        <w:tc>
          <w:tcPr>
            <w:tcW w:w="0" w:type="auto"/>
            <w:tcBorders>
              <w:top w:val="nil"/>
              <w:left w:val="single" w:sz="4" w:space="0" w:color="000000"/>
              <w:bottom w:val="single" w:sz="4" w:space="0" w:color="000000"/>
              <w:right w:val="single" w:sz="4" w:space="0" w:color="000000"/>
            </w:tcBorders>
            <w:shd w:val="clear" w:color="auto" w:fill="auto"/>
            <w:vAlign w:val="bottom"/>
          </w:tcPr>
          <w:p w14:paraId="1B02F5EC" w14:textId="77777777" w:rsidR="005C3C07" w:rsidRPr="00E53F92" w:rsidRDefault="005C3C07" w:rsidP="0062633B">
            <w:pPr>
              <w:tabs>
                <w:tab w:val="left" w:pos="1148"/>
              </w:tabs>
              <w:spacing w:before="60" w:after="60" w:line="220" w:lineRule="exact"/>
              <w:rPr>
                <w:sz w:val="14"/>
                <w:szCs w:val="16"/>
              </w:rPr>
            </w:pPr>
            <w:r w:rsidRPr="00E53F92">
              <w:rPr>
                <w:sz w:val="14"/>
                <w:szCs w:val="16"/>
              </w:rPr>
              <w:t>(-0.49)</w:t>
            </w:r>
          </w:p>
        </w:tc>
        <w:tc>
          <w:tcPr>
            <w:tcW w:w="0" w:type="auto"/>
            <w:tcBorders>
              <w:top w:val="nil"/>
              <w:left w:val="single" w:sz="4" w:space="0" w:color="000000"/>
              <w:bottom w:val="single" w:sz="4" w:space="0" w:color="000000"/>
              <w:right w:val="single" w:sz="4" w:space="0" w:color="000000"/>
            </w:tcBorders>
            <w:shd w:val="clear" w:color="auto" w:fill="auto"/>
            <w:vAlign w:val="bottom"/>
          </w:tcPr>
          <w:p w14:paraId="5BA13068" w14:textId="77777777" w:rsidR="005C3C07" w:rsidRPr="00E53F92" w:rsidRDefault="005C3C07" w:rsidP="0062633B">
            <w:pPr>
              <w:tabs>
                <w:tab w:val="left" w:pos="1148"/>
              </w:tabs>
              <w:spacing w:before="60" w:after="60" w:line="220" w:lineRule="exact"/>
              <w:rPr>
                <w:sz w:val="14"/>
                <w:szCs w:val="16"/>
              </w:rPr>
            </w:pPr>
            <w:r w:rsidRPr="00E53F92">
              <w:rPr>
                <w:sz w:val="14"/>
                <w:szCs w:val="16"/>
              </w:rPr>
              <w:t>(-1.35)</w:t>
            </w:r>
          </w:p>
        </w:tc>
        <w:tc>
          <w:tcPr>
            <w:tcW w:w="0" w:type="auto"/>
            <w:tcBorders>
              <w:top w:val="nil"/>
              <w:left w:val="single" w:sz="4" w:space="0" w:color="000000"/>
              <w:bottom w:val="single" w:sz="4" w:space="0" w:color="000000"/>
              <w:right w:val="single" w:sz="4" w:space="0" w:color="000000"/>
            </w:tcBorders>
            <w:shd w:val="clear" w:color="auto" w:fill="auto"/>
            <w:vAlign w:val="bottom"/>
          </w:tcPr>
          <w:p w14:paraId="51CADF2C" w14:textId="77777777" w:rsidR="005C3C07" w:rsidRPr="00E53F92" w:rsidRDefault="005C3C07" w:rsidP="0062633B">
            <w:pPr>
              <w:tabs>
                <w:tab w:val="left" w:pos="1148"/>
              </w:tabs>
              <w:spacing w:before="60" w:after="60" w:line="220" w:lineRule="exact"/>
              <w:rPr>
                <w:sz w:val="14"/>
                <w:szCs w:val="16"/>
              </w:rPr>
            </w:pPr>
            <w:r w:rsidRPr="00E53F92">
              <w:rPr>
                <w:sz w:val="14"/>
                <w:szCs w:val="16"/>
              </w:rPr>
              <w:t>(-1.64)</w:t>
            </w:r>
          </w:p>
        </w:tc>
        <w:tc>
          <w:tcPr>
            <w:tcW w:w="0" w:type="auto"/>
            <w:tcBorders>
              <w:top w:val="nil"/>
              <w:left w:val="single" w:sz="4" w:space="0" w:color="000000"/>
              <w:bottom w:val="single" w:sz="4" w:space="0" w:color="000000"/>
              <w:right w:val="single" w:sz="4" w:space="0" w:color="000000"/>
            </w:tcBorders>
            <w:shd w:val="clear" w:color="auto" w:fill="auto"/>
            <w:vAlign w:val="bottom"/>
          </w:tcPr>
          <w:p w14:paraId="6EE06935" w14:textId="77777777" w:rsidR="005C3C07" w:rsidRPr="00E53F92" w:rsidRDefault="005C3C07" w:rsidP="0062633B">
            <w:pPr>
              <w:tabs>
                <w:tab w:val="left" w:pos="1148"/>
              </w:tabs>
              <w:spacing w:before="60" w:after="60" w:line="220" w:lineRule="exact"/>
              <w:rPr>
                <w:sz w:val="14"/>
                <w:szCs w:val="16"/>
              </w:rPr>
            </w:pPr>
            <w:r w:rsidRPr="00E53F92">
              <w:rPr>
                <w:sz w:val="14"/>
                <w:szCs w:val="16"/>
              </w:rPr>
              <w:t>(-1.57)</w:t>
            </w:r>
          </w:p>
        </w:tc>
        <w:tc>
          <w:tcPr>
            <w:tcW w:w="0" w:type="auto"/>
            <w:tcBorders>
              <w:top w:val="nil"/>
              <w:left w:val="single" w:sz="4" w:space="0" w:color="000000"/>
              <w:bottom w:val="single" w:sz="4" w:space="0" w:color="000000"/>
            </w:tcBorders>
            <w:shd w:val="clear" w:color="auto" w:fill="auto"/>
            <w:vAlign w:val="bottom"/>
          </w:tcPr>
          <w:p w14:paraId="3231085F" w14:textId="77777777" w:rsidR="005C3C07" w:rsidRPr="00E53F92" w:rsidRDefault="005C3C07" w:rsidP="0062633B">
            <w:pPr>
              <w:tabs>
                <w:tab w:val="left" w:pos="1148"/>
              </w:tabs>
              <w:spacing w:before="60" w:after="60" w:line="220" w:lineRule="exact"/>
              <w:rPr>
                <w:sz w:val="14"/>
                <w:szCs w:val="16"/>
              </w:rPr>
            </w:pPr>
            <w:r w:rsidRPr="00E53F92">
              <w:rPr>
                <w:sz w:val="14"/>
                <w:szCs w:val="16"/>
              </w:rPr>
              <w:t>(-1.24)</w:t>
            </w:r>
          </w:p>
        </w:tc>
      </w:tr>
      <w:tr w:rsidR="005C3C07" w14:paraId="4C19C320" w14:textId="77777777" w:rsidTr="004B3169">
        <w:trPr>
          <w:jc w:val="center"/>
        </w:trPr>
        <w:tc>
          <w:tcPr>
            <w:tcW w:w="0" w:type="auto"/>
            <w:tcBorders>
              <w:top w:val="single" w:sz="4" w:space="0" w:color="000000"/>
              <w:bottom w:val="single" w:sz="4" w:space="0" w:color="000000"/>
              <w:right w:val="single" w:sz="4" w:space="0" w:color="000000"/>
            </w:tcBorders>
            <w:shd w:val="clear" w:color="auto" w:fill="auto"/>
          </w:tcPr>
          <w:p w14:paraId="0A8BAC2B" w14:textId="77777777" w:rsidR="005C3C07" w:rsidRPr="00E53F92" w:rsidRDefault="005C3C07" w:rsidP="0062633B">
            <w:pPr>
              <w:tabs>
                <w:tab w:val="left" w:pos="1148"/>
              </w:tabs>
              <w:spacing w:before="60" w:after="60" w:line="220" w:lineRule="exact"/>
              <w:rPr>
                <w:color w:val="000000"/>
                <w:sz w:val="16"/>
                <w:szCs w:val="18"/>
              </w:rPr>
            </w:pPr>
            <w:r w:rsidRPr="00E53F92">
              <w:rPr>
                <w:color w:val="000000"/>
                <w:sz w:val="16"/>
                <w:szCs w:val="18"/>
                <w:rtl/>
              </w:rPr>
              <w:t>סטייה (</w:t>
            </w:r>
            <w:r w:rsidRPr="00E53F92">
              <w:rPr>
                <w:color w:val="000000"/>
                <w:sz w:val="16"/>
                <w:szCs w:val="18"/>
              </w:rPr>
              <w:t>Deviance</w:t>
            </w:r>
            <w:r w:rsidRPr="00E53F92">
              <w:rPr>
                <w:color w:val="000000"/>
                <w:sz w:val="16"/>
                <w:szCs w:val="18"/>
                <w:rtl/>
              </w:rPr>
              <w:t>)</w:t>
            </w:r>
            <w:r w:rsidRPr="00E53F92">
              <w:rPr>
                <w:color w:val="000000"/>
                <w:sz w:val="16"/>
                <w:szCs w:val="18"/>
                <w:rtl/>
              </w:rPr>
              <w:br/>
              <w:t>מודל 0</w:t>
            </w:r>
            <w:r w:rsidRPr="00E53F92">
              <w:rPr>
                <w:rFonts w:hint="cs"/>
                <w:color w:val="000000"/>
                <w:sz w:val="16"/>
                <w:szCs w:val="18"/>
                <w:rtl/>
              </w:rPr>
              <w:t xml:space="preserve"> </w:t>
            </w:r>
            <w:r w:rsidRPr="00E53F92">
              <w:rPr>
                <w:color w:val="000000"/>
                <w:sz w:val="16"/>
                <w:szCs w:val="18"/>
                <w:rtl/>
              </w:rPr>
              <w:t>(גיל בלבד)</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B5897A8" w14:textId="77777777" w:rsidR="005C3C07" w:rsidRPr="00E53F92" w:rsidRDefault="005C3C07" w:rsidP="0062633B">
            <w:pPr>
              <w:tabs>
                <w:tab w:val="left" w:pos="1148"/>
              </w:tabs>
              <w:spacing w:before="60" w:after="60" w:line="220" w:lineRule="exact"/>
              <w:rPr>
                <w:sz w:val="16"/>
                <w:szCs w:val="18"/>
              </w:rPr>
            </w:pPr>
            <w:r w:rsidRPr="00E53F92">
              <w:rPr>
                <w:sz w:val="16"/>
                <w:szCs w:val="18"/>
              </w:rPr>
              <w:t>542.71</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14:paraId="00BEDE0E" w14:textId="77777777" w:rsidR="005C3C07" w:rsidRPr="00E53F92" w:rsidRDefault="005C3C07" w:rsidP="0062633B">
            <w:pPr>
              <w:tabs>
                <w:tab w:val="left" w:pos="1148"/>
              </w:tabs>
              <w:spacing w:before="60" w:after="60" w:line="220" w:lineRule="exact"/>
              <w:rPr>
                <w:sz w:val="16"/>
                <w:szCs w:val="18"/>
              </w:rPr>
            </w:pPr>
            <w:r w:rsidRPr="00E53F92">
              <w:rPr>
                <w:sz w:val="16"/>
                <w:szCs w:val="18"/>
              </w:rPr>
              <w:t xml:space="preserve">df=484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14:paraId="35596048" w14:textId="77777777" w:rsidR="005C3C07" w:rsidRPr="00E53F92" w:rsidRDefault="005C3C07" w:rsidP="0062633B">
            <w:pPr>
              <w:tabs>
                <w:tab w:val="left" w:pos="1148"/>
              </w:tabs>
              <w:spacing w:before="60" w:after="60" w:line="220" w:lineRule="exact"/>
              <w:rPr>
                <w:sz w:val="16"/>
                <w:szCs w:val="18"/>
              </w:rPr>
            </w:pPr>
            <w:r w:rsidRPr="00E53F92">
              <w:rPr>
                <w:sz w:val="16"/>
                <w:szCs w:val="18"/>
              </w:rPr>
              <w:t>p=0.033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0CF6F8B" w14:textId="77777777" w:rsidR="005C3C07" w:rsidRPr="00E53F92" w:rsidRDefault="005C3C07" w:rsidP="0062633B">
            <w:pPr>
              <w:tabs>
                <w:tab w:val="left" w:pos="1148"/>
              </w:tabs>
              <w:spacing w:before="60" w:after="60" w:line="220" w:lineRule="exact"/>
              <w:rPr>
                <w:sz w:val="16"/>
                <w:szCs w:val="18"/>
              </w:rPr>
            </w:pPr>
          </w:p>
        </w:tc>
        <w:tc>
          <w:tcPr>
            <w:tcW w:w="0" w:type="auto"/>
            <w:tcBorders>
              <w:top w:val="single" w:sz="4" w:space="0" w:color="000000"/>
              <w:left w:val="single" w:sz="4" w:space="0" w:color="000000"/>
              <w:bottom w:val="single" w:sz="4" w:space="0" w:color="000000"/>
            </w:tcBorders>
            <w:shd w:val="clear" w:color="auto" w:fill="auto"/>
          </w:tcPr>
          <w:p w14:paraId="70F6EE1D" w14:textId="77777777" w:rsidR="005C3C07" w:rsidRPr="00E53F92" w:rsidRDefault="005C3C07" w:rsidP="0062633B">
            <w:pPr>
              <w:tabs>
                <w:tab w:val="left" w:pos="1148"/>
              </w:tabs>
              <w:spacing w:before="60" w:after="60" w:line="220" w:lineRule="exact"/>
              <w:rPr>
                <w:sz w:val="16"/>
                <w:szCs w:val="18"/>
              </w:rPr>
            </w:pPr>
          </w:p>
        </w:tc>
      </w:tr>
      <w:tr w:rsidR="005C3C07" w14:paraId="3FDCC2FB" w14:textId="77777777" w:rsidTr="004B3169">
        <w:trPr>
          <w:jc w:val="center"/>
        </w:trPr>
        <w:tc>
          <w:tcPr>
            <w:tcW w:w="0" w:type="auto"/>
            <w:tcBorders>
              <w:top w:val="single" w:sz="4" w:space="0" w:color="000000"/>
              <w:bottom w:val="single" w:sz="4" w:space="0" w:color="000000"/>
              <w:right w:val="single" w:sz="4" w:space="0" w:color="000000"/>
            </w:tcBorders>
            <w:shd w:val="clear" w:color="auto" w:fill="auto"/>
          </w:tcPr>
          <w:p w14:paraId="135F6E61" w14:textId="77777777" w:rsidR="005C3C07" w:rsidRPr="00E53F92" w:rsidRDefault="005C3C07" w:rsidP="0062633B">
            <w:pPr>
              <w:tabs>
                <w:tab w:val="left" w:pos="1148"/>
              </w:tabs>
              <w:spacing w:before="60" w:after="60" w:line="220" w:lineRule="exact"/>
              <w:rPr>
                <w:color w:val="000000"/>
                <w:sz w:val="16"/>
                <w:szCs w:val="18"/>
              </w:rPr>
            </w:pPr>
            <w:r w:rsidRPr="00E53F92">
              <w:rPr>
                <w:color w:val="000000"/>
                <w:sz w:val="16"/>
                <w:szCs w:val="18"/>
                <w:rtl/>
              </w:rPr>
              <w:t>סטייה מודל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14:paraId="4F1A4B37" w14:textId="77777777" w:rsidR="005C3C07" w:rsidRPr="00E53F92" w:rsidRDefault="005C3C07" w:rsidP="0062633B">
            <w:pPr>
              <w:tabs>
                <w:tab w:val="left" w:pos="1148"/>
              </w:tabs>
              <w:spacing w:before="60" w:after="60" w:line="220" w:lineRule="exact"/>
              <w:rPr>
                <w:sz w:val="16"/>
                <w:szCs w:val="18"/>
              </w:rPr>
            </w:pPr>
            <w:r w:rsidRPr="00E53F92">
              <w:rPr>
                <w:sz w:val="16"/>
                <w:szCs w:val="18"/>
              </w:rPr>
              <w:t>294</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EC45DDD" w14:textId="77777777" w:rsidR="005C3C07" w:rsidRPr="00E53F92" w:rsidRDefault="005C3C07" w:rsidP="0062633B">
            <w:pPr>
              <w:tabs>
                <w:tab w:val="left" w:pos="1148"/>
              </w:tabs>
              <w:spacing w:before="60" w:after="60" w:line="220" w:lineRule="exact"/>
              <w:rPr>
                <w:sz w:val="16"/>
                <w:szCs w:val="18"/>
              </w:rPr>
            </w:pPr>
            <w:r w:rsidRPr="00E53F92">
              <w:rPr>
                <w:sz w:val="16"/>
                <w:szCs w:val="18"/>
              </w:rPr>
              <w:t xml:space="preserve"> df=447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E51BBCF" w14:textId="77777777" w:rsidR="005C3C07" w:rsidRPr="00E53F92" w:rsidRDefault="005C3C07" w:rsidP="0062633B">
            <w:pPr>
              <w:tabs>
                <w:tab w:val="left" w:pos="1148"/>
              </w:tabs>
              <w:spacing w:before="60" w:after="60" w:line="220" w:lineRule="exact"/>
              <w:rPr>
                <w:sz w:val="16"/>
                <w:szCs w:val="18"/>
              </w:rPr>
            </w:pPr>
            <w:r w:rsidRPr="00E53F92">
              <w:rPr>
                <w:sz w:val="16"/>
                <w:szCs w:val="18"/>
              </w:rPr>
              <w:t>P&gt;0.999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14:paraId="709EA37A" w14:textId="77777777" w:rsidR="005C3C07" w:rsidRPr="00E53F92" w:rsidRDefault="005C3C07" w:rsidP="0062633B">
            <w:pPr>
              <w:tabs>
                <w:tab w:val="left" w:pos="1148"/>
              </w:tabs>
              <w:spacing w:before="60" w:after="60" w:line="220" w:lineRule="exact"/>
              <w:rPr>
                <w:sz w:val="16"/>
                <w:szCs w:val="18"/>
              </w:rPr>
            </w:pPr>
          </w:p>
        </w:tc>
        <w:tc>
          <w:tcPr>
            <w:tcW w:w="0" w:type="auto"/>
            <w:tcBorders>
              <w:top w:val="single" w:sz="4" w:space="0" w:color="000000"/>
              <w:left w:val="single" w:sz="4" w:space="0" w:color="000000"/>
              <w:bottom w:val="single" w:sz="4" w:space="0" w:color="000000"/>
            </w:tcBorders>
            <w:shd w:val="clear" w:color="auto" w:fill="auto"/>
            <w:vAlign w:val="bottom"/>
          </w:tcPr>
          <w:p w14:paraId="10F270C4" w14:textId="77777777" w:rsidR="005C3C07" w:rsidRPr="00E53F92" w:rsidRDefault="005C3C07" w:rsidP="0062633B">
            <w:pPr>
              <w:tabs>
                <w:tab w:val="left" w:pos="1148"/>
              </w:tabs>
              <w:spacing w:before="60" w:after="60" w:line="220" w:lineRule="exact"/>
              <w:rPr>
                <w:sz w:val="16"/>
                <w:szCs w:val="18"/>
              </w:rPr>
            </w:pPr>
          </w:p>
        </w:tc>
      </w:tr>
      <w:tr w:rsidR="005C3C07" w14:paraId="185E8B60" w14:textId="77777777" w:rsidTr="004B3169">
        <w:trPr>
          <w:jc w:val="center"/>
        </w:trPr>
        <w:tc>
          <w:tcPr>
            <w:tcW w:w="0" w:type="auto"/>
            <w:tcBorders>
              <w:top w:val="single" w:sz="4" w:space="0" w:color="000000"/>
              <w:bottom w:val="single" w:sz="8" w:space="0" w:color="000000"/>
              <w:right w:val="single" w:sz="4" w:space="0" w:color="000000"/>
            </w:tcBorders>
            <w:shd w:val="clear" w:color="auto" w:fill="auto"/>
          </w:tcPr>
          <w:p w14:paraId="1330DE5E" w14:textId="77777777" w:rsidR="005C3C07" w:rsidRPr="00E53F92" w:rsidRDefault="005C3C07" w:rsidP="0062633B">
            <w:pPr>
              <w:tabs>
                <w:tab w:val="left" w:pos="1148"/>
              </w:tabs>
              <w:spacing w:before="60" w:after="60" w:line="220" w:lineRule="exact"/>
              <w:rPr>
                <w:color w:val="000000"/>
                <w:sz w:val="16"/>
                <w:szCs w:val="18"/>
              </w:rPr>
            </w:pPr>
            <w:r w:rsidRPr="00E53F92">
              <w:rPr>
                <w:color w:val="000000"/>
                <w:sz w:val="16"/>
                <w:szCs w:val="18"/>
                <w:rtl/>
              </w:rPr>
              <w:t>הפרש</w:t>
            </w:r>
          </w:p>
        </w:tc>
        <w:tc>
          <w:tcPr>
            <w:tcW w:w="0" w:type="auto"/>
            <w:tcBorders>
              <w:top w:val="single" w:sz="4" w:space="0" w:color="000000"/>
              <w:left w:val="single" w:sz="4" w:space="0" w:color="000000"/>
              <w:bottom w:val="single" w:sz="8" w:space="0" w:color="000000"/>
              <w:right w:val="single" w:sz="4" w:space="0" w:color="000000"/>
            </w:tcBorders>
            <w:shd w:val="clear" w:color="auto" w:fill="auto"/>
            <w:vAlign w:val="bottom"/>
          </w:tcPr>
          <w:p w14:paraId="54CF850D" w14:textId="77777777" w:rsidR="005C3C07" w:rsidRPr="00E53F92" w:rsidRDefault="005C3C07" w:rsidP="0062633B">
            <w:pPr>
              <w:tabs>
                <w:tab w:val="left" w:pos="1148"/>
              </w:tabs>
              <w:spacing w:before="60" w:after="60" w:line="220" w:lineRule="exact"/>
              <w:rPr>
                <w:sz w:val="16"/>
                <w:szCs w:val="18"/>
              </w:rPr>
            </w:pPr>
            <w:r w:rsidRPr="00E53F92">
              <w:rPr>
                <w:sz w:val="16"/>
                <w:szCs w:val="18"/>
              </w:rPr>
              <w:t>248.71</w:t>
            </w:r>
          </w:p>
        </w:tc>
        <w:tc>
          <w:tcPr>
            <w:tcW w:w="0" w:type="auto"/>
            <w:gridSpan w:val="2"/>
            <w:tcBorders>
              <w:top w:val="single" w:sz="4" w:space="0" w:color="000000"/>
              <w:left w:val="single" w:sz="4" w:space="0" w:color="000000"/>
              <w:bottom w:val="single" w:sz="8" w:space="0" w:color="000000"/>
              <w:right w:val="single" w:sz="4" w:space="0" w:color="000000"/>
            </w:tcBorders>
            <w:shd w:val="clear" w:color="auto" w:fill="auto"/>
            <w:vAlign w:val="bottom"/>
          </w:tcPr>
          <w:p w14:paraId="383039CF" w14:textId="77777777" w:rsidR="005C3C07" w:rsidRPr="00E53F92" w:rsidRDefault="005C3C07" w:rsidP="0062633B">
            <w:pPr>
              <w:tabs>
                <w:tab w:val="left" w:pos="1148"/>
              </w:tabs>
              <w:spacing w:before="60" w:after="60" w:line="220" w:lineRule="exact"/>
              <w:rPr>
                <w:sz w:val="16"/>
                <w:szCs w:val="18"/>
              </w:rPr>
            </w:pPr>
            <w:r w:rsidRPr="00E53F92">
              <w:rPr>
                <w:sz w:val="16"/>
                <w:szCs w:val="18"/>
              </w:rPr>
              <w:t xml:space="preserve">df=37 </w:t>
            </w:r>
          </w:p>
        </w:tc>
        <w:tc>
          <w:tcPr>
            <w:tcW w:w="0" w:type="auto"/>
            <w:gridSpan w:val="2"/>
            <w:tcBorders>
              <w:top w:val="single" w:sz="4" w:space="0" w:color="000000"/>
              <w:left w:val="single" w:sz="4" w:space="0" w:color="000000"/>
              <w:bottom w:val="single" w:sz="8" w:space="0" w:color="000000"/>
              <w:right w:val="single" w:sz="4" w:space="0" w:color="000000"/>
            </w:tcBorders>
            <w:shd w:val="clear" w:color="auto" w:fill="auto"/>
            <w:vAlign w:val="bottom"/>
          </w:tcPr>
          <w:p w14:paraId="2D269E3B" w14:textId="77777777" w:rsidR="005C3C07" w:rsidRPr="00E53F92" w:rsidRDefault="005C3C07" w:rsidP="0062633B">
            <w:pPr>
              <w:tabs>
                <w:tab w:val="left" w:pos="1148"/>
              </w:tabs>
              <w:spacing w:before="60" w:after="60" w:line="220" w:lineRule="exact"/>
              <w:rPr>
                <w:sz w:val="16"/>
                <w:szCs w:val="18"/>
              </w:rPr>
            </w:pPr>
            <w:r w:rsidRPr="00E53F92">
              <w:rPr>
                <w:sz w:val="16"/>
                <w:szCs w:val="18"/>
              </w:rPr>
              <w:t>P&lt;0.001</w:t>
            </w:r>
          </w:p>
        </w:tc>
        <w:tc>
          <w:tcPr>
            <w:tcW w:w="0" w:type="auto"/>
            <w:tcBorders>
              <w:top w:val="single" w:sz="4" w:space="0" w:color="000000"/>
              <w:left w:val="single" w:sz="4" w:space="0" w:color="000000"/>
              <w:bottom w:val="single" w:sz="8" w:space="0" w:color="000000"/>
              <w:right w:val="single" w:sz="4" w:space="0" w:color="000000"/>
            </w:tcBorders>
            <w:shd w:val="clear" w:color="auto" w:fill="auto"/>
            <w:vAlign w:val="bottom"/>
          </w:tcPr>
          <w:p w14:paraId="3D9103B8" w14:textId="77777777" w:rsidR="005C3C07" w:rsidRPr="00E53F92" w:rsidRDefault="005C3C07" w:rsidP="0062633B">
            <w:pPr>
              <w:tabs>
                <w:tab w:val="left" w:pos="1148"/>
              </w:tabs>
              <w:spacing w:before="60" w:after="60" w:line="220" w:lineRule="exact"/>
              <w:rPr>
                <w:sz w:val="16"/>
                <w:szCs w:val="18"/>
              </w:rPr>
            </w:pPr>
          </w:p>
        </w:tc>
        <w:tc>
          <w:tcPr>
            <w:tcW w:w="0" w:type="auto"/>
            <w:tcBorders>
              <w:top w:val="single" w:sz="4" w:space="0" w:color="000000"/>
              <w:left w:val="single" w:sz="4" w:space="0" w:color="000000"/>
              <w:bottom w:val="single" w:sz="8" w:space="0" w:color="000000"/>
            </w:tcBorders>
            <w:shd w:val="clear" w:color="auto" w:fill="auto"/>
            <w:vAlign w:val="bottom"/>
          </w:tcPr>
          <w:p w14:paraId="7F486BDA" w14:textId="77777777" w:rsidR="005C3C07" w:rsidRPr="00E53F92" w:rsidRDefault="005C3C07" w:rsidP="0062633B">
            <w:pPr>
              <w:tabs>
                <w:tab w:val="left" w:pos="1148"/>
              </w:tabs>
              <w:spacing w:before="60" w:after="60" w:line="220" w:lineRule="exact"/>
              <w:rPr>
                <w:sz w:val="16"/>
                <w:szCs w:val="18"/>
              </w:rPr>
            </w:pPr>
          </w:p>
        </w:tc>
      </w:tr>
    </w:tbl>
    <w:p w14:paraId="1A4A9029" w14:textId="77777777" w:rsidR="004B3169" w:rsidRPr="00DB508D" w:rsidRDefault="004B3169" w:rsidP="004B3169">
      <w:pPr>
        <w:spacing w:before="240" w:after="180" w:line="280" w:lineRule="exact"/>
        <w:jc w:val="both"/>
        <w:rPr>
          <w:sz w:val="18"/>
          <w:szCs w:val="20"/>
        </w:rPr>
      </w:pPr>
      <w:r w:rsidRPr="00DB508D">
        <w:rPr>
          <w:sz w:val="18"/>
          <w:szCs w:val="20"/>
          <w:rtl/>
        </w:rPr>
        <w:t>המקדמים שבלוח הם הערך המעריכי (</w:t>
      </w:r>
      <w:proofErr w:type="spellStart"/>
      <w:r w:rsidRPr="00DB508D">
        <w:rPr>
          <w:sz w:val="18"/>
          <w:szCs w:val="20"/>
          <w:rtl/>
        </w:rPr>
        <w:t>אקספוננציאלי</w:t>
      </w:r>
      <w:proofErr w:type="spellEnd"/>
      <w:r w:rsidRPr="00DB508D">
        <w:rPr>
          <w:sz w:val="18"/>
          <w:szCs w:val="20"/>
          <w:rtl/>
        </w:rPr>
        <w:t xml:space="preserve">, </w:t>
      </w:r>
      <w:r w:rsidRPr="00DB508D">
        <w:rPr>
          <w:sz w:val="18"/>
          <w:szCs w:val="20"/>
        </w:rPr>
        <w:t>e</w:t>
      </w:r>
      <w:r w:rsidRPr="00DB508D">
        <w:rPr>
          <w:sz w:val="18"/>
          <w:szCs w:val="20"/>
          <w:vertAlign w:val="superscript"/>
        </w:rPr>
        <w:t>β</w:t>
      </w:r>
      <w:r w:rsidRPr="00DB508D">
        <w:rPr>
          <w:sz w:val="18"/>
          <w:szCs w:val="20"/>
          <w:rtl/>
        </w:rPr>
        <w:t xml:space="preserve">) של מקדמי הרגרסיה. ערכי הקבוע הם אפוא מספר הלידות לנשים בגיל הנתון </w:t>
      </w:r>
      <w:r w:rsidRPr="00DB508D">
        <w:rPr>
          <w:rFonts w:hint="cs"/>
          <w:sz w:val="18"/>
          <w:szCs w:val="20"/>
          <w:rtl/>
        </w:rPr>
        <w:t>ש</w:t>
      </w:r>
      <w:r w:rsidRPr="00DB508D">
        <w:rPr>
          <w:sz w:val="18"/>
          <w:szCs w:val="20"/>
          <w:rtl/>
        </w:rPr>
        <w:t xml:space="preserve">גיל </w:t>
      </w:r>
      <w:r w:rsidRPr="00DB508D">
        <w:rPr>
          <w:rFonts w:hint="cs"/>
          <w:sz w:val="18"/>
          <w:szCs w:val="20"/>
          <w:rtl/>
        </w:rPr>
        <w:t>ה</w:t>
      </w:r>
      <w:r w:rsidRPr="00DB508D">
        <w:rPr>
          <w:sz w:val="18"/>
          <w:szCs w:val="20"/>
          <w:rtl/>
        </w:rPr>
        <w:t xml:space="preserve">לידה </w:t>
      </w:r>
      <w:r w:rsidRPr="00DB508D">
        <w:rPr>
          <w:rFonts w:hint="cs"/>
          <w:sz w:val="18"/>
          <w:szCs w:val="20"/>
          <w:rtl/>
        </w:rPr>
        <w:t>ה</w:t>
      </w:r>
      <w:r w:rsidRPr="00DB508D">
        <w:rPr>
          <w:sz w:val="18"/>
          <w:szCs w:val="20"/>
          <w:rtl/>
        </w:rPr>
        <w:t xml:space="preserve">ראשונה </w:t>
      </w:r>
      <w:r w:rsidRPr="00DB508D">
        <w:rPr>
          <w:rFonts w:hint="cs"/>
          <w:sz w:val="18"/>
          <w:szCs w:val="20"/>
          <w:rtl/>
        </w:rPr>
        <w:t>שלהן הוא הגיל ה</w:t>
      </w:r>
      <w:r w:rsidRPr="00DB508D">
        <w:rPr>
          <w:sz w:val="18"/>
          <w:szCs w:val="20"/>
          <w:rtl/>
        </w:rPr>
        <w:t xml:space="preserve">חציוני (גיל 20), ללא השכלה על-תיכונית, </w:t>
      </w:r>
      <w:r w:rsidRPr="00DB508D">
        <w:rPr>
          <w:rFonts w:hint="cs"/>
          <w:sz w:val="18"/>
          <w:szCs w:val="20"/>
          <w:rtl/>
        </w:rPr>
        <w:t>שרמת ה</w:t>
      </w:r>
      <w:r w:rsidRPr="00DB508D">
        <w:rPr>
          <w:sz w:val="18"/>
          <w:szCs w:val="20"/>
          <w:rtl/>
        </w:rPr>
        <w:t xml:space="preserve">חיים </w:t>
      </w:r>
      <w:r w:rsidRPr="00DB508D">
        <w:rPr>
          <w:rFonts w:hint="cs"/>
          <w:sz w:val="18"/>
          <w:szCs w:val="20"/>
          <w:rtl/>
        </w:rPr>
        <w:t xml:space="preserve">שלהן </w:t>
      </w:r>
      <w:r w:rsidRPr="00DB508D">
        <w:rPr>
          <w:sz w:val="18"/>
          <w:szCs w:val="20"/>
          <w:rtl/>
        </w:rPr>
        <w:t>ממוצעת</w:t>
      </w:r>
      <w:r w:rsidRPr="00DB508D">
        <w:rPr>
          <w:rFonts w:hint="cs"/>
          <w:sz w:val="18"/>
          <w:szCs w:val="20"/>
          <w:rtl/>
        </w:rPr>
        <w:t>,</w:t>
      </w:r>
      <w:r w:rsidRPr="00DB508D">
        <w:rPr>
          <w:sz w:val="18"/>
          <w:szCs w:val="20"/>
          <w:rtl/>
        </w:rPr>
        <w:t xml:space="preserve"> וללא מקרים מרובים של עימותים עם השלטונות. כך, מספר הלידות עולה מ-1.5 בקצב של כילד וחצי </w:t>
      </w:r>
      <w:r w:rsidRPr="00DB508D">
        <w:rPr>
          <w:rFonts w:hint="cs"/>
          <w:sz w:val="18"/>
          <w:szCs w:val="20"/>
          <w:rtl/>
        </w:rPr>
        <w:t>ב</w:t>
      </w:r>
      <w:r w:rsidRPr="00DB508D">
        <w:rPr>
          <w:sz w:val="18"/>
          <w:szCs w:val="20"/>
          <w:rtl/>
        </w:rPr>
        <w:t>כל חמש שנים עד גיל 40 לערך</w:t>
      </w:r>
      <w:r w:rsidRPr="00DB508D">
        <w:rPr>
          <w:rFonts w:hint="cs"/>
          <w:sz w:val="18"/>
          <w:szCs w:val="20"/>
          <w:rtl/>
        </w:rPr>
        <w:t>,</w:t>
      </w:r>
      <w:r w:rsidRPr="00DB508D">
        <w:rPr>
          <w:sz w:val="18"/>
          <w:szCs w:val="20"/>
          <w:rtl/>
        </w:rPr>
        <w:t xml:space="preserve"> ומתייצב. מקדמי המשתנים הם הסיכונים היחסיים שבהם יש להכפיל את מקדמי הבסיס. לידה ראשונה </w:t>
      </w:r>
      <w:r w:rsidRPr="00DB508D">
        <w:rPr>
          <w:rFonts w:hint="cs"/>
          <w:sz w:val="18"/>
          <w:szCs w:val="20"/>
          <w:rtl/>
        </w:rPr>
        <w:t xml:space="preserve">בגיל </w:t>
      </w:r>
      <w:r w:rsidRPr="00DB508D">
        <w:rPr>
          <w:sz w:val="18"/>
          <w:szCs w:val="20"/>
          <w:rtl/>
        </w:rPr>
        <w:t>מאוחר מקטינה את סך מספר הילדים, אך השפעה זו קטנה והולכת עם השנים; בגילים צעירים, גיל לידה ראשונה לא ידוע אכן משקף היעדר לידות, ובגילים מבוגרים יותר הוא מ</w:t>
      </w:r>
      <w:r w:rsidRPr="00DB508D">
        <w:rPr>
          <w:rFonts w:hint="cs"/>
          <w:sz w:val="18"/>
          <w:szCs w:val="20"/>
          <w:rtl/>
        </w:rPr>
        <w:t xml:space="preserve">וריד </w:t>
      </w:r>
      <w:r w:rsidRPr="00DB508D">
        <w:rPr>
          <w:sz w:val="18"/>
          <w:szCs w:val="20"/>
          <w:rtl/>
        </w:rPr>
        <w:t>את מספר הלידות (בקרב נשים מעל גיל 28–32 יש מעטות מאוד שלא ילדו, וכאלה שילדו אך גיל הלידה הראשונה אינו ידוע). השכלה על-</w:t>
      </w:r>
      <w:r w:rsidRPr="00DB508D">
        <w:rPr>
          <w:sz w:val="18"/>
          <w:szCs w:val="20"/>
          <w:rtl/>
        </w:rPr>
        <w:lastRenderedPageBreak/>
        <w:t>תיכונית מקטינה את מספר הלידות, במיוחד בקבוצת הגיל השנייה. בגילים המבוגרים יש מעט מאוד נשים בעלות השכלה על-תיכונית (בגיל 48–52 אין נשים בעלות השכלה על-תיכונית כלל), ולכן בגילים אלה אין לתת משקל רב מדי למקדמים. באופן כללי, עלייה ברמת החיים קשורה לעלייה במספר הלידות. אומנם רק אחד המקדמים הוא מובהק, אך חמישה מתוך שבעה הם בכיוון חיובי. עימותים מרובים עם השלטונות מקטינים את מספר הלידות. נזכור כי זו היא קבוצה קטנה, והמקדמים מובהקים רק בגילים 38–47, אולם הכיוון השלילי הוא עקבי בכל הגילים (הסתברות בינומית ל-7 הצלחות מתוך 7 = 0.0078).</w:t>
      </w:r>
    </w:p>
    <w:p w14:paraId="7133208F" w14:textId="77777777" w:rsidR="008C53A7" w:rsidRPr="00731656" w:rsidRDefault="008C53A7" w:rsidP="008C53A7">
      <w:pPr>
        <w:pStyle w:val="tab-name"/>
        <w:spacing w:before="300" w:line="260" w:lineRule="exact"/>
        <w:ind w:right="0"/>
        <w:rPr>
          <w:rFonts w:cs="Guttman Aharoni"/>
          <w:color w:val="auto"/>
          <w:sz w:val="20"/>
          <w:szCs w:val="20"/>
        </w:rPr>
      </w:pPr>
      <w:r w:rsidRPr="00731656">
        <w:rPr>
          <w:rFonts w:cs="Guttman Aharoni"/>
          <w:color w:val="auto"/>
          <w:sz w:val="20"/>
          <w:szCs w:val="20"/>
          <w:rtl/>
        </w:rPr>
        <w:t>לוח 2: מודל מספר לידות ללא</w:t>
      </w:r>
      <w:r w:rsidRPr="00731656">
        <w:rPr>
          <w:rFonts w:cs="Guttman Aharoni"/>
          <w:color w:val="auto"/>
          <w:sz w:val="20"/>
          <w:szCs w:val="20"/>
        </w:rPr>
        <w:t xml:space="preserve"> </w:t>
      </w:r>
      <w:r w:rsidRPr="00731656">
        <w:rPr>
          <w:rFonts w:cs="Guttman Aharoni"/>
          <w:color w:val="auto"/>
          <w:sz w:val="20"/>
          <w:szCs w:val="20"/>
          <w:rtl/>
        </w:rPr>
        <w:t xml:space="preserve">גיל לידה ראשונה (מודל </w:t>
      </w:r>
      <w:proofErr w:type="spellStart"/>
      <w:r w:rsidRPr="00731656">
        <w:rPr>
          <w:rFonts w:cs="Guttman Aharoni"/>
          <w:color w:val="auto"/>
          <w:sz w:val="20"/>
          <w:szCs w:val="20"/>
          <w:rtl/>
        </w:rPr>
        <w:t>פואסון</w:t>
      </w:r>
      <w:proofErr w:type="spellEnd"/>
      <w:r w:rsidRPr="00731656">
        <w:rPr>
          <w:rFonts w:cs="Guttman Aharoni"/>
          <w:color w:val="auto"/>
          <w:sz w:val="20"/>
          <w:szCs w:val="20"/>
          <w:rtl/>
        </w:rPr>
        <w:t>)</w:t>
      </w:r>
    </w:p>
    <w:p w14:paraId="5174F32D" w14:textId="77777777" w:rsidR="008C53A7" w:rsidRDefault="008C53A7" w:rsidP="008C53A7">
      <w:pPr>
        <w:spacing w:after="180" w:line="280" w:lineRule="exact"/>
        <w:jc w:val="both"/>
        <w:rPr>
          <w:rFonts w:ascii="David" w:hAnsi="David"/>
          <w:sz w:val="20"/>
          <w:szCs w:val="20"/>
        </w:rPr>
      </w:pPr>
      <w:r>
        <w:rPr>
          <w:rFonts w:ascii="David" w:hAnsi="David"/>
          <w:sz w:val="20"/>
          <w:szCs w:val="20"/>
          <w:rtl/>
        </w:rPr>
        <w:t>מקדמים מערכיים</w:t>
      </w:r>
      <w:r>
        <w:rPr>
          <w:rFonts w:ascii="David" w:hAnsi="David" w:hint="cs"/>
          <w:sz w:val="20"/>
          <w:szCs w:val="20"/>
          <w:rtl/>
        </w:rPr>
        <w:t xml:space="preserve"> (</w:t>
      </w:r>
      <w:r>
        <w:rPr>
          <w:rFonts w:ascii="David" w:hAnsi="David"/>
          <w:sz w:val="20"/>
          <w:szCs w:val="20"/>
        </w:rPr>
        <w:t>(e</w:t>
      </w:r>
      <w:r>
        <w:rPr>
          <w:rFonts w:ascii="David" w:hAnsi="David"/>
          <w:sz w:val="20"/>
          <w:szCs w:val="20"/>
          <w:vertAlign w:val="superscript"/>
        </w:rPr>
        <w:t>β</w:t>
      </w:r>
      <w:r>
        <w:rPr>
          <w:rFonts w:ascii="David" w:hAnsi="David"/>
          <w:sz w:val="20"/>
          <w:szCs w:val="20"/>
          <w:rtl/>
        </w:rPr>
        <w:t xml:space="preserve"> (ערכי </w:t>
      </w:r>
      <w:r>
        <w:rPr>
          <w:rFonts w:ascii="David" w:hAnsi="David"/>
          <w:sz w:val="20"/>
          <w:szCs w:val="20"/>
        </w:rPr>
        <w:t>z</w:t>
      </w:r>
      <w:r>
        <w:rPr>
          <w:rFonts w:ascii="David" w:hAnsi="David"/>
          <w:sz w:val="20"/>
          <w:szCs w:val="20"/>
          <w:rtl/>
        </w:rPr>
        <w:t xml:space="preserve"> בסוגריים)</w:t>
      </w:r>
    </w:p>
    <w:tbl>
      <w:tblPr>
        <w:bidiVisual/>
        <w:tblW w:w="64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400" w:firstRow="0" w:lastRow="0" w:firstColumn="0" w:lastColumn="0" w:noHBand="0" w:noVBand="1"/>
      </w:tblPr>
      <w:tblGrid>
        <w:gridCol w:w="1443"/>
        <w:gridCol w:w="580"/>
        <w:gridCol w:w="535"/>
        <w:gridCol w:w="535"/>
        <w:gridCol w:w="535"/>
        <w:gridCol w:w="658"/>
        <w:gridCol w:w="1040"/>
        <w:gridCol w:w="1138"/>
      </w:tblGrid>
      <w:tr w:rsidR="00E53F92" w14:paraId="4B828F3F" w14:textId="77777777" w:rsidTr="00C27260">
        <w:trPr>
          <w:tblHeader/>
          <w:jc w:val="center"/>
        </w:trPr>
        <w:tc>
          <w:tcPr>
            <w:tcW w:w="0" w:type="auto"/>
            <w:tcBorders>
              <w:bottom w:val="nil"/>
              <w:right w:val="single" w:sz="4" w:space="0" w:color="000000"/>
            </w:tcBorders>
            <w:shd w:val="clear" w:color="auto" w:fill="auto"/>
          </w:tcPr>
          <w:p w14:paraId="6B1400FA" w14:textId="77777777" w:rsidR="008C53A7" w:rsidRPr="00E53F92" w:rsidRDefault="008C53A7" w:rsidP="00E53F92">
            <w:pPr>
              <w:tabs>
                <w:tab w:val="left" w:pos="1148"/>
              </w:tabs>
              <w:spacing w:before="60" w:after="60" w:line="220" w:lineRule="exact"/>
              <w:rPr>
                <w:b/>
                <w:bCs/>
                <w:color w:val="000000"/>
                <w:sz w:val="16"/>
                <w:szCs w:val="18"/>
              </w:rPr>
            </w:pPr>
          </w:p>
        </w:tc>
        <w:tc>
          <w:tcPr>
            <w:tcW w:w="5020" w:type="dxa"/>
            <w:gridSpan w:val="7"/>
            <w:tcBorders>
              <w:left w:val="single" w:sz="4" w:space="0" w:color="000000"/>
              <w:bottom w:val="single" w:sz="4" w:space="0" w:color="000000"/>
            </w:tcBorders>
            <w:shd w:val="clear" w:color="auto" w:fill="auto"/>
          </w:tcPr>
          <w:p w14:paraId="79765407" w14:textId="77777777" w:rsidR="008C53A7" w:rsidRPr="00E53F92" w:rsidRDefault="008C53A7" w:rsidP="00E53F92">
            <w:pPr>
              <w:tabs>
                <w:tab w:val="left" w:pos="1148"/>
              </w:tabs>
              <w:spacing w:before="60" w:after="60" w:line="220" w:lineRule="exact"/>
              <w:jc w:val="center"/>
              <w:rPr>
                <w:b/>
                <w:bCs/>
                <w:color w:val="000000"/>
                <w:sz w:val="16"/>
                <w:szCs w:val="18"/>
              </w:rPr>
            </w:pPr>
            <w:r w:rsidRPr="00E53F92">
              <w:rPr>
                <w:b/>
                <w:bCs/>
                <w:color w:val="000000"/>
                <w:sz w:val="16"/>
                <w:szCs w:val="18"/>
                <w:rtl/>
              </w:rPr>
              <w:t>קבוצת גיל</w:t>
            </w:r>
          </w:p>
        </w:tc>
      </w:tr>
      <w:tr w:rsidR="00E53F92" w14:paraId="2C76563B" w14:textId="77777777" w:rsidTr="00C27260">
        <w:trPr>
          <w:tblHeader/>
          <w:jc w:val="center"/>
        </w:trPr>
        <w:tc>
          <w:tcPr>
            <w:tcW w:w="0" w:type="auto"/>
            <w:tcBorders>
              <w:top w:val="nil"/>
              <w:right w:val="single" w:sz="4" w:space="0" w:color="000000"/>
            </w:tcBorders>
            <w:shd w:val="clear" w:color="auto" w:fill="auto"/>
          </w:tcPr>
          <w:p w14:paraId="6ABE43B8" w14:textId="77777777" w:rsidR="008C53A7" w:rsidRPr="00E53F92" w:rsidRDefault="008C53A7" w:rsidP="00E53F92">
            <w:pPr>
              <w:tabs>
                <w:tab w:val="left" w:pos="1148"/>
              </w:tabs>
              <w:spacing w:before="60" w:after="60" w:line="220" w:lineRule="exact"/>
              <w:rPr>
                <w:b/>
                <w:bCs/>
                <w:color w:val="000000"/>
                <w:sz w:val="16"/>
                <w:szCs w:val="18"/>
              </w:rPr>
            </w:pPr>
          </w:p>
        </w:tc>
        <w:tc>
          <w:tcPr>
            <w:tcW w:w="0" w:type="auto"/>
            <w:tcBorders>
              <w:top w:val="single" w:sz="4" w:space="0" w:color="000000"/>
              <w:left w:val="single" w:sz="4" w:space="0" w:color="000000"/>
              <w:right w:val="single" w:sz="4" w:space="0" w:color="000000"/>
            </w:tcBorders>
            <w:shd w:val="clear" w:color="auto" w:fill="auto"/>
          </w:tcPr>
          <w:p w14:paraId="2038CFE6" w14:textId="77777777" w:rsidR="008C53A7" w:rsidRPr="00E53F92" w:rsidRDefault="008C53A7" w:rsidP="00E53F92">
            <w:pPr>
              <w:tabs>
                <w:tab w:val="left" w:pos="1148"/>
              </w:tabs>
              <w:spacing w:before="60" w:after="60" w:line="220" w:lineRule="exact"/>
              <w:rPr>
                <w:b/>
                <w:bCs/>
                <w:color w:val="000000"/>
                <w:sz w:val="16"/>
                <w:szCs w:val="18"/>
              </w:rPr>
            </w:pPr>
            <w:r w:rsidRPr="00E53F92">
              <w:rPr>
                <w:b/>
                <w:bCs/>
                <w:sz w:val="16"/>
                <w:szCs w:val="18"/>
              </w:rPr>
              <w:t>18</w:t>
            </w:r>
            <w:r w:rsidRPr="00E53F92">
              <w:rPr>
                <w:b/>
                <w:bCs/>
                <w:sz w:val="16"/>
                <w:szCs w:val="18"/>
                <w:rtl/>
              </w:rPr>
              <w:t>–</w:t>
            </w:r>
            <w:r w:rsidRPr="00E53F92">
              <w:rPr>
                <w:b/>
                <w:bCs/>
                <w:sz w:val="16"/>
                <w:szCs w:val="18"/>
              </w:rPr>
              <w:t>22</w:t>
            </w:r>
          </w:p>
        </w:tc>
        <w:tc>
          <w:tcPr>
            <w:tcW w:w="0" w:type="auto"/>
            <w:tcBorders>
              <w:top w:val="single" w:sz="4" w:space="0" w:color="000000"/>
              <w:left w:val="single" w:sz="4" w:space="0" w:color="000000"/>
              <w:right w:val="single" w:sz="4" w:space="0" w:color="000000"/>
            </w:tcBorders>
            <w:shd w:val="clear" w:color="auto" w:fill="auto"/>
          </w:tcPr>
          <w:p w14:paraId="3E8C6D2B" w14:textId="77777777" w:rsidR="008C53A7" w:rsidRPr="00E53F92" w:rsidRDefault="008C53A7" w:rsidP="00E53F92">
            <w:pPr>
              <w:tabs>
                <w:tab w:val="left" w:pos="1148"/>
              </w:tabs>
              <w:spacing w:before="60" w:after="60" w:line="220" w:lineRule="exact"/>
              <w:rPr>
                <w:b/>
                <w:bCs/>
                <w:color w:val="000000"/>
                <w:sz w:val="16"/>
                <w:szCs w:val="18"/>
              </w:rPr>
            </w:pPr>
            <w:r w:rsidRPr="00E53F92">
              <w:rPr>
                <w:b/>
                <w:bCs/>
                <w:sz w:val="16"/>
                <w:szCs w:val="18"/>
              </w:rPr>
              <w:t>23</w:t>
            </w:r>
            <w:r w:rsidRPr="00E53F92">
              <w:rPr>
                <w:b/>
                <w:bCs/>
                <w:sz w:val="16"/>
                <w:szCs w:val="18"/>
                <w:rtl/>
              </w:rPr>
              <w:t>–</w:t>
            </w:r>
            <w:r w:rsidRPr="00E53F92">
              <w:rPr>
                <w:b/>
                <w:bCs/>
                <w:sz w:val="16"/>
                <w:szCs w:val="18"/>
              </w:rPr>
              <w:t>27</w:t>
            </w:r>
          </w:p>
        </w:tc>
        <w:tc>
          <w:tcPr>
            <w:tcW w:w="0" w:type="auto"/>
            <w:tcBorders>
              <w:top w:val="single" w:sz="4" w:space="0" w:color="000000"/>
              <w:left w:val="single" w:sz="4" w:space="0" w:color="000000"/>
              <w:right w:val="single" w:sz="4" w:space="0" w:color="000000"/>
            </w:tcBorders>
            <w:shd w:val="clear" w:color="auto" w:fill="auto"/>
          </w:tcPr>
          <w:p w14:paraId="2C44D075" w14:textId="77777777" w:rsidR="008C53A7" w:rsidRPr="00E53F92" w:rsidRDefault="008C53A7" w:rsidP="00E53F92">
            <w:pPr>
              <w:tabs>
                <w:tab w:val="left" w:pos="1148"/>
              </w:tabs>
              <w:spacing w:before="60" w:after="60" w:line="220" w:lineRule="exact"/>
              <w:rPr>
                <w:b/>
                <w:bCs/>
                <w:color w:val="000000"/>
                <w:sz w:val="16"/>
                <w:szCs w:val="18"/>
              </w:rPr>
            </w:pPr>
            <w:r w:rsidRPr="00E53F92">
              <w:rPr>
                <w:b/>
                <w:bCs/>
                <w:sz w:val="16"/>
                <w:szCs w:val="18"/>
              </w:rPr>
              <w:t>28</w:t>
            </w:r>
            <w:r w:rsidRPr="00E53F92">
              <w:rPr>
                <w:b/>
                <w:bCs/>
                <w:sz w:val="16"/>
                <w:szCs w:val="18"/>
                <w:rtl/>
              </w:rPr>
              <w:t>–</w:t>
            </w:r>
            <w:r w:rsidRPr="00E53F92">
              <w:rPr>
                <w:b/>
                <w:bCs/>
                <w:sz w:val="16"/>
                <w:szCs w:val="18"/>
              </w:rPr>
              <w:t>32</w:t>
            </w:r>
          </w:p>
        </w:tc>
        <w:tc>
          <w:tcPr>
            <w:tcW w:w="0" w:type="auto"/>
            <w:tcBorders>
              <w:top w:val="single" w:sz="4" w:space="0" w:color="000000"/>
              <w:left w:val="single" w:sz="4" w:space="0" w:color="000000"/>
              <w:right w:val="single" w:sz="4" w:space="0" w:color="000000"/>
            </w:tcBorders>
            <w:shd w:val="clear" w:color="auto" w:fill="auto"/>
          </w:tcPr>
          <w:p w14:paraId="66FDD711" w14:textId="77777777" w:rsidR="008C53A7" w:rsidRPr="00E53F92" w:rsidRDefault="008C53A7" w:rsidP="00E53F92">
            <w:pPr>
              <w:tabs>
                <w:tab w:val="left" w:pos="1148"/>
              </w:tabs>
              <w:spacing w:before="60" w:after="60" w:line="220" w:lineRule="exact"/>
              <w:rPr>
                <w:b/>
                <w:bCs/>
                <w:color w:val="000000"/>
                <w:sz w:val="16"/>
                <w:szCs w:val="18"/>
              </w:rPr>
            </w:pPr>
            <w:r w:rsidRPr="00E53F92">
              <w:rPr>
                <w:b/>
                <w:bCs/>
                <w:sz w:val="16"/>
                <w:szCs w:val="18"/>
              </w:rPr>
              <w:t>33</w:t>
            </w:r>
            <w:r w:rsidRPr="00E53F92">
              <w:rPr>
                <w:b/>
                <w:bCs/>
                <w:sz w:val="16"/>
                <w:szCs w:val="18"/>
                <w:rtl/>
              </w:rPr>
              <w:t>–</w:t>
            </w:r>
            <w:r w:rsidRPr="00E53F92">
              <w:rPr>
                <w:b/>
                <w:bCs/>
                <w:sz w:val="16"/>
                <w:szCs w:val="18"/>
              </w:rPr>
              <w:t>37</w:t>
            </w:r>
          </w:p>
        </w:tc>
        <w:tc>
          <w:tcPr>
            <w:tcW w:w="0" w:type="auto"/>
            <w:tcBorders>
              <w:top w:val="single" w:sz="4" w:space="0" w:color="000000"/>
              <w:left w:val="single" w:sz="4" w:space="0" w:color="000000"/>
              <w:right w:val="single" w:sz="4" w:space="0" w:color="000000"/>
            </w:tcBorders>
            <w:shd w:val="clear" w:color="auto" w:fill="auto"/>
          </w:tcPr>
          <w:p w14:paraId="33309AB7" w14:textId="77777777" w:rsidR="008C53A7" w:rsidRPr="00E53F92" w:rsidRDefault="008C53A7" w:rsidP="00E53F92">
            <w:pPr>
              <w:tabs>
                <w:tab w:val="left" w:pos="1148"/>
              </w:tabs>
              <w:spacing w:before="60" w:after="60" w:line="220" w:lineRule="exact"/>
              <w:rPr>
                <w:b/>
                <w:bCs/>
                <w:color w:val="000000"/>
                <w:sz w:val="16"/>
                <w:szCs w:val="18"/>
              </w:rPr>
            </w:pPr>
            <w:r w:rsidRPr="00E53F92">
              <w:rPr>
                <w:b/>
                <w:bCs/>
                <w:sz w:val="16"/>
                <w:szCs w:val="18"/>
              </w:rPr>
              <w:t>38</w:t>
            </w:r>
            <w:r w:rsidRPr="00E53F92">
              <w:rPr>
                <w:b/>
                <w:bCs/>
                <w:sz w:val="16"/>
                <w:szCs w:val="18"/>
                <w:rtl/>
              </w:rPr>
              <w:t>–</w:t>
            </w:r>
            <w:r w:rsidRPr="00E53F92">
              <w:rPr>
                <w:b/>
                <w:bCs/>
                <w:sz w:val="16"/>
                <w:szCs w:val="18"/>
              </w:rPr>
              <w:t>42</w:t>
            </w:r>
          </w:p>
        </w:tc>
        <w:tc>
          <w:tcPr>
            <w:tcW w:w="1019" w:type="dxa"/>
            <w:tcBorders>
              <w:top w:val="single" w:sz="4" w:space="0" w:color="000000"/>
              <w:left w:val="single" w:sz="4" w:space="0" w:color="000000"/>
              <w:right w:val="single" w:sz="4" w:space="0" w:color="000000"/>
            </w:tcBorders>
            <w:shd w:val="clear" w:color="auto" w:fill="auto"/>
          </w:tcPr>
          <w:p w14:paraId="6AAC3BC4" w14:textId="77777777" w:rsidR="008C53A7" w:rsidRPr="00E53F92" w:rsidRDefault="008C53A7" w:rsidP="00E53F92">
            <w:pPr>
              <w:tabs>
                <w:tab w:val="left" w:pos="1148"/>
              </w:tabs>
              <w:spacing w:before="60" w:after="60" w:line="220" w:lineRule="exact"/>
              <w:rPr>
                <w:b/>
                <w:bCs/>
                <w:color w:val="000000"/>
                <w:sz w:val="16"/>
                <w:szCs w:val="18"/>
              </w:rPr>
            </w:pPr>
            <w:r w:rsidRPr="00E53F92">
              <w:rPr>
                <w:b/>
                <w:bCs/>
                <w:sz w:val="16"/>
                <w:szCs w:val="18"/>
              </w:rPr>
              <w:t>42</w:t>
            </w:r>
            <w:r w:rsidRPr="00E53F92">
              <w:rPr>
                <w:b/>
                <w:bCs/>
                <w:sz w:val="16"/>
                <w:szCs w:val="18"/>
                <w:rtl/>
              </w:rPr>
              <w:t>–</w:t>
            </w:r>
            <w:r w:rsidRPr="00E53F92">
              <w:rPr>
                <w:b/>
                <w:bCs/>
                <w:sz w:val="16"/>
                <w:szCs w:val="18"/>
              </w:rPr>
              <w:t>47</w:t>
            </w:r>
          </w:p>
        </w:tc>
        <w:tc>
          <w:tcPr>
            <w:tcW w:w="1116" w:type="dxa"/>
            <w:tcBorders>
              <w:top w:val="single" w:sz="4" w:space="0" w:color="000000"/>
              <w:left w:val="single" w:sz="4" w:space="0" w:color="000000"/>
            </w:tcBorders>
            <w:shd w:val="clear" w:color="auto" w:fill="auto"/>
          </w:tcPr>
          <w:p w14:paraId="6C7DAD82" w14:textId="77777777" w:rsidR="008C53A7" w:rsidRPr="00E53F92" w:rsidRDefault="008C53A7" w:rsidP="00E53F92">
            <w:pPr>
              <w:tabs>
                <w:tab w:val="left" w:pos="1148"/>
              </w:tabs>
              <w:spacing w:before="60" w:after="60" w:line="220" w:lineRule="exact"/>
              <w:rPr>
                <w:b/>
                <w:bCs/>
                <w:color w:val="000000"/>
                <w:sz w:val="16"/>
                <w:szCs w:val="18"/>
              </w:rPr>
            </w:pPr>
            <w:r w:rsidRPr="00E53F92">
              <w:rPr>
                <w:rFonts w:hint="cs"/>
                <w:b/>
                <w:bCs/>
                <w:sz w:val="16"/>
                <w:szCs w:val="18"/>
                <w:rtl/>
              </w:rPr>
              <w:t>48</w:t>
            </w:r>
            <w:r w:rsidRPr="00E53F92">
              <w:rPr>
                <w:b/>
                <w:bCs/>
                <w:sz w:val="16"/>
                <w:szCs w:val="18"/>
                <w:rtl/>
              </w:rPr>
              <w:t>–</w:t>
            </w:r>
            <w:r w:rsidRPr="00E53F92">
              <w:rPr>
                <w:rFonts w:hint="cs"/>
                <w:b/>
                <w:bCs/>
                <w:sz w:val="16"/>
                <w:szCs w:val="18"/>
                <w:rtl/>
              </w:rPr>
              <w:t>52</w:t>
            </w:r>
          </w:p>
        </w:tc>
      </w:tr>
      <w:tr w:rsidR="00E53F92" w14:paraId="0C3BCF78" w14:textId="77777777" w:rsidTr="00C27260">
        <w:trPr>
          <w:jc w:val="center"/>
        </w:trPr>
        <w:tc>
          <w:tcPr>
            <w:tcW w:w="0" w:type="auto"/>
            <w:tcBorders>
              <w:bottom w:val="single" w:sz="4" w:space="0" w:color="000000"/>
              <w:right w:val="single" w:sz="4" w:space="0" w:color="000000"/>
            </w:tcBorders>
            <w:shd w:val="clear" w:color="auto" w:fill="auto"/>
          </w:tcPr>
          <w:p w14:paraId="52D6CE9A" w14:textId="77777777" w:rsidR="008C53A7" w:rsidRPr="00E53F92" w:rsidRDefault="008C53A7" w:rsidP="00E53F92">
            <w:pPr>
              <w:tabs>
                <w:tab w:val="left" w:pos="1148"/>
              </w:tabs>
              <w:spacing w:before="60" w:after="60" w:line="220" w:lineRule="exact"/>
              <w:rPr>
                <w:sz w:val="16"/>
                <w:szCs w:val="18"/>
              </w:rPr>
            </w:pPr>
            <w:r w:rsidRPr="00E53F92">
              <w:rPr>
                <w:sz w:val="16"/>
                <w:szCs w:val="18"/>
                <w:rtl/>
              </w:rPr>
              <w:t>קבוע</w:t>
            </w:r>
          </w:p>
        </w:tc>
        <w:tc>
          <w:tcPr>
            <w:tcW w:w="0" w:type="auto"/>
            <w:tcBorders>
              <w:left w:val="single" w:sz="4" w:space="0" w:color="000000"/>
              <w:bottom w:val="single" w:sz="4" w:space="0" w:color="000000"/>
              <w:right w:val="single" w:sz="4" w:space="0" w:color="000000"/>
            </w:tcBorders>
            <w:shd w:val="clear" w:color="auto" w:fill="auto"/>
          </w:tcPr>
          <w:p w14:paraId="15C0DA7E" w14:textId="77777777" w:rsidR="008C53A7" w:rsidRPr="00E53F92" w:rsidRDefault="008C53A7" w:rsidP="00E53F92">
            <w:pPr>
              <w:tabs>
                <w:tab w:val="left" w:pos="1148"/>
              </w:tabs>
              <w:spacing w:before="60" w:after="60" w:line="220" w:lineRule="exact"/>
              <w:rPr>
                <w:sz w:val="16"/>
                <w:szCs w:val="18"/>
              </w:rPr>
            </w:pPr>
            <w:r w:rsidRPr="00E53F92">
              <w:rPr>
                <w:sz w:val="16"/>
                <w:szCs w:val="18"/>
              </w:rPr>
              <w:t>0.993</w:t>
            </w:r>
          </w:p>
        </w:tc>
        <w:tc>
          <w:tcPr>
            <w:tcW w:w="0" w:type="auto"/>
            <w:tcBorders>
              <w:left w:val="single" w:sz="4" w:space="0" w:color="000000"/>
              <w:bottom w:val="single" w:sz="4" w:space="0" w:color="000000"/>
              <w:right w:val="single" w:sz="4" w:space="0" w:color="000000"/>
            </w:tcBorders>
            <w:shd w:val="clear" w:color="auto" w:fill="auto"/>
          </w:tcPr>
          <w:p w14:paraId="228AC082" w14:textId="77777777" w:rsidR="008C53A7" w:rsidRPr="00E53F92" w:rsidRDefault="008C53A7" w:rsidP="00E53F92">
            <w:pPr>
              <w:tabs>
                <w:tab w:val="left" w:pos="1148"/>
              </w:tabs>
              <w:spacing w:before="60" w:after="60" w:line="220" w:lineRule="exact"/>
              <w:rPr>
                <w:sz w:val="16"/>
                <w:szCs w:val="18"/>
              </w:rPr>
            </w:pPr>
            <w:r w:rsidRPr="00E53F92">
              <w:rPr>
                <w:sz w:val="16"/>
                <w:szCs w:val="18"/>
              </w:rPr>
              <w:t>2.49</w:t>
            </w:r>
          </w:p>
        </w:tc>
        <w:tc>
          <w:tcPr>
            <w:tcW w:w="0" w:type="auto"/>
            <w:tcBorders>
              <w:left w:val="single" w:sz="4" w:space="0" w:color="000000"/>
              <w:bottom w:val="single" w:sz="4" w:space="0" w:color="000000"/>
              <w:right w:val="single" w:sz="4" w:space="0" w:color="000000"/>
            </w:tcBorders>
            <w:shd w:val="clear" w:color="auto" w:fill="auto"/>
          </w:tcPr>
          <w:p w14:paraId="4007FF90" w14:textId="77777777" w:rsidR="008C53A7" w:rsidRPr="00E53F92" w:rsidRDefault="008C53A7" w:rsidP="00E53F92">
            <w:pPr>
              <w:tabs>
                <w:tab w:val="left" w:pos="1148"/>
              </w:tabs>
              <w:spacing w:before="60" w:after="60" w:line="220" w:lineRule="exact"/>
              <w:rPr>
                <w:sz w:val="16"/>
                <w:szCs w:val="18"/>
              </w:rPr>
            </w:pPr>
            <w:r w:rsidRPr="00E53F92">
              <w:rPr>
                <w:sz w:val="16"/>
                <w:szCs w:val="18"/>
              </w:rPr>
              <w:t>4.30</w:t>
            </w:r>
          </w:p>
        </w:tc>
        <w:tc>
          <w:tcPr>
            <w:tcW w:w="0" w:type="auto"/>
            <w:tcBorders>
              <w:left w:val="single" w:sz="4" w:space="0" w:color="000000"/>
              <w:bottom w:val="single" w:sz="4" w:space="0" w:color="000000"/>
              <w:right w:val="single" w:sz="4" w:space="0" w:color="000000"/>
            </w:tcBorders>
            <w:shd w:val="clear" w:color="auto" w:fill="auto"/>
          </w:tcPr>
          <w:p w14:paraId="0DE403F8" w14:textId="77777777" w:rsidR="008C53A7" w:rsidRPr="00E53F92" w:rsidRDefault="008C53A7" w:rsidP="00E53F92">
            <w:pPr>
              <w:tabs>
                <w:tab w:val="left" w:pos="1148"/>
              </w:tabs>
              <w:spacing w:before="60" w:after="60" w:line="220" w:lineRule="exact"/>
              <w:rPr>
                <w:sz w:val="16"/>
                <w:szCs w:val="18"/>
              </w:rPr>
            </w:pPr>
            <w:r w:rsidRPr="00E53F92">
              <w:rPr>
                <w:sz w:val="16"/>
                <w:szCs w:val="18"/>
              </w:rPr>
              <w:t>5.42</w:t>
            </w:r>
          </w:p>
        </w:tc>
        <w:tc>
          <w:tcPr>
            <w:tcW w:w="0" w:type="auto"/>
            <w:tcBorders>
              <w:left w:val="single" w:sz="4" w:space="0" w:color="000000"/>
              <w:bottom w:val="single" w:sz="4" w:space="0" w:color="000000"/>
              <w:right w:val="single" w:sz="4" w:space="0" w:color="000000"/>
            </w:tcBorders>
            <w:shd w:val="clear" w:color="auto" w:fill="auto"/>
          </w:tcPr>
          <w:p w14:paraId="7F78ED99" w14:textId="77777777" w:rsidR="008C53A7" w:rsidRPr="00E53F92" w:rsidRDefault="008C53A7" w:rsidP="00E53F92">
            <w:pPr>
              <w:tabs>
                <w:tab w:val="left" w:pos="1148"/>
              </w:tabs>
              <w:spacing w:before="60" w:after="60" w:line="220" w:lineRule="exact"/>
              <w:rPr>
                <w:sz w:val="16"/>
                <w:szCs w:val="18"/>
              </w:rPr>
            </w:pPr>
            <w:r w:rsidRPr="00E53F92">
              <w:rPr>
                <w:sz w:val="16"/>
                <w:szCs w:val="18"/>
              </w:rPr>
              <w:t>6.81</w:t>
            </w:r>
          </w:p>
        </w:tc>
        <w:tc>
          <w:tcPr>
            <w:tcW w:w="1019" w:type="dxa"/>
            <w:tcBorders>
              <w:left w:val="single" w:sz="4" w:space="0" w:color="000000"/>
              <w:bottom w:val="single" w:sz="4" w:space="0" w:color="000000"/>
              <w:right w:val="single" w:sz="4" w:space="0" w:color="000000"/>
            </w:tcBorders>
            <w:shd w:val="clear" w:color="auto" w:fill="auto"/>
          </w:tcPr>
          <w:p w14:paraId="5D4002BD" w14:textId="77777777" w:rsidR="008C53A7" w:rsidRPr="00E53F92" w:rsidRDefault="008C53A7" w:rsidP="00E53F92">
            <w:pPr>
              <w:tabs>
                <w:tab w:val="left" w:pos="1148"/>
              </w:tabs>
              <w:spacing w:before="60" w:after="60" w:line="220" w:lineRule="exact"/>
              <w:rPr>
                <w:sz w:val="16"/>
                <w:szCs w:val="18"/>
              </w:rPr>
            </w:pPr>
            <w:r w:rsidRPr="00E53F92">
              <w:rPr>
                <w:sz w:val="16"/>
                <w:szCs w:val="18"/>
              </w:rPr>
              <w:t>6.64</w:t>
            </w:r>
          </w:p>
        </w:tc>
        <w:tc>
          <w:tcPr>
            <w:tcW w:w="1116" w:type="dxa"/>
            <w:tcBorders>
              <w:left w:val="single" w:sz="4" w:space="0" w:color="000000"/>
              <w:bottom w:val="single" w:sz="4" w:space="0" w:color="000000"/>
            </w:tcBorders>
            <w:shd w:val="clear" w:color="auto" w:fill="auto"/>
          </w:tcPr>
          <w:p w14:paraId="7BB5E5BF" w14:textId="77777777" w:rsidR="008C53A7" w:rsidRPr="00E53F92" w:rsidRDefault="008C53A7" w:rsidP="00E53F92">
            <w:pPr>
              <w:tabs>
                <w:tab w:val="left" w:pos="1148"/>
              </w:tabs>
              <w:spacing w:before="60" w:after="60" w:line="220" w:lineRule="exact"/>
              <w:rPr>
                <w:sz w:val="16"/>
                <w:szCs w:val="18"/>
              </w:rPr>
            </w:pPr>
            <w:r w:rsidRPr="00E53F92">
              <w:rPr>
                <w:sz w:val="16"/>
                <w:szCs w:val="18"/>
              </w:rPr>
              <w:t>7.43</w:t>
            </w:r>
          </w:p>
        </w:tc>
      </w:tr>
      <w:tr w:rsidR="00E53F92" w14:paraId="0E353B88" w14:textId="77777777" w:rsidTr="00C27260">
        <w:trPr>
          <w:jc w:val="center"/>
        </w:trPr>
        <w:tc>
          <w:tcPr>
            <w:tcW w:w="0" w:type="auto"/>
            <w:vMerge w:val="restart"/>
            <w:tcBorders>
              <w:top w:val="single" w:sz="4" w:space="0" w:color="000000"/>
              <w:bottom w:val="nil"/>
              <w:right w:val="single" w:sz="4" w:space="0" w:color="000000"/>
            </w:tcBorders>
            <w:shd w:val="clear" w:color="auto" w:fill="auto"/>
          </w:tcPr>
          <w:p w14:paraId="6D92E477" w14:textId="77777777" w:rsidR="008C53A7" w:rsidRPr="00E53F92" w:rsidRDefault="008C53A7" w:rsidP="00E53F92">
            <w:pPr>
              <w:tabs>
                <w:tab w:val="left" w:pos="1148"/>
              </w:tabs>
              <w:spacing w:before="60" w:after="60" w:line="220" w:lineRule="exact"/>
              <w:rPr>
                <w:sz w:val="16"/>
                <w:szCs w:val="18"/>
              </w:rPr>
            </w:pPr>
            <w:r w:rsidRPr="00E53F92">
              <w:rPr>
                <w:sz w:val="16"/>
                <w:szCs w:val="18"/>
                <w:rtl/>
              </w:rPr>
              <w:t>השכלה</w:t>
            </w:r>
            <w:r w:rsidRPr="00E53F92">
              <w:rPr>
                <w:rFonts w:hint="cs"/>
                <w:sz w:val="16"/>
                <w:szCs w:val="18"/>
                <w:rtl/>
              </w:rPr>
              <w:t xml:space="preserve"> </w:t>
            </w:r>
            <w:r w:rsidRPr="00E53F92">
              <w:rPr>
                <w:sz w:val="16"/>
                <w:szCs w:val="18"/>
                <w:rtl/>
              </w:rPr>
              <w:t>על-תיכונית</w:t>
            </w:r>
          </w:p>
        </w:tc>
        <w:tc>
          <w:tcPr>
            <w:tcW w:w="0" w:type="auto"/>
            <w:tcBorders>
              <w:top w:val="single" w:sz="4" w:space="0" w:color="000000"/>
              <w:left w:val="single" w:sz="4" w:space="0" w:color="000000"/>
              <w:bottom w:val="nil"/>
              <w:right w:val="single" w:sz="4" w:space="0" w:color="000000"/>
            </w:tcBorders>
            <w:shd w:val="clear" w:color="auto" w:fill="auto"/>
          </w:tcPr>
          <w:p w14:paraId="37539A13" w14:textId="77777777" w:rsidR="008C53A7" w:rsidRPr="00E53F92" w:rsidRDefault="008C53A7" w:rsidP="00E53F92">
            <w:pPr>
              <w:tabs>
                <w:tab w:val="left" w:pos="1148"/>
              </w:tabs>
              <w:spacing w:before="60" w:after="60" w:line="220" w:lineRule="exact"/>
              <w:rPr>
                <w:sz w:val="16"/>
                <w:szCs w:val="18"/>
              </w:rPr>
            </w:pPr>
            <w:r w:rsidRPr="00E53F92">
              <w:rPr>
                <w:sz w:val="16"/>
                <w:szCs w:val="18"/>
              </w:rPr>
              <w:t>0.469</w:t>
            </w:r>
          </w:p>
        </w:tc>
        <w:tc>
          <w:tcPr>
            <w:tcW w:w="0" w:type="auto"/>
            <w:tcBorders>
              <w:top w:val="single" w:sz="4" w:space="0" w:color="000000"/>
              <w:left w:val="single" w:sz="4" w:space="0" w:color="000000"/>
              <w:bottom w:val="nil"/>
              <w:right w:val="single" w:sz="4" w:space="0" w:color="000000"/>
            </w:tcBorders>
            <w:shd w:val="clear" w:color="auto" w:fill="auto"/>
          </w:tcPr>
          <w:p w14:paraId="1D4A93A9" w14:textId="77777777" w:rsidR="008C53A7" w:rsidRPr="00E53F92" w:rsidRDefault="008C53A7" w:rsidP="00E53F92">
            <w:pPr>
              <w:tabs>
                <w:tab w:val="left" w:pos="1148"/>
              </w:tabs>
              <w:spacing w:before="60" w:after="60" w:line="220" w:lineRule="exact"/>
              <w:rPr>
                <w:sz w:val="16"/>
                <w:szCs w:val="18"/>
              </w:rPr>
            </w:pPr>
            <w:r w:rsidRPr="00E53F92">
              <w:rPr>
                <w:sz w:val="16"/>
                <w:szCs w:val="18"/>
              </w:rPr>
              <w:t>0.500</w:t>
            </w:r>
          </w:p>
        </w:tc>
        <w:tc>
          <w:tcPr>
            <w:tcW w:w="0" w:type="auto"/>
            <w:tcBorders>
              <w:top w:val="single" w:sz="4" w:space="0" w:color="000000"/>
              <w:left w:val="single" w:sz="4" w:space="0" w:color="000000"/>
              <w:bottom w:val="nil"/>
              <w:right w:val="single" w:sz="4" w:space="0" w:color="000000"/>
            </w:tcBorders>
            <w:shd w:val="clear" w:color="auto" w:fill="auto"/>
          </w:tcPr>
          <w:p w14:paraId="510F7C2E" w14:textId="77777777" w:rsidR="008C53A7" w:rsidRPr="00E53F92" w:rsidRDefault="008C53A7" w:rsidP="00E53F92">
            <w:pPr>
              <w:tabs>
                <w:tab w:val="left" w:pos="1148"/>
              </w:tabs>
              <w:spacing w:before="60" w:after="60" w:line="220" w:lineRule="exact"/>
              <w:rPr>
                <w:sz w:val="16"/>
                <w:szCs w:val="18"/>
              </w:rPr>
            </w:pPr>
            <w:r w:rsidRPr="00E53F92">
              <w:rPr>
                <w:sz w:val="16"/>
                <w:szCs w:val="18"/>
              </w:rPr>
              <w:t>0.540</w:t>
            </w:r>
          </w:p>
        </w:tc>
        <w:tc>
          <w:tcPr>
            <w:tcW w:w="0" w:type="auto"/>
            <w:tcBorders>
              <w:top w:val="single" w:sz="4" w:space="0" w:color="000000"/>
              <w:left w:val="single" w:sz="4" w:space="0" w:color="000000"/>
              <w:bottom w:val="nil"/>
              <w:right w:val="single" w:sz="4" w:space="0" w:color="000000"/>
            </w:tcBorders>
            <w:shd w:val="clear" w:color="auto" w:fill="auto"/>
          </w:tcPr>
          <w:p w14:paraId="5A1BDCFB" w14:textId="77777777" w:rsidR="008C53A7" w:rsidRPr="00E53F92" w:rsidRDefault="008C53A7" w:rsidP="00E53F92">
            <w:pPr>
              <w:tabs>
                <w:tab w:val="left" w:pos="1148"/>
              </w:tabs>
              <w:spacing w:before="60" w:after="60" w:line="220" w:lineRule="exact"/>
              <w:rPr>
                <w:sz w:val="16"/>
                <w:szCs w:val="18"/>
              </w:rPr>
            </w:pPr>
            <w:r w:rsidRPr="00E53F92">
              <w:rPr>
                <w:sz w:val="16"/>
                <w:szCs w:val="18"/>
              </w:rPr>
              <w:t>0.691</w:t>
            </w:r>
          </w:p>
        </w:tc>
        <w:tc>
          <w:tcPr>
            <w:tcW w:w="0" w:type="auto"/>
            <w:tcBorders>
              <w:top w:val="single" w:sz="4" w:space="0" w:color="000000"/>
              <w:left w:val="single" w:sz="4" w:space="0" w:color="000000"/>
              <w:bottom w:val="nil"/>
              <w:right w:val="single" w:sz="4" w:space="0" w:color="000000"/>
            </w:tcBorders>
            <w:shd w:val="clear" w:color="auto" w:fill="auto"/>
          </w:tcPr>
          <w:p w14:paraId="79F97514" w14:textId="77777777" w:rsidR="008C53A7" w:rsidRPr="00E53F92" w:rsidRDefault="008C53A7" w:rsidP="00E53F92">
            <w:pPr>
              <w:tabs>
                <w:tab w:val="left" w:pos="1148"/>
              </w:tabs>
              <w:spacing w:before="60" w:after="60" w:line="220" w:lineRule="exact"/>
              <w:rPr>
                <w:sz w:val="16"/>
                <w:szCs w:val="18"/>
              </w:rPr>
            </w:pPr>
            <w:r w:rsidRPr="00E53F92">
              <w:rPr>
                <w:sz w:val="16"/>
                <w:szCs w:val="18"/>
              </w:rPr>
              <w:t>0.478</w:t>
            </w:r>
          </w:p>
        </w:tc>
        <w:tc>
          <w:tcPr>
            <w:tcW w:w="1019" w:type="dxa"/>
            <w:tcBorders>
              <w:top w:val="single" w:sz="4" w:space="0" w:color="000000"/>
              <w:left w:val="single" w:sz="4" w:space="0" w:color="000000"/>
              <w:bottom w:val="nil"/>
              <w:right w:val="single" w:sz="4" w:space="0" w:color="000000"/>
            </w:tcBorders>
            <w:shd w:val="clear" w:color="auto" w:fill="auto"/>
          </w:tcPr>
          <w:p w14:paraId="720D6FAE" w14:textId="77777777" w:rsidR="008C53A7" w:rsidRPr="00E53F92" w:rsidRDefault="008C53A7" w:rsidP="00E53F92">
            <w:pPr>
              <w:tabs>
                <w:tab w:val="left" w:pos="1148"/>
              </w:tabs>
              <w:spacing w:before="60" w:after="60" w:line="220" w:lineRule="exact"/>
              <w:rPr>
                <w:sz w:val="16"/>
                <w:szCs w:val="18"/>
              </w:rPr>
            </w:pPr>
            <w:r w:rsidRPr="00E53F92">
              <w:rPr>
                <w:sz w:val="16"/>
                <w:szCs w:val="18"/>
              </w:rPr>
              <w:t>0.904</w:t>
            </w:r>
          </w:p>
        </w:tc>
        <w:tc>
          <w:tcPr>
            <w:tcW w:w="1116" w:type="dxa"/>
            <w:tcBorders>
              <w:top w:val="single" w:sz="4" w:space="0" w:color="000000"/>
              <w:left w:val="single" w:sz="4" w:space="0" w:color="000000"/>
              <w:bottom w:val="nil"/>
            </w:tcBorders>
            <w:shd w:val="clear" w:color="auto" w:fill="auto"/>
          </w:tcPr>
          <w:p w14:paraId="08826A50" w14:textId="77777777" w:rsidR="008C53A7" w:rsidRPr="00E53F92" w:rsidRDefault="008C53A7" w:rsidP="00E53F92">
            <w:pPr>
              <w:tabs>
                <w:tab w:val="left" w:pos="1148"/>
              </w:tabs>
              <w:spacing w:before="60" w:after="60" w:line="220" w:lineRule="exact"/>
              <w:rPr>
                <w:sz w:val="16"/>
                <w:szCs w:val="18"/>
              </w:rPr>
            </w:pPr>
          </w:p>
        </w:tc>
      </w:tr>
      <w:tr w:rsidR="00E53F92" w14:paraId="508FCB2F" w14:textId="77777777" w:rsidTr="00C27260">
        <w:trPr>
          <w:jc w:val="center"/>
        </w:trPr>
        <w:tc>
          <w:tcPr>
            <w:tcW w:w="0" w:type="auto"/>
            <w:vMerge/>
            <w:tcBorders>
              <w:top w:val="nil"/>
              <w:bottom w:val="single" w:sz="4" w:space="0" w:color="000000"/>
              <w:right w:val="single" w:sz="4" w:space="0" w:color="000000"/>
            </w:tcBorders>
            <w:shd w:val="clear" w:color="auto" w:fill="auto"/>
          </w:tcPr>
          <w:p w14:paraId="2B399A4A" w14:textId="77777777" w:rsidR="008C53A7" w:rsidRPr="00E53F92" w:rsidRDefault="008C53A7" w:rsidP="00E53F92">
            <w:pPr>
              <w:pBdr>
                <w:top w:val="nil"/>
                <w:left w:val="nil"/>
                <w:bottom w:val="nil"/>
                <w:right w:val="nil"/>
                <w:between w:val="nil"/>
              </w:pBdr>
              <w:tabs>
                <w:tab w:val="left" w:pos="1148"/>
              </w:tabs>
              <w:spacing w:before="60" w:after="60" w:line="220" w:lineRule="exact"/>
              <w:rPr>
                <w:sz w:val="16"/>
                <w:szCs w:val="18"/>
              </w:rPr>
            </w:pPr>
          </w:p>
        </w:tc>
        <w:tc>
          <w:tcPr>
            <w:tcW w:w="0" w:type="auto"/>
            <w:tcBorders>
              <w:top w:val="nil"/>
              <w:left w:val="single" w:sz="4" w:space="0" w:color="000000"/>
              <w:bottom w:val="single" w:sz="4" w:space="0" w:color="000000"/>
              <w:right w:val="single" w:sz="4" w:space="0" w:color="000000"/>
            </w:tcBorders>
            <w:shd w:val="clear" w:color="auto" w:fill="auto"/>
          </w:tcPr>
          <w:p w14:paraId="5BE0C01B" w14:textId="77777777" w:rsidR="008C53A7" w:rsidRPr="00E53F92" w:rsidRDefault="008C53A7" w:rsidP="00E53F92">
            <w:pPr>
              <w:tabs>
                <w:tab w:val="left" w:pos="1148"/>
              </w:tabs>
              <w:spacing w:before="60" w:after="60" w:line="220" w:lineRule="exact"/>
              <w:rPr>
                <w:sz w:val="14"/>
                <w:szCs w:val="16"/>
              </w:rPr>
            </w:pPr>
            <w:r w:rsidRPr="00E53F92">
              <w:rPr>
                <w:sz w:val="14"/>
                <w:szCs w:val="16"/>
              </w:rPr>
              <w:t>(-0.740)</w:t>
            </w:r>
          </w:p>
        </w:tc>
        <w:tc>
          <w:tcPr>
            <w:tcW w:w="0" w:type="auto"/>
            <w:tcBorders>
              <w:top w:val="nil"/>
              <w:left w:val="single" w:sz="4" w:space="0" w:color="000000"/>
              <w:bottom w:val="single" w:sz="4" w:space="0" w:color="000000"/>
              <w:right w:val="single" w:sz="4" w:space="0" w:color="000000"/>
            </w:tcBorders>
            <w:shd w:val="clear" w:color="auto" w:fill="auto"/>
          </w:tcPr>
          <w:p w14:paraId="5836A0A0" w14:textId="77777777" w:rsidR="008C53A7" w:rsidRPr="00E53F92" w:rsidRDefault="008C53A7" w:rsidP="00E53F92">
            <w:pPr>
              <w:tabs>
                <w:tab w:val="left" w:pos="1148"/>
              </w:tabs>
              <w:spacing w:before="60" w:after="60" w:line="220" w:lineRule="exact"/>
              <w:rPr>
                <w:sz w:val="14"/>
                <w:szCs w:val="16"/>
              </w:rPr>
            </w:pPr>
            <w:r w:rsidRPr="00E53F92">
              <w:rPr>
                <w:sz w:val="14"/>
                <w:szCs w:val="16"/>
              </w:rPr>
              <w:t>(-2.86)</w:t>
            </w:r>
          </w:p>
        </w:tc>
        <w:tc>
          <w:tcPr>
            <w:tcW w:w="0" w:type="auto"/>
            <w:tcBorders>
              <w:top w:val="nil"/>
              <w:left w:val="single" w:sz="4" w:space="0" w:color="000000"/>
              <w:bottom w:val="single" w:sz="4" w:space="0" w:color="000000"/>
              <w:right w:val="single" w:sz="4" w:space="0" w:color="000000"/>
            </w:tcBorders>
            <w:shd w:val="clear" w:color="auto" w:fill="auto"/>
          </w:tcPr>
          <w:p w14:paraId="42BD0BA4" w14:textId="77777777" w:rsidR="008C53A7" w:rsidRPr="00E53F92" w:rsidRDefault="008C53A7" w:rsidP="00E53F92">
            <w:pPr>
              <w:tabs>
                <w:tab w:val="left" w:pos="1148"/>
              </w:tabs>
              <w:spacing w:before="60" w:after="60" w:line="220" w:lineRule="exact"/>
              <w:rPr>
                <w:sz w:val="14"/>
                <w:szCs w:val="16"/>
              </w:rPr>
            </w:pPr>
            <w:r w:rsidRPr="00E53F92">
              <w:rPr>
                <w:sz w:val="14"/>
                <w:szCs w:val="16"/>
              </w:rPr>
              <w:t>(-3.33)</w:t>
            </w:r>
          </w:p>
        </w:tc>
        <w:tc>
          <w:tcPr>
            <w:tcW w:w="0" w:type="auto"/>
            <w:tcBorders>
              <w:top w:val="nil"/>
              <w:left w:val="single" w:sz="4" w:space="0" w:color="000000"/>
              <w:bottom w:val="single" w:sz="4" w:space="0" w:color="000000"/>
              <w:right w:val="single" w:sz="4" w:space="0" w:color="000000"/>
            </w:tcBorders>
            <w:shd w:val="clear" w:color="auto" w:fill="auto"/>
          </w:tcPr>
          <w:p w14:paraId="69747388" w14:textId="77777777" w:rsidR="008C53A7" w:rsidRPr="00E53F92" w:rsidRDefault="008C53A7" w:rsidP="00E53F92">
            <w:pPr>
              <w:tabs>
                <w:tab w:val="left" w:pos="1148"/>
              </w:tabs>
              <w:spacing w:before="60" w:after="60" w:line="220" w:lineRule="exact"/>
              <w:rPr>
                <w:sz w:val="14"/>
                <w:szCs w:val="16"/>
              </w:rPr>
            </w:pPr>
            <w:r w:rsidRPr="00E53F92">
              <w:rPr>
                <w:sz w:val="14"/>
                <w:szCs w:val="16"/>
              </w:rPr>
              <w:t>(-1.39)</w:t>
            </w:r>
          </w:p>
        </w:tc>
        <w:tc>
          <w:tcPr>
            <w:tcW w:w="0" w:type="auto"/>
            <w:tcBorders>
              <w:top w:val="nil"/>
              <w:left w:val="single" w:sz="4" w:space="0" w:color="000000"/>
              <w:bottom w:val="single" w:sz="4" w:space="0" w:color="000000"/>
              <w:right w:val="single" w:sz="4" w:space="0" w:color="000000"/>
            </w:tcBorders>
            <w:shd w:val="clear" w:color="auto" w:fill="auto"/>
          </w:tcPr>
          <w:p w14:paraId="33812A42" w14:textId="77777777" w:rsidR="008C53A7" w:rsidRPr="00E53F92" w:rsidRDefault="008C53A7" w:rsidP="00E53F92">
            <w:pPr>
              <w:tabs>
                <w:tab w:val="left" w:pos="1148"/>
              </w:tabs>
              <w:spacing w:before="60" w:after="60" w:line="220" w:lineRule="exact"/>
              <w:rPr>
                <w:sz w:val="14"/>
                <w:szCs w:val="16"/>
              </w:rPr>
            </w:pPr>
            <w:r w:rsidRPr="00E53F92">
              <w:rPr>
                <w:sz w:val="14"/>
                <w:szCs w:val="16"/>
              </w:rPr>
              <w:t>(-2.76)</w:t>
            </w:r>
          </w:p>
        </w:tc>
        <w:tc>
          <w:tcPr>
            <w:tcW w:w="1019" w:type="dxa"/>
            <w:tcBorders>
              <w:top w:val="nil"/>
              <w:left w:val="single" w:sz="4" w:space="0" w:color="000000"/>
              <w:bottom w:val="single" w:sz="4" w:space="0" w:color="000000"/>
              <w:right w:val="single" w:sz="4" w:space="0" w:color="000000"/>
            </w:tcBorders>
            <w:shd w:val="clear" w:color="auto" w:fill="auto"/>
          </w:tcPr>
          <w:p w14:paraId="7D3EF77F" w14:textId="77777777" w:rsidR="008C53A7" w:rsidRPr="00E53F92" w:rsidRDefault="008C53A7" w:rsidP="00E53F92">
            <w:pPr>
              <w:tabs>
                <w:tab w:val="left" w:pos="1148"/>
              </w:tabs>
              <w:spacing w:before="60" w:after="60" w:line="220" w:lineRule="exact"/>
              <w:rPr>
                <w:sz w:val="14"/>
                <w:szCs w:val="16"/>
              </w:rPr>
            </w:pPr>
            <w:r w:rsidRPr="00E53F92">
              <w:rPr>
                <w:sz w:val="14"/>
                <w:szCs w:val="16"/>
              </w:rPr>
              <w:t>(-0.261)</w:t>
            </w:r>
          </w:p>
        </w:tc>
        <w:tc>
          <w:tcPr>
            <w:tcW w:w="1116" w:type="dxa"/>
            <w:tcBorders>
              <w:top w:val="nil"/>
              <w:left w:val="single" w:sz="4" w:space="0" w:color="000000"/>
              <w:bottom w:val="single" w:sz="4" w:space="0" w:color="000000"/>
            </w:tcBorders>
            <w:shd w:val="clear" w:color="auto" w:fill="auto"/>
          </w:tcPr>
          <w:p w14:paraId="73A9B4F3" w14:textId="77777777" w:rsidR="008C53A7" w:rsidRPr="00E53F92" w:rsidRDefault="008C53A7" w:rsidP="00E53F92">
            <w:pPr>
              <w:tabs>
                <w:tab w:val="left" w:pos="1148"/>
              </w:tabs>
              <w:spacing w:before="60" w:after="60" w:line="220" w:lineRule="exact"/>
              <w:rPr>
                <w:sz w:val="14"/>
                <w:szCs w:val="16"/>
              </w:rPr>
            </w:pPr>
          </w:p>
        </w:tc>
      </w:tr>
      <w:tr w:rsidR="00E53F92" w14:paraId="740DEF9C" w14:textId="77777777" w:rsidTr="00C27260">
        <w:trPr>
          <w:jc w:val="center"/>
        </w:trPr>
        <w:tc>
          <w:tcPr>
            <w:tcW w:w="0" w:type="auto"/>
            <w:vMerge w:val="restart"/>
            <w:tcBorders>
              <w:top w:val="single" w:sz="4" w:space="0" w:color="000000"/>
              <w:right w:val="single" w:sz="4" w:space="0" w:color="000000"/>
            </w:tcBorders>
            <w:shd w:val="clear" w:color="auto" w:fill="auto"/>
          </w:tcPr>
          <w:p w14:paraId="37729C1F" w14:textId="77777777" w:rsidR="008C53A7" w:rsidRPr="00E53F92" w:rsidRDefault="008C53A7" w:rsidP="00E53F92">
            <w:pPr>
              <w:tabs>
                <w:tab w:val="left" w:pos="1148"/>
              </w:tabs>
              <w:spacing w:before="60" w:after="60" w:line="220" w:lineRule="exact"/>
              <w:rPr>
                <w:sz w:val="16"/>
                <w:szCs w:val="18"/>
              </w:rPr>
            </w:pPr>
            <w:r w:rsidRPr="00E53F92">
              <w:rPr>
                <w:sz w:val="16"/>
                <w:szCs w:val="18"/>
                <w:rtl/>
              </w:rPr>
              <w:t>ציוד ביתי</w:t>
            </w:r>
          </w:p>
        </w:tc>
        <w:tc>
          <w:tcPr>
            <w:tcW w:w="0" w:type="auto"/>
            <w:tcBorders>
              <w:top w:val="single" w:sz="4" w:space="0" w:color="000000"/>
              <w:left w:val="single" w:sz="4" w:space="0" w:color="000000"/>
              <w:bottom w:val="nil"/>
              <w:right w:val="single" w:sz="4" w:space="0" w:color="000000"/>
            </w:tcBorders>
            <w:shd w:val="clear" w:color="auto" w:fill="auto"/>
          </w:tcPr>
          <w:p w14:paraId="42DC2721" w14:textId="77777777" w:rsidR="008C53A7" w:rsidRPr="00E53F92" w:rsidRDefault="008C53A7" w:rsidP="00E53F92">
            <w:pPr>
              <w:tabs>
                <w:tab w:val="left" w:pos="1148"/>
              </w:tabs>
              <w:spacing w:before="60" w:after="60" w:line="220" w:lineRule="exact"/>
              <w:rPr>
                <w:sz w:val="16"/>
                <w:szCs w:val="18"/>
              </w:rPr>
            </w:pPr>
            <w:r w:rsidRPr="00E53F92">
              <w:rPr>
                <w:sz w:val="16"/>
                <w:szCs w:val="18"/>
              </w:rPr>
              <w:t>1.37</w:t>
            </w:r>
          </w:p>
        </w:tc>
        <w:tc>
          <w:tcPr>
            <w:tcW w:w="0" w:type="auto"/>
            <w:tcBorders>
              <w:top w:val="single" w:sz="4" w:space="0" w:color="000000"/>
              <w:left w:val="single" w:sz="4" w:space="0" w:color="000000"/>
              <w:bottom w:val="nil"/>
              <w:right w:val="single" w:sz="4" w:space="0" w:color="000000"/>
            </w:tcBorders>
            <w:shd w:val="clear" w:color="auto" w:fill="auto"/>
          </w:tcPr>
          <w:p w14:paraId="12D5FCF9" w14:textId="77777777" w:rsidR="008C53A7" w:rsidRPr="00E53F92" w:rsidRDefault="008C53A7" w:rsidP="00E53F92">
            <w:pPr>
              <w:tabs>
                <w:tab w:val="left" w:pos="1148"/>
              </w:tabs>
              <w:spacing w:before="60" w:after="60" w:line="220" w:lineRule="exact"/>
              <w:rPr>
                <w:sz w:val="16"/>
                <w:szCs w:val="18"/>
              </w:rPr>
            </w:pPr>
            <w:r w:rsidRPr="00E53F92">
              <w:rPr>
                <w:sz w:val="16"/>
                <w:szCs w:val="18"/>
              </w:rPr>
              <w:t>1.30</w:t>
            </w:r>
          </w:p>
        </w:tc>
        <w:tc>
          <w:tcPr>
            <w:tcW w:w="0" w:type="auto"/>
            <w:tcBorders>
              <w:top w:val="single" w:sz="4" w:space="0" w:color="000000"/>
              <w:left w:val="single" w:sz="4" w:space="0" w:color="000000"/>
              <w:bottom w:val="nil"/>
              <w:right w:val="single" w:sz="4" w:space="0" w:color="000000"/>
            </w:tcBorders>
            <w:shd w:val="clear" w:color="auto" w:fill="auto"/>
          </w:tcPr>
          <w:p w14:paraId="3656AA15" w14:textId="77777777" w:rsidR="008C53A7" w:rsidRPr="00E53F92" w:rsidRDefault="008C53A7" w:rsidP="00E53F92">
            <w:pPr>
              <w:tabs>
                <w:tab w:val="left" w:pos="1148"/>
              </w:tabs>
              <w:spacing w:before="60" w:after="60" w:line="220" w:lineRule="exact"/>
              <w:rPr>
                <w:sz w:val="16"/>
                <w:szCs w:val="18"/>
              </w:rPr>
            </w:pPr>
            <w:r w:rsidRPr="00E53F92">
              <w:rPr>
                <w:sz w:val="16"/>
                <w:szCs w:val="18"/>
              </w:rPr>
              <w:t>1.40</w:t>
            </w:r>
          </w:p>
        </w:tc>
        <w:tc>
          <w:tcPr>
            <w:tcW w:w="0" w:type="auto"/>
            <w:tcBorders>
              <w:top w:val="single" w:sz="4" w:space="0" w:color="000000"/>
              <w:left w:val="single" w:sz="4" w:space="0" w:color="000000"/>
              <w:bottom w:val="nil"/>
              <w:right w:val="single" w:sz="4" w:space="0" w:color="000000"/>
            </w:tcBorders>
            <w:shd w:val="clear" w:color="auto" w:fill="auto"/>
          </w:tcPr>
          <w:p w14:paraId="35C7C85D" w14:textId="77777777" w:rsidR="008C53A7" w:rsidRPr="00E53F92" w:rsidRDefault="008C53A7" w:rsidP="00E53F92">
            <w:pPr>
              <w:tabs>
                <w:tab w:val="left" w:pos="1148"/>
              </w:tabs>
              <w:spacing w:before="60" w:after="60" w:line="220" w:lineRule="exact"/>
              <w:rPr>
                <w:sz w:val="16"/>
                <w:szCs w:val="18"/>
              </w:rPr>
            </w:pPr>
            <w:r w:rsidRPr="00E53F92">
              <w:rPr>
                <w:sz w:val="16"/>
                <w:szCs w:val="18"/>
              </w:rPr>
              <w:t>1.02</w:t>
            </w:r>
          </w:p>
        </w:tc>
        <w:tc>
          <w:tcPr>
            <w:tcW w:w="0" w:type="auto"/>
            <w:tcBorders>
              <w:top w:val="single" w:sz="4" w:space="0" w:color="000000"/>
              <w:left w:val="single" w:sz="4" w:space="0" w:color="000000"/>
              <w:bottom w:val="nil"/>
              <w:right w:val="single" w:sz="4" w:space="0" w:color="000000"/>
            </w:tcBorders>
            <w:shd w:val="clear" w:color="auto" w:fill="auto"/>
          </w:tcPr>
          <w:p w14:paraId="4C5E5E5E" w14:textId="77777777" w:rsidR="008C53A7" w:rsidRPr="00E53F92" w:rsidRDefault="008C53A7" w:rsidP="00E53F92">
            <w:pPr>
              <w:tabs>
                <w:tab w:val="left" w:pos="1148"/>
              </w:tabs>
              <w:spacing w:before="60" w:after="60" w:line="220" w:lineRule="exact"/>
              <w:rPr>
                <w:sz w:val="16"/>
                <w:szCs w:val="18"/>
              </w:rPr>
            </w:pPr>
            <w:r w:rsidRPr="00E53F92">
              <w:rPr>
                <w:sz w:val="16"/>
                <w:szCs w:val="18"/>
              </w:rPr>
              <w:t>1.53</w:t>
            </w:r>
          </w:p>
        </w:tc>
        <w:tc>
          <w:tcPr>
            <w:tcW w:w="1019" w:type="dxa"/>
            <w:tcBorders>
              <w:top w:val="single" w:sz="4" w:space="0" w:color="000000"/>
              <w:left w:val="single" w:sz="4" w:space="0" w:color="000000"/>
              <w:bottom w:val="nil"/>
              <w:right w:val="single" w:sz="4" w:space="0" w:color="000000"/>
            </w:tcBorders>
            <w:shd w:val="clear" w:color="auto" w:fill="auto"/>
          </w:tcPr>
          <w:p w14:paraId="5B571A08" w14:textId="77777777" w:rsidR="008C53A7" w:rsidRPr="00E53F92" w:rsidRDefault="008C53A7" w:rsidP="00E53F92">
            <w:pPr>
              <w:tabs>
                <w:tab w:val="left" w:pos="1148"/>
              </w:tabs>
              <w:spacing w:before="60" w:after="60" w:line="220" w:lineRule="exact"/>
              <w:rPr>
                <w:sz w:val="16"/>
                <w:szCs w:val="18"/>
              </w:rPr>
            </w:pPr>
            <w:r w:rsidRPr="00E53F92">
              <w:rPr>
                <w:sz w:val="16"/>
                <w:szCs w:val="18"/>
              </w:rPr>
              <w:t>1.53</w:t>
            </w:r>
          </w:p>
        </w:tc>
        <w:tc>
          <w:tcPr>
            <w:tcW w:w="1116" w:type="dxa"/>
            <w:tcBorders>
              <w:top w:val="single" w:sz="4" w:space="0" w:color="000000"/>
              <w:left w:val="single" w:sz="4" w:space="0" w:color="000000"/>
              <w:bottom w:val="nil"/>
            </w:tcBorders>
            <w:shd w:val="clear" w:color="auto" w:fill="auto"/>
          </w:tcPr>
          <w:p w14:paraId="378E9599" w14:textId="77777777" w:rsidR="008C53A7" w:rsidRPr="00E53F92" w:rsidRDefault="008C53A7" w:rsidP="00E53F92">
            <w:pPr>
              <w:tabs>
                <w:tab w:val="left" w:pos="1148"/>
              </w:tabs>
              <w:spacing w:before="60" w:after="60" w:line="220" w:lineRule="exact"/>
              <w:rPr>
                <w:sz w:val="16"/>
                <w:szCs w:val="18"/>
              </w:rPr>
            </w:pPr>
            <w:r w:rsidRPr="00E53F92">
              <w:rPr>
                <w:sz w:val="16"/>
                <w:szCs w:val="18"/>
              </w:rPr>
              <w:t>1.15</w:t>
            </w:r>
          </w:p>
        </w:tc>
      </w:tr>
      <w:tr w:rsidR="00E53F92" w14:paraId="7D18F8E4" w14:textId="77777777" w:rsidTr="00C27260">
        <w:trPr>
          <w:jc w:val="center"/>
        </w:trPr>
        <w:tc>
          <w:tcPr>
            <w:tcW w:w="0" w:type="auto"/>
            <w:vMerge/>
            <w:tcBorders>
              <w:bottom w:val="single" w:sz="4" w:space="0" w:color="000000"/>
              <w:right w:val="single" w:sz="4" w:space="0" w:color="000000"/>
            </w:tcBorders>
            <w:shd w:val="clear" w:color="auto" w:fill="auto"/>
          </w:tcPr>
          <w:p w14:paraId="55AE3C7D" w14:textId="77777777" w:rsidR="008C53A7" w:rsidRPr="00E53F92" w:rsidRDefault="008C53A7" w:rsidP="00E53F92">
            <w:pPr>
              <w:tabs>
                <w:tab w:val="left" w:pos="1148"/>
              </w:tabs>
              <w:spacing w:before="60" w:after="60" w:line="220" w:lineRule="exact"/>
              <w:rPr>
                <w:sz w:val="16"/>
                <w:szCs w:val="18"/>
              </w:rPr>
            </w:pPr>
          </w:p>
        </w:tc>
        <w:tc>
          <w:tcPr>
            <w:tcW w:w="0" w:type="auto"/>
            <w:tcBorders>
              <w:top w:val="nil"/>
              <w:left w:val="single" w:sz="4" w:space="0" w:color="000000"/>
              <w:bottom w:val="single" w:sz="4" w:space="0" w:color="000000"/>
              <w:right w:val="single" w:sz="4" w:space="0" w:color="000000"/>
            </w:tcBorders>
            <w:shd w:val="clear" w:color="auto" w:fill="auto"/>
          </w:tcPr>
          <w:p w14:paraId="18537B54" w14:textId="77777777" w:rsidR="008C53A7" w:rsidRPr="00E53F92" w:rsidRDefault="008C53A7" w:rsidP="00E53F92">
            <w:pPr>
              <w:tabs>
                <w:tab w:val="left" w:pos="1148"/>
              </w:tabs>
              <w:spacing w:before="60" w:after="60" w:line="220" w:lineRule="exact"/>
              <w:rPr>
                <w:sz w:val="14"/>
                <w:szCs w:val="16"/>
              </w:rPr>
            </w:pPr>
            <w:r w:rsidRPr="00E53F92">
              <w:rPr>
                <w:sz w:val="14"/>
                <w:szCs w:val="16"/>
              </w:rPr>
              <w:t>(0.438)</w:t>
            </w:r>
          </w:p>
        </w:tc>
        <w:tc>
          <w:tcPr>
            <w:tcW w:w="0" w:type="auto"/>
            <w:tcBorders>
              <w:top w:val="nil"/>
              <w:left w:val="single" w:sz="4" w:space="0" w:color="000000"/>
              <w:bottom w:val="single" w:sz="4" w:space="0" w:color="000000"/>
              <w:right w:val="single" w:sz="4" w:space="0" w:color="000000"/>
            </w:tcBorders>
            <w:shd w:val="clear" w:color="auto" w:fill="auto"/>
          </w:tcPr>
          <w:p w14:paraId="55AEF8EA" w14:textId="77777777" w:rsidR="008C53A7" w:rsidRPr="00E53F92" w:rsidRDefault="008C53A7" w:rsidP="00E53F92">
            <w:pPr>
              <w:tabs>
                <w:tab w:val="left" w:pos="1148"/>
              </w:tabs>
              <w:spacing w:before="60" w:after="60" w:line="220" w:lineRule="exact"/>
              <w:rPr>
                <w:sz w:val="14"/>
                <w:szCs w:val="16"/>
              </w:rPr>
            </w:pPr>
            <w:r w:rsidRPr="00E53F92">
              <w:rPr>
                <w:sz w:val="14"/>
                <w:szCs w:val="16"/>
              </w:rPr>
              <w:t>(0.808)</w:t>
            </w:r>
          </w:p>
        </w:tc>
        <w:tc>
          <w:tcPr>
            <w:tcW w:w="0" w:type="auto"/>
            <w:tcBorders>
              <w:top w:val="nil"/>
              <w:left w:val="single" w:sz="4" w:space="0" w:color="000000"/>
              <w:bottom w:val="single" w:sz="4" w:space="0" w:color="000000"/>
              <w:right w:val="single" w:sz="4" w:space="0" w:color="000000"/>
            </w:tcBorders>
            <w:shd w:val="clear" w:color="auto" w:fill="auto"/>
          </w:tcPr>
          <w:p w14:paraId="34901A13" w14:textId="77777777" w:rsidR="008C53A7" w:rsidRPr="00E53F92" w:rsidRDefault="008C53A7" w:rsidP="00E53F92">
            <w:pPr>
              <w:tabs>
                <w:tab w:val="left" w:pos="1148"/>
              </w:tabs>
              <w:spacing w:before="60" w:after="60" w:line="220" w:lineRule="exact"/>
              <w:rPr>
                <w:sz w:val="14"/>
                <w:szCs w:val="16"/>
              </w:rPr>
            </w:pPr>
            <w:r w:rsidRPr="00E53F92">
              <w:rPr>
                <w:sz w:val="14"/>
                <w:szCs w:val="16"/>
              </w:rPr>
              <w:t>(1.391)</w:t>
            </w:r>
          </w:p>
        </w:tc>
        <w:tc>
          <w:tcPr>
            <w:tcW w:w="0" w:type="auto"/>
            <w:tcBorders>
              <w:top w:val="nil"/>
              <w:left w:val="single" w:sz="4" w:space="0" w:color="000000"/>
              <w:bottom w:val="single" w:sz="4" w:space="0" w:color="000000"/>
              <w:right w:val="single" w:sz="4" w:space="0" w:color="000000"/>
            </w:tcBorders>
            <w:shd w:val="clear" w:color="auto" w:fill="auto"/>
          </w:tcPr>
          <w:p w14:paraId="1745286A" w14:textId="77777777" w:rsidR="008C53A7" w:rsidRPr="00E53F92" w:rsidRDefault="008C53A7" w:rsidP="00E53F92">
            <w:pPr>
              <w:tabs>
                <w:tab w:val="left" w:pos="1148"/>
              </w:tabs>
              <w:spacing w:before="60" w:after="60" w:line="220" w:lineRule="exact"/>
              <w:rPr>
                <w:sz w:val="14"/>
                <w:szCs w:val="16"/>
              </w:rPr>
            </w:pPr>
            <w:r w:rsidRPr="00E53F92">
              <w:rPr>
                <w:sz w:val="14"/>
                <w:szCs w:val="16"/>
              </w:rPr>
              <w:t>(0.062)</w:t>
            </w:r>
          </w:p>
        </w:tc>
        <w:tc>
          <w:tcPr>
            <w:tcW w:w="0" w:type="auto"/>
            <w:tcBorders>
              <w:top w:val="nil"/>
              <w:left w:val="single" w:sz="4" w:space="0" w:color="000000"/>
              <w:bottom w:val="single" w:sz="4" w:space="0" w:color="000000"/>
              <w:right w:val="single" w:sz="4" w:space="0" w:color="000000"/>
            </w:tcBorders>
            <w:shd w:val="clear" w:color="auto" w:fill="auto"/>
          </w:tcPr>
          <w:p w14:paraId="532C385C" w14:textId="77777777" w:rsidR="008C53A7" w:rsidRPr="00E53F92" w:rsidRDefault="008C53A7" w:rsidP="00E53F92">
            <w:pPr>
              <w:tabs>
                <w:tab w:val="left" w:pos="1148"/>
              </w:tabs>
              <w:spacing w:before="60" w:after="60" w:line="220" w:lineRule="exact"/>
              <w:rPr>
                <w:sz w:val="14"/>
                <w:szCs w:val="16"/>
              </w:rPr>
            </w:pPr>
            <w:r w:rsidRPr="00E53F92">
              <w:rPr>
                <w:sz w:val="14"/>
                <w:szCs w:val="16"/>
              </w:rPr>
              <w:t>(2.14)</w:t>
            </w:r>
          </w:p>
        </w:tc>
        <w:tc>
          <w:tcPr>
            <w:tcW w:w="1019" w:type="dxa"/>
            <w:tcBorders>
              <w:top w:val="nil"/>
              <w:left w:val="single" w:sz="4" w:space="0" w:color="000000"/>
              <w:bottom w:val="single" w:sz="4" w:space="0" w:color="000000"/>
              <w:right w:val="single" w:sz="4" w:space="0" w:color="000000"/>
            </w:tcBorders>
            <w:shd w:val="clear" w:color="auto" w:fill="auto"/>
          </w:tcPr>
          <w:p w14:paraId="627AF0B2" w14:textId="77777777" w:rsidR="008C53A7" w:rsidRPr="00E53F92" w:rsidRDefault="008C53A7" w:rsidP="00E53F92">
            <w:pPr>
              <w:tabs>
                <w:tab w:val="left" w:pos="1148"/>
              </w:tabs>
              <w:spacing w:before="60" w:after="60" w:line="220" w:lineRule="exact"/>
              <w:rPr>
                <w:sz w:val="14"/>
                <w:szCs w:val="16"/>
              </w:rPr>
            </w:pPr>
            <w:r w:rsidRPr="00E53F92">
              <w:rPr>
                <w:sz w:val="14"/>
                <w:szCs w:val="16"/>
              </w:rPr>
              <w:t>(1.74)</w:t>
            </w:r>
          </w:p>
        </w:tc>
        <w:tc>
          <w:tcPr>
            <w:tcW w:w="1116" w:type="dxa"/>
            <w:tcBorders>
              <w:top w:val="nil"/>
              <w:left w:val="single" w:sz="4" w:space="0" w:color="000000"/>
              <w:bottom w:val="single" w:sz="4" w:space="0" w:color="000000"/>
            </w:tcBorders>
            <w:shd w:val="clear" w:color="auto" w:fill="auto"/>
          </w:tcPr>
          <w:p w14:paraId="2170BD40" w14:textId="77777777" w:rsidR="008C53A7" w:rsidRPr="00E53F92" w:rsidRDefault="008C53A7" w:rsidP="00E53F92">
            <w:pPr>
              <w:tabs>
                <w:tab w:val="left" w:pos="1148"/>
              </w:tabs>
              <w:spacing w:before="60" w:after="60" w:line="220" w:lineRule="exact"/>
              <w:rPr>
                <w:sz w:val="14"/>
                <w:szCs w:val="16"/>
              </w:rPr>
            </w:pPr>
            <w:r w:rsidRPr="00E53F92">
              <w:rPr>
                <w:sz w:val="14"/>
                <w:szCs w:val="16"/>
              </w:rPr>
              <w:t>(0.444)</w:t>
            </w:r>
          </w:p>
        </w:tc>
      </w:tr>
      <w:tr w:rsidR="00E53F92" w14:paraId="37CF904C" w14:textId="77777777" w:rsidTr="00C27260">
        <w:trPr>
          <w:jc w:val="center"/>
        </w:trPr>
        <w:tc>
          <w:tcPr>
            <w:tcW w:w="0" w:type="auto"/>
            <w:vMerge w:val="restart"/>
            <w:tcBorders>
              <w:top w:val="single" w:sz="4" w:space="0" w:color="000000"/>
              <w:bottom w:val="nil"/>
              <w:right w:val="single" w:sz="4" w:space="0" w:color="000000"/>
            </w:tcBorders>
            <w:shd w:val="clear" w:color="auto" w:fill="auto"/>
          </w:tcPr>
          <w:p w14:paraId="42114F52" w14:textId="77777777" w:rsidR="008C53A7" w:rsidRPr="00E53F92" w:rsidRDefault="008C53A7" w:rsidP="00E53F92">
            <w:pPr>
              <w:tabs>
                <w:tab w:val="left" w:pos="1148"/>
              </w:tabs>
              <w:spacing w:before="60" w:after="60" w:line="220" w:lineRule="exact"/>
              <w:rPr>
                <w:sz w:val="16"/>
                <w:szCs w:val="18"/>
              </w:rPr>
            </w:pPr>
            <w:r w:rsidRPr="00E53F92">
              <w:rPr>
                <w:sz w:val="16"/>
                <w:szCs w:val="18"/>
                <w:rtl/>
              </w:rPr>
              <w:t>עימותים עם</w:t>
            </w:r>
            <w:r w:rsidRPr="00E53F92">
              <w:rPr>
                <w:rFonts w:hint="cs"/>
                <w:sz w:val="16"/>
                <w:szCs w:val="18"/>
                <w:rtl/>
              </w:rPr>
              <w:t xml:space="preserve"> </w:t>
            </w:r>
            <w:r w:rsidRPr="00E53F92">
              <w:rPr>
                <w:sz w:val="16"/>
                <w:szCs w:val="18"/>
                <w:rtl/>
              </w:rPr>
              <w:t>הממשל</w:t>
            </w:r>
          </w:p>
        </w:tc>
        <w:tc>
          <w:tcPr>
            <w:tcW w:w="0" w:type="auto"/>
            <w:tcBorders>
              <w:top w:val="single" w:sz="4" w:space="0" w:color="000000"/>
              <w:left w:val="single" w:sz="4" w:space="0" w:color="000000"/>
              <w:bottom w:val="nil"/>
              <w:right w:val="single" w:sz="4" w:space="0" w:color="000000"/>
            </w:tcBorders>
            <w:shd w:val="clear" w:color="auto" w:fill="auto"/>
          </w:tcPr>
          <w:p w14:paraId="2D1CC672" w14:textId="77777777" w:rsidR="008C53A7" w:rsidRPr="00E53F92" w:rsidRDefault="008C53A7" w:rsidP="00E53F92">
            <w:pPr>
              <w:tabs>
                <w:tab w:val="left" w:pos="1148"/>
              </w:tabs>
              <w:spacing w:before="60" w:after="60" w:line="220" w:lineRule="exact"/>
              <w:rPr>
                <w:sz w:val="16"/>
                <w:szCs w:val="18"/>
              </w:rPr>
            </w:pPr>
            <w:r w:rsidRPr="00E53F92">
              <w:rPr>
                <w:sz w:val="16"/>
                <w:szCs w:val="18"/>
              </w:rPr>
              <w:t>0.381</w:t>
            </w:r>
          </w:p>
        </w:tc>
        <w:tc>
          <w:tcPr>
            <w:tcW w:w="0" w:type="auto"/>
            <w:tcBorders>
              <w:top w:val="single" w:sz="4" w:space="0" w:color="000000"/>
              <w:left w:val="single" w:sz="4" w:space="0" w:color="000000"/>
              <w:bottom w:val="nil"/>
              <w:right w:val="single" w:sz="4" w:space="0" w:color="000000"/>
            </w:tcBorders>
            <w:shd w:val="clear" w:color="auto" w:fill="auto"/>
          </w:tcPr>
          <w:p w14:paraId="43F5CC18" w14:textId="77777777" w:rsidR="008C53A7" w:rsidRPr="00E53F92" w:rsidRDefault="008C53A7" w:rsidP="00E53F92">
            <w:pPr>
              <w:tabs>
                <w:tab w:val="left" w:pos="1148"/>
              </w:tabs>
              <w:spacing w:before="60" w:after="60" w:line="220" w:lineRule="exact"/>
              <w:rPr>
                <w:sz w:val="16"/>
                <w:szCs w:val="18"/>
              </w:rPr>
            </w:pPr>
            <w:r w:rsidRPr="00E53F92">
              <w:rPr>
                <w:sz w:val="16"/>
                <w:szCs w:val="18"/>
              </w:rPr>
              <w:t>0.668</w:t>
            </w:r>
          </w:p>
        </w:tc>
        <w:tc>
          <w:tcPr>
            <w:tcW w:w="0" w:type="auto"/>
            <w:tcBorders>
              <w:top w:val="single" w:sz="4" w:space="0" w:color="000000"/>
              <w:left w:val="single" w:sz="4" w:space="0" w:color="000000"/>
              <w:bottom w:val="nil"/>
              <w:right w:val="single" w:sz="4" w:space="0" w:color="000000"/>
            </w:tcBorders>
            <w:shd w:val="clear" w:color="auto" w:fill="auto"/>
          </w:tcPr>
          <w:p w14:paraId="47A395E7" w14:textId="77777777" w:rsidR="008C53A7" w:rsidRPr="00E53F92" w:rsidRDefault="008C53A7" w:rsidP="00E53F92">
            <w:pPr>
              <w:tabs>
                <w:tab w:val="left" w:pos="1148"/>
              </w:tabs>
              <w:spacing w:before="60" w:after="60" w:line="220" w:lineRule="exact"/>
              <w:rPr>
                <w:sz w:val="16"/>
                <w:szCs w:val="18"/>
              </w:rPr>
            </w:pPr>
            <w:r w:rsidRPr="00E53F92">
              <w:rPr>
                <w:sz w:val="16"/>
                <w:szCs w:val="18"/>
              </w:rPr>
              <w:t>0.724</w:t>
            </w:r>
          </w:p>
        </w:tc>
        <w:tc>
          <w:tcPr>
            <w:tcW w:w="0" w:type="auto"/>
            <w:tcBorders>
              <w:top w:val="single" w:sz="4" w:space="0" w:color="000000"/>
              <w:left w:val="single" w:sz="4" w:space="0" w:color="000000"/>
              <w:bottom w:val="nil"/>
              <w:right w:val="single" w:sz="4" w:space="0" w:color="000000"/>
            </w:tcBorders>
            <w:shd w:val="clear" w:color="auto" w:fill="auto"/>
          </w:tcPr>
          <w:p w14:paraId="69BA88F2" w14:textId="77777777" w:rsidR="008C53A7" w:rsidRPr="00E53F92" w:rsidRDefault="008C53A7" w:rsidP="00E53F92">
            <w:pPr>
              <w:tabs>
                <w:tab w:val="left" w:pos="1148"/>
              </w:tabs>
              <w:spacing w:before="60" w:after="60" w:line="220" w:lineRule="exact"/>
              <w:rPr>
                <w:sz w:val="16"/>
                <w:szCs w:val="18"/>
              </w:rPr>
            </w:pPr>
            <w:r w:rsidRPr="00E53F92">
              <w:rPr>
                <w:sz w:val="16"/>
                <w:szCs w:val="18"/>
              </w:rPr>
              <w:t>0.701</w:t>
            </w:r>
          </w:p>
        </w:tc>
        <w:tc>
          <w:tcPr>
            <w:tcW w:w="0" w:type="auto"/>
            <w:tcBorders>
              <w:top w:val="single" w:sz="4" w:space="0" w:color="000000"/>
              <w:left w:val="single" w:sz="4" w:space="0" w:color="000000"/>
              <w:bottom w:val="nil"/>
              <w:right w:val="single" w:sz="4" w:space="0" w:color="000000"/>
            </w:tcBorders>
            <w:shd w:val="clear" w:color="auto" w:fill="auto"/>
          </w:tcPr>
          <w:p w14:paraId="34249770" w14:textId="77777777" w:rsidR="008C53A7" w:rsidRPr="00E53F92" w:rsidRDefault="008C53A7" w:rsidP="00E53F92">
            <w:pPr>
              <w:tabs>
                <w:tab w:val="left" w:pos="1148"/>
              </w:tabs>
              <w:spacing w:before="60" w:after="60" w:line="220" w:lineRule="exact"/>
              <w:rPr>
                <w:sz w:val="16"/>
                <w:szCs w:val="18"/>
              </w:rPr>
            </w:pPr>
            <w:r w:rsidRPr="00E53F92">
              <w:rPr>
                <w:sz w:val="16"/>
                <w:szCs w:val="18"/>
              </w:rPr>
              <w:t>0.596</w:t>
            </w:r>
          </w:p>
        </w:tc>
        <w:tc>
          <w:tcPr>
            <w:tcW w:w="1019" w:type="dxa"/>
            <w:tcBorders>
              <w:top w:val="single" w:sz="4" w:space="0" w:color="000000"/>
              <w:left w:val="single" w:sz="4" w:space="0" w:color="000000"/>
              <w:bottom w:val="nil"/>
              <w:right w:val="single" w:sz="4" w:space="0" w:color="000000"/>
            </w:tcBorders>
            <w:shd w:val="clear" w:color="auto" w:fill="auto"/>
          </w:tcPr>
          <w:p w14:paraId="7AD27043" w14:textId="77777777" w:rsidR="008C53A7" w:rsidRPr="00E53F92" w:rsidRDefault="008C53A7" w:rsidP="00E53F92">
            <w:pPr>
              <w:tabs>
                <w:tab w:val="left" w:pos="1148"/>
              </w:tabs>
              <w:spacing w:before="60" w:after="60" w:line="220" w:lineRule="exact"/>
              <w:rPr>
                <w:sz w:val="16"/>
                <w:szCs w:val="18"/>
              </w:rPr>
            </w:pPr>
            <w:r w:rsidRPr="00E53F92">
              <w:rPr>
                <w:sz w:val="16"/>
                <w:szCs w:val="18"/>
              </w:rPr>
              <w:t>0.621</w:t>
            </w:r>
          </w:p>
        </w:tc>
        <w:tc>
          <w:tcPr>
            <w:tcW w:w="1116" w:type="dxa"/>
            <w:tcBorders>
              <w:top w:val="single" w:sz="4" w:space="0" w:color="000000"/>
              <w:left w:val="single" w:sz="4" w:space="0" w:color="000000"/>
              <w:bottom w:val="nil"/>
            </w:tcBorders>
            <w:shd w:val="clear" w:color="auto" w:fill="auto"/>
          </w:tcPr>
          <w:p w14:paraId="7629AC9A" w14:textId="77777777" w:rsidR="008C53A7" w:rsidRPr="00E53F92" w:rsidRDefault="008C53A7" w:rsidP="00E53F92">
            <w:pPr>
              <w:tabs>
                <w:tab w:val="left" w:pos="1148"/>
              </w:tabs>
              <w:spacing w:before="60" w:after="60" w:line="220" w:lineRule="exact"/>
              <w:rPr>
                <w:sz w:val="16"/>
                <w:szCs w:val="18"/>
              </w:rPr>
            </w:pPr>
            <w:r w:rsidRPr="00E53F92">
              <w:rPr>
                <w:sz w:val="16"/>
                <w:szCs w:val="18"/>
              </w:rPr>
              <w:t>0.426</w:t>
            </w:r>
          </w:p>
        </w:tc>
      </w:tr>
      <w:tr w:rsidR="00E53F92" w14:paraId="5391162E" w14:textId="77777777" w:rsidTr="00C27260">
        <w:trPr>
          <w:jc w:val="center"/>
        </w:trPr>
        <w:tc>
          <w:tcPr>
            <w:tcW w:w="0" w:type="auto"/>
            <w:vMerge/>
            <w:tcBorders>
              <w:top w:val="nil"/>
              <w:bottom w:val="single" w:sz="4" w:space="0" w:color="000000"/>
              <w:right w:val="single" w:sz="4" w:space="0" w:color="000000"/>
            </w:tcBorders>
            <w:shd w:val="clear" w:color="auto" w:fill="auto"/>
          </w:tcPr>
          <w:p w14:paraId="30DF934B" w14:textId="77777777" w:rsidR="008C53A7" w:rsidRPr="00E53F92" w:rsidRDefault="008C53A7" w:rsidP="00E53F92">
            <w:pPr>
              <w:pBdr>
                <w:top w:val="nil"/>
                <w:left w:val="nil"/>
                <w:bottom w:val="nil"/>
                <w:right w:val="nil"/>
                <w:between w:val="nil"/>
              </w:pBdr>
              <w:tabs>
                <w:tab w:val="left" w:pos="1148"/>
              </w:tabs>
              <w:spacing w:before="60" w:after="60" w:line="220" w:lineRule="exact"/>
              <w:rPr>
                <w:sz w:val="16"/>
                <w:szCs w:val="18"/>
              </w:rPr>
            </w:pPr>
          </w:p>
        </w:tc>
        <w:tc>
          <w:tcPr>
            <w:tcW w:w="0" w:type="auto"/>
            <w:tcBorders>
              <w:top w:val="nil"/>
              <w:left w:val="single" w:sz="4" w:space="0" w:color="000000"/>
              <w:bottom w:val="single" w:sz="4" w:space="0" w:color="000000"/>
              <w:right w:val="single" w:sz="4" w:space="0" w:color="000000"/>
            </w:tcBorders>
            <w:shd w:val="clear" w:color="auto" w:fill="auto"/>
          </w:tcPr>
          <w:p w14:paraId="0C227C5E" w14:textId="77777777" w:rsidR="008C53A7" w:rsidRPr="00E53F92" w:rsidRDefault="008C53A7" w:rsidP="00E53F92">
            <w:pPr>
              <w:tabs>
                <w:tab w:val="left" w:pos="1148"/>
              </w:tabs>
              <w:spacing w:before="60" w:after="60" w:line="220" w:lineRule="exact"/>
              <w:rPr>
                <w:sz w:val="14"/>
                <w:szCs w:val="16"/>
              </w:rPr>
            </w:pPr>
            <w:r w:rsidRPr="00E53F92">
              <w:rPr>
                <w:sz w:val="14"/>
                <w:szCs w:val="16"/>
              </w:rPr>
              <w:t>(1.06)</w:t>
            </w:r>
          </w:p>
        </w:tc>
        <w:tc>
          <w:tcPr>
            <w:tcW w:w="0" w:type="auto"/>
            <w:tcBorders>
              <w:top w:val="nil"/>
              <w:left w:val="single" w:sz="4" w:space="0" w:color="000000"/>
              <w:bottom w:val="single" w:sz="4" w:space="0" w:color="000000"/>
              <w:right w:val="single" w:sz="4" w:space="0" w:color="000000"/>
            </w:tcBorders>
            <w:shd w:val="clear" w:color="auto" w:fill="auto"/>
          </w:tcPr>
          <w:p w14:paraId="2209C6A4" w14:textId="77777777" w:rsidR="008C53A7" w:rsidRPr="00E53F92" w:rsidRDefault="008C53A7" w:rsidP="00E53F92">
            <w:pPr>
              <w:tabs>
                <w:tab w:val="left" w:pos="1148"/>
              </w:tabs>
              <w:spacing w:before="60" w:after="60" w:line="220" w:lineRule="exact"/>
              <w:rPr>
                <w:sz w:val="14"/>
                <w:szCs w:val="16"/>
              </w:rPr>
            </w:pPr>
            <w:r w:rsidRPr="00E53F92">
              <w:rPr>
                <w:sz w:val="14"/>
                <w:szCs w:val="16"/>
              </w:rPr>
              <w:t>(0.295)</w:t>
            </w:r>
          </w:p>
        </w:tc>
        <w:tc>
          <w:tcPr>
            <w:tcW w:w="0" w:type="auto"/>
            <w:tcBorders>
              <w:top w:val="nil"/>
              <w:left w:val="single" w:sz="4" w:space="0" w:color="000000"/>
              <w:bottom w:val="single" w:sz="4" w:space="0" w:color="000000"/>
              <w:right w:val="single" w:sz="4" w:space="0" w:color="000000"/>
            </w:tcBorders>
            <w:shd w:val="clear" w:color="auto" w:fill="auto"/>
          </w:tcPr>
          <w:p w14:paraId="6C1646A9" w14:textId="77777777" w:rsidR="008C53A7" w:rsidRPr="00E53F92" w:rsidRDefault="008C53A7" w:rsidP="00E53F92">
            <w:pPr>
              <w:tabs>
                <w:tab w:val="left" w:pos="1148"/>
              </w:tabs>
              <w:spacing w:before="60" w:after="60" w:line="220" w:lineRule="exact"/>
              <w:rPr>
                <w:sz w:val="14"/>
                <w:szCs w:val="16"/>
              </w:rPr>
            </w:pPr>
            <w:r w:rsidRPr="00E53F92">
              <w:rPr>
                <w:sz w:val="14"/>
                <w:szCs w:val="16"/>
              </w:rPr>
              <w:t>(0.259)</w:t>
            </w:r>
          </w:p>
        </w:tc>
        <w:tc>
          <w:tcPr>
            <w:tcW w:w="0" w:type="auto"/>
            <w:tcBorders>
              <w:top w:val="nil"/>
              <w:left w:val="single" w:sz="4" w:space="0" w:color="000000"/>
              <w:bottom w:val="single" w:sz="4" w:space="0" w:color="000000"/>
              <w:right w:val="single" w:sz="4" w:space="0" w:color="000000"/>
            </w:tcBorders>
            <w:shd w:val="clear" w:color="auto" w:fill="auto"/>
          </w:tcPr>
          <w:p w14:paraId="2DA1AD5E" w14:textId="77777777" w:rsidR="008C53A7" w:rsidRPr="00E53F92" w:rsidRDefault="008C53A7" w:rsidP="00E53F92">
            <w:pPr>
              <w:tabs>
                <w:tab w:val="left" w:pos="1148"/>
              </w:tabs>
              <w:spacing w:before="60" w:after="60" w:line="220" w:lineRule="exact"/>
              <w:rPr>
                <w:sz w:val="14"/>
                <w:szCs w:val="16"/>
              </w:rPr>
            </w:pPr>
            <w:r w:rsidRPr="00E53F92">
              <w:rPr>
                <w:sz w:val="14"/>
                <w:szCs w:val="16"/>
              </w:rPr>
              <w:t>(0.205)</w:t>
            </w:r>
          </w:p>
        </w:tc>
        <w:tc>
          <w:tcPr>
            <w:tcW w:w="0" w:type="auto"/>
            <w:tcBorders>
              <w:top w:val="nil"/>
              <w:left w:val="single" w:sz="4" w:space="0" w:color="000000"/>
              <w:bottom w:val="single" w:sz="4" w:space="0" w:color="000000"/>
              <w:right w:val="single" w:sz="4" w:space="0" w:color="000000"/>
            </w:tcBorders>
            <w:shd w:val="clear" w:color="auto" w:fill="auto"/>
          </w:tcPr>
          <w:p w14:paraId="2E84BF40" w14:textId="77777777" w:rsidR="008C53A7" w:rsidRPr="00E53F92" w:rsidRDefault="008C53A7" w:rsidP="00E53F92">
            <w:pPr>
              <w:tabs>
                <w:tab w:val="left" w:pos="1148"/>
              </w:tabs>
              <w:spacing w:before="60" w:after="60" w:line="220" w:lineRule="exact"/>
              <w:rPr>
                <w:sz w:val="14"/>
                <w:szCs w:val="16"/>
              </w:rPr>
            </w:pPr>
            <w:r w:rsidRPr="00E53F92">
              <w:rPr>
                <w:sz w:val="14"/>
                <w:szCs w:val="16"/>
              </w:rPr>
              <w:t>(0.249)</w:t>
            </w:r>
          </w:p>
        </w:tc>
        <w:tc>
          <w:tcPr>
            <w:tcW w:w="1019" w:type="dxa"/>
            <w:tcBorders>
              <w:top w:val="nil"/>
              <w:left w:val="single" w:sz="4" w:space="0" w:color="000000"/>
              <w:bottom w:val="single" w:sz="4" w:space="0" w:color="000000"/>
              <w:right w:val="single" w:sz="4" w:space="0" w:color="000000"/>
            </w:tcBorders>
            <w:shd w:val="clear" w:color="auto" w:fill="auto"/>
          </w:tcPr>
          <w:p w14:paraId="35A9B465" w14:textId="77777777" w:rsidR="008C53A7" w:rsidRPr="00E53F92" w:rsidRDefault="008C53A7" w:rsidP="00E53F92">
            <w:pPr>
              <w:tabs>
                <w:tab w:val="left" w:pos="1148"/>
              </w:tabs>
              <w:spacing w:before="60" w:after="60" w:line="220" w:lineRule="exact"/>
              <w:rPr>
                <w:sz w:val="14"/>
                <w:szCs w:val="16"/>
              </w:rPr>
            </w:pPr>
            <w:r w:rsidRPr="00E53F92">
              <w:rPr>
                <w:sz w:val="14"/>
                <w:szCs w:val="16"/>
              </w:rPr>
              <w:t>(0.299)</w:t>
            </w:r>
          </w:p>
        </w:tc>
        <w:tc>
          <w:tcPr>
            <w:tcW w:w="1116" w:type="dxa"/>
            <w:tcBorders>
              <w:top w:val="nil"/>
              <w:left w:val="single" w:sz="4" w:space="0" w:color="000000"/>
              <w:bottom w:val="single" w:sz="4" w:space="0" w:color="000000"/>
            </w:tcBorders>
            <w:shd w:val="clear" w:color="auto" w:fill="auto"/>
          </w:tcPr>
          <w:p w14:paraId="4A7A5EBB" w14:textId="77777777" w:rsidR="008C53A7" w:rsidRPr="00E53F92" w:rsidRDefault="008C53A7" w:rsidP="00E53F92">
            <w:pPr>
              <w:tabs>
                <w:tab w:val="left" w:pos="1148"/>
              </w:tabs>
              <w:spacing w:before="60" w:after="60" w:line="220" w:lineRule="exact"/>
              <w:rPr>
                <w:sz w:val="14"/>
                <w:szCs w:val="16"/>
              </w:rPr>
            </w:pPr>
            <w:r w:rsidRPr="00E53F92">
              <w:rPr>
                <w:sz w:val="14"/>
                <w:szCs w:val="16"/>
              </w:rPr>
              <w:t>(0.601)</w:t>
            </w:r>
          </w:p>
        </w:tc>
      </w:tr>
      <w:tr w:rsidR="00E53F92" w14:paraId="22892D4B" w14:textId="77777777" w:rsidTr="00C27260">
        <w:trPr>
          <w:jc w:val="center"/>
        </w:trPr>
        <w:tc>
          <w:tcPr>
            <w:tcW w:w="0" w:type="auto"/>
            <w:tcBorders>
              <w:top w:val="single" w:sz="4" w:space="0" w:color="000000"/>
              <w:bottom w:val="single" w:sz="4" w:space="0" w:color="000000"/>
              <w:right w:val="single" w:sz="4" w:space="0" w:color="000000"/>
            </w:tcBorders>
            <w:shd w:val="clear" w:color="auto" w:fill="auto"/>
          </w:tcPr>
          <w:p w14:paraId="000CD249" w14:textId="77777777" w:rsidR="008C53A7" w:rsidRPr="00E53F92" w:rsidRDefault="008C53A7" w:rsidP="00E53F92">
            <w:pPr>
              <w:tabs>
                <w:tab w:val="left" w:pos="1148"/>
              </w:tabs>
              <w:spacing w:before="60" w:after="60" w:line="220" w:lineRule="exact"/>
              <w:rPr>
                <w:sz w:val="16"/>
                <w:szCs w:val="18"/>
              </w:rPr>
            </w:pPr>
            <w:r w:rsidRPr="00E53F92">
              <w:rPr>
                <w:sz w:val="16"/>
                <w:szCs w:val="18"/>
                <w:rtl/>
              </w:rPr>
              <w:t xml:space="preserve">סטייה </w:t>
            </w:r>
            <w:r w:rsidRPr="00E53F92">
              <w:rPr>
                <w:sz w:val="16"/>
                <w:szCs w:val="18"/>
              </w:rPr>
              <w:t>(Deviance)</w:t>
            </w:r>
            <w:r w:rsidRPr="00E53F92">
              <w:rPr>
                <w:sz w:val="16"/>
                <w:szCs w:val="18"/>
                <w:rtl/>
              </w:rPr>
              <w:br/>
              <w:t>מודל 0</w:t>
            </w:r>
            <w:r w:rsidRPr="00E53F92">
              <w:rPr>
                <w:rFonts w:hint="cs"/>
                <w:sz w:val="16"/>
                <w:szCs w:val="18"/>
                <w:rtl/>
              </w:rPr>
              <w:t xml:space="preserve"> </w:t>
            </w:r>
            <w:r w:rsidRPr="00E53F92">
              <w:rPr>
                <w:sz w:val="16"/>
                <w:szCs w:val="18"/>
                <w:rtl/>
              </w:rPr>
              <w:t>(גיל בלבד)</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6EBD965" w14:textId="77777777" w:rsidR="008C53A7" w:rsidRPr="00E53F92" w:rsidRDefault="008C53A7" w:rsidP="00E53F92">
            <w:pPr>
              <w:tabs>
                <w:tab w:val="left" w:pos="1148"/>
              </w:tabs>
              <w:spacing w:before="60" w:after="60" w:line="220" w:lineRule="exact"/>
              <w:rPr>
                <w:sz w:val="16"/>
                <w:szCs w:val="18"/>
              </w:rPr>
            </w:pPr>
            <w:r w:rsidRPr="00E53F92">
              <w:rPr>
                <w:sz w:val="16"/>
                <w:szCs w:val="18"/>
              </w:rPr>
              <w:t>543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14:paraId="20FFA4E0" w14:textId="77777777" w:rsidR="008C53A7" w:rsidRPr="00E53F92" w:rsidRDefault="008C53A7" w:rsidP="00E53F92">
            <w:pPr>
              <w:tabs>
                <w:tab w:val="left" w:pos="1148"/>
              </w:tabs>
              <w:spacing w:before="60" w:after="60" w:line="220" w:lineRule="exact"/>
              <w:rPr>
                <w:sz w:val="16"/>
                <w:szCs w:val="18"/>
              </w:rPr>
            </w:pPr>
            <w:r w:rsidRPr="00E53F92">
              <w:rPr>
                <w:sz w:val="16"/>
                <w:szCs w:val="18"/>
              </w:rPr>
              <w:t>df=484</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14:paraId="0A64FAD1" w14:textId="77777777" w:rsidR="008C53A7" w:rsidRPr="00E53F92" w:rsidRDefault="008C53A7" w:rsidP="00E53F92">
            <w:pPr>
              <w:tabs>
                <w:tab w:val="left" w:pos="1148"/>
              </w:tabs>
              <w:spacing w:before="60" w:after="60" w:line="220" w:lineRule="exact"/>
              <w:rPr>
                <w:sz w:val="16"/>
                <w:szCs w:val="18"/>
              </w:rPr>
            </w:pPr>
            <w:r w:rsidRPr="00E53F92">
              <w:rPr>
                <w:sz w:val="16"/>
                <w:szCs w:val="18"/>
              </w:rPr>
              <w:t>p=0.033</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14:paraId="5EF6D23B" w14:textId="77777777" w:rsidR="008C53A7" w:rsidRPr="00E53F92" w:rsidRDefault="008C53A7" w:rsidP="00E53F92">
            <w:pPr>
              <w:tabs>
                <w:tab w:val="left" w:pos="1148"/>
              </w:tabs>
              <w:spacing w:before="60" w:after="60" w:line="220" w:lineRule="exact"/>
              <w:rPr>
                <w:sz w:val="16"/>
                <w:szCs w:val="18"/>
              </w:rPr>
            </w:pPr>
          </w:p>
        </w:tc>
        <w:tc>
          <w:tcPr>
            <w:tcW w:w="1116" w:type="dxa"/>
            <w:tcBorders>
              <w:top w:val="single" w:sz="4" w:space="0" w:color="000000"/>
              <w:left w:val="single" w:sz="4" w:space="0" w:color="000000"/>
              <w:bottom w:val="single" w:sz="4" w:space="0" w:color="000000"/>
            </w:tcBorders>
            <w:shd w:val="clear" w:color="auto" w:fill="auto"/>
          </w:tcPr>
          <w:p w14:paraId="3DEC0504" w14:textId="77777777" w:rsidR="008C53A7" w:rsidRPr="00E53F92" w:rsidRDefault="008C53A7" w:rsidP="00E53F92">
            <w:pPr>
              <w:tabs>
                <w:tab w:val="left" w:pos="1148"/>
              </w:tabs>
              <w:spacing w:before="60" w:after="60" w:line="220" w:lineRule="exact"/>
              <w:rPr>
                <w:sz w:val="16"/>
                <w:szCs w:val="18"/>
              </w:rPr>
            </w:pPr>
          </w:p>
        </w:tc>
      </w:tr>
      <w:tr w:rsidR="00E53F92" w14:paraId="3345DD5F" w14:textId="77777777" w:rsidTr="004D6A00">
        <w:trPr>
          <w:jc w:val="center"/>
        </w:trPr>
        <w:tc>
          <w:tcPr>
            <w:tcW w:w="0" w:type="auto"/>
            <w:tcBorders>
              <w:top w:val="single" w:sz="4" w:space="0" w:color="000000"/>
              <w:bottom w:val="single" w:sz="4" w:space="0" w:color="000000"/>
              <w:right w:val="single" w:sz="4" w:space="0" w:color="000000"/>
            </w:tcBorders>
            <w:shd w:val="clear" w:color="auto" w:fill="auto"/>
          </w:tcPr>
          <w:p w14:paraId="039B4AA0" w14:textId="77777777" w:rsidR="008C53A7" w:rsidRPr="00E53F92" w:rsidRDefault="008C53A7" w:rsidP="00E53F92">
            <w:pPr>
              <w:tabs>
                <w:tab w:val="left" w:pos="1148"/>
              </w:tabs>
              <w:spacing w:before="60" w:after="60" w:line="220" w:lineRule="exact"/>
              <w:rPr>
                <w:sz w:val="16"/>
                <w:szCs w:val="18"/>
              </w:rPr>
            </w:pPr>
            <w:r w:rsidRPr="00E53F92">
              <w:rPr>
                <w:sz w:val="16"/>
                <w:szCs w:val="18"/>
                <w:rtl/>
              </w:rPr>
              <w:t>סטייה מודל</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78A8E53" w14:textId="77777777" w:rsidR="008C53A7" w:rsidRPr="00E53F92" w:rsidRDefault="008C53A7" w:rsidP="00E53F92">
            <w:pPr>
              <w:tabs>
                <w:tab w:val="left" w:pos="1148"/>
              </w:tabs>
              <w:spacing w:before="60" w:after="60" w:line="220" w:lineRule="exact"/>
              <w:rPr>
                <w:sz w:val="16"/>
                <w:szCs w:val="18"/>
              </w:rPr>
            </w:pPr>
            <w:r w:rsidRPr="00E53F92">
              <w:rPr>
                <w:sz w:val="16"/>
                <w:szCs w:val="18"/>
              </w:rPr>
              <w:t>464</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14:paraId="1982FAD2" w14:textId="77777777" w:rsidR="008C53A7" w:rsidRPr="00E53F92" w:rsidRDefault="008C53A7" w:rsidP="00E53F92">
            <w:pPr>
              <w:tabs>
                <w:tab w:val="left" w:pos="1148"/>
              </w:tabs>
              <w:spacing w:before="60" w:after="60" w:line="220" w:lineRule="exact"/>
              <w:rPr>
                <w:sz w:val="16"/>
                <w:szCs w:val="18"/>
              </w:rPr>
            </w:pPr>
            <w:r w:rsidRPr="00E53F92">
              <w:rPr>
                <w:sz w:val="16"/>
                <w:szCs w:val="18"/>
              </w:rPr>
              <w:t>df=461</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14:paraId="50DCF6B9" w14:textId="77777777" w:rsidR="008C53A7" w:rsidRPr="00E53F92" w:rsidRDefault="008C53A7" w:rsidP="00E53F92">
            <w:pPr>
              <w:tabs>
                <w:tab w:val="left" w:pos="1148"/>
              </w:tabs>
              <w:spacing w:before="60" w:after="60" w:line="220" w:lineRule="exact"/>
              <w:rPr>
                <w:sz w:val="16"/>
                <w:szCs w:val="18"/>
              </w:rPr>
            </w:pPr>
            <w:r w:rsidRPr="00E53F92">
              <w:rPr>
                <w:sz w:val="16"/>
                <w:szCs w:val="18"/>
              </w:rPr>
              <w:t>p=0.452</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14:paraId="47F1E608" w14:textId="77777777" w:rsidR="008C53A7" w:rsidRPr="00E53F92" w:rsidRDefault="008C53A7" w:rsidP="00E53F92">
            <w:pPr>
              <w:tabs>
                <w:tab w:val="left" w:pos="1148"/>
              </w:tabs>
              <w:spacing w:before="60" w:after="60" w:line="220" w:lineRule="exact"/>
              <w:rPr>
                <w:sz w:val="16"/>
                <w:szCs w:val="18"/>
              </w:rPr>
            </w:pPr>
          </w:p>
        </w:tc>
        <w:tc>
          <w:tcPr>
            <w:tcW w:w="1116" w:type="dxa"/>
            <w:tcBorders>
              <w:top w:val="single" w:sz="4" w:space="0" w:color="000000"/>
              <w:left w:val="single" w:sz="4" w:space="0" w:color="000000"/>
              <w:bottom w:val="single" w:sz="4" w:space="0" w:color="000000"/>
            </w:tcBorders>
            <w:shd w:val="clear" w:color="auto" w:fill="auto"/>
          </w:tcPr>
          <w:p w14:paraId="26129E0B" w14:textId="77777777" w:rsidR="008C53A7" w:rsidRPr="00E53F92" w:rsidRDefault="008C53A7" w:rsidP="00E53F92">
            <w:pPr>
              <w:tabs>
                <w:tab w:val="left" w:pos="1148"/>
              </w:tabs>
              <w:spacing w:before="60" w:after="60" w:line="220" w:lineRule="exact"/>
              <w:rPr>
                <w:sz w:val="16"/>
                <w:szCs w:val="18"/>
              </w:rPr>
            </w:pPr>
          </w:p>
        </w:tc>
      </w:tr>
      <w:tr w:rsidR="00E53F92" w14:paraId="57A50B2F" w14:textId="77777777" w:rsidTr="004D6A00">
        <w:trPr>
          <w:jc w:val="center"/>
        </w:trPr>
        <w:tc>
          <w:tcPr>
            <w:tcW w:w="0" w:type="auto"/>
            <w:tcBorders>
              <w:top w:val="single" w:sz="4" w:space="0" w:color="000000"/>
              <w:bottom w:val="single" w:sz="12" w:space="0" w:color="000000"/>
              <w:right w:val="single" w:sz="4" w:space="0" w:color="000000"/>
            </w:tcBorders>
            <w:shd w:val="clear" w:color="auto" w:fill="auto"/>
          </w:tcPr>
          <w:p w14:paraId="1A4A4308" w14:textId="77777777" w:rsidR="008C53A7" w:rsidRPr="00E53F92" w:rsidRDefault="008C53A7" w:rsidP="00E53F92">
            <w:pPr>
              <w:tabs>
                <w:tab w:val="left" w:pos="1148"/>
              </w:tabs>
              <w:spacing w:before="60" w:after="60" w:line="220" w:lineRule="exact"/>
              <w:rPr>
                <w:sz w:val="16"/>
                <w:szCs w:val="18"/>
              </w:rPr>
            </w:pPr>
            <w:r w:rsidRPr="00E53F92">
              <w:rPr>
                <w:sz w:val="16"/>
                <w:szCs w:val="18"/>
                <w:rtl/>
              </w:rPr>
              <w:t>הפרש</w:t>
            </w:r>
          </w:p>
        </w:tc>
        <w:tc>
          <w:tcPr>
            <w:tcW w:w="0" w:type="auto"/>
            <w:tcBorders>
              <w:top w:val="single" w:sz="4" w:space="0" w:color="000000"/>
              <w:left w:val="single" w:sz="4" w:space="0" w:color="000000"/>
              <w:bottom w:val="single" w:sz="12" w:space="0" w:color="000000"/>
              <w:right w:val="single" w:sz="4" w:space="0" w:color="000000"/>
            </w:tcBorders>
            <w:shd w:val="clear" w:color="auto" w:fill="auto"/>
          </w:tcPr>
          <w:p w14:paraId="2DFA4241" w14:textId="77777777" w:rsidR="008C53A7" w:rsidRPr="00E53F92" w:rsidRDefault="008C53A7" w:rsidP="00E53F92">
            <w:pPr>
              <w:tabs>
                <w:tab w:val="left" w:pos="1148"/>
              </w:tabs>
              <w:spacing w:before="60" w:after="60" w:line="220" w:lineRule="exact"/>
              <w:rPr>
                <w:sz w:val="16"/>
                <w:szCs w:val="18"/>
              </w:rPr>
            </w:pPr>
            <w:r w:rsidRPr="00E53F92">
              <w:rPr>
                <w:sz w:val="16"/>
                <w:szCs w:val="18"/>
              </w:rPr>
              <w:t>79</w:t>
            </w:r>
          </w:p>
        </w:tc>
        <w:tc>
          <w:tcPr>
            <w:tcW w:w="0" w:type="auto"/>
            <w:tcBorders>
              <w:top w:val="single" w:sz="4" w:space="0" w:color="000000"/>
              <w:left w:val="single" w:sz="4" w:space="0" w:color="000000"/>
              <w:bottom w:val="single" w:sz="12" w:space="0" w:color="000000"/>
              <w:right w:val="single" w:sz="4" w:space="0" w:color="000000"/>
            </w:tcBorders>
            <w:shd w:val="clear" w:color="auto" w:fill="auto"/>
          </w:tcPr>
          <w:p w14:paraId="74CC81DD" w14:textId="77777777" w:rsidR="008C53A7" w:rsidRPr="00E53F92" w:rsidRDefault="008C53A7" w:rsidP="00E53F92">
            <w:pPr>
              <w:tabs>
                <w:tab w:val="left" w:pos="1148"/>
              </w:tabs>
              <w:spacing w:before="60" w:after="60" w:line="220" w:lineRule="exact"/>
              <w:rPr>
                <w:sz w:val="16"/>
                <w:szCs w:val="18"/>
              </w:rPr>
            </w:pPr>
          </w:p>
        </w:tc>
        <w:tc>
          <w:tcPr>
            <w:tcW w:w="0" w:type="auto"/>
            <w:tcBorders>
              <w:top w:val="single" w:sz="4" w:space="0" w:color="000000"/>
              <w:left w:val="single" w:sz="4" w:space="0" w:color="000000"/>
              <w:bottom w:val="single" w:sz="12" w:space="0" w:color="000000"/>
              <w:right w:val="single" w:sz="4" w:space="0" w:color="000000"/>
            </w:tcBorders>
            <w:shd w:val="clear" w:color="auto" w:fill="auto"/>
          </w:tcPr>
          <w:p w14:paraId="649EFBB6" w14:textId="77777777" w:rsidR="008C53A7" w:rsidRPr="00E53F92" w:rsidRDefault="008C53A7" w:rsidP="00E53F92">
            <w:pPr>
              <w:tabs>
                <w:tab w:val="left" w:pos="1148"/>
              </w:tabs>
              <w:spacing w:before="60" w:after="60" w:line="220" w:lineRule="exact"/>
              <w:rPr>
                <w:sz w:val="16"/>
                <w:szCs w:val="18"/>
              </w:rPr>
            </w:pPr>
            <w:r w:rsidRPr="00E53F92">
              <w:rPr>
                <w:sz w:val="16"/>
                <w:szCs w:val="18"/>
              </w:rPr>
              <w:t>df=23</w:t>
            </w:r>
          </w:p>
        </w:tc>
        <w:tc>
          <w:tcPr>
            <w:tcW w:w="0" w:type="auto"/>
            <w:tcBorders>
              <w:top w:val="single" w:sz="4" w:space="0" w:color="000000"/>
              <w:left w:val="single" w:sz="4" w:space="0" w:color="000000"/>
              <w:bottom w:val="single" w:sz="12" w:space="0" w:color="000000"/>
              <w:right w:val="single" w:sz="4" w:space="0" w:color="000000"/>
            </w:tcBorders>
            <w:shd w:val="clear" w:color="auto" w:fill="auto"/>
          </w:tcPr>
          <w:p w14:paraId="422B5BD8" w14:textId="77777777" w:rsidR="008C53A7" w:rsidRPr="00E53F92" w:rsidRDefault="008C53A7" w:rsidP="00E53F92">
            <w:pPr>
              <w:tabs>
                <w:tab w:val="left" w:pos="1148"/>
              </w:tabs>
              <w:spacing w:before="60" w:after="60" w:line="220" w:lineRule="exact"/>
              <w:rPr>
                <w:sz w:val="16"/>
                <w:szCs w:val="18"/>
              </w:rPr>
            </w:pPr>
          </w:p>
        </w:tc>
        <w:tc>
          <w:tcPr>
            <w:tcW w:w="0" w:type="auto"/>
            <w:tcBorders>
              <w:top w:val="single" w:sz="4" w:space="0" w:color="000000"/>
              <w:left w:val="single" w:sz="4" w:space="0" w:color="000000"/>
              <w:bottom w:val="single" w:sz="12" w:space="0" w:color="000000"/>
              <w:right w:val="single" w:sz="4" w:space="0" w:color="000000"/>
            </w:tcBorders>
            <w:shd w:val="clear" w:color="auto" w:fill="auto"/>
          </w:tcPr>
          <w:p w14:paraId="146F486F" w14:textId="77777777" w:rsidR="008C53A7" w:rsidRPr="00E53F92" w:rsidRDefault="008C53A7" w:rsidP="00E53F92">
            <w:pPr>
              <w:tabs>
                <w:tab w:val="left" w:pos="1148"/>
              </w:tabs>
              <w:spacing w:before="60" w:after="60" w:line="220" w:lineRule="exact"/>
              <w:rPr>
                <w:sz w:val="16"/>
                <w:szCs w:val="18"/>
              </w:rPr>
            </w:pPr>
            <w:r w:rsidRPr="00E53F92">
              <w:rPr>
                <w:sz w:val="16"/>
                <w:szCs w:val="18"/>
              </w:rPr>
              <w:t>p&gt;0.001</w:t>
            </w:r>
          </w:p>
        </w:tc>
        <w:tc>
          <w:tcPr>
            <w:tcW w:w="1019" w:type="dxa"/>
            <w:tcBorders>
              <w:top w:val="single" w:sz="4" w:space="0" w:color="000000"/>
              <w:left w:val="single" w:sz="4" w:space="0" w:color="000000"/>
              <w:bottom w:val="single" w:sz="12" w:space="0" w:color="000000"/>
              <w:right w:val="single" w:sz="4" w:space="0" w:color="000000"/>
            </w:tcBorders>
            <w:shd w:val="clear" w:color="auto" w:fill="auto"/>
          </w:tcPr>
          <w:p w14:paraId="0C3A916F" w14:textId="77777777" w:rsidR="008C53A7" w:rsidRPr="00E53F92" w:rsidRDefault="008C53A7" w:rsidP="00E53F92">
            <w:pPr>
              <w:tabs>
                <w:tab w:val="left" w:pos="1148"/>
              </w:tabs>
              <w:spacing w:before="60" w:after="60" w:line="220" w:lineRule="exact"/>
              <w:rPr>
                <w:sz w:val="16"/>
                <w:szCs w:val="18"/>
              </w:rPr>
            </w:pPr>
          </w:p>
        </w:tc>
        <w:tc>
          <w:tcPr>
            <w:tcW w:w="1116" w:type="dxa"/>
            <w:tcBorders>
              <w:top w:val="single" w:sz="4" w:space="0" w:color="000000"/>
              <w:left w:val="single" w:sz="4" w:space="0" w:color="000000"/>
              <w:bottom w:val="single" w:sz="12" w:space="0" w:color="000000"/>
            </w:tcBorders>
            <w:shd w:val="clear" w:color="auto" w:fill="auto"/>
          </w:tcPr>
          <w:p w14:paraId="3DEA1143" w14:textId="77777777" w:rsidR="008C53A7" w:rsidRPr="00E53F92" w:rsidRDefault="008C53A7" w:rsidP="00E53F92">
            <w:pPr>
              <w:tabs>
                <w:tab w:val="left" w:pos="1148"/>
              </w:tabs>
              <w:spacing w:before="60" w:after="60" w:line="220" w:lineRule="exact"/>
              <w:rPr>
                <w:sz w:val="16"/>
                <w:szCs w:val="18"/>
              </w:rPr>
            </w:pPr>
          </w:p>
        </w:tc>
      </w:tr>
    </w:tbl>
    <w:p w14:paraId="63CEA124" w14:textId="77777777" w:rsidR="00C27260" w:rsidRPr="00DB508D" w:rsidRDefault="00C27260" w:rsidP="00C27260">
      <w:pPr>
        <w:spacing w:before="240" w:after="180" w:line="280" w:lineRule="exact"/>
        <w:jc w:val="both"/>
        <w:rPr>
          <w:sz w:val="18"/>
          <w:szCs w:val="20"/>
        </w:rPr>
      </w:pPr>
      <w:r w:rsidRPr="00DB508D">
        <w:rPr>
          <w:sz w:val="18"/>
          <w:szCs w:val="20"/>
          <w:rtl/>
        </w:rPr>
        <w:t xml:space="preserve">הגורם המוביל בהשפעתו בלוח 1 הוא הגיל בלידה הראשונה, הקשור לגיל הנישואים. ברם, ייתכן </w:t>
      </w:r>
      <w:proofErr w:type="spellStart"/>
      <w:r w:rsidRPr="00DB508D">
        <w:rPr>
          <w:sz w:val="18"/>
          <w:szCs w:val="20"/>
          <w:rtl/>
        </w:rPr>
        <w:t>שבהיותו</w:t>
      </w:r>
      <w:proofErr w:type="spellEnd"/>
      <w:r w:rsidRPr="00DB508D">
        <w:rPr>
          <w:sz w:val="18"/>
          <w:szCs w:val="20"/>
          <w:rtl/>
        </w:rPr>
        <w:t xml:space="preserve"> גורם </w:t>
      </w:r>
      <w:proofErr w:type="spellStart"/>
      <w:r w:rsidRPr="00DB508D">
        <w:rPr>
          <w:sz w:val="18"/>
          <w:szCs w:val="20"/>
          <w:rtl/>
        </w:rPr>
        <w:t>מיידי</w:t>
      </w:r>
      <w:proofErr w:type="spellEnd"/>
      <w:r w:rsidRPr="00DB508D">
        <w:rPr>
          <w:sz w:val="18"/>
          <w:szCs w:val="20"/>
          <w:rtl/>
        </w:rPr>
        <w:t xml:space="preserve"> (</w:t>
      </w:r>
      <w:proofErr w:type="spellStart"/>
      <w:r w:rsidRPr="00DB508D">
        <w:rPr>
          <w:sz w:val="18"/>
          <w:szCs w:val="20"/>
        </w:rPr>
        <w:t>Bongaarts</w:t>
      </w:r>
      <w:proofErr w:type="spellEnd"/>
      <w:r w:rsidRPr="00DB508D">
        <w:rPr>
          <w:sz w:val="18"/>
          <w:szCs w:val="20"/>
        </w:rPr>
        <w:t>, 1987</w:t>
      </w:r>
      <w:r w:rsidRPr="00DB508D">
        <w:rPr>
          <w:sz w:val="18"/>
          <w:szCs w:val="20"/>
          <w:rtl/>
        </w:rPr>
        <w:t>) הוא קשור גם בהשפעות אחרות, וגם מסתיר אותן במודל. נשים בעלות השכלה על-תיכונית יולדות את הילד הראשון יותר משנתיים מאוחר, בממוצע, מנשים אחרות</w:t>
      </w:r>
      <w:r w:rsidRPr="00DB508D">
        <w:rPr>
          <w:rFonts w:hint="cs"/>
          <w:sz w:val="18"/>
          <w:szCs w:val="20"/>
          <w:rtl/>
        </w:rPr>
        <w:t xml:space="preserve"> (</w:t>
      </w:r>
      <w:r w:rsidRPr="00DB508D">
        <w:rPr>
          <w:sz w:val="18"/>
          <w:szCs w:val="20"/>
          <w:rtl/>
        </w:rPr>
        <w:t xml:space="preserve"> </w:t>
      </w:r>
      <w:r w:rsidRPr="00DB508D">
        <w:rPr>
          <w:sz w:val="18"/>
          <w:szCs w:val="20"/>
        </w:rPr>
        <w:t>t = -4.30, df = 41, p &lt; 0.001</w:t>
      </w:r>
      <w:r w:rsidRPr="00DB508D">
        <w:rPr>
          <w:rFonts w:hint="cs"/>
          <w:sz w:val="18"/>
          <w:szCs w:val="20"/>
          <w:rtl/>
        </w:rPr>
        <w:t>)</w:t>
      </w:r>
      <w:r w:rsidRPr="00DB508D">
        <w:rPr>
          <w:sz w:val="18"/>
          <w:szCs w:val="20"/>
          <w:rtl/>
        </w:rPr>
        <w:t xml:space="preserve">; </w:t>
      </w:r>
      <w:r w:rsidRPr="00DB508D">
        <w:rPr>
          <w:rFonts w:hint="cs"/>
          <w:sz w:val="18"/>
          <w:szCs w:val="20"/>
          <w:rtl/>
        </w:rPr>
        <w:t>ה</w:t>
      </w:r>
      <w:r w:rsidRPr="00DB508D">
        <w:rPr>
          <w:sz w:val="18"/>
          <w:szCs w:val="20"/>
          <w:rtl/>
        </w:rPr>
        <w:t xml:space="preserve">גיל </w:t>
      </w:r>
      <w:r w:rsidRPr="00DB508D">
        <w:rPr>
          <w:rFonts w:hint="cs"/>
          <w:sz w:val="18"/>
          <w:szCs w:val="20"/>
          <w:rtl/>
        </w:rPr>
        <w:t>ב</w:t>
      </w:r>
      <w:r w:rsidRPr="00DB508D">
        <w:rPr>
          <w:sz w:val="18"/>
          <w:szCs w:val="20"/>
          <w:rtl/>
        </w:rPr>
        <w:t xml:space="preserve">לידה הראשונה נמוך יותר בקרב נשים אמידות יותר, כך שבקרב אלה שציון ציוד הבית שלהן הוא מעל החציון, </w:t>
      </w:r>
      <w:r w:rsidRPr="00DB508D">
        <w:rPr>
          <w:rFonts w:hint="cs"/>
          <w:sz w:val="18"/>
          <w:szCs w:val="20"/>
          <w:rtl/>
        </w:rPr>
        <w:t>ה</w:t>
      </w:r>
      <w:r w:rsidRPr="00DB508D">
        <w:rPr>
          <w:sz w:val="18"/>
          <w:szCs w:val="20"/>
          <w:rtl/>
        </w:rPr>
        <w:t xml:space="preserve">גיל </w:t>
      </w:r>
      <w:r w:rsidRPr="00DB508D">
        <w:rPr>
          <w:rFonts w:hint="cs"/>
          <w:sz w:val="18"/>
          <w:szCs w:val="20"/>
          <w:rtl/>
        </w:rPr>
        <w:t>ב</w:t>
      </w:r>
      <w:r w:rsidRPr="00DB508D">
        <w:rPr>
          <w:sz w:val="18"/>
          <w:szCs w:val="20"/>
          <w:rtl/>
        </w:rPr>
        <w:t>לידה הראשונה נמוך בשנה מזה של נשים שציון ציוד הבית שלהן הוא מתחת לחציון</w:t>
      </w:r>
      <w:r>
        <w:rPr>
          <w:rFonts w:hint="cs"/>
          <w:sz w:val="18"/>
          <w:szCs w:val="20"/>
          <w:rtl/>
        </w:rPr>
        <w:t xml:space="preserve"> </w:t>
      </w:r>
      <w:r w:rsidRPr="00DB508D">
        <w:rPr>
          <w:sz w:val="18"/>
          <w:szCs w:val="20"/>
          <w:rtl/>
        </w:rPr>
        <w:lastRenderedPageBreak/>
        <w:t>(</w:t>
      </w:r>
      <w:r w:rsidRPr="00DB508D">
        <w:rPr>
          <w:sz w:val="18"/>
          <w:szCs w:val="20"/>
        </w:rPr>
        <w:t>t = 2.83, df = 433, p-value = 0.005</w:t>
      </w:r>
      <w:r w:rsidRPr="00DB508D">
        <w:rPr>
          <w:sz w:val="18"/>
          <w:szCs w:val="20"/>
          <w:rtl/>
        </w:rPr>
        <w:t>)</w:t>
      </w:r>
      <w:r>
        <w:rPr>
          <w:rFonts w:hint="cs"/>
          <w:sz w:val="18"/>
          <w:szCs w:val="20"/>
          <w:rtl/>
        </w:rPr>
        <w:t>,</w:t>
      </w:r>
      <w:r w:rsidRPr="00DB508D">
        <w:rPr>
          <w:sz w:val="18"/>
          <w:szCs w:val="20"/>
          <w:vertAlign w:val="superscript"/>
          <w:rtl/>
        </w:rPr>
        <w:footnoteReference w:id="22"/>
      </w:r>
      <w:r w:rsidRPr="00DB508D">
        <w:rPr>
          <w:sz w:val="18"/>
          <w:szCs w:val="20"/>
          <w:rtl/>
        </w:rPr>
        <w:t xml:space="preserve"> ונשים ממשפחות </w:t>
      </w:r>
      <w:r w:rsidRPr="00DB508D">
        <w:rPr>
          <w:rFonts w:hint="cs"/>
          <w:sz w:val="18"/>
          <w:szCs w:val="20"/>
          <w:rtl/>
        </w:rPr>
        <w:t xml:space="preserve">שהיו נתונות </w:t>
      </w:r>
      <w:r w:rsidRPr="00DB508D">
        <w:rPr>
          <w:sz w:val="18"/>
          <w:szCs w:val="20"/>
          <w:rtl/>
        </w:rPr>
        <w:t>בעימות קשה עם השלטונות יולדות אף הן את הילד הראשון שנתיים בממוצע מאוחר מנשים אחרות</w:t>
      </w:r>
      <w:r w:rsidRPr="00DB508D">
        <w:rPr>
          <w:rFonts w:hint="cs"/>
          <w:sz w:val="18"/>
          <w:szCs w:val="20"/>
          <w:rtl/>
        </w:rPr>
        <w:t xml:space="preserve"> </w:t>
      </w:r>
      <w:r>
        <w:rPr>
          <w:sz w:val="18"/>
          <w:szCs w:val="20"/>
          <w:rtl/>
        </w:rPr>
        <w:br/>
      </w:r>
      <w:r w:rsidRPr="00DB508D">
        <w:rPr>
          <w:rFonts w:hint="cs"/>
          <w:sz w:val="18"/>
          <w:szCs w:val="20"/>
          <w:rtl/>
        </w:rPr>
        <w:t>(</w:t>
      </w:r>
      <w:r w:rsidRPr="00DB508D">
        <w:rPr>
          <w:sz w:val="18"/>
          <w:szCs w:val="20"/>
        </w:rPr>
        <w:t>t = -3.43, df = 37, p = 0.0014</w:t>
      </w:r>
      <w:r w:rsidRPr="00DB508D">
        <w:rPr>
          <w:rFonts w:hint="cs"/>
          <w:sz w:val="18"/>
          <w:szCs w:val="20"/>
          <w:rtl/>
        </w:rPr>
        <w:t>).</w:t>
      </w:r>
    </w:p>
    <w:p w14:paraId="56CE69A6" w14:textId="77777777" w:rsidR="00A35DCA" w:rsidRPr="00DB508D" w:rsidRDefault="00A35DCA" w:rsidP="00A35DCA">
      <w:pPr>
        <w:spacing w:after="180" w:line="280" w:lineRule="exact"/>
        <w:jc w:val="both"/>
        <w:rPr>
          <w:sz w:val="18"/>
          <w:szCs w:val="20"/>
        </w:rPr>
      </w:pPr>
      <w:r w:rsidRPr="00DB508D">
        <w:rPr>
          <w:sz w:val="18"/>
          <w:szCs w:val="20"/>
          <w:rtl/>
        </w:rPr>
        <w:t xml:space="preserve">לוח 2 חוזר אפוא על הניתוח, ללא </w:t>
      </w:r>
      <w:r w:rsidRPr="00DB508D">
        <w:rPr>
          <w:rFonts w:hint="cs"/>
          <w:sz w:val="18"/>
          <w:szCs w:val="20"/>
          <w:rtl/>
        </w:rPr>
        <w:t>ה</w:t>
      </w:r>
      <w:r w:rsidRPr="00DB508D">
        <w:rPr>
          <w:sz w:val="18"/>
          <w:szCs w:val="20"/>
          <w:rtl/>
        </w:rPr>
        <w:t xml:space="preserve">גיל </w:t>
      </w:r>
      <w:r w:rsidRPr="00DB508D">
        <w:rPr>
          <w:rFonts w:hint="cs"/>
          <w:sz w:val="18"/>
          <w:szCs w:val="20"/>
          <w:rtl/>
        </w:rPr>
        <w:t>ב</w:t>
      </w:r>
      <w:r w:rsidRPr="00DB508D">
        <w:rPr>
          <w:sz w:val="18"/>
          <w:szCs w:val="20"/>
          <w:rtl/>
        </w:rPr>
        <w:t xml:space="preserve">לידה הראשונה. הערכים הקבועים הם כמעט ללא שינוי, ומראים את אותה מגמה: עלייה מתמדת עד גיל 38–42, ומשם התייצבות. לעומת זאת, להשכלה גבוהה יש השפעה ברורה הרבה יותר, והיא מורידה את הילודה לכדי מחצית ברוב קבוצות הגיל. גם השפעת רמת החיים היא חד-משמעית וחיובית בכל קבוצות הגיל, והשפעת העימות עם המדינה ברורה ומקיפה: היא שלילית בכל קבוצות הגיל, אף אם, בשל מיעוט המקרים, היא אינה מובהקת. נציין כי אף שטיב ההתאמה במודל זה הוא </w:t>
      </w:r>
      <w:r w:rsidRPr="00DB508D">
        <w:rPr>
          <w:rFonts w:hint="cs"/>
          <w:sz w:val="18"/>
          <w:szCs w:val="20"/>
          <w:rtl/>
        </w:rPr>
        <w:t xml:space="preserve">נמוך </w:t>
      </w:r>
      <w:r w:rsidRPr="00DB508D">
        <w:rPr>
          <w:sz w:val="18"/>
          <w:szCs w:val="20"/>
          <w:rtl/>
        </w:rPr>
        <w:t>מאשר במודל הקודם</w:t>
      </w:r>
      <w:r w:rsidRPr="00DB508D">
        <w:rPr>
          <w:rFonts w:hint="cs"/>
          <w:sz w:val="18"/>
          <w:szCs w:val="20"/>
          <w:rtl/>
        </w:rPr>
        <w:t xml:space="preserve"> (</w:t>
      </w:r>
      <w:r w:rsidRPr="00DB508D">
        <w:rPr>
          <w:sz w:val="18"/>
          <w:szCs w:val="20"/>
          <w:rtl/>
        </w:rPr>
        <w:t>[</w:t>
      </w:r>
      <w:r w:rsidRPr="00DB508D">
        <w:rPr>
          <w:sz w:val="18"/>
          <w:szCs w:val="20"/>
        </w:rPr>
        <w:t>LRχ</w:t>
      </w:r>
      <w:r w:rsidRPr="00DB508D">
        <w:rPr>
          <w:sz w:val="18"/>
          <w:szCs w:val="20"/>
          <w:vertAlign w:val="superscript"/>
        </w:rPr>
        <w:t>2</w:t>
      </w:r>
      <w:r w:rsidRPr="00DB508D">
        <w:rPr>
          <w:sz w:val="18"/>
          <w:szCs w:val="20"/>
        </w:rPr>
        <w:t xml:space="preserve"> = 464, df = 461, p = 0.452</w:t>
      </w:r>
      <w:r w:rsidRPr="00DB508D">
        <w:rPr>
          <w:sz w:val="18"/>
          <w:szCs w:val="20"/>
          <w:rtl/>
        </w:rPr>
        <w:t>] לעומת</w:t>
      </w:r>
      <w:r w:rsidRPr="00DB508D">
        <w:rPr>
          <w:rFonts w:hint="cs"/>
          <w:sz w:val="18"/>
          <w:szCs w:val="20"/>
          <w:rtl/>
        </w:rPr>
        <w:t xml:space="preserve"> </w:t>
      </w:r>
      <w:r w:rsidRPr="00DB508D">
        <w:rPr>
          <w:rFonts w:hint="cs"/>
          <w:sz w:val="18"/>
          <w:szCs w:val="20"/>
        </w:rPr>
        <w:t>[</w:t>
      </w:r>
      <w:r w:rsidRPr="00DB508D">
        <w:rPr>
          <w:sz w:val="18"/>
          <w:szCs w:val="20"/>
        </w:rPr>
        <w:t>LRχ</w:t>
      </w:r>
      <w:r w:rsidRPr="00DB508D">
        <w:rPr>
          <w:sz w:val="18"/>
          <w:szCs w:val="20"/>
          <w:vertAlign w:val="superscript"/>
        </w:rPr>
        <w:t>2</w:t>
      </w:r>
      <w:r w:rsidRPr="00DB508D">
        <w:rPr>
          <w:sz w:val="18"/>
          <w:szCs w:val="20"/>
        </w:rPr>
        <w:t xml:space="preserve"> = 294, df = 447, p &gt; 0.999</w:t>
      </w:r>
      <w:r w:rsidRPr="00DB508D">
        <w:rPr>
          <w:rFonts w:hint="cs"/>
          <w:sz w:val="18"/>
          <w:szCs w:val="20"/>
        </w:rPr>
        <w:t>]</w:t>
      </w:r>
      <w:r w:rsidRPr="00DB508D">
        <w:rPr>
          <w:rFonts w:hint="cs"/>
          <w:sz w:val="18"/>
          <w:szCs w:val="20"/>
          <w:rtl/>
        </w:rPr>
        <w:t>),</w:t>
      </w:r>
      <w:r w:rsidRPr="00DB508D">
        <w:rPr>
          <w:sz w:val="18"/>
          <w:szCs w:val="20"/>
          <w:rtl/>
        </w:rPr>
        <w:t xml:space="preserve"> הרי המודל השני עדיין הולם את נתוני המקור (</w:t>
      </w:r>
      <w:r w:rsidRPr="00DB508D">
        <w:rPr>
          <w:sz w:val="18"/>
          <w:szCs w:val="20"/>
        </w:rPr>
        <w:t>p = 0.452</w:t>
      </w:r>
      <w:r w:rsidRPr="00DB508D">
        <w:rPr>
          <w:sz w:val="18"/>
          <w:szCs w:val="20"/>
          <w:rtl/>
        </w:rPr>
        <w:t>), ומספק מבחינה סטטיסטית.</w:t>
      </w:r>
    </w:p>
    <w:p w14:paraId="21309D49" w14:textId="6BDD96F6" w:rsidR="00452401" w:rsidRPr="00A35DCA" w:rsidRDefault="00452401" w:rsidP="00CD4ECC">
      <w:pPr>
        <w:spacing w:before="240" w:after="180" w:line="280" w:lineRule="exact"/>
        <w:jc w:val="both"/>
        <w:rPr>
          <w:sz w:val="18"/>
          <w:szCs w:val="20"/>
          <w:rtl/>
        </w:rPr>
      </w:pPr>
    </w:p>
    <w:p w14:paraId="2EF5543A" w14:textId="77777777" w:rsidR="004B3169" w:rsidRPr="005C3C07" w:rsidRDefault="004B3169" w:rsidP="00CD4ECC">
      <w:pPr>
        <w:spacing w:before="240" w:after="180" w:line="280" w:lineRule="exact"/>
        <w:jc w:val="both"/>
        <w:rPr>
          <w:sz w:val="18"/>
          <w:szCs w:val="20"/>
        </w:rPr>
      </w:pPr>
    </w:p>
    <w:p w14:paraId="610EBCE1" w14:textId="7ADA8B36" w:rsidR="00452401" w:rsidRPr="00452401" w:rsidRDefault="00452401" w:rsidP="00452401">
      <w:pPr>
        <w:pStyle w:val="KOT4"/>
        <w:spacing w:after="0"/>
        <w:ind w:left="397" w:right="0" w:hanging="397"/>
        <w:rPr>
          <w:rFonts w:cs="Guttman Aharoni"/>
          <w:color w:val="00B0F0"/>
          <w:sz w:val="32"/>
          <w:szCs w:val="32"/>
        </w:rPr>
      </w:pPr>
      <w:r w:rsidRPr="00452401">
        <w:rPr>
          <w:rFonts w:cs="Guttman Aharoni"/>
          <w:color w:val="00B0F0"/>
          <w:sz w:val="32"/>
          <w:szCs w:val="32"/>
          <w:rtl/>
        </w:rPr>
        <w:t>6.</w:t>
      </w:r>
      <w:r w:rsidRPr="00452401">
        <w:rPr>
          <w:rFonts w:cs="Guttman Aharoni"/>
          <w:color w:val="00B0F0"/>
          <w:sz w:val="32"/>
          <w:szCs w:val="32"/>
        </w:rPr>
        <w:tab/>
      </w:r>
      <w:r w:rsidRPr="00452401">
        <w:rPr>
          <w:rFonts w:cs="Guttman Aharoni"/>
          <w:color w:val="00B0F0"/>
          <w:sz w:val="32"/>
          <w:szCs w:val="32"/>
          <w:rtl/>
        </w:rPr>
        <w:t>דיון ומסקנות</w:t>
      </w:r>
    </w:p>
    <w:p w14:paraId="0D70E8E5" w14:textId="2AA4A783" w:rsidR="00452401" w:rsidRPr="00DB508D" w:rsidRDefault="00452401" w:rsidP="0036409A">
      <w:pPr>
        <w:spacing w:after="180" w:line="280" w:lineRule="exact"/>
        <w:jc w:val="both"/>
        <w:rPr>
          <w:sz w:val="18"/>
          <w:szCs w:val="20"/>
        </w:rPr>
      </w:pPr>
      <w:bookmarkStart w:id="11" w:name="_heading=h.3dy6vkm" w:colFirst="0" w:colLast="0"/>
      <w:bookmarkEnd w:id="11"/>
      <w:r w:rsidRPr="00DB508D">
        <w:rPr>
          <w:sz w:val="18"/>
          <w:szCs w:val="20"/>
          <w:rtl/>
        </w:rPr>
        <w:t>אין ספק כי החברה הבדואית בנגב עוברת תהליך של שינוי חברתי, תרבותי וכלכלי, המקיף את רוב קבוצות הגיל ובא לידי ביטוי באורח החיים, ביחסים הפטריארכליים במשפחה, ברכישת השכלה ובהשתלבות בעבודה מגוונת. שינוי זה אינו אחיד, אך בכל שכבות האוכלוסייה הוא מוצא את ביטויו, במידה זו או אחרת, בשינוי של ערכים ודפוסי התנהגות מסורתיים. מדובר בתהליך שבו זוגות בדואים מאמצים נורמות התנהגות מודרניות, כולל שימוש באמצעי מניעה, תכנון המשפחה וצמצום ילודה. בראייה רחבה יותר</w:t>
      </w:r>
      <w:r w:rsidRPr="00DB508D">
        <w:rPr>
          <w:rFonts w:hint="cs"/>
          <w:sz w:val="18"/>
          <w:szCs w:val="20"/>
          <w:rtl/>
        </w:rPr>
        <w:t xml:space="preserve"> ניכרים </w:t>
      </w:r>
      <w:r w:rsidRPr="00DB508D">
        <w:rPr>
          <w:sz w:val="18"/>
          <w:szCs w:val="20"/>
          <w:rtl/>
        </w:rPr>
        <w:t xml:space="preserve">שינויים </w:t>
      </w:r>
      <w:r w:rsidRPr="00DB508D">
        <w:rPr>
          <w:rFonts w:hint="cs"/>
          <w:sz w:val="18"/>
          <w:szCs w:val="20"/>
          <w:rtl/>
        </w:rPr>
        <w:t xml:space="preserve">גם </w:t>
      </w:r>
      <w:r w:rsidRPr="00DB508D">
        <w:rPr>
          <w:sz w:val="18"/>
          <w:szCs w:val="20"/>
          <w:rtl/>
        </w:rPr>
        <w:t>בתפיסת המשפחה המורחבת: הערבות השבטית הקולקטיבית מצטמצמת ו</w:t>
      </w:r>
      <w:r w:rsidRPr="00DB508D">
        <w:rPr>
          <w:rFonts w:hint="cs"/>
          <w:sz w:val="18"/>
          <w:szCs w:val="20"/>
          <w:rtl/>
        </w:rPr>
        <w:t>מתחלפת</w:t>
      </w:r>
      <w:r w:rsidRPr="00DB508D">
        <w:rPr>
          <w:sz w:val="18"/>
          <w:szCs w:val="20"/>
          <w:rtl/>
        </w:rPr>
        <w:t xml:space="preserve"> בהדרגה לדאגה למשפחה הגרעינית. שינויים אלה מתבטאים גם בתפקידי הילדים במשפחה, בחשיבות הניתנת להשכלתם, לתזונה בריאה ולרכישה של </w:t>
      </w:r>
      <w:r w:rsidR="0036409A">
        <w:rPr>
          <w:rFonts w:hint="cs"/>
          <w:sz w:val="18"/>
          <w:szCs w:val="20"/>
          <w:rtl/>
        </w:rPr>
        <w:t>ציוד מתקדם</w:t>
      </w:r>
      <w:r w:rsidRPr="00DB508D">
        <w:rPr>
          <w:sz w:val="18"/>
          <w:szCs w:val="20"/>
          <w:rtl/>
        </w:rPr>
        <w:t xml:space="preserve"> עבורם. ילדים נתפסים פחות ופחות כ"תעודת ביטוח" של האבות לעת זקנה וככוח סיוע במשק המשפחתי</w:t>
      </w:r>
      <w:r w:rsidRPr="00DB508D">
        <w:rPr>
          <w:rFonts w:hint="cs"/>
          <w:sz w:val="18"/>
          <w:szCs w:val="20"/>
          <w:rtl/>
        </w:rPr>
        <w:t xml:space="preserve"> (</w:t>
      </w:r>
      <w:r w:rsidRPr="00DB508D">
        <w:rPr>
          <w:sz w:val="18"/>
          <w:szCs w:val="20"/>
        </w:rPr>
        <w:t>Abu-Rabia et al., 2008; Meir &amp; Ben-David, 1992</w:t>
      </w:r>
      <w:r w:rsidRPr="00DB508D">
        <w:rPr>
          <w:sz w:val="18"/>
          <w:szCs w:val="20"/>
          <w:rtl/>
        </w:rPr>
        <w:t>). מכוח עבודה המזרים משאבים מעלה להורים ילדים נעשים צרכני מוצרים</w:t>
      </w:r>
      <w:r w:rsidRPr="00DB508D">
        <w:rPr>
          <w:rFonts w:hint="cs"/>
          <w:sz w:val="18"/>
          <w:szCs w:val="20"/>
          <w:rtl/>
        </w:rPr>
        <w:t xml:space="preserve">, </w:t>
      </w:r>
      <w:r w:rsidRPr="00DB508D">
        <w:rPr>
          <w:sz w:val="18"/>
          <w:szCs w:val="20"/>
          <w:rtl/>
        </w:rPr>
        <w:t>והמשאבים זורמים מטה, מההורים אליהם (</w:t>
      </w:r>
      <w:r w:rsidRPr="00DB508D">
        <w:rPr>
          <w:sz w:val="18"/>
          <w:szCs w:val="20"/>
        </w:rPr>
        <w:t>Caldwell, 1976</w:t>
      </w:r>
      <w:r w:rsidRPr="00DB508D">
        <w:rPr>
          <w:sz w:val="18"/>
          <w:szCs w:val="20"/>
          <w:rtl/>
        </w:rPr>
        <w:t xml:space="preserve">). גם ביחסים בין בני הזוג חלים שינויים, ואלה מתבטאים בחלוקת </w:t>
      </w:r>
      <w:r w:rsidRPr="00DB508D">
        <w:rPr>
          <w:rFonts w:hint="cs"/>
          <w:sz w:val="18"/>
          <w:szCs w:val="20"/>
          <w:rtl/>
        </w:rPr>
        <w:t>ה</w:t>
      </w:r>
      <w:r w:rsidRPr="00DB508D">
        <w:rPr>
          <w:sz w:val="18"/>
          <w:szCs w:val="20"/>
          <w:rtl/>
        </w:rPr>
        <w:t>תפקידים במשק הבית ובתמיכת גברים בהשכלה גבוהה של בנותיהם ונשותיהם ובהשתלבותן בעבודה.</w:t>
      </w:r>
      <w:r w:rsidRPr="00DB508D">
        <w:rPr>
          <w:color w:val="00B050"/>
          <w:sz w:val="18"/>
          <w:szCs w:val="20"/>
          <w:rtl/>
        </w:rPr>
        <w:t xml:space="preserve"> </w:t>
      </w:r>
    </w:p>
    <w:p w14:paraId="3FA354E9" w14:textId="74ABE925" w:rsidR="00452401" w:rsidRPr="00DB508D" w:rsidRDefault="00452401" w:rsidP="000009F4">
      <w:pPr>
        <w:spacing w:after="180" w:line="280" w:lineRule="exact"/>
        <w:jc w:val="both"/>
        <w:rPr>
          <w:sz w:val="18"/>
          <w:szCs w:val="20"/>
          <w:rtl/>
        </w:rPr>
      </w:pPr>
      <w:r w:rsidRPr="00DB508D">
        <w:rPr>
          <w:sz w:val="18"/>
          <w:szCs w:val="20"/>
          <w:rtl/>
        </w:rPr>
        <w:lastRenderedPageBreak/>
        <w:t>הירידה בילודה גם מעודדת ומאיצה תהליכי שינוי רבים. מספר ילדים נמוך מאפשר לנשים לעבוד מחוץ לבית, להשלים תעודת בגרות ולרכוש השכלה, לצאת לנופש בארץ ובחו"ל, לצפות בתוכניות טלוויזיה ובסרטים ערביים וזרים ולבלות זמן ברשתות החברתיות. הטלפון החכם מחבר אותן לקבוצות מחוץ למעגל המסורתי המצומצם של המשפחה המורחבת, החמולה והשבט. הפריון הנמוך הופך לגורם המשפיע על דפוסי התנהגות ונורמות מסורתיות, ומביא לאימוץ של נורמות ודפוסי התנהגות המדגישים את העצמת הנשים, משפרים את מעמדן ומעודדים יחסים שוויוניים שלהן עם בני הזוג ועם שאר בני המשפחה. הירידה בילודה היא אפוא חלק בל-ינותק מתהליך השינוי בכללותו</w:t>
      </w:r>
      <w:r w:rsidRPr="00DB508D">
        <w:rPr>
          <w:rFonts w:hint="cs"/>
          <w:sz w:val="18"/>
          <w:szCs w:val="20"/>
          <w:rtl/>
        </w:rPr>
        <w:t xml:space="preserve">. היא משפיעה </w:t>
      </w:r>
      <w:r w:rsidRPr="00DB508D">
        <w:rPr>
          <w:sz w:val="18"/>
          <w:szCs w:val="20"/>
          <w:rtl/>
        </w:rPr>
        <w:t>על השינויים החברתיים</w:t>
      </w:r>
      <w:r w:rsidRPr="00DB508D">
        <w:rPr>
          <w:rFonts w:hint="cs"/>
          <w:sz w:val="18"/>
          <w:szCs w:val="20"/>
          <w:rtl/>
        </w:rPr>
        <w:t xml:space="preserve"> האחרים</w:t>
      </w:r>
      <w:r w:rsidRPr="00DB508D">
        <w:rPr>
          <w:sz w:val="18"/>
          <w:szCs w:val="20"/>
          <w:rtl/>
        </w:rPr>
        <w:t>, ומושפע</w:t>
      </w:r>
      <w:r w:rsidRPr="00DB508D">
        <w:rPr>
          <w:rFonts w:hint="cs"/>
          <w:sz w:val="18"/>
          <w:szCs w:val="20"/>
          <w:rtl/>
        </w:rPr>
        <w:t>ת</w:t>
      </w:r>
      <w:r w:rsidRPr="00DB508D">
        <w:rPr>
          <w:sz w:val="18"/>
          <w:szCs w:val="20"/>
          <w:rtl/>
        </w:rPr>
        <w:t xml:space="preserve"> מהם. באלה נכללים, כאמור, השינויים באופי התעסוקה ובמקורות הפרנסה, בהתפתחות ה</w:t>
      </w:r>
      <w:r w:rsidRPr="00DB508D">
        <w:rPr>
          <w:rFonts w:hint="cs"/>
          <w:sz w:val="18"/>
          <w:szCs w:val="20"/>
          <w:rtl/>
        </w:rPr>
        <w:t>יחסים עם ה</w:t>
      </w:r>
      <w:r w:rsidRPr="00DB508D">
        <w:rPr>
          <w:sz w:val="18"/>
          <w:szCs w:val="20"/>
          <w:rtl/>
        </w:rPr>
        <w:t>מדינה, ביחסים בין גברים לנשים, במבנה המשפחה וביחסי השארים, בשימוש בטכנולוגיה ובדפוסי הבילוי (</w:t>
      </w:r>
      <w:r w:rsidRPr="00DB508D">
        <w:rPr>
          <w:sz w:val="18"/>
          <w:szCs w:val="20"/>
        </w:rPr>
        <w:t>MacInnes &amp; Pérez, 2009</w:t>
      </w:r>
      <w:r w:rsidRPr="00DB508D">
        <w:rPr>
          <w:sz w:val="18"/>
          <w:szCs w:val="20"/>
          <w:rtl/>
        </w:rPr>
        <w:t>)</w:t>
      </w:r>
      <w:r w:rsidRPr="00DB508D">
        <w:rPr>
          <w:rFonts w:hint="cs"/>
          <w:sz w:val="18"/>
          <w:szCs w:val="20"/>
          <w:rtl/>
        </w:rPr>
        <w:t>.</w:t>
      </w:r>
      <w:r w:rsidR="000009F4">
        <w:rPr>
          <w:rFonts w:hint="cs"/>
          <w:sz w:val="18"/>
          <w:szCs w:val="20"/>
          <w:rtl/>
        </w:rPr>
        <w:t xml:space="preserve">  </w:t>
      </w:r>
    </w:p>
    <w:p w14:paraId="77FD3F90" w14:textId="5C583C22" w:rsidR="00452401" w:rsidRPr="00DB508D" w:rsidRDefault="00452401" w:rsidP="000009F4">
      <w:pPr>
        <w:spacing w:after="180" w:line="280" w:lineRule="exact"/>
        <w:jc w:val="both"/>
        <w:rPr>
          <w:sz w:val="18"/>
          <w:szCs w:val="20"/>
        </w:rPr>
      </w:pPr>
      <w:r w:rsidRPr="00DB508D">
        <w:rPr>
          <w:sz w:val="18"/>
          <w:szCs w:val="20"/>
          <w:rtl/>
        </w:rPr>
        <w:t>המודל הקלאסי של המעבר הדמוגרפי מדגיש את ההתפתחות הכלכלית ואת השינויים החברתיים כגורמים סיבתיים לירידת הפריון (</w:t>
      </w:r>
      <w:r w:rsidRPr="00DB508D">
        <w:rPr>
          <w:sz w:val="18"/>
          <w:szCs w:val="20"/>
        </w:rPr>
        <w:t>Hirschman, 2001</w:t>
      </w:r>
      <w:r w:rsidRPr="00DB508D">
        <w:rPr>
          <w:sz w:val="18"/>
          <w:szCs w:val="20"/>
          <w:rtl/>
        </w:rPr>
        <w:t>). בעקבות העיור, התיעוש, הירידה בשיעור תמותת התינוקות ופיתוח אמצעי מניעה יעילים נשים נעשות מסוגלות, נכונות ומוכנות</w:t>
      </w:r>
      <w:r w:rsidRPr="00DB508D">
        <w:rPr>
          <w:rFonts w:hint="cs"/>
          <w:sz w:val="18"/>
          <w:szCs w:val="20"/>
          <w:rtl/>
        </w:rPr>
        <w:t xml:space="preserve"> </w:t>
      </w:r>
      <w:r w:rsidRPr="00DB508D">
        <w:rPr>
          <w:sz w:val="18"/>
          <w:szCs w:val="20"/>
          <w:rtl/>
        </w:rPr>
        <w:t>(</w:t>
      </w:r>
      <w:r w:rsidRPr="00DB508D">
        <w:rPr>
          <w:sz w:val="18"/>
          <w:szCs w:val="20"/>
        </w:rPr>
        <w:t>ready, willing and able</w:t>
      </w:r>
      <w:r w:rsidR="000009F4">
        <w:rPr>
          <w:rFonts w:hint="cs"/>
          <w:sz w:val="18"/>
          <w:szCs w:val="20"/>
          <w:rtl/>
        </w:rPr>
        <w:t>)</w:t>
      </w:r>
      <w:r w:rsidRPr="00DB508D">
        <w:rPr>
          <w:sz w:val="18"/>
          <w:szCs w:val="20"/>
          <w:rtl/>
        </w:rPr>
        <w:t xml:space="preserve"> לצמצם את הילודה</w:t>
      </w:r>
      <w:r w:rsidRPr="00DB508D">
        <w:rPr>
          <w:rFonts w:hint="cs"/>
          <w:sz w:val="18"/>
          <w:szCs w:val="20"/>
          <w:rtl/>
        </w:rPr>
        <w:t xml:space="preserve"> (</w:t>
      </w:r>
      <w:proofErr w:type="spellStart"/>
      <w:r w:rsidRPr="00DB508D">
        <w:rPr>
          <w:sz w:val="18"/>
          <w:szCs w:val="20"/>
        </w:rPr>
        <w:t>Lesthaeghe</w:t>
      </w:r>
      <w:proofErr w:type="spellEnd"/>
      <w:r w:rsidRPr="00DB508D">
        <w:rPr>
          <w:sz w:val="18"/>
          <w:szCs w:val="20"/>
        </w:rPr>
        <w:t xml:space="preserve"> &amp; Wilson, 1986</w:t>
      </w:r>
      <w:r w:rsidRPr="00DB508D">
        <w:rPr>
          <w:rFonts w:hint="cs"/>
          <w:sz w:val="18"/>
          <w:szCs w:val="20"/>
          <w:rtl/>
        </w:rPr>
        <w:t>)</w:t>
      </w:r>
      <w:r w:rsidRPr="00DB508D">
        <w:rPr>
          <w:sz w:val="18"/>
          <w:szCs w:val="20"/>
          <w:rtl/>
        </w:rPr>
        <w:t>. העלייה ברמת החיים, בציפיות ובשנות ההשכלה, ולצידה התלות של הילדים בהורים, מייקרות את העלות הכרוכה בגידול הילדים והופכות אותם מנכס כלכלי לנטל כלכלי. בכך הן מביאות לדחייה ניכרת בגיל הנישואין ולהעדפת מספר מועט של ילדים במשפחה</w:t>
      </w:r>
      <w:r w:rsidRPr="00DB508D">
        <w:rPr>
          <w:rFonts w:hint="cs"/>
          <w:sz w:val="18"/>
          <w:szCs w:val="20"/>
          <w:rtl/>
        </w:rPr>
        <w:t xml:space="preserve"> (</w:t>
      </w:r>
      <w:proofErr w:type="spellStart"/>
      <w:r w:rsidRPr="00DB508D">
        <w:rPr>
          <w:sz w:val="18"/>
          <w:szCs w:val="20"/>
        </w:rPr>
        <w:t>Bongaarts</w:t>
      </w:r>
      <w:proofErr w:type="spellEnd"/>
      <w:r w:rsidRPr="00DB508D">
        <w:rPr>
          <w:sz w:val="18"/>
          <w:szCs w:val="20"/>
        </w:rPr>
        <w:t>, 2001; Emeka, 2006</w:t>
      </w:r>
      <w:r w:rsidRPr="00DB508D">
        <w:rPr>
          <w:rFonts w:hint="cs"/>
          <w:sz w:val="18"/>
          <w:szCs w:val="20"/>
          <w:rtl/>
        </w:rPr>
        <w:t>).</w:t>
      </w:r>
      <w:r w:rsidRPr="00DB508D">
        <w:rPr>
          <w:sz w:val="18"/>
          <w:szCs w:val="20"/>
          <w:rtl/>
        </w:rPr>
        <w:t xml:space="preserve"> אולם, גם אם הדברים נכונים בהקשר של עיצוב </w:t>
      </w:r>
      <w:r w:rsidRPr="00DB508D">
        <w:rPr>
          <w:b/>
          <w:sz w:val="18"/>
          <w:szCs w:val="20"/>
          <w:rtl/>
        </w:rPr>
        <w:t>המגמות הכלליות</w:t>
      </w:r>
      <w:r w:rsidRPr="00DB508D">
        <w:rPr>
          <w:sz w:val="18"/>
          <w:szCs w:val="20"/>
          <w:rtl/>
        </w:rPr>
        <w:t xml:space="preserve"> בפריון, הרי </w:t>
      </w:r>
      <w:r w:rsidRPr="00DB508D">
        <w:rPr>
          <w:b/>
          <w:sz w:val="18"/>
          <w:szCs w:val="20"/>
          <w:rtl/>
        </w:rPr>
        <w:t>הרמה הספציפית</w:t>
      </w:r>
      <w:r w:rsidRPr="00DB508D">
        <w:rPr>
          <w:sz w:val="18"/>
          <w:szCs w:val="20"/>
          <w:rtl/>
        </w:rPr>
        <w:t xml:space="preserve"> עדיין מושפעת מגורמים תרבותיים-קהילתיים, ובהם דת</w:t>
      </w:r>
      <w:r w:rsidRPr="00DB508D">
        <w:rPr>
          <w:rFonts w:hint="cs"/>
          <w:sz w:val="18"/>
          <w:szCs w:val="20"/>
          <w:rtl/>
        </w:rPr>
        <w:t xml:space="preserve"> (</w:t>
      </w:r>
      <w:r w:rsidRPr="00DB508D">
        <w:rPr>
          <w:sz w:val="18"/>
          <w:szCs w:val="20"/>
        </w:rPr>
        <w:t xml:space="preserve">James &amp; </w:t>
      </w:r>
      <w:proofErr w:type="spellStart"/>
      <w:r w:rsidRPr="00DB508D">
        <w:rPr>
          <w:sz w:val="18"/>
          <w:szCs w:val="20"/>
        </w:rPr>
        <w:t>Sajini</w:t>
      </w:r>
      <w:proofErr w:type="spellEnd"/>
      <w:r w:rsidRPr="00DB508D">
        <w:rPr>
          <w:sz w:val="18"/>
          <w:szCs w:val="20"/>
        </w:rPr>
        <w:t>, 2005</w:t>
      </w:r>
      <w:r w:rsidRPr="00DB508D">
        <w:rPr>
          <w:rFonts w:hint="cs"/>
          <w:sz w:val="18"/>
          <w:szCs w:val="20"/>
          <w:rtl/>
        </w:rPr>
        <w:t>)</w:t>
      </w:r>
      <w:r w:rsidRPr="00DB508D">
        <w:rPr>
          <w:sz w:val="18"/>
          <w:szCs w:val="20"/>
          <w:rtl/>
        </w:rPr>
        <w:t>; שפה</w:t>
      </w:r>
      <w:r w:rsidRPr="00DB508D">
        <w:rPr>
          <w:rFonts w:hint="cs"/>
          <w:sz w:val="18"/>
          <w:szCs w:val="20"/>
          <w:rtl/>
        </w:rPr>
        <w:t xml:space="preserve"> </w:t>
      </w:r>
      <w:r w:rsidRPr="00DB508D">
        <w:rPr>
          <w:sz w:val="18"/>
          <w:szCs w:val="20"/>
          <w:rtl/>
        </w:rPr>
        <w:t>(</w:t>
      </w:r>
      <w:proofErr w:type="spellStart"/>
      <w:r w:rsidRPr="00DB508D">
        <w:rPr>
          <w:sz w:val="18"/>
          <w:szCs w:val="20"/>
        </w:rPr>
        <w:t>Spolaore</w:t>
      </w:r>
      <w:proofErr w:type="spellEnd"/>
      <w:r w:rsidRPr="00DB508D">
        <w:rPr>
          <w:sz w:val="18"/>
          <w:szCs w:val="20"/>
        </w:rPr>
        <w:t xml:space="preserve"> &amp; </w:t>
      </w:r>
      <w:proofErr w:type="spellStart"/>
      <w:r w:rsidRPr="00DB508D">
        <w:rPr>
          <w:sz w:val="18"/>
          <w:szCs w:val="20"/>
        </w:rPr>
        <w:t>Wacziarg</w:t>
      </w:r>
      <w:proofErr w:type="spellEnd"/>
      <w:r w:rsidRPr="00DB508D">
        <w:rPr>
          <w:sz w:val="18"/>
          <w:szCs w:val="20"/>
        </w:rPr>
        <w:t>, 2019; Zachariah et al., 1994</w:t>
      </w:r>
      <w:r w:rsidR="000009F4">
        <w:rPr>
          <w:rFonts w:hint="cs"/>
          <w:sz w:val="18"/>
          <w:szCs w:val="20"/>
          <w:rtl/>
        </w:rPr>
        <w:t>)</w:t>
      </w:r>
      <w:r w:rsidRPr="00DB508D">
        <w:rPr>
          <w:sz w:val="18"/>
          <w:szCs w:val="20"/>
          <w:rtl/>
        </w:rPr>
        <w:t>; קשרים אישיים</w:t>
      </w:r>
      <w:r w:rsidRPr="00DB508D">
        <w:rPr>
          <w:rFonts w:hint="cs"/>
          <w:sz w:val="18"/>
          <w:szCs w:val="20"/>
          <w:rtl/>
        </w:rPr>
        <w:t xml:space="preserve"> (</w:t>
      </w:r>
      <w:proofErr w:type="spellStart"/>
      <w:r w:rsidRPr="00DB508D">
        <w:rPr>
          <w:sz w:val="18"/>
          <w:szCs w:val="20"/>
        </w:rPr>
        <w:t>Bongaarts</w:t>
      </w:r>
      <w:proofErr w:type="spellEnd"/>
      <w:r w:rsidRPr="00DB508D">
        <w:rPr>
          <w:sz w:val="18"/>
          <w:szCs w:val="20"/>
        </w:rPr>
        <w:t xml:space="preserve"> &amp; Watkins, 1996</w:t>
      </w:r>
      <w:r w:rsidRPr="00DB508D">
        <w:rPr>
          <w:rFonts w:hint="cs"/>
          <w:sz w:val="18"/>
          <w:szCs w:val="20"/>
          <w:rtl/>
        </w:rPr>
        <w:t>)</w:t>
      </w:r>
      <w:r w:rsidRPr="00DB508D">
        <w:rPr>
          <w:sz w:val="18"/>
          <w:szCs w:val="20"/>
          <w:rtl/>
        </w:rPr>
        <w:t>; זהות קבוצתית (</w:t>
      </w:r>
      <w:proofErr w:type="spellStart"/>
      <w:r w:rsidRPr="00DB508D">
        <w:rPr>
          <w:sz w:val="18"/>
          <w:szCs w:val="20"/>
        </w:rPr>
        <w:t>Kraeger</w:t>
      </w:r>
      <w:proofErr w:type="spellEnd"/>
      <w:r w:rsidRPr="00DB508D">
        <w:rPr>
          <w:sz w:val="18"/>
          <w:szCs w:val="20"/>
        </w:rPr>
        <w:t>, 1997</w:t>
      </w:r>
      <w:r w:rsidRPr="00DB508D">
        <w:rPr>
          <w:sz w:val="18"/>
          <w:szCs w:val="20"/>
          <w:rtl/>
        </w:rPr>
        <w:t>); עימותים פוליטיים</w:t>
      </w:r>
      <w:r w:rsidRPr="00DB508D">
        <w:rPr>
          <w:rFonts w:hint="cs"/>
          <w:sz w:val="18"/>
          <w:szCs w:val="20"/>
          <w:rtl/>
        </w:rPr>
        <w:t xml:space="preserve"> (</w:t>
      </w:r>
      <w:r w:rsidRPr="00DB508D">
        <w:rPr>
          <w:sz w:val="18"/>
          <w:szCs w:val="20"/>
        </w:rPr>
        <w:t xml:space="preserve">Anson &amp; Meir, 1996; </w:t>
      </w:r>
      <w:proofErr w:type="spellStart"/>
      <w:r w:rsidRPr="00DB508D">
        <w:rPr>
          <w:sz w:val="18"/>
          <w:szCs w:val="20"/>
        </w:rPr>
        <w:t>Fargues</w:t>
      </w:r>
      <w:proofErr w:type="spellEnd"/>
      <w:r w:rsidRPr="00DB508D">
        <w:rPr>
          <w:sz w:val="18"/>
          <w:szCs w:val="20"/>
        </w:rPr>
        <w:t>, 2000</w:t>
      </w:r>
      <w:r w:rsidRPr="00DB508D">
        <w:rPr>
          <w:rFonts w:hint="cs"/>
          <w:sz w:val="18"/>
          <w:szCs w:val="20"/>
          <w:rtl/>
        </w:rPr>
        <w:t xml:space="preserve">). </w:t>
      </w:r>
      <w:r w:rsidRPr="00DB508D">
        <w:rPr>
          <w:sz w:val="18"/>
          <w:szCs w:val="20"/>
          <w:rtl/>
        </w:rPr>
        <w:t>בהקשר זה נציין שהדפוס הנראה בקרב הבדואים הוא בדיוק הדפוס הנראה בקרב הפלסטינים-הישראליים בצפון הארץ: ירידה תלולה ומהירה בפריון במשך כ-20 שנה, ואז התייצבות במשך עוד כ-15 שנה, ושוב ירידה – לרמה שכבר ב-2011 הייתה נמוכה מזו היהודית (</w:t>
      </w:r>
      <w:proofErr w:type="spellStart"/>
      <w:r w:rsidRPr="00DB508D">
        <w:rPr>
          <w:sz w:val="18"/>
          <w:szCs w:val="20"/>
          <w:rtl/>
        </w:rPr>
        <w:t>וינקליר</w:t>
      </w:r>
      <w:proofErr w:type="spellEnd"/>
      <w:r w:rsidRPr="00DB508D">
        <w:rPr>
          <w:sz w:val="18"/>
          <w:szCs w:val="20"/>
          <w:rtl/>
        </w:rPr>
        <w:t xml:space="preserve">, 2015, עמ' 133–148, לוח 2.10 עמ' 114–115; הלשכה המרכזית לסטטיסטיקה, </w:t>
      </w:r>
      <w:r w:rsidRPr="00DB508D">
        <w:rPr>
          <w:rFonts w:hint="cs"/>
          <w:sz w:val="18"/>
          <w:szCs w:val="20"/>
          <w:rtl/>
        </w:rPr>
        <w:t>שנים נבחרות</w:t>
      </w:r>
      <w:r w:rsidRPr="00DB508D">
        <w:rPr>
          <w:sz w:val="18"/>
          <w:szCs w:val="20"/>
          <w:rtl/>
        </w:rPr>
        <w:t>). עוד נוסיף כי דפוס זה של ירידה, התייצבות וירידה מוכר גם בחברות אחרות, ואין הכרח שירידה בילודה, גם כשהתחילה, תהיה רציפה או תתייצב ב</w:t>
      </w:r>
      <w:r w:rsidRPr="00DB508D">
        <w:rPr>
          <w:rFonts w:hint="cs"/>
          <w:sz w:val="18"/>
          <w:szCs w:val="20"/>
          <w:rtl/>
        </w:rPr>
        <w:t>"</w:t>
      </w:r>
      <w:r w:rsidRPr="00DB508D">
        <w:rPr>
          <w:sz w:val="18"/>
          <w:szCs w:val="20"/>
          <w:rtl/>
        </w:rPr>
        <w:t>מספר הקסם</w:t>
      </w:r>
      <w:r w:rsidRPr="00DB508D">
        <w:rPr>
          <w:rFonts w:hint="cs"/>
          <w:sz w:val="18"/>
          <w:szCs w:val="20"/>
          <w:rtl/>
        </w:rPr>
        <w:t>"</w:t>
      </w:r>
      <w:r w:rsidRPr="00DB508D">
        <w:rPr>
          <w:sz w:val="18"/>
          <w:szCs w:val="20"/>
          <w:rtl/>
        </w:rPr>
        <w:t xml:space="preserve"> המבטיח איזון מדויק של גודל האוכלוסייה</w:t>
      </w:r>
      <w:r w:rsidRPr="00DB508D">
        <w:rPr>
          <w:rFonts w:hint="cs"/>
          <w:sz w:val="18"/>
          <w:szCs w:val="20"/>
          <w:rtl/>
        </w:rPr>
        <w:t xml:space="preserve"> (</w:t>
      </w:r>
      <w:proofErr w:type="spellStart"/>
      <w:r w:rsidRPr="00DB508D">
        <w:rPr>
          <w:sz w:val="18"/>
          <w:szCs w:val="20"/>
        </w:rPr>
        <w:t>Bongaarts</w:t>
      </w:r>
      <w:proofErr w:type="spellEnd"/>
      <w:r w:rsidRPr="00DB508D">
        <w:rPr>
          <w:sz w:val="18"/>
          <w:szCs w:val="20"/>
        </w:rPr>
        <w:t xml:space="preserve">, 2006; Moultrie et al., 2008; </w:t>
      </w:r>
      <w:proofErr w:type="spellStart"/>
      <w:r w:rsidRPr="00DB508D">
        <w:rPr>
          <w:sz w:val="18"/>
          <w:szCs w:val="20"/>
        </w:rPr>
        <w:t>Schellekens</w:t>
      </w:r>
      <w:proofErr w:type="spellEnd"/>
      <w:r w:rsidRPr="00DB508D">
        <w:rPr>
          <w:sz w:val="18"/>
          <w:szCs w:val="20"/>
        </w:rPr>
        <w:t xml:space="preserve"> &amp; </w:t>
      </w:r>
      <w:proofErr w:type="spellStart"/>
      <w:r w:rsidRPr="00DB508D">
        <w:rPr>
          <w:sz w:val="18"/>
          <w:szCs w:val="20"/>
        </w:rPr>
        <w:t>Eisenbach</w:t>
      </w:r>
      <w:proofErr w:type="spellEnd"/>
      <w:r w:rsidRPr="00DB508D">
        <w:rPr>
          <w:sz w:val="18"/>
          <w:szCs w:val="20"/>
        </w:rPr>
        <w:t xml:space="preserve">, 2002; </w:t>
      </w:r>
      <w:proofErr w:type="spellStart"/>
      <w:r w:rsidRPr="00DB508D">
        <w:rPr>
          <w:sz w:val="18"/>
          <w:szCs w:val="20"/>
        </w:rPr>
        <w:t>Westoff</w:t>
      </w:r>
      <w:proofErr w:type="spellEnd"/>
      <w:r w:rsidRPr="00DB508D">
        <w:rPr>
          <w:sz w:val="18"/>
          <w:szCs w:val="20"/>
        </w:rPr>
        <w:t xml:space="preserve"> &amp; Cross, 2006</w:t>
      </w:r>
      <w:r w:rsidRPr="00DB508D">
        <w:rPr>
          <w:rFonts w:hint="cs"/>
          <w:sz w:val="18"/>
          <w:szCs w:val="20"/>
          <w:rtl/>
        </w:rPr>
        <w:t>).</w:t>
      </w:r>
    </w:p>
    <w:p w14:paraId="497C7E1C" w14:textId="0BB1075F" w:rsidR="00452401" w:rsidRPr="00DB508D" w:rsidRDefault="00452401" w:rsidP="004476C7">
      <w:pPr>
        <w:spacing w:after="180" w:line="280" w:lineRule="exact"/>
        <w:jc w:val="both"/>
        <w:rPr>
          <w:sz w:val="18"/>
          <w:szCs w:val="20"/>
        </w:rPr>
      </w:pPr>
      <w:r w:rsidRPr="00DB508D">
        <w:rPr>
          <w:sz w:val="18"/>
          <w:szCs w:val="20"/>
          <w:rtl/>
        </w:rPr>
        <w:t>חשוב להדגיש שמהפכת הרבייה בחברה הבדואית נוגעת לא רק לירידה בשיעורי הילודה. נשים שרכשו השכלה והשתלבו בשוק העבודה עושות מהפכה שקטה</w:t>
      </w:r>
      <w:r w:rsidR="004476C7">
        <w:rPr>
          <w:rFonts w:hint="cs"/>
          <w:sz w:val="18"/>
          <w:szCs w:val="20"/>
          <w:rtl/>
        </w:rPr>
        <w:t>;</w:t>
      </w:r>
      <w:r w:rsidRPr="00DB508D">
        <w:rPr>
          <w:sz w:val="18"/>
          <w:szCs w:val="20"/>
          <w:rtl/>
        </w:rPr>
        <w:t xml:space="preserve"> הן משפיעות על שינוי התודעה והערכים המסורתיים ומעודדות חדירה של נורמות חדשות דוגמת פיתוח קריירה, הגשמה עצמית, דחיית גיל הנישואין, תכנון משפחה וצמצום ילודה. זאת ועוד, הן מאמצות </w:t>
      </w:r>
      <w:r w:rsidRPr="00DB508D">
        <w:rPr>
          <w:sz w:val="18"/>
          <w:szCs w:val="20"/>
          <w:rtl/>
        </w:rPr>
        <w:lastRenderedPageBreak/>
        <w:t xml:space="preserve">סוג של פמיניזם שקט המתאפיין בהתנגדות פסיבית ולא מתריסה </w:t>
      </w:r>
      <w:r w:rsidRPr="00DB508D">
        <w:rPr>
          <w:rFonts w:hint="cs"/>
          <w:sz w:val="18"/>
          <w:szCs w:val="20"/>
          <w:rtl/>
        </w:rPr>
        <w:t>ל</w:t>
      </w:r>
      <w:r w:rsidRPr="00DB508D">
        <w:rPr>
          <w:sz w:val="18"/>
          <w:szCs w:val="20"/>
          <w:rtl/>
        </w:rPr>
        <w:t>ערכים מסורתיים, שבטיים ופטריארכליים (אבו-קאסם, 2006; אבו רביעה-</w:t>
      </w:r>
      <w:proofErr w:type="spellStart"/>
      <w:r w:rsidRPr="00DB508D">
        <w:rPr>
          <w:sz w:val="18"/>
          <w:szCs w:val="20"/>
          <w:rtl/>
        </w:rPr>
        <w:t>קווידר</w:t>
      </w:r>
      <w:proofErr w:type="spellEnd"/>
      <w:r w:rsidRPr="00DB508D">
        <w:rPr>
          <w:sz w:val="18"/>
          <w:szCs w:val="20"/>
          <w:rtl/>
        </w:rPr>
        <w:t xml:space="preserve">, 2008; </w:t>
      </w:r>
      <w:proofErr w:type="spellStart"/>
      <w:r w:rsidRPr="00DB508D">
        <w:rPr>
          <w:sz w:val="18"/>
          <w:szCs w:val="20"/>
          <w:rtl/>
        </w:rPr>
        <w:t>אלאסד-אלהוזייל</w:t>
      </w:r>
      <w:proofErr w:type="spellEnd"/>
      <w:r w:rsidRPr="00DB508D">
        <w:rPr>
          <w:sz w:val="18"/>
          <w:szCs w:val="20"/>
          <w:rtl/>
        </w:rPr>
        <w:t xml:space="preserve">, 2016; הלוי, 2002; קאסם, 2000; </w:t>
      </w:r>
      <w:r w:rsidRPr="00DB508D">
        <w:rPr>
          <w:sz w:val="18"/>
          <w:szCs w:val="20"/>
        </w:rPr>
        <w:t>Abu-Rabia-</w:t>
      </w:r>
      <w:proofErr w:type="spellStart"/>
      <w:r w:rsidRPr="00DB508D">
        <w:rPr>
          <w:sz w:val="18"/>
          <w:szCs w:val="20"/>
        </w:rPr>
        <w:t>Queder</w:t>
      </w:r>
      <w:proofErr w:type="spellEnd"/>
      <w:r w:rsidRPr="00DB508D">
        <w:rPr>
          <w:i/>
          <w:sz w:val="18"/>
          <w:szCs w:val="20"/>
        </w:rPr>
        <w:t>,</w:t>
      </w:r>
      <w:r w:rsidRPr="00DB508D">
        <w:rPr>
          <w:sz w:val="18"/>
          <w:szCs w:val="20"/>
        </w:rPr>
        <w:t xml:space="preserve"> 2006, 2007a, 2007b</w:t>
      </w:r>
      <w:r w:rsidRPr="00DB508D">
        <w:rPr>
          <w:rFonts w:hint="cs"/>
          <w:sz w:val="18"/>
          <w:szCs w:val="20"/>
          <w:rtl/>
        </w:rPr>
        <w:t>)</w:t>
      </w:r>
      <w:r w:rsidRPr="00DB508D">
        <w:rPr>
          <w:sz w:val="18"/>
          <w:szCs w:val="20"/>
          <w:rtl/>
        </w:rPr>
        <w:t xml:space="preserve">. הן מאמצות ומתאימות </w:t>
      </w:r>
      <w:r w:rsidR="004476C7">
        <w:rPr>
          <w:rFonts w:hint="cs"/>
          <w:sz w:val="18"/>
          <w:szCs w:val="20"/>
          <w:rtl/>
        </w:rPr>
        <w:t xml:space="preserve">נורמות, </w:t>
      </w:r>
      <w:r w:rsidRPr="00DB508D">
        <w:rPr>
          <w:sz w:val="18"/>
          <w:szCs w:val="20"/>
          <w:rtl/>
        </w:rPr>
        <w:t>קודים</w:t>
      </w:r>
      <w:r w:rsidR="004476C7">
        <w:rPr>
          <w:rFonts w:hint="cs"/>
          <w:sz w:val="18"/>
          <w:szCs w:val="20"/>
          <w:rtl/>
        </w:rPr>
        <w:t xml:space="preserve"> ו</w:t>
      </w:r>
      <w:r w:rsidRPr="00DB508D">
        <w:rPr>
          <w:sz w:val="18"/>
          <w:szCs w:val="20"/>
          <w:rtl/>
        </w:rPr>
        <w:t xml:space="preserve">ערכים </w:t>
      </w:r>
      <w:r w:rsidR="004476C7">
        <w:rPr>
          <w:rFonts w:hint="cs"/>
          <w:sz w:val="18"/>
          <w:szCs w:val="20"/>
          <w:rtl/>
        </w:rPr>
        <w:t xml:space="preserve">מסורתיים ודתיים </w:t>
      </w:r>
      <w:r w:rsidRPr="00DB508D">
        <w:rPr>
          <w:sz w:val="18"/>
          <w:szCs w:val="20"/>
          <w:rtl/>
        </w:rPr>
        <w:t>באופן שיקדם את מעמד</w:t>
      </w:r>
      <w:r w:rsidRPr="00DB508D">
        <w:rPr>
          <w:rFonts w:hint="cs"/>
          <w:sz w:val="18"/>
          <w:szCs w:val="20"/>
          <w:rtl/>
        </w:rPr>
        <w:t>ן</w:t>
      </w:r>
      <w:r w:rsidRPr="00DB508D">
        <w:rPr>
          <w:sz w:val="18"/>
          <w:szCs w:val="20"/>
          <w:rtl/>
        </w:rPr>
        <w:t xml:space="preserve"> בחברה הבדואית תוך כדי מיקוח ליברלי עם הפטריארכיה, כדי להחיות את המסורת בדרך חדשה</w:t>
      </w:r>
      <w:r w:rsidRPr="00DB508D">
        <w:rPr>
          <w:rFonts w:hint="cs"/>
          <w:sz w:val="18"/>
          <w:szCs w:val="20"/>
          <w:rtl/>
        </w:rPr>
        <w:t xml:space="preserve"> (</w:t>
      </w:r>
      <w:r w:rsidRPr="00DB508D">
        <w:rPr>
          <w:sz w:val="18"/>
          <w:szCs w:val="20"/>
        </w:rPr>
        <w:t>Abu-Rabia-</w:t>
      </w:r>
      <w:proofErr w:type="spellStart"/>
      <w:r w:rsidRPr="00DB508D">
        <w:rPr>
          <w:sz w:val="18"/>
          <w:szCs w:val="20"/>
        </w:rPr>
        <w:t>Queder</w:t>
      </w:r>
      <w:proofErr w:type="spellEnd"/>
      <w:r w:rsidRPr="00DB508D">
        <w:rPr>
          <w:sz w:val="18"/>
          <w:szCs w:val="20"/>
        </w:rPr>
        <w:t>, 2007a</w:t>
      </w:r>
      <w:r w:rsidRPr="00DB508D">
        <w:rPr>
          <w:rFonts w:hint="cs"/>
          <w:sz w:val="18"/>
          <w:szCs w:val="20"/>
          <w:rtl/>
        </w:rPr>
        <w:t>).</w:t>
      </w:r>
      <w:r w:rsidRPr="00DB508D">
        <w:rPr>
          <w:sz w:val="18"/>
          <w:szCs w:val="20"/>
          <w:rtl/>
        </w:rPr>
        <w:t xml:space="preserve"> הן מארגנות סדנאות והרצאות, כנסים וימי עיון בהשתתפות אנשי דת, מנהיגים בתנועה האסלאמית, פסיכולוגים ועובדים סוציאליים, כדי להתמודד עם השבטיות והשלכותיה ההרסניות </w:t>
      </w:r>
      <w:r w:rsidR="004476C7">
        <w:rPr>
          <w:rFonts w:hint="cs"/>
          <w:sz w:val="18"/>
          <w:szCs w:val="20"/>
          <w:rtl/>
        </w:rPr>
        <w:t>ע</w:t>
      </w:r>
      <w:r w:rsidRPr="00DB508D">
        <w:rPr>
          <w:sz w:val="18"/>
          <w:szCs w:val="20"/>
          <w:rtl/>
        </w:rPr>
        <w:t>ל</w:t>
      </w:r>
      <w:r w:rsidR="004476C7">
        <w:rPr>
          <w:rFonts w:hint="cs"/>
          <w:sz w:val="18"/>
          <w:szCs w:val="20"/>
          <w:rtl/>
        </w:rPr>
        <w:t xml:space="preserve"> ה</w:t>
      </w:r>
      <w:r w:rsidRPr="00DB508D">
        <w:rPr>
          <w:sz w:val="18"/>
          <w:szCs w:val="20"/>
          <w:rtl/>
        </w:rPr>
        <w:t>פרט ו</w:t>
      </w:r>
      <w:r w:rsidR="004476C7">
        <w:rPr>
          <w:rFonts w:hint="cs"/>
          <w:sz w:val="18"/>
          <w:szCs w:val="20"/>
          <w:rtl/>
        </w:rPr>
        <w:t>ה</w:t>
      </w:r>
      <w:r w:rsidRPr="00DB508D">
        <w:rPr>
          <w:sz w:val="18"/>
          <w:szCs w:val="20"/>
          <w:rtl/>
        </w:rPr>
        <w:t>חברה. דווקא האסלאם, שנלחם כבר בראשיתו בשבטיות, משמש ערוץ מקובל לתקוף בדרך לא אלימה תופעות מסורתיות של דיכוי והדרה של הנשים הבדואיות. ארגוני נשים מאמצים טקסטים דתיים ופסוקים מהקוראן בהתמודדותם עם הפטריארכיה והמבנה השבטי המסורתי, הן ברמה האישית הן ברמה הארגונית (</w:t>
      </w:r>
      <w:proofErr w:type="spellStart"/>
      <w:r w:rsidRPr="00DB508D">
        <w:rPr>
          <w:sz w:val="18"/>
          <w:szCs w:val="20"/>
          <w:rtl/>
        </w:rPr>
        <w:t>זועבי</w:t>
      </w:r>
      <w:proofErr w:type="spellEnd"/>
      <w:r w:rsidRPr="00DB508D">
        <w:rPr>
          <w:sz w:val="18"/>
          <w:szCs w:val="20"/>
          <w:rtl/>
        </w:rPr>
        <w:t xml:space="preserve"> ואנסון, 2017).</w:t>
      </w:r>
    </w:p>
    <w:p w14:paraId="47FEC952" w14:textId="21746E54" w:rsidR="00452401" w:rsidRPr="00DB508D" w:rsidRDefault="00452401" w:rsidP="00CE73D5">
      <w:pPr>
        <w:spacing w:after="180" w:line="280" w:lineRule="exact"/>
        <w:jc w:val="both"/>
        <w:rPr>
          <w:sz w:val="18"/>
          <w:szCs w:val="20"/>
        </w:rPr>
      </w:pPr>
      <w:r w:rsidRPr="00DB508D">
        <w:rPr>
          <w:sz w:val="18"/>
          <w:szCs w:val="20"/>
          <w:rtl/>
        </w:rPr>
        <w:t xml:space="preserve">אף אם מהפכת הרבייה ניכרת בעיקר בשינויים בתפקידים שנשים ממלאות, תהא זו טעות לראות </w:t>
      </w:r>
      <w:r w:rsidRPr="00DB508D">
        <w:rPr>
          <w:rFonts w:hint="cs"/>
          <w:sz w:val="18"/>
          <w:szCs w:val="20"/>
          <w:rtl/>
        </w:rPr>
        <w:t>ב</w:t>
      </w:r>
      <w:r w:rsidRPr="00DB508D">
        <w:rPr>
          <w:sz w:val="18"/>
          <w:szCs w:val="20"/>
          <w:rtl/>
        </w:rPr>
        <w:t>שינוי עניין נשי בלבד, מאבק שלהן בשמרנות גברית חד-גונית. גברים הם שותפים לדחיית הילודה ולהגבלתה, ואף אם גברים בדואים משכילים ממעטים ל</w:t>
      </w:r>
      <w:r w:rsidR="00CE73D5">
        <w:rPr>
          <w:rFonts w:hint="cs"/>
          <w:sz w:val="18"/>
          <w:szCs w:val="20"/>
          <w:rtl/>
        </w:rPr>
        <w:t xml:space="preserve">צאת </w:t>
      </w:r>
      <w:r w:rsidRPr="00DB508D">
        <w:rPr>
          <w:rFonts w:hint="cs"/>
          <w:sz w:val="18"/>
          <w:szCs w:val="20"/>
          <w:rtl/>
        </w:rPr>
        <w:t xml:space="preserve">בפומבי </w:t>
      </w:r>
      <w:r w:rsidRPr="00DB508D">
        <w:rPr>
          <w:sz w:val="18"/>
          <w:szCs w:val="20"/>
          <w:rtl/>
        </w:rPr>
        <w:t xml:space="preserve">נגד נורמות וערכים מסורתיים, רבים מהם פועלים במרץ להחליפם. הם עושים זאת באמצעות התנגדות לשבטיות, לערבות ההדדית ולנקמת הדם, לדיכוי נשים, למניעת לימודי בנות במוסדות להשכלה גבוהה, לאלימות נגד נשים, לריבוי הילודה ועוד. לשם כך גם הם מסתמכים על פסוקים מהקוראן, על </w:t>
      </w:r>
      <w:proofErr w:type="spellStart"/>
      <w:r w:rsidRPr="00DB508D">
        <w:rPr>
          <w:sz w:val="18"/>
          <w:szCs w:val="20"/>
          <w:rtl/>
        </w:rPr>
        <w:t>החדית</w:t>
      </w:r>
      <w:proofErr w:type="spellEnd"/>
      <w:r w:rsidRPr="00DB508D">
        <w:rPr>
          <w:sz w:val="18"/>
          <w:szCs w:val="20"/>
          <w:rtl/>
        </w:rPr>
        <w:t>' ועל פסקי הלכה, ומתבססים על משנותיהם של פילוסופים מוסלמים מפורסמים מתקופת הזוהר של הציוויליזציה המוסלמית בימי הביניים, או של מדענים, הוגי דעות וסופרים ערבים ומוסלמים בני ימינו (אבו-</w:t>
      </w:r>
      <w:proofErr w:type="spellStart"/>
      <w:r w:rsidRPr="00DB508D">
        <w:rPr>
          <w:sz w:val="18"/>
          <w:szCs w:val="20"/>
          <w:rtl/>
        </w:rPr>
        <w:t>סריחאן</w:t>
      </w:r>
      <w:proofErr w:type="spellEnd"/>
      <w:r w:rsidRPr="00DB508D">
        <w:rPr>
          <w:sz w:val="18"/>
          <w:szCs w:val="20"/>
          <w:rtl/>
        </w:rPr>
        <w:t xml:space="preserve">, 2017). אולם עצם ניהול השיח במונחים דתיים-מסורתיים מצביע על הזרמים הנוגדים בחברה הבדואית, כולל כאלה הפועלים לשמר את הילודה הגבוהה כדי לחזק את המבנה המסורתי של יחסי המגדר, המשפחה והשארות. </w:t>
      </w:r>
    </w:p>
    <w:p w14:paraId="147E1DC4" w14:textId="0AB94371" w:rsidR="00452401" w:rsidRPr="00DB508D" w:rsidRDefault="00452401" w:rsidP="00CE73D5">
      <w:pPr>
        <w:spacing w:after="180" w:line="280" w:lineRule="exact"/>
        <w:jc w:val="both"/>
        <w:rPr>
          <w:sz w:val="18"/>
          <w:szCs w:val="20"/>
          <w:rtl/>
        </w:rPr>
      </w:pPr>
      <w:r w:rsidRPr="00DB508D">
        <w:rPr>
          <w:sz w:val="18"/>
          <w:szCs w:val="20"/>
          <w:rtl/>
        </w:rPr>
        <w:t xml:space="preserve">תהליך זה עדיין בעיצומו. ככל שהירידה המהירה בילודה מבטאת שינוי, כך התייצבותם של שיעורי הפריון מבטאת את הימצאותם של כוחות ומנגנונים שמרניים-רדיקליים המסתייגים מן השינוי ורואים בו חלק מתהליך שלילי של </w:t>
      </w:r>
      <w:proofErr w:type="spellStart"/>
      <w:r w:rsidRPr="00DB508D">
        <w:rPr>
          <w:sz w:val="18"/>
          <w:szCs w:val="20"/>
          <w:rtl/>
        </w:rPr>
        <w:t>מערביזציה</w:t>
      </w:r>
      <w:proofErr w:type="spellEnd"/>
      <w:r w:rsidRPr="00DB508D">
        <w:rPr>
          <w:sz w:val="18"/>
          <w:szCs w:val="20"/>
          <w:rtl/>
        </w:rPr>
        <w:t xml:space="preserve">, אמריקניזציה, </w:t>
      </w:r>
      <w:proofErr w:type="spellStart"/>
      <w:r w:rsidRPr="00DB508D">
        <w:rPr>
          <w:sz w:val="18"/>
          <w:szCs w:val="20"/>
          <w:rtl/>
        </w:rPr>
        <w:t>ישראליזציה</w:t>
      </w:r>
      <w:proofErr w:type="spellEnd"/>
      <w:r w:rsidRPr="00DB508D">
        <w:rPr>
          <w:sz w:val="18"/>
          <w:szCs w:val="20"/>
          <w:rtl/>
        </w:rPr>
        <w:t xml:space="preserve"> או אינדיבידואציה וחילון; תהליך המאיים על התרבות הערבית-מוסלמית וגורם להרס המשפחתיות, הקהילתיות והערבות ההדדית. בשלב זה עדיין מוקדם לנבא את משכה של התייצבות הירידה בשיעורי הפריון, ולהעריך אם היא תימשך גם בשנים הבאות ותתקרב לרמה של 2–3 ילדים לאישה, בדומה לפריון בקרב קבוצות אחרות: החברה המוסלמית בצפון, החברה הנוצרית, החברה הדרוזית והחברה היהודית. תופעה זו ראויה בהחלט למחקר נוסף.</w:t>
      </w:r>
    </w:p>
    <w:p w14:paraId="4548ACEA" w14:textId="14AD0E76" w:rsidR="00452401" w:rsidRDefault="00452401" w:rsidP="00DB508D">
      <w:pPr>
        <w:spacing w:after="180" w:line="280" w:lineRule="exact"/>
        <w:jc w:val="both"/>
        <w:rPr>
          <w:sz w:val="18"/>
          <w:szCs w:val="20"/>
          <w:rtl/>
        </w:rPr>
      </w:pPr>
    </w:p>
    <w:p w14:paraId="101E5624" w14:textId="17DC0CE2" w:rsidR="00452401" w:rsidRPr="00452401" w:rsidRDefault="00452401" w:rsidP="00452401">
      <w:pPr>
        <w:pStyle w:val="KOT4"/>
        <w:spacing w:after="0"/>
        <w:ind w:left="397" w:right="0" w:hanging="397"/>
        <w:rPr>
          <w:rFonts w:cs="Guttman Aharoni"/>
          <w:color w:val="00B0F0"/>
          <w:sz w:val="32"/>
          <w:szCs w:val="32"/>
        </w:rPr>
      </w:pPr>
      <w:r w:rsidRPr="00452401">
        <w:rPr>
          <w:rFonts w:cs="Guttman Aharoni"/>
          <w:color w:val="00B0F0"/>
          <w:sz w:val="32"/>
          <w:szCs w:val="32"/>
          <w:rtl/>
        </w:rPr>
        <w:lastRenderedPageBreak/>
        <w:t xml:space="preserve">7. </w:t>
      </w:r>
      <w:r w:rsidRPr="00452401">
        <w:rPr>
          <w:rFonts w:cs="Guttman Aharoni"/>
          <w:color w:val="00B0F0"/>
          <w:sz w:val="32"/>
          <w:szCs w:val="32"/>
        </w:rPr>
        <w:tab/>
      </w:r>
      <w:r w:rsidRPr="00452401">
        <w:rPr>
          <w:rFonts w:cs="Guttman Aharoni"/>
          <w:color w:val="00B0F0"/>
          <w:sz w:val="32"/>
          <w:szCs w:val="32"/>
          <w:rtl/>
        </w:rPr>
        <w:t>סיכום</w:t>
      </w:r>
    </w:p>
    <w:p w14:paraId="76DB6157" w14:textId="0AAF5847" w:rsidR="00452401" w:rsidRPr="00DB508D" w:rsidRDefault="00452401" w:rsidP="00CE73D5">
      <w:pPr>
        <w:spacing w:after="180" w:line="280" w:lineRule="exact"/>
        <w:jc w:val="both"/>
        <w:rPr>
          <w:sz w:val="18"/>
          <w:szCs w:val="20"/>
        </w:rPr>
      </w:pPr>
      <w:r w:rsidRPr="00DB508D">
        <w:rPr>
          <w:sz w:val="18"/>
          <w:szCs w:val="20"/>
          <w:rtl/>
        </w:rPr>
        <w:t>בשני העשורים האחרונים אנו עדים לשיפור ניכר במצבם הסוציו-אקונומי של הבדואים בנגב, לעלייה ברמת ההשכלה ובהשתלבותם של צעירים וצעירות בדואים בתעסוקה ובמוסדות להשכלה גבוהה בארץ ובחו"ל. התפתחות מערכת החינוך, הרווחה, הבריאות והשלטון המקומי, ההשקעה של משרדי הממשלה ברשויות המקומיות הבדואיות, השיפור היחסי במעמד ה</w:t>
      </w:r>
      <w:r w:rsidR="00CE73D5">
        <w:rPr>
          <w:rFonts w:hint="cs"/>
          <w:sz w:val="18"/>
          <w:szCs w:val="20"/>
          <w:rtl/>
        </w:rPr>
        <w:t xml:space="preserve">נשים, </w:t>
      </w:r>
      <w:r w:rsidRPr="00DB508D">
        <w:rPr>
          <w:sz w:val="18"/>
          <w:szCs w:val="20"/>
          <w:rtl/>
        </w:rPr>
        <w:t>ובמיוחד של נשים פורצות דרך אשר רכשו השכלה אקדמית והשתלבו בעבודה במערכת החינוך, ברשויות המקומיות ובארגונים אזרחיים, לצד החשיפה למדיה ולתקשורת מכל העולם ולחדירה של נורמות מודרניות חדשות</w:t>
      </w:r>
      <w:r w:rsidR="00CE73D5">
        <w:rPr>
          <w:rFonts w:hint="cs"/>
          <w:sz w:val="18"/>
          <w:szCs w:val="20"/>
          <w:rtl/>
        </w:rPr>
        <w:t xml:space="preserve"> </w:t>
      </w:r>
      <w:r w:rsidR="00CE73D5" w:rsidRPr="00CE73D5">
        <w:rPr>
          <w:rFonts w:ascii="David" w:hAnsi="David"/>
          <w:sz w:val="18"/>
          <w:szCs w:val="20"/>
          <w:rtl/>
        </w:rPr>
        <w:t>–</w:t>
      </w:r>
      <w:r w:rsidRPr="00DB508D">
        <w:rPr>
          <w:sz w:val="18"/>
          <w:szCs w:val="20"/>
          <w:rtl/>
        </w:rPr>
        <w:t xml:space="preserve"> כל אלה הביאו לשינוי חברתי משמעותי. עם כל זאת, המתח והעימות המתמידים עם המדינה ממשיכים לתת אותותיהם בתודעת הבדואים, ובאופן מעשי, בהישארות שליש עד מחצית מהם ביישובים בלתי מוכרים ובהיעדר תכנון, תקציבים ופיתוח גם ביישובים המוכרים. </w:t>
      </w:r>
    </w:p>
    <w:p w14:paraId="593244A2" w14:textId="0399DB83" w:rsidR="00452401" w:rsidRPr="00DB508D" w:rsidRDefault="00452401" w:rsidP="00CE73D5">
      <w:pPr>
        <w:spacing w:after="180" w:line="280" w:lineRule="exact"/>
        <w:jc w:val="both"/>
        <w:rPr>
          <w:sz w:val="18"/>
          <w:szCs w:val="20"/>
        </w:rPr>
      </w:pPr>
      <w:r w:rsidRPr="00DB508D">
        <w:rPr>
          <w:sz w:val="18"/>
          <w:szCs w:val="20"/>
          <w:rtl/>
        </w:rPr>
        <w:t>לתהליכים אלה השפעות נוגדות על הילודה בחברה הבדואית. העלייה ברמת ההשכלה של הנשים, ובעיקר ב</w:t>
      </w:r>
      <w:r w:rsidRPr="00DB508D">
        <w:rPr>
          <w:rFonts w:hint="cs"/>
          <w:sz w:val="18"/>
          <w:szCs w:val="20"/>
          <w:rtl/>
        </w:rPr>
        <w:t xml:space="preserve">מספרן ההולך ועולה </w:t>
      </w:r>
      <w:r w:rsidRPr="00DB508D">
        <w:rPr>
          <w:sz w:val="18"/>
          <w:szCs w:val="20"/>
          <w:rtl/>
        </w:rPr>
        <w:t xml:space="preserve">של נשים בעלות השכלה מקצועית על-תיכונית, מביאה לירידה במספר הלידות. מנגד, העלייה ברמת החיים ובנגישות למוצרי בית חוסכי עבודה מאפשרת את המשך הילודה הגבוהה. לשני התהליכים הללו יש השפעות ישירות אך גם עקיפות: ההשכלה דוחה את גיל הנישואין ואת גיל הלידה הראשונה, ואילו האמצעים החומריים מאפשרים לא לדחות אותם, או לפחות למתן את הדחייה. אולם גם בהינתן גיל הלידה הראשונה, להשכלה ולרמת החיים עדיין יש השפעה ישירה על מספר הלידות. </w:t>
      </w:r>
    </w:p>
    <w:p w14:paraId="787FE8C5" w14:textId="77777777" w:rsidR="00452401" w:rsidRPr="00DB508D" w:rsidRDefault="00452401" w:rsidP="00DB508D">
      <w:pPr>
        <w:spacing w:after="180" w:line="280" w:lineRule="exact"/>
        <w:jc w:val="both"/>
        <w:rPr>
          <w:sz w:val="18"/>
          <w:szCs w:val="20"/>
        </w:rPr>
      </w:pPr>
      <w:r w:rsidRPr="00DB508D">
        <w:rPr>
          <w:sz w:val="18"/>
          <w:szCs w:val="20"/>
          <w:rtl/>
        </w:rPr>
        <w:t xml:space="preserve">ברקע יש שני תהליכים שקשה </w:t>
      </w:r>
      <w:proofErr w:type="spellStart"/>
      <w:r w:rsidRPr="00DB508D">
        <w:rPr>
          <w:sz w:val="18"/>
          <w:szCs w:val="20"/>
          <w:rtl/>
        </w:rPr>
        <w:t>לאמוד</w:t>
      </w:r>
      <w:proofErr w:type="spellEnd"/>
      <w:r w:rsidRPr="00DB508D">
        <w:rPr>
          <w:sz w:val="18"/>
          <w:szCs w:val="20"/>
          <w:rtl/>
        </w:rPr>
        <w:t xml:space="preserve"> את השפעותיהם. מחד גיסא גידול האוכלוסייה המהיר, שהוא כיום כמעט פי 25 משהיה לפני 70 שנה, בשטח מוגבל ועם אופק הגירה נמוך. מאידך גיסא העימות המתמיד עם המדינה בסוגיית זכויות הקרקע והסדרי המגורים. השפעתו של עימות זה על הילודה אינה ישירה, ובדרך כלל לא ניכר הבדל ברמת הילודה בין משפחות שדיווחו על הפקעות והריסת בתים לבין משפחות שלא דיווחו על כך. במשפחות המעטות שדיווחו על ריבוי עימותים עם המדינה הילודה הייתה דווקא נמוכה מהצפוי. ספק אפוא אם יש אסטרטגיה מכוונת של ילודה גבוהה כתגובה לעימות עם המדינה, אך עדיין תיתכן השפעה עקיפה באמצעות חיזוק הקשרים והלכידות המשפחתית והשבטית. נציין כאן, למשל, את השיעור הגבוה של נישואים אנדוגמיים, תופעה שכמעט נעלמה בקרב האוכלוסייה העירונית בצפון הארץ (</w:t>
      </w:r>
      <w:proofErr w:type="spellStart"/>
      <w:r w:rsidRPr="00DB508D">
        <w:rPr>
          <w:sz w:val="18"/>
          <w:szCs w:val="20"/>
        </w:rPr>
        <w:t>Sharkia</w:t>
      </w:r>
      <w:proofErr w:type="spellEnd"/>
      <w:r w:rsidRPr="00DB508D">
        <w:rPr>
          <w:sz w:val="18"/>
          <w:szCs w:val="20"/>
        </w:rPr>
        <w:t xml:space="preserve">, </w:t>
      </w:r>
      <w:proofErr w:type="spellStart"/>
      <w:r w:rsidRPr="00DB508D">
        <w:rPr>
          <w:sz w:val="18"/>
          <w:szCs w:val="20"/>
        </w:rPr>
        <w:t>Mahajnah</w:t>
      </w:r>
      <w:proofErr w:type="spellEnd"/>
      <w:r w:rsidRPr="00DB508D">
        <w:rPr>
          <w:sz w:val="18"/>
          <w:szCs w:val="20"/>
        </w:rPr>
        <w:t xml:space="preserve">, </w:t>
      </w:r>
      <w:proofErr w:type="spellStart"/>
      <w:r w:rsidRPr="00DB508D">
        <w:rPr>
          <w:sz w:val="18"/>
          <w:szCs w:val="20"/>
        </w:rPr>
        <w:t>Athamny</w:t>
      </w:r>
      <w:proofErr w:type="spellEnd"/>
      <w:r w:rsidRPr="00DB508D">
        <w:rPr>
          <w:sz w:val="18"/>
          <w:szCs w:val="20"/>
        </w:rPr>
        <w:t>, Khatib, &amp; Sheikh-Muhammad, 2016</w:t>
      </w:r>
      <w:r w:rsidRPr="00DB508D">
        <w:rPr>
          <w:sz w:val="18"/>
          <w:szCs w:val="20"/>
          <w:rtl/>
        </w:rPr>
        <w:t xml:space="preserve">). </w:t>
      </w:r>
    </w:p>
    <w:p w14:paraId="5E11B950" w14:textId="0116AC8F" w:rsidR="00452401" w:rsidRDefault="00452401" w:rsidP="00DB508D">
      <w:pPr>
        <w:spacing w:after="180" w:line="280" w:lineRule="exact"/>
        <w:jc w:val="both"/>
        <w:rPr>
          <w:sz w:val="18"/>
          <w:szCs w:val="20"/>
          <w:rtl/>
        </w:rPr>
      </w:pPr>
      <w:r w:rsidRPr="00DB508D">
        <w:rPr>
          <w:sz w:val="18"/>
          <w:szCs w:val="20"/>
          <w:rtl/>
        </w:rPr>
        <w:t xml:space="preserve">תוצאת התהליכים האלה היא כפולה. מחד גיסא ירידה ניכרת בשיעורי הפריון: ירידה של כמעט 50% בתוך עשור בלבד, מרמה של 10 ילדים לאישה בשנת 1998 ל-5.4 ילדים בשנת 2013. זוהי, ללא ספק, ירידה </w:t>
      </w:r>
      <w:r w:rsidRPr="00DB508D">
        <w:rPr>
          <w:rFonts w:hint="cs"/>
          <w:sz w:val="18"/>
          <w:szCs w:val="20"/>
          <w:rtl/>
        </w:rPr>
        <w:t>גדולה</w:t>
      </w:r>
      <w:r w:rsidRPr="00DB508D">
        <w:rPr>
          <w:sz w:val="18"/>
          <w:szCs w:val="20"/>
          <w:rtl/>
        </w:rPr>
        <w:t xml:space="preserve"> בכל קנה מידה, יחסית לאירופה, למזרח התיכון (</w:t>
      </w:r>
      <w:proofErr w:type="spellStart"/>
      <w:r w:rsidRPr="00DB508D">
        <w:rPr>
          <w:sz w:val="18"/>
          <w:szCs w:val="20"/>
        </w:rPr>
        <w:t>Courbage</w:t>
      </w:r>
      <w:proofErr w:type="spellEnd"/>
      <w:r w:rsidRPr="00DB508D">
        <w:rPr>
          <w:sz w:val="18"/>
          <w:szCs w:val="20"/>
        </w:rPr>
        <w:t xml:space="preserve"> &amp; </w:t>
      </w:r>
      <w:proofErr w:type="spellStart"/>
      <w:r w:rsidRPr="00DB508D">
        <w:rPr>
          <w:sz w:val="18"/>
          <w:szCs w:val="20"/>
        </w:rPr>
        <w:t>Puschmann</w:t>
      </w:r>
      <w:proofErr w:type="spellEnd"/>
      <w:r w:rsidRPr="00DB508D">
        <w:rPr>
          <w:sz w:val="18"/>
          <w:szCs w:val="20"/>
        </w:rPr>
        <w:t>, 2015</w:t>
      </w:r>
      <w:r w:rsidRPr="00DB508D">
        <w:rPr>
          <w:sz w:val="18"/>
          <w:szCs w:val="20"/>
          <w:rtl/>
        </w:rPr>
        <w:t>)</w:t>
      </w:r>
      <w:r w:rsidR="00CE73D5">
        <w:rPr>
          <w:rFonts w:hint="cs"/>
          <w:sz w:val="18"/>
          <w:szCs w:val="20"/>
          <w:rtl/>
        </w:rPr>
        <w:t>,</w:t>
      </w:r>
      <w:r w:rsidRPr="00DB508D">
        <w:rPr>
          <w:sz w:val="18"/>
          <w:szCs w:val="20"/>
          <w:rtl/>
        </w:rPr>
        <w:t xml:space="preserve"> או אפילו למוסלמים בצפון הארץ. ומאידך גיסא מאז 2013 שיעור הילודה התייצב, וגם ב-2018 הוא עומד על יותר מ-5 ילדים לאישה. </w:t>
      </w:r>
    </w:p>
    <w:p w14:paraId="5DE69B23" w14:textId="72DA8436" w:rsidR="00C27260" w:rsidRDefault="00C27260" w:rsidP="00DB508D">
      <w:pPr>
        <w:spacing w:after="180" w:line="280" w:lineRule="exact"/>
        <w:jc w:val="both"/>
        <w:rPr>
          <w:sz w:val="18"/>
          <w:szCs w:val="20"/>
          <w:rtl/>
        </w:rPr>
      </w:pPr>
    </w:p>
    <w:p w14:paraId="1CA36124" w14:textId="6FE6E8EE" w:rsidR="00452401" w:rsidRPr="00452401" w:rsidRDefault="00452401" w:rsidP="00452401">
      <w:pPr>
        <w:pStyle w:val="KOT4"/>
        <w:spacing w:after="0"/>
        <w:ind w:left="397" w:right="0" w:hanging="397"/>
        <w:rPr>
          <w:rFonts w:cs="Guttman Aharoni"/>
          <w:color w:val="00B0F0"/>
          <w:sz w:val="32"/>
          <w:szCs w:val="32"/>
        </w:rPr>
      </w:pPr>
      <w:r w:rsidRPr="00452401">
        <w:rPr>
          <w:rFonts w:cs="Guttman Aharoni"/>
          <w:color w:val="00B0F0"/>
          <w:sz w:val="32"/>
          <w:szCs w:val="32"/>
          <w:rtl/>
        </w:rPr>
        <w:lastRenderedPageBreak/>
        <w:t>מקורות</w:t>
      </w:r>
    </w:p>
    <w:p w14:paraId="42D274E0" w14:textId="77777777" w:rsidR="00452401" w:rsidRPr="00DB508D" w:rsidRDefault="00452401" w:rsidP="00B75647">
      <w:pPr>
        <w:spacing w:after="120"/>
        <w:ind w:left="397" w:hanging="397"/>
        <w:jc w:val="both"/>
        <w:rPr>
          <w:sz w:val="18"/>
          <w:szCs w:val="20"/>
        </w:rPr>
      </w:pPr>
      <w:r w:rsidRPr="00DB508D">
        <w:rPr>
          <w:sz w:val="18"/>
          <w:szCs w:val="20"/>
          <w:rtl/>
        </w:rPr>
        <w:t>אבו בדר, ס' וגוטליב, ד' (2008)</w:t>
      </w:r>
      <w:r w:rsidRPr="00DB508D">
        <w:rPr>
          <w:rFonts w:hint="cs"/>
          <w:b/>
          <w:sz w:val="18"/>
          <w:szCs w:val="20"/>
          <w:rtl/>
        </w:rPr>
        <w:t xml:space="preserve">. </w:t>
      </w:r>
      <w:r w:rsidRPr="00DB508D">
        <w:rPr>
          <w:bCs/>
          <w:sz w:val="18"/>
          <w:szCs w:val="20"/>
          <w:rtl/>
        </w:rPr>
        <w:t>עוני, חינוך ותעסוקה בחברה הערבית-בדואית: מבט השוואתי</w:t>
      </w:r>
      <w:r w:rsidRPr="00DB508D">
        <w:rPr>
          <w:sz w:val="18"/>
          <w:szCs w:val="20"/>
          <w:rtl/>
        </w:rPr>
        <w:t xml:space="preserve">. מחקרי מדיניות, התוכנית לכלכלה וחברה. ירושלים: מכון </w:t>
      </w:r>
      <w:proofErr w:type="spellStart"/>
      <w:r w:rsidRPr="00DB508D">
        <w:rPr>
          <w:sz w:val="18"/>
          <w:szCs w:val="20"/>
          <w:rtl/>
        </w:rPr>
        <w:t>ון</w:t>
      </w:r>
      <w:proofErr w:type="spellEnd"/>
      <w:r w:rsidRPr="00DB508D">
        <w:rPr>
          <w:sz w:val="18"/>
          <w:szCs w:val="20"/>
          <w:rtl/>
        </w:rPr>
        <w:t xml:space="preserve"> ליר.</w:t>
      </w:r>
    </w:p>
    <w:p w14:paraId="1EDA8434" w14:textId="77777777" w:rsidR="00452401" w:rsidRPr="00DB508D" w:rsidRDefault="00452401" w:rsidP="00B75647">
      <w:pPr>
        <w:spacing w:after="120"/>
        <w:ind w:left="397" w:hanging="397"/>
        <w:jc w:val="both"/>
        <w:rPr>
          <w:sz w:val="18"/>
          <w:szCs w:val="20"/>
        </w:rPr>
      </w:pPr>
      <w:r w:rsidRPr="00DB508D">
        <w:rPr>
          <w:sz w:val="18"/>
          <w:szCs w:val="20"/>
          <w:rtl/>
        </w:rPr>
        <w:t xml:space="preserve">אבו-סעד, א' (2013). תמורות חברתיות-פוליטיות והתפתחותה של מערכת החינוך הפורמאלית בקרב הבדואים בנגב: דילמות ואתגרים. בתוך ר' </w:t>
      </w:r>
      <w:proofErr w:type="spellStart"/>
      <w:r w:rsidRPr="00DB508D">
        <w:rPr>
          <w:sz w:val="18"/>
          <w:szCs w:val="20"/>
          <w:rtl/>
        </w:rPr>
        <w:t>פדהצור</w:t>
      </w:r>
      <w:proofErr w:type="spellEnd"/>
      <w:r w:rsidRPr="00DB508D">
        <w:rPr>
          <w:sz w:val="18"/>
          <w:szCs w:val="20"/>
          <w:rtl/>
        </w:rPr>
        <w:t xml:space="preserve"> (עורך), </w:t>
      </w:r>
      <w:r w:rsidRPr="00DB508D">
        <w:rPr>
          <w:bCs/>
          <w:sz w:val="18"/>
          <w:szCs w:val="20"/>
          <w:rtl/>
        </w:rPr>
        <w:t xml:space="preserve">הבדואים בנגב: אתגר אסטרטגי לישראל </w:t>
      </w:r>
      <w:r w:rsidRPr="00DB508D">
        <w:rPr>
          <w:sz w:val="18"/>
          <w:szCs w:val="20"/>
          <w:rtl/>
        </w:rPr>
        <w:t>(עמ' 28–39). נתניה: המכללה האקדמית נתניה.</w:t>
      </w:r>
    </w:p>
    <w:p w14:paraId="400E75AA" w14:textId="03DA54E5" w:rsidR="00452401" w:rsidRPr="00DB508D" w:rsidRDefault="00452401" w:rsidP="00492745">
      <w:pPr>
        <w:spacing w:after="120"/>
        <w:ind w:left="397" w:hanging="397"/>
        <w:jc w:val="both"/>
        <w:rPr>
          <w:i/>
          <w:sz w:val="18"/>
          <w:szCs w:val="20"/>
        </w:rPr>
      </w:pPr>
      <w:r w:rsidRPr="00DB508D">
        <w:rPr>
          <w:sz w:val="18"/>
          <w:szCs w:val="20"/>
          <w:rtl/>
        </w:rPr>
        <w:t>אבו-</w:t>
      </w:r>
      <w:proofErr w:type="spellStart"/>
      <w:r w:rsidRPr="00DB508D">
        <w:rPr>
          <w:sz w:val="18"/>
          <w:szCs w:val="20"/>
          <w:rtl/>
        </w:rPr>
        <w:t>סריחאן</w:t>
      </w:r>
      <w:proofErr w:type="spellEnd"/>
      <w:r w:rsidRPr="00DB508D">
        <w:rPr>
          <w:sz w:val="18"/>
          <w:szCs w:val="20"/>
          <w:rtl/>
        </w:rPr>
        <w:t>, נ'</w:t>
      </w:r>
      <w:r w:rsidR="00492745">
        <w:rPr>
          <w:rFonts w:hint="cs"/>
          <w:sz w:val="18"/>
          <w:szCs w:val="20"/>
          <w:rtl/>
        </w:rPr>
        <w:t xml:space="preserve"> </w:t>
      </w:r>
      <w:r w:rsidRPr="00DB508D">
        <w:rPr>
          <w:sz w:val="18"/>
          <w:szCs w:val="20"/>
          <w:rtl/>
        </w:rPr>
        <w:t>(2009)</w:t>
      </w:r>
      <w:r w:rsidRPr="00DB508D">
        <w:rPr>
          <w:rFonts w:hint="cs"/>
          <w:b/>
          <w:sz w:val="18"/>
          <w:szCs w:val="20"/>
          <w:rtl/>
        </w:rPr>
        <w:t xml:space="preserve">. </w:t>
      </w:r>
      <w:r w:rsidRPr="00DB508D">
        <w:rPr>
          <w:bCs/>
          <w:sz w:val="18"/>
          <w:szCs w:val="20"/>
          <w:rtl/>
        </w:rPr>
        <w:t>הפריון בחברה הבדואית בנגב</w:t>
      </w:r>
      <w:r w:rsidRPr="00DB508D">
        <w:rPr>
          <w:b/>
          <w:sz w:val="18"/>
          <w:szCs w:val="20"/>
          <w:rtl/>
        </w:rPr>
        <w:t xml:space="preserve"> </w:t>
      </w:r>
      <w:r w:rsidRPr="00DB508D">
        <w:rPr>
          <w:sz w:val="18"/>
          <w:szCs w:val="20"/>
          <w:rtl/>
        </w:rPr>
        <w:t>(עבודת גמר לקבלת תואר מוסמך). באר שבע: אוניברסיטת בן-גוריון בנגב.</w:t>
      </w:r>
    </w:p>
    <w:p w14:paraId="05C4CC22" w14:textId="77777777" w:rsidR="00452401" w:rsidRPr="00DB508D" w:rsidRDefault="00452401" w:rsidP="00B75647">
      <w:pPr>
        <w:spacing w:after="120"/>
        <w:ind w:left="397" w:hanging="397"/>
        <w:jc w:val="both"/>
        <w:rPr>
          <w:sz w:val="18"/>
          <w:szCs w:val="20"/>
        </w:rPr>
      </w:pPr>
      <w:r w:rsidRPr="00DB508D">
        <w:rPr>
          <w:sz w:val="18"/>
          <w:szCs w:val="20"/>
          <w:rtl/>
        </w:rPr>
        <w:t>אבו-</w:t>
      </w:r>
      <w:proofErr w:type="spellStart"/>
      <w:r w:rsidRPr="00DB508D">
        <w:rPr>
          <w:sz w:val="18"/>
          <w:szCs w:val="20"/>
          <w:rtl/>
        </w:rPr>
        <w:t>סריחאן</w:t>
      </w:r>
      <w:proofErr w:type="spellEnd"/>
      <w:r w:rsidRPr="00DB508D">
        <w:rPr>
          <w:sz w:val="18"/>
          <w:szCs w:val="20"/>
          <w:rtl/>
        </w:rPr>
        <w:t xml:space="preserve">, נ' (2017). </w:t>
      </w:r>
      <w:r w:rsidRPr="00DB508D">
        <w:rPr>
          <w:bCs/>
          <w:sz w:val="18"/>
          <w:szCs w:val="20"/>
          <w:rtl/>
        </w:rPr>
        <w:t>פריון ושינוי חברתי: מודרניזציה מוגבלת לעומת מודרניזציה מסתגלת והשפעתן על הפריון בחברה הבדואית בנגב</w:t>
      </w:r>
      <w:r w:rsidRPr="00DB508D">
        <w:rPr>
          <w:b/>
          <w:sz w:val="18"/>
          <w:szCs w:val="20"/>
          <w:rtl/>
        </w:rPr>
        <w:t xml:space="preserve"> (</w:t>
      </w:r>
      <w:r w:rsidRPr="00DB508D">
        <w:rPr>
          <w:sz w:val="18"/>
          <w:szCs w:val="20"/>
          <w:rtl/>
        </w:rPr>
        <w:t xml:space="preserve">עבודת גמר לקבלת תואר "דוקטור לפילוסופיה"). באר שבע: אוניברסיטת בן-גוריון בנגב. </w:t>
      </w:r>
    </w:p>
    <w:p w14:paraId="69D7F1DE" w14:textId="77777777" w:rsidR="00452401" w:rsidRPr="00DB508D" w:rsidRDefault="00452401" w:rsidP="00B75647">
      <w:pPr>
        <w:spacing w:after="120"/>
        <w:ind w:left="397" w:hanging="397"/>
        <w:jc w:val="both"/>
        <w:rPr>
          <w:i/>
          <w:sz w:val="18"/>
          <w:szCs w:val="20"/>
        </w:rPr>
      </w:pPr>
      <w:r w:rsidRPr="00DB508D">
        <w:rPr>
          <w:sz w:val="18"/>
          <w:szCs w:val="20"/>
          <w:rtl/>
        </w:rPr>
        <w:t xml:space="preserve">אבו </w:t>
      </w:r>
      <w:proofErr w:type="spellStart"/>
      <w:r w:rsidRPr="00DB508D">
        <w:rPr>
          <w:sz w:val="18"/>
          <w:szCs w:val="20"/>
          <w:rtl/>
        </w:rPr>
        <w:t>פריח</w:t>
      </w:r>
      <w:proofErr w:type="spellEnd"/>
      <w:r w:rsidRPr="00DB508D">
        <w:rPr>
          <w:sz w:val="18"/>
          <w:szCs w:val="20"/>
          <w:rtl/>
        </w:rPr>
        <w:t xml:space="preserve">, ע' (2016). </w:t>
      </w:r>
      <w:r w:rsidRPr="00DB508D">
        <w:rPr>
          <w:bCs/>
          <w:sz w:val="18"/>
          <w:szCs w:val="20"/>
          <w:rtl/>
        </w:rPr>
        <w:t>"הסיפור שלא סופר" על העקורים הבדואים בנגב</w:t>
      </w:r>
      <w:r w:rsidRPr="00DB508D">
        <w:rPr>
          <w:sz w:val="18"/>
          <w:szCs w:val="20"/>
          <w:rtl/>
        </w:rPr>
        <w:t xml:space="preserve"> (עבודת גמר לקבלת תואר מוסמך). באר שבע: אוניברסיטת בן-גוריון בנגב.</w:t>
      </w:r>
    </w:p>
    <w:p w14:paraId="1C66B05C" w14:textId="77777777" w:rsidR="00452401" w:rsidRPr="00DB508D" w:rsidRDefault="00452401" w:rsidP="00B75647">
      <w:pPr>
        <w:spacing w:after="120"/>
        <w:ind w:left="397" w:hanging="397"/>
        <w:jc w:val="both"/>
        <w:rPr>
          <w:b/>
          <w:i/>
          <w:sz w:val="18"/>
          <w:szCs w:val="20"/>
        </w:rPr>
      </w:pPr>
      <w:r w:rsidRPr="00DB508D">
        <w:rPr>
          <w:sz w:val="18"/>
          <w:szCs w:val="20"/>
          <w:rtl/>
        </w:rPr>
        <w:t xml:space="preserve">אבו ראס, ת' (2011). הערבים הבדואים בנגב: תמורות בעידן העיור. בתוך א' </w:t>
      </w:r>
      <w:proofErr w:type="spellStart"/>
      <w:r w:rsidRPr="00DB508D">
        <w:rPr>
          <w:sz w:val="18"/>
          <w:szCs w:val="20"/>
          <w:rtl/>
        </w:rPr>
        <w:t>רודניצקי</w:t>
      </w:r>
      <w:proofErr w:type="spellEnd"/>
      <w:r w:rsidRPr="00DB508D">
        <w:rPr>
          <w:sz w:val="18"/>
          <w:szCs w:val="20"/>
          <w:rtl/>
        </w:rPr>
        <w:t xml:space="preserve">, ת' אבו ראס וי' רייטר (עורכים), </w:t>
      </w:r>
      <w:r w:rsidRPr="00DB508D">
        <w:rPr>
          <w:bCs/>
          <w:sz w:val="18"/>
          <w:szCs w:val="20"/>
          <w:rtl/>
        </w:rPr>
        <w:t>החברה הבדואית בנגב</w:t>
      </w:r>
      <w:r w:rsidRPr="00DB508D">
        <w:rPr>
          <w:b/>
          <w:sz w:val="18"/>
          <w:szCs w:val="20"/>
          <w:rtl/>
        </w:rPr>
        <w:t xml:space="preserve"> </w:t>
      </w:r>
      <w:r w:rsidRPr="00DB508D">
        <w:rPr>
          <w:sz w:val="18"/>
          <w:szCs w:val="20"/>
          <w:rtl/>
        </w:rPr>
        <w:t>(עמ' 65–112). נווה אילן: יוזמות קרן אברהם.</w:t>
      </w:r>
    </w:p>
    <w:p w14:paraId="2A8883AD" w14:textId="77777777" w:rsidR="00452401" w:rsidRPr="00DB508D" w:rsidRDefault="00452401" w:rsidP="00B75647">
      <w:pPr>
        <w:spacing w:after="120"/>
        <w:ind w:left="397" w:hanging="397"/>
        <w:jc w:val="both"/>
        <w:rPr>
          <w:sz w:val="18"/>
          <w:szCs w:val="20"/>
        </w:rPr>
      </w:pPr>
      <w:proofErr w:type="spellStart"/>
      <w:r w:rsidRPr="00DB508D">
        <w:rPr>
          <w:sz w:val="18"/>
          <w:szCs w:val="20"/>
          <w:rtl/>
        </w:rPr>
        <w:t>אבורביעה-קווידר</w:t>
      </w:r>
      <w:proofErr w:type="spellEnd"/>
      <w:r w:rsidRPr="00DB508D">
        <w:rPr>
          <w:sz w:val="18"/>
          <w:szCs w:val="20"/>
          <w:rtl/>
        </w:rPr>
        <w:t xml:space="preserve">, ס' (2008). </w:t>
      </w:r>
      <w:r w:rsidRPr="00DB508D">
        <w:rPr>
          <w:bCs/>
          <w:sz w:val="18"/>
          <w:szCs w:val="20"/>
          <w:rtl/>
        </w:rPr>
        <w:t>מודרות ואהובות: סיפוריהן של נשים בדוויות משכילו</w:t>
      </w:r>
      <w:r w:rsidRPr="00AF7CA3">
        <w:rPr>
          <w:bCs/>
          <w:sz w:val="18"/>
          <w:szCs w:val="20"/>
          <w:rtl/>
        </w:rPr>
        <w:t>ת</w:t>
      </w:r>
      <w:r w:rsidRPr="00DB508D">
        <w:rPr>
          <w:i/>
          <w:sz w:val="18"/>
          <w:szCs w:val="20"/>
          <w:rtl/>
        </w:rPr>
        <w:t>.</w:t>
      </w:r>
      <w:r w:rsidRPr="00DB508D">
        <w:rPr>
          <w:sz w:val="18"/>
          <w:szCs w:val="20"/>
          <w:rtl/>
        </w:rPr>
        <w:t xml:space="preserve"> ירושלים: מאגנס.</w:t>
      </w:r>
    </w:p>
    <w:p w14:paraId="1950B0E2" w14:textId="77777777" w:rsidR="00B75647" w:rsidRDefault="00452401" w:rsidP="00B75647">
      <w:pPr>
        <w:ind w:left="397" w:hanging="397"/>
        <w:jc w:val="both"/>
        <w:rPr>
          <w:sz w:val="18"/>
          <w:szCs w:val="20"/>
          <w:rtl/>
        </w:rPr>
      </w:pPr>
      <w:r w:rsidRPr="00DB508D">
        <w:rPr>
          <w:sz w:val="18"/>
          <w:szCs w:val="20"/>
          <w:rtl/>
        </w:rPr>
        <w:t xml:space="preserve">אברך, ט', נח, ח' ומרקוס, מ' (2020). </w:t>
      </w:r>
      <w:r w:rsidRPr="00DB508D">
        <w:rPr>
          <w:b/>
          <w:bCs/>
          <w:sz w:val="18"/>
          <w:szCs w:val="20"/>
          <w:rtl/>
        </w:rPr>
        <w:t>על (אי) שוויון והריסות בתים ומבנים ביישובים הערבים בדואים בנגב</w:t>
      </w:r>
      <w:r w:rsidRPr="00DB508D">
        <w:rPr>
          <w:sz w:val="18"/>
          <w:szCs w:val="20"/>
          <w:rtl/>
        </w:rPr>
        <w:t xml:space="preserve">. באר שבע: פורום דו-קיום בנגב לשוויון אזרחי. </w:t>
      </w:r>
    </w:p>
    <w:p w14:paraId="52305DE9" w14:textId="52220C5F" w:rsidR="00452401" w:rsidRPr="00B75647" w:rsidRDefault="00690018" w:rsidP="00B75647">
      <w:pPr>
        <w:bidi w:val="0"/>
        <w:spacing w:after="120"/>
        <w:rPr>
          <w:sz w:val="16"/>
          <w:szCs w:val="18"/>
          <w:rtl/>
        </w:rPr>
      </w:pPr>
      <w:hyperlink r:id="rId10" w:history="1">
        <w:r w:rsidR="00B75647" w:rsidRPr="00B75647">
          <w:rPr>
            <w:rStyle w:val="Hyperlink"/>
            <w:color w:val="auto"/>
            <w:sz w:val="16"/>
            <w:szCs w:val="18"/>
            <w:u w:val="none"/>
          </w:rPr>
          <w:t>https://did.li/zsSfT</w:t>
        </w:r>
      </w:hyperlink>
    </w:p>
    <w:p w14:paraId="248F9A39" w14:textId="69F7806A" w:rsidR="00452401" w:rsidRPr="00DB508D" w:rsidRDefault="00452401" w:rsidP="00D5374E">
      <w:pPr>
        <w:tabs>
          <w:tab w:val="left" w:pos="2"/>
        </w:tabs>
        <w:spacing w:after="120"/>
        <w:ind w:left="397" w:hanging="397"/>
        <w:jc w:val="both"/>
        <w:rPr>
          <w:sz w:val="18"/>
          <w:szCs w:val="20"/>
        </w:rPr>
      </w:pPr>
      <w:r w:rsidRPr="00DB508D">
        <w:rPr>
          <w:sz w:val="18"/>
          <w:szCs w:val="20"/>
          <w:rtl/>
        </w:rPr>
        <w:t>איילון, ע' (1995)</w:t>
      </w:r>
      <w:r w:rsidRPr="00DB508D">
        <w:rPr>
          <w:rFonts w:hint="cs"/>
          <w:sz w:val="18"/>
          <w:szCs w:val="20"/>
          <w:rtl/>
        </w:rPr>
        <w:t>.</w:t>
      </w:r>
      <w:r w:rsidRPr="00DB508D">
        <w:rPr>
          <w:sz w:val="18"/>
          <w:szCs w:val="20"/>
          <w:rtl/>
        </w:rPr>
        <w:t xml:space="preserve"> דמוגרפיה, פוליטיקה ומסורת במצרים של מובארכ</w:t>
      </w:r>
      <w:r w:rsidRPr="00DB508D">
        <w:rPr>
          <w:rFonts w:hint="cs"/>
          <w:sz w:val="18"/>
          <w:szCs w:val="20"/>
          <w:rtl/>
        </w:rPr>
        <w:t>.</w:t>
      </w:r>
      <w:r w:rsidRPr="00DB508D">
        <w:rPr>
          <w:sz w:val="18"/>
          <w:szCs w:val="20"/>
          <w:rtl/>
        </w:rPr>
        <w:t xml:space="preserve"> בתוך </w:t>
      </w:r>
      <w:r w:rsidRPr="00DB508D">
        <w:rPr>
          <w:rFonts w:hint="cs"/>
          <w:sz w:val="18"/>
          <w:szCs w:val="20"/>
          <w:rtl/>
        </w:rPr>
        <w:t xml:space="preserve">ע' </w:t>
      </w:r>
      <w:r w:rsidRPr="00DB508D">
        <w:rPr>
          <w:sz w:val="18"/>
          <w:szCs w:val="20"/>
          <w:rtl/>
        </w:rPr>
        <w:t>איילון</w:t>
      </w:r>
      <w:r w:rsidRPr="00DB508D">
        <w:rPr>
          <w:rFonts w:hint="cs"/>
          <w:sz w:val="18"/>
          <w:szCs w:val="20"/>
          <w:rtl/>
        </w:rPr>
        <w:t xml:space="preserve"> וג' </w:t>
      </w:r>
      <w:proofErr w:type="spellStart"/>
      <w:r w:rsidRPr="00DB508D">
        <w:rPr>
          <w:sz w:val="18"/>
          <w:szCs w:val="20"/>
          <w:rtl/>
        </w:rPr>
        <w:t>גילבר</w:t>
      </w:r>
      <w:proofErr w:type="spellEnd"/>
      <w:r w:rsidRPr="00DB508D">
        <w:rPr>
          <w:rFonts w:hint="cs"/>
          <w:sz w:val="18"/>
          <w:szCs w:val="20"/>
          <w:rtl/>
        </w:rPr>
        <w:t xml:space="preserve"> </w:t>
      </w:r>
      <w:r w:rsidRPr="00DB508D">
        <w:rPr>
          <w:sz w:val="18"/>
          <w:szCs w:val="20"/>
          <w:rtl/>
        </w:rPr>
        <w:t>(עורכים)</w:t>
      </w:r>
      <w:r w:rsidRPr="00DB508D">
        <w:rPr>
          <w:rFonts w:hint="cs"/>
          <w:sz w:val="18"/>
          <w:szCs w:val="20"/>
          <w:rtl/>
        </w:rPr>
        <w:t>,</w:t>
      </w:r>
      <w:r w:rsidRPr="00DB508D">
        <w:rPr>
          <w:b/>
          <w:sz w:val="18"/>
          <w:szCs w:val="20"/>
          <w:rtl/>
        </w:rPr>
        <w:t xml:space="preserve"> </w:t>
      </w:r>
      <w:r w:rsidRPr="00DB508D">
        <w:rPr>
          <w:bCs/>
          <w:sz w:val="18"/>
          <w:szCs w:val="20"/>
          <w:rtl/>
        </w:rPr>
        <w:t>דמוגרפיה ופוליטיקה במדינות ערב</w:t>
      </w:r>
      <w:r w:rsidRPr="00DB508D">
        <w:rPr>
          <w:i/>
          <w:sz w:val="18"/>
          <w:szCs w:val="20"/>
          <w:rtl/>
        </w:rPr>
        <w:t xml:space="preserve"> </w:t>
      </w:r>
      <w:r w:rsidRPr="00DB508D">
        <w:rPr>
          <w:sz w:val="18"/>
          <w:szCs w:val="20"/>
          <w:rtl/>
        </w:rPr>
        <w:t>(עמ'</w:t>
      </w:r>
      <w:r w:rsidRPr="00DB508D">
        <w:rPr>
          <w:rFonts w:hint="cs"/>
          <w:sz w:val="18"/>
          <w:szCs w:val="20"/>
          <w:rtl/>
        </w:rPr>
        <w:t xml:space="preserve"> 11</w:t>
      </w:r>
      <w:r w:rsidRPr="00DB508D">
        <w:rPr>
          <w:sz w:val="18"/>
          <w:szCs w:val="20"/>
          <w:rtl/>
        </w:rPr>
        <w:t>–</w:t>
      </w:r>
      <w:r w:rsidRPr="00DB508D">
        <w:rPr>
          <w:rFonts w:hint="cs"/>
          <w:sz w:val="18"/>
          <w:szCs w:val="20"/>
          <w:rtl/>
        </w:rPr>
        <w:t xml:space="preserve">28). </w:t>
      </w:r>
      <w:r w:rsidRPr="00DB508D">
        <w:rPr>
          <w:sz w:val="18"/>
          <w:szCs w:val="20"/>
          <w:rtl/>
        </w:rPr>
        <w:t>תל אביב: אוניברסיטת תל</w:t>
      </w:r>
      <w:r w:rsidRPr="00DB508D">
        <w:rPr>
          <w:rFonts w:hint="cs"/>
          <w:sz w:val="18"/>
          <w:szCs w:val="20"/>
          <w:rtl/>
        </w:rPr>
        <w:t xml:space="preserve"> </w:t>
      </w:r>
      <w:r w:rsidRPr="00DB508D">
        <w:rPr>
          <w:sz w:val="18"/>
          <w:szCs w:val="20"/>
          <w:rtl/>
        </w:rPr>
        <w:t>אביב.</w:t>
      </w:r>
    </w:p>
    <w:p w14:paraId="341C49BC" w14:textId="77777777" w:rsidR="00452401" w:rsidRPr="00DB508D" w:rsidRDefault="00452401" w:rsidP="00B75647">
      <w:pPr>
        <w:spacing w:after="120"/>
        <w:ind w:left="397" w:hanging="397"/>
        <w:jc w:val="both"/>
        <w:rPr>
          <w:sz w:val="18"/>
          <w:szCs w:val="20"/>
        </w:rPr>
      </w:pPr>
      <w:proofErr w:type="spellStart"/>
      <w:r w:rsidRPr="00DB508D">
        <w:rPr>
          <w:sz w:val="18"/>
          <w:szCs w:val="20"/>
          <w:rtl/>
        </w:rPr>
        <w:t>אלאסד-אלהוזייל</w:t>
      </w:r>
      <w:proofErr w:type="spellEnd"/>
      <w:r w:rsidRPr="00DB508D">
        <w:rPr>
          <w:sz w:val="18"/>
          <w:szCs w:val="20"/>
          <w:rtl/>
        </w:rPr>
        <w:t xml:space="preserve">, נ' (2016). </w:t>
      </w:r>
      <w:r w:rsidRPr="00DB508D">
        <w:rPr>
          <w:bCs/>
          <w:sz w:val="18"/>
          <w:szCs w:val="20"/>
          <w:rtl/>
        </w:rPr>
        <w:t>כשהצל גדול סימן שהשמש שוקעת: חייהן של נשים בדואיות בראי השינויים</w:t>
      </w:r>
      <w:r w:rsidRPr="00DB508D">
        <w:rPr>
          <w:sz w:val="18"/>
          <w:szCs w:val="20"/>
          <w:rtl/>
        </w:rPr>
        <w:t>. תל</w:t>
      </w:r>
      <w:r w:rsidRPr="00DB508D">
        <w:rPr>
          <w:rFonts w:hint="cs"/>
          <w:sz w:val="18"/>
          <w:szCs w:val="20"/>
          <w:rtl/>
        </w:rPr>
        <w:t xml:space="preserve"> </w:t>
      </w:r>
      <w:r w:rsidRPr="00DB508D">
        <w:rPr>
          <w:sz w:val="18"/>
          <w:szCs w:val="20"/>
          <w:rtl/>
        </w:rPr>
        <w:t>אביב: רסלינג.</w:t>
      </w:r>
    </w:p>
    <w:p w14:paraId="3C4580A6" w14:textId="77777777" w:rsidR="00452401" w:rsidRPr="00DB508D" w:rsidRDefault="00452401" w:rsidP="00B75647">
      <w:pPr>
        <w:spacing w:after="120"/>
        <w:ind w:left="397" w:hanging="397"/>
        <w:jc w:val="both"/>
        <w:rPr>
          <w:b/>
          <w:bCs/>
          <w:sz w:val="18"/>
          <w:szCs w:val="20"/>
          <w:rtl/>
        </w:rPr>
      </w:pPr>
      <w:proofErr w:type="spellStart"/>
      <w:r w:rsidRPr="00DB508D">
        <w:rPr>
          <w:rFonts w:hint="eastAsia"/>
          <w:sz w:val="18"/>
          <w:szCs w:val="20"/>
          <w:rtl/>
        </w:rPr>
        <w:t>אלעארף</w:t>
      </w:r>
      <w:proofErr w:type="spellEnd"/>
      <w:r w:rsidRPr="00DB508D">
        <w:rPr>
          <w:sz w:val="18"/>
          <w:szCs w:val="20"/>
          <w:rtl/>
        </w:rPr>
        <w:t>,</w:t>
      </w:r>
      <w:r w:rsidRPr="00DB508D">
        <w:rPr>
          <w:rFonts w:hint="cs"/>
          <w:sz w:val="18"/>
          <w:szCs w:val="20"/>
          <w:rtl/>
        </w:rPr>
        <w:t xml:space="preserve"> </w:t>
      </w:r>
      <w:r w:rsidRPr="00DB508D">
        <w:rPr>
          <w:sz w:val="18"/>
          <w:szCs w:val="20"/>
          <w:rtl/>
        </w:rPr>
        <w:t>ע' (1933)</w:t>
      </w:r>
      <w:r w:rsidRPr="00DB508D">
        <w:rPr>
          <w:rFonts w:hint="cs"/>
          <w:sz w:val="18"/>
          <w:szCs w:val="20"/>
          <w:rtl/>
        </w:rPr>
        <w:t xml:space="preserve">. </w:t>
      </w:r>
      <w:r w:rsidRPr="00DB508D">
        <w:rPr>
          <w:rFonts w:hint="eastAsia"/>
          <w:b/>
          <w:bCs/>
          <w:sz w:val="18"/>
          <w:szCs w:val="20"/>
          <w:rtl/>
        </w:rPr>
        <w:t>המשפט</w:t>
      </w:r>
      <w:r w:rsidRPr="00DB508D">
        <w:rPr>
          <w:b/>
          <w:bCs/>
          <w:sz w:val="18"/>
          <w:szCs w:val="20"/>
          <w:rtl/>
        </w:rPr>
        <w:t xml:space="preserve"> אצל הבדואים</w:t>
      </w:r>
      <w:r w:rsidRPr="00DB508D">
        <w:rPr>
          <w:rFonts w:hint="cs"/>
          <w:sz w:val="18"/>
          <w:szCs w:val="20"/>
          <w:rtl/>
        </w:rPr>
        <w:t xml:space="preserve">. </w:t>
      </w:r>
      <w:r w:rsidRPr="00DB508D">
        <w:rPr>
          <w:rFonts w:hint="eastAsia"/>
          <w:sz w:val="18"/>
          <w:szCs w:val="20"/>
          <w:rtl/>
        </w:rPr>
        <w:t>ירושלים</w:t>
      </w:r>
      <w:r w:rsidRPr="00DB508D">
        <w:rPr>
          <w:rFonts w:hint="cs"/>
          <w:sz w:val="18"/>
          <w:szCs w:val="20"/>
          <w:rtl/>
        </w:rPr>
        <w:t>: [חסר מקום הוצאה] (</w:t>
      </w:r>
      <w:r w:rsidRPr="00DB508D">
        <w:rPr>
          <w:sz w:val="18"/>
          <w:szCs w:val="20"/>
          <w:rtl/>
        </w:rPr>
        <w:t>בערבית).</w:t>
      </w:r>
    </w:p>
    <w:p w14:paraId="5165217E" w14:textId="77777777" w:rsidR="00452401" w:rsidRPr="00B75647" w:rsidRDefault="00452401" w:rsidP="00B75647">
      <w:pPr>
        <w:spacing w:after="120"/>
        <w:ind w:left="397" w:hanging="397"/>
        <w:jc w:val="both"/>
        <w:rPr>
          <w:b/>
          <w:sz w:val="18"/>
          <w:szCs w:val="20"/>
        </w:rPr>
      </w:pPr>
      <w:proofErr w:type="spellStart"/>
      <w:r w:rsidRPr="00DB508D">
        <w:rPr>
          <w:sz w:val="18"/>
          <w:szCs w:val="20"/>
          <w:rtl/>
        </w:rPr>
        <w:t>אלעארף</w:t>
      </w:r>
      <w:proofErr w:type="spellEnd"/>
      <w:r w:rsidRPr="00DB508D">
        <w:rPr>
          <w:sz w:val="18"/>
          <w:szCs w:val="20"/>
          <w:rtl/>
        </w:rPr>
        <w:t xml:space="preserve">, ע' (1934). </w:t>
      </w:r>
      <w:r w:rsidRPr="00DB508D">
        <w:rPr>
          <w:b/>
          <w:sz w:val="18"/>
          <w:szCs w:val="20"/>
          <w:rtl/>
        </w:rPr>
        <w:t>תולדות באר שבע ושבטיה</w:t>
      </w:r>
      <w:r w:rsidRPr="00DB508D">
        <w:rPr>
          <w:sz w:val="18"/>
          <w:szCs w:val="20"/>
          <w:rtl/>
        </w:rPr>
        <w:t>. ירוש</w:t>
      </w:r>
      <w:r w:rsidRPr="00B75647">
        <w:rPr>
          <w:sz w:val="18"/>
          <w:szCs w:val="20"/>
          <w:rtl/>
        </w:rPr>
        <w:t xml:space="preserve">לים: [חסר מקום הוצאה] (בערבית). </w:t>
      </w:r>
    </w:p>
    <w:p w14:paraId="2FC2B9AA" w14:textId="77777777" w:rsidR="00452401" w:rsidRPr="00B75647" w:rsidRDefault="00452401" w:rsidP="00B75647">
      <w:pPr>
        <w:spacing w:after="120"/>
        <w:ind w:left="397" w:hanging="397"/>
        <w:jc w:val="both"/>
        <w:rPr>
          <w:sz w:val="18"/>
          <w:szCs w:val="20"/>
        </w:rPr>
      </w:pPr>
      <w:r w:rsidRPr="00B75647">
        <w:rPr>
          <w:sz w:val="18"/>
          <w:szCs w:val="20"/>
          <w:rtl/>
        </w:rPr>
        <w:t xml:space="preserve">בגין, ב' (2013). </w:t>
      </w:r>
      <w:r w:rsidRPr="00B75647">
        <w:rPr>
          <w:bCs/>
          <w:sz w:val="18"/>
          <w:szCs w:val="20"/>
          <w:rtl/>
        </w:rPr>
        <w:t>הסדרת התיישבות הבדואים בנגב: סיכום מהלך ההקשבה לציבור לגבי תזכיר החוק להסדרת התיישבות הבדואים בנגב והמלצות למדיניות ולתיקון תזכיר החוק</w:t>
      </w:r>
      <w:r w:rsidRPr="00B75647">
        <w:rPr>
          <w:sz w:val="18"/>
          <w:szCs w:val="20"/>
          <w:rtl/>
        </w:rPr>
        <w:t xml:space="preserve">. הוגש לממשלת ישראל, ירושלים. </w:t>
      </w:r>
      <w:r w:rsidR="00690018">
        <w:fldChar w:fldCharType="begin"/>
      </w:r>
      <w:r w:rsidR="00690018">
        <w:instrText xml:space="preserve"> HYPERLINK ""  "https://did.li/o1eaa" </w:instrText>
      </w:r>
      <w:r w:rsidR="00690018">
        <w:fldChar w:fldCharType="separate"/>
      </w:r>
      <w:r w:rsidRPr="00B75647">
        <w:rPr>
          <w:rStyle w:val="Hyperlink"/>
          <w:color w:val="auto"/>
          <w:sz w:val="18"/>
          <w:szCs w:val="20"/>
          <w:u w:val="none"/>
        </w:rPr>
        <w:t>https://did.li/o1eaa</w:t>
      </w:r>
      <w:r w:rsidR="00690018">
        <w:rPr>
          <w:rStyle w:val="Hyperlink"/>
          <w:color w:val="auto"/>
          <w:sz w:val="18"/>
          <w:szCs w:val="20"/>
          <w:u w:val="none"/>
        </w:rPr>
        <w:fldChar w:fldCharType="end"/>
      </w:r>
    </w:p>
    <w:p w14:paraId="5C596EE5" w14:textId="21FB87E2" w:rsidR="00452401" w:rsidRPr="00B75647" w:rsidRDefault="00452401" w:rsidP="00B75647">
      <w:pPr>
        <w:spacing w:after="120"/>
        <w:ind w:left="397" w:hanging="397"/>
        <w:jc w:val="both"/>
        <w:rPr>
          <w:sz w:val="18"/>
          <w:szCs w:val="20"/>
        </w:rPr>
      </w:pPr>
      <w:r w:rsidRPr="00B75647">
        <w:rPr>
          <w:sz w:val="18"/>
          <w:szCs w:val="20"/>
          <w:rtl/>
        </w:rPr>
        <w:t xml:space="preserve">בית המשפט העליון (1984). ע.א. 218/74, </w:t>
      </w:r>
      <w:r w:rsidRPr="00B75647">
        <w:rPr>
          <w:b/>
          <w:sz w:val="18"/>
          <w:szCs w:val="20"/>
          <w:rtl/>
        </w:rPr>
        <w:t xml:space="preserve">סלים עלי </w:t>
      </w:r>
      <w:proofErr w:type="spellStart"/>
      <w:r w:rsidRPr="00B75647">
        <w:rPr>
          <w:b/>
          <w:sz w:val="18"/>
          <w:szCs w:val="20"/>
          <w:rtl/>
        </w:rPr>
        <w:t>אגדיע</w:t>
      </w:r>
      <w:proofErr w:type="spellEnd"/>
      <w:r w:rsidRPr="00B75647">
        <w:rPr>
          <w:b/>
          <w:sz w:val="18"/>
          <w:szCs w:val="20"/>
          <w:rtl/>
        </w:rPr>
        <w:t xml:space="preserve"> אל </w:t>
      </w:r>
      <w:proofErr w:type="spellStart"/>
      <w:r w:rsidRPr="00B75647">
        <w:rPr>
          <w:b/>
          <w:sz w:val="18"/>
          <w:szCs w:val="20"/>
          <w:rtl/>
        </w:rPr>
        <w:t>הואשלה</w:t>
      </w:r>
      <w:proofErr w:type="spellEnd"/>
      <w:r w:rsidRPr="00B75647">
        <w:rPr>
          <w:b/>
          <w:sz w:val="18"/>
          <w:szCs w:val="20"/>
          <w:rtl/>
        </w:rPr>
        <w:t xml:space="preserve"> ואח' נגד מדינת ישראל. פ"ד</w:t>
      </w:r>
      <w:r w:rsidRPr="00B75647">
        <w:rPr>
          <w:sz w:val="18"/>
          <w:szCs w:val="20"/>
          <w:rtl/>
        </w:rPr>
        <w:t>, לח(3) 141.</w:t>
      </w:r>
    </w:p>
    <w:p w14:paraId="6E00339C" w14:textId="32A0345E" w:rsidR="00452401" w:rsidRPr="00B75647" w:rsidRDefault="00452401" w:rsidP="00957DA2">
      <w:pPr>
        <w:spacing w:after="120"/>
        <w:ind w:left="397" w:hanging="397"/>
        <w:jc w:val="both"/>
        <w:rPr>
          <w:sz w:val="18"/>
          <w:szCs w:val="20"/>
        </w:rPr>
      </w:pPr>
      <w:r w:rsidRPr="00B75647">
        <w:rPr>
          <w:sz w:val="18"/>
          <w:szCs w:val="20"/>
          <w:rtl/>
        </w:rPr>
        <w:t xml:space="preserve">בן-דוד, י' (1991). </w:t>
      </w:r>
      <w:r w:rsidR="00957DA2">
        <w:rPr>
          <w:rFonts w:hint="cs"/>
          <w:sz w:val="18"/>
          <w:szCs w:val="20"/>
          <w:rtl/>
        </w:rPr>
        <w:t xml:space="preserve">לאן פני הבדווים? </w:t>
      </w:r>
      <w:r w:rsidRPr="00B75647">
        <w:rPr>
          <w:sz w:val="18"/>
          <w:szCs w:val="20"/>
          <w:rtl/>
        </w:rPr>
        <w:t>ה</w:t>
      </w:r>
      <w:r w:rsidR="00D5374E">
        <w:rPr>
          <w:rFonts w:hint="cs"/>
          <w:sz w:val="18"/>
          <w:szCs w:val="20"/>
          <w:rtl/>
        </w:rPr>
        <w:t>עדה הבדו</w:t>
      </w:r>
      <w:r w:rsidR="00957DA2">
        <w:rPr>
          <w:rFonts w:hint="cs"/>
          <w:sz w:val="18"/>
          <w:szCs w:val="20"/>
          <w:rtl/>
        </w:rPr>
        <w:t xml:space="preserve">וית אל </w:t>
      </w:r>
      <w:r w:rsidR="00D5374E">
        <w:rPr>
          <w:rFonts w:hint="cs"/>
          <w:sz w:val="18"/>
          <w:szCs w:val="20"/>
          <w:rtl/>
        </w:rPr>
        <w:t>שנ</w:t>
      </w:r>
      <w:r w:rsidR="00957DA2">
        <w:rPr>
          <w:rFonts w:hint="cs"/>
          <w:sz w:val="18"/>
          <w:szCs w:val="20"/>
          <w:rtl/>
        </w:rPr>
        <w:t>ו</w:t>
      </w:r>
      <w:r w:rsidR="00D5374E">
        <w:rPr>
          <w:rFonts w:hint="cs"/>
          <w:sz w:val="18"/>
          <w:szCs w:val="20"/>
          <w:rtl/>
        </w:rPr>
        <w:t xml:space="preserve">ת </w:t>
      </w:r>
      <w:r w:rsidR="00957DA2">
        <w:rPr>
          <w:rFonts w:hint="cs"/>
          <w:sz w:val="18"/>
          <w:szCs w:val="20"/>
          <w:rtl/>
        </w:rPr>
        <w:t>ה-</w:t>
      </w:r>
      <w:r w:rsidRPr="00B75647">
        <w:rPr>
          <w:sz w:val="18"/>
          <w:szCs w:val="20"/>
          <w:rtl/>
        </w:rPr>
        <w:t xml:space="preserve">2000. </w:t>
      </w:r>
      <w:r w:rsidRPr="00AF7CA3">
        <w:rPr>
          <w:bCs/>
          <w:sz w:val="18"/>
          <w:szCs w:val="20"/>
          <w:rtl/>
        </w:rPr>
        <w:t>סביבות</w:t>
      </w:r>
      <w:r w:rsidR="00D5374E">
        <w:rPr>
          <w:rFonts w:hint="cs"/>
          <w:b/>
          <w:i/>
          <w:sz w:val="18"/>
          <w:szCs w:val="20"/>
          <w:rtl/>
        </w:rPr>
        <w:t>,</w:t>
      </w:r>
      <w:r w:rsidR="00957DA2">
        <w:rPr>
          <w:rFonts w:hint="cs"/>
          <w:b/>
          <w:i/>
          <w:sz w:val="18"/>
          <w:szCs w:val="20"/>
          <w:rtl/>
        </w:rPr>
        <w:t xml:space="preserve"> </w:t>
      </w:r>
      <w:r w:rsidR="00957DA2" w:rsidRPr="00AF7CA3">
        <w:rPr>
          <w:bCs/>
          <w:i/>
          <w:sz w:val="18"/>
          <w:szCs w:val="20"/>
          <w:rtl/>
        </w:rPr>
        <w:t>27</w:t>
      </w:r>
      <w:r w:rsidR="00957DA2">
        <w:rPr>
          <w:rFonts w:hint="cs"/>
          <w:b/>
          <w:i/>
          <w:sz w:val="18"/>
          <w:szCs w:val="20"/>
          <w:rtl/>
        </w:rPr>
        <w:t>,</w:t>
      </w:r>
      <w:r w:rsidR="00D5374E" w:rsidRPr="00B75647">
        <w:rPr>
          <w:b/>
          <w:i/>
          <w:sz w:val="18"/>
          <w:szCs w:val="20"/>
          <w:rtl/>
        </w:rPr>
        <w:t xml:space="preserve"> </w:t>
      </w:r>
      <w:r w:rsidR="00D5374E">
        <w:rPr>
          <w:rFonts w:hint="cs"/>
          <w:sz w:val="18"/>
          <w:szCs w:val="20"/>
          <w:rtl/>
        </w:rPr>
        <w:t xml:space="preserve"> 79</w:t>
      </w:r>
      <w:r w:rsidR="00D5374E" w:rsidRPr="00D5374E">
        <w:rPr>
          <w:rFonts w:ascii="David" w:hAnsi="David"/>
          <w:sz w:val="18"/>
          <w:szCs w:val="20"/>
          <w:rtl/>
        </w:rPr>
        <w:t>–</w:t>
      </w:r>
      <w:r w:rsidR="00D5374E">
        <w:rPr>
          <w:rFonts w:ascii="David" w:hAnsi="David" w:hint="cs"/>
          <w:sz w:val="18"/>
          <w:szCs w:val="20"/>
          <w:rtl/>
        </w:rPr>
        <w:t xml:space="preserve">113. </w:t>
      </w:r>
    </w:p>
    <w:p w14:paraId="18C8E182" w14:textId="77777777" w:rsidR="00452401" w:rsidRPr="00B75647" w:rsidRDefault="00452401" w:rsidP="00B75647">
      <w:pPr>
        <w:spacing w:after="120"/>
        <w:ind w:left="397" w:hanging="397"/>
        <w:jc w:val="both"/>
        <w:rPr>
          <w:sz w:val="18"/>
          <w:szCs w:val="20"/>
        </w:rPr>
      </w:pPr>
      <w:r w:rsidRPr="00B75647">
        <w:rPr>
          <w:sz w:val="18"/>
          <w:szCs w:val="20"/>
          <w:rtl/>
        </w:rPr>
        <w:lastRenderedPageBreak/>
        <w:t>בן-דוד, י' (1993)</w:t>
      </w:r>
      <w:r w:rsidRPr="00B75647">
        <w:rPr>
          <w:rFonts w:hint="cs"/>
          <w:sz w:val="18"/>
          <w:szCs w:val="20"/>
          <w:rtl/>
        </w:rPr>
        <w:t xml:space="preserve">. </w:t>
      </w:r>
      <w:r w:rsidRPr="00B75647">
        <w:rPr>
          <w:bCs/>
          <w:sz w:val="18"/>
          <w:szCs w:val="20"/>
          <w:rtl/>
        </w:rPr>
        <w:t>יישוב הבדווים בנגב</w:t>
      </w:r>
      <w:r w:rsidRPr="00B75647">
        <w:rPr>
          <w:rFonts w:hint="cs"/>
          <w:bCs/>
          <w:sz w:val="18"/>
          <w:szCs w:val="20"/>
          <w:rtl/>
        </w:rPr>
        <w:t>:</w:t>
      </w:r>
      <w:r w:rsidRPr="00B75647">
        <w:rPr>
          <w:bCs/>
          <w:sz w:val="18"/>
          <w:szCs w:val="20"/>
          <w:rtl/>
        </w:rPr>
        <w:t xml:space="preserve"> מדיניות ומציאות,</w:t>
      </w:r>
      <w:r w:rsidRPr="00B75647">
        <w:rPr>
          <w:rFonts w:hint="cs"/>
          <w:bCs/>
          <w:sz w:val="18"/>
          <w:szCs w:val="20"/>
          <w:rtl/>
        </w:rPr>
        <w:t xml:space="preserve"> 1967</w:t>
      </w:r>
      <w:r w:rsidRPr="00B75647">
        <w:rPr>
          <w:bCs/>
          <w:sz w:val="18"/>
          <w:szCs w:val="20"/>
          <w:rtl/>
        </w:rPr>
        <w:t>–</w:t>
      </w:r>
      <w:r w:rsidRPr="00B75647">
        <w:rPr>
          <w:rFonts w:hint="cs"/>
          <w:bCs/>
          <w:sz w:val="18"/>
          <w:szCs w:val="20"/>
          <w:rtl/>
        </w:rPr>
        <w:t>1992</w:t>
      </w:r>
      <w:r w:rsidRPr="00B75647">
        <w:rPr>
          <w:rFonts w:hint="cs"/>
          <w:b/>
          <w:sz w:val="18"/>
          <w:szCs w:val="20"/>
          <w:rtl/>
        </w:rPr>
        <w:t>.</w:t>
      </w:r>
      <w:r w:rsidRPr="00B75647">
        <w:rPr>
          <w:sz w:val="18"/>
          <w:szCs w:val="20"/>
          <w:rtl/>
        </w:rPr>
        <w:t xml:space="preserve"> ירושלים</w:t>
      </w:r>
      <w:r w:rsidRPr="00B75647">
        <w:rPr>
          <w:rFonts w:hint="cs"/>
          <w:sz w:val="18"/>
          <w:szCs w:val="20"/>
          <w:rtl/>
        </w:rPr>
        <w:t>:</w:t>
      </w:r>
      <w:r w:rsidRPr="00B75647">
        <w:rPr>
          <w:sz w:val="18"/>
          <w:szCs w:val="20"/>
          <w:rtl/>
        </w:rPr>
        <w:t xml:space="preserve"> משרד הבינוי והשיכון</w:t>
      </w:r>
      <w:r w:rsidRPr="00B75647">
        <w:rPr>
          <w:b/>
          <w:i/>
          <w:sz w:val="18"/>
          <w:szCs w:val="20"/>
          <w:rtl/>
        </w:rPr>
        <w:t xml:space="preserve"> </w:t>
      </w:r>
      <w:r w:rsidRPr="00B75647">
        <w:rPr>
          <w:sz w:val="18"/>
          <w:szCs w:val="20"/>
          <w:rtl/>
        </w:rPr>
        <w:t>ומכון ירושלים לחקר ישראל.</w:t>
      </w:r>
    </w:p>
    <w:p w14:paraId="6D7FF930" w14:textId="77777777" w:rsidR="00452401" w:rsidRPr="00B75647" w:rsidRDefault="00452401" w:rsidP="00B75647">
      <w:pPr>
        <w:spacing w:after="120"/>
        <w:ind w:left="397" w:hanging="397"/>
        <w:jc w:val="both"/>
        <w:rPr>
          <w:b/>
          <w:sz w:val="18"/>
          <w:szCs w:val="20"/>
        </w:rPr>
      </w:pPr>
      <w:r w:rsidRPr="00B75647">
        <w:rPr>
          <w:sz w:val="18"/>
          <w:szCs w:val="20"/>
          <w:rtl/>
        </w:rPr>
        <w:t xml:space="preserve">בן-דוד, י' (1995). סכסוך הקרקעות בין בדווי הנגב והמדינה: היבטים היסטוריים, משפטיים ועכשוויים. </w:t>
      </w:r>
      <w:r w:rsidRPr="00B75647">
        <w:rPr>
          <w:bCs/>
          <w:sz w:val="18"/>
          <w:szCs w:val="20"/>
          <w:rtl/>
        </w:rPr>
        <w:t>קרקע</w:t>
      </w:r>
      <w:r w:rsidRPr="00B75647">
        <w:rPr>
          <w:rFonts w:hint="cs"/>
          <w:b/>
          <w:sz w:val="18"/>
          <w:szCs w:val="20"/>
          <w:rtl/>
        </w:rPr>
        <w:t>,</w:t>
      </w:r>
      <w:r w:rsidRPr="00B75647">
        <w:rPr>
          <w:rFonts w:hint="cs"/>
          <w:bCs/>
          <w:sz w:val="18"/>
          <w:szCs w:val="20"/>
          <w:rtl/>
        </w:rPr>
        <w:t xml:space="preserve"> 40</w:t>
      </w:r>
      <w:r w:rsidRPr="00B75647">
        <w:rPr>
          <w:rFonts w:hint="cs"/>
          <w:b/>
          <w:sz w:val="18"/>
          <w:szCs w:val="20"/>
          <w:rtl/>
        </w:rPr>
        <w:t>, 61</w:t>
      </w:r>
      <w:r w:rsidRPr="00B75647">
        <w:rPr>
          <w:b/>
          <w:sz w:val="18"/>
          <w:szCs w:val="20"/>
          <w:rtl/>
        </w:rPr>
        <w:t>–</w:t>
      </w:r>
      <w:r w:rsidRPr="00B75647">
        <w:rPr>
          <w:rFonts w:hint="cs"/>
          <w:b/>
          <w:sz w:val="18"/>
          <w:szCs w:val="20"/>
          <w:rtl/>
        </w:rPr>
        <w:t>91.</w:t>
      </w:r>
      <w:r w:rsidRPr="00B75647">
        <w:rPr>
          <w:b/>
          <w:sz w:val="18"/>
          <w:szCs w:val="20"/>
          <w:rtl/>
        </w:rPr>
        <w:t xml:space="preserve"> </w:t>
      </w:r>
    </w:p>
    <w:p w14:paraId="618792C8" w14:textId="77777777" w:rsidR="00452401" w:rsidRPr="00B75647" w:rsidRDefault="00452401" w:rsidP="00B75647">
      <w:pPr>
        <w:spacing w:after="120"/>
        <w:ind w:left="397" w:hanging="397"/>
        <w:jc w:val="both"/>
        <w:rPr>
          <w:sz w:val="18"/>
          <w:szCs w:val="20"/>
        </w:rPr>
      </w:pPr>
      <w:r w:rsidRPr="00B75647">
        <w:rPr>
          <w:sz w:val="18"/>
          <w:szCs w:val="20"/>
          <w:rtl/>
        </w:rPr>
        <w:t xml:space="preserve">בן-דוד, י' (1996). </w:t>
      </w:r>
      <w:r w:rsidRPr="00B75647">
        <w:rPr>
          <w:bCs/>
          <w:sz w:val="18"/>
          <w:szCs w:val="20"/>
          <w:rtl/>
        </w:rPr>
        <w:t>מריבה בנגב: בדווים, יהודים, אדמות</w:t>
      </w:r>
      <w:r w:rsidRPr="00B75647">
        <w:rPr>
          <w:sz w:val="18"/>
          <w:szCs w:val="20"/>
          <w:rtl/>
        </w:rPr>
        <w:t>. רעננה: המרכז לחקר החברה הערבית בישראל.</w:t>
      </w:r>
    </w:p>
    <w:p w14:paraId="2916F5AC" w14:textId="77777777" w:rsidR="00452401" w:rsidRPr="00B75647" w:rsidRDefault="00452401" w:rsidP="00B75647">
      <w:pPr>
        <w:spacing w:after="120"/>
        <w:ind w:left="397" w:hanging="397"/>
        <w:jc w:val="both"/>
        <w:rPr>
          <w:sz w:val="18"/>
          <w:szCs w:val="20"/>
        </w:rPr>
      </w:pPr>
      <w:r w:rsidRPr="00B75647">
        <w:rPr>
          <w:sz w:val="18"/>
          <w:szCs w:val="20"/>
          <w:rtl/>
        </w:rPr>
        <w:t xml:space="preserve">בן-דוד, י' (2004). </w:t>
      </w:r>
      <w:r w:rsidRPr="00B75647">
        <w:rPr>
          <w:bCs/>
          <w:sz w:val="18"/>
          <w:szCs w:val="20"/>
          <w:rtl/>
        </w:rPr>
        <w:t>הבדואים בישראל: היבטים חברתיים וקרקעיים</w:t>
      </w:r>
      <w:r w:rsidRPr="00B75647">
        <w:rPr>
          <w:sz w:val="18"/>
          <w:szCs w:val="20"/>
          <w:rtl/>
        </w:rPr>
        <w:t>. ירושלים: המכון לחקר מדיניות קרקעית ושימושי קרקע ע"ש בן שמש ומכון ירושלים לחקר ישראל.</w:t>
      </w:r>
    </w:p>
    <w:p w14:paraId="70DB9A5A" w14:textId="77777777" w:rsidR="00452401" w:rsidRPr="00B75647" w:rsidRDefault="00452401" w:rsidP="00B75647">
      <w:pPr>
        <w:spacing w:after="120"/>
        <w:ind w:left="397" w:hanging="397"/>
        <w:jc w:val="both"/>
        <w:rPr>
          <w:sz w:val="18"/>
          <w:szCs w:val="20"/>
        </w:rPr>
      </w:pPr>
      <w:r w:rsidRPr="00B75647">
        <w:rPr>
          <w:sz w:val="18"/>
          <w:szCs w:val="20"/>
          <w:rtl/>
        </w:rPr>
        <w:t xml:space="preserve">בן-ישראל, א' (2013). </w:t>
      </w:r>
      <w:proofErr w:type="spellStart"/>
      <w:r w:rsidRPr="00B75647">
        <w:rPr>
          <w:sz w:val="18"/>
          <w:szCs w:val="20"/>
          <w:rtl/>
        </w:rPr>
        <w:t>גלוקל</w:t>
      </w:r>
      <w:proofErr w:type="spellEnd"/>
      <w:r w:rsidRPr="00B75647">
        <w:rPr>
          <w:sz w:val="18"/>
          <w:szCs w:val="20"/>
          <w:rtl/>
        </w:rPr>
        <w:t xml:space="preserve"> </w:t>
      </w:r>
      <w:proofErr w:type="spellStart"/>
      <w:r w:rsidRPr="00B75647">
        <w:rPr>
          <w:sz w:val="18"/>
          <w:szCs w:val="20"/>
          <w:rtl/>
        </w:rPr>
        <w:t>לאקל</w:t>
      </w:r>
      <w:proofErr w:type="spellEnd"/>
      <w:r w:rsidRPr="00B75647">
        <w:rPr>
          <w:sz w:val="18"/>
          <w:szCs w:val="20"/>
          <w:rtl/>
        </w:rPr>
        <w:t xml:space="preserve">: העיירה חורה בין גלובליזציה </w:t>
      </w:r>
      <w:proofErr w:type="spellStart"/>
      <w:r w:rsidRPr="00B75647">
        <w:rPr>
          <w:sz w:val="18"/>
          <w:szCs w:val="20"/>
          <w:rtl/>
        </w:rPr>
        <w:t>ופריפריאליזציה</w:t>
      </w:r>
      <w:proofErr w:type="spellEnd"/>
      <w:r w:rsidRPr="00B75647">
        <w:rPr>
          <w:sz w:val="18"/>
          <w:szCs w:val="20"/>
          <w:rtl/>
        </w:rPr>
        <w:t xml:space="preserve">. בתוך י' </w:t>
      </w:r>
      <w:proofErr w:type="spellStart"/>
      <w:r w:rsidRPr="00B75647">
        <w:rPr>
          <w:sz w:val="18"/>
          <w:szCs w:val="20"/>
          <w:rtl/>
        </w:rPr>
        <w:t>קרפלוס</w:t>
      </w:r>
      <w:proofErr w:type="spellEnd"/>
      <w:r w:rsidRPr="00B75647">
        <w:rPr>
          <w:sz w:val="18"/>
          <w:szCs w:val="20"/>
          <w:rtl/>
        </w:rPr>
        <w:t xml:space="preserve"> וא' מאיר (עורכים), </w:t>
      </w:r>
      <w:r w:rsidRPr="00B75647">
        <w:rPr>
          <w:bCs/>
          <w:sz w:val="18"/>
          <w:szCs w:val="20"/>
          <w:rtl/>
        </w:rPr>
        <w:t>הבניית המרחב הבדואי בנגב</w:t>
      </w:r>
      <w:r w:rsidRPr="00B75647">
        <w:rPr>
          <w:sz w:val="18"/>
          <w:szCs w:val="20"/>
          <w:rtl/>
        </w:rPr>
        <w:t xml:space="preserve"> (עמ'</w:t>
      </w:r>
      <w:r w:rsidRPr="00B75647">
        <w:rPr>
          <w:rFonts w:hint="cs"/>
          <w:sz w:val="18"/>
          <w:szCs w:val="20"/>
          <w:rtl/>
        </w:rPr>
        <w:t xml:space="preserve"> 37</w:t>
      </w:r>
      <w:r w:rsidRPr="00B75647">
        <w:rPr>
          <w:sz w:val="18"/>
          <w:szCs w:val="20"/>
          <w:rtl/>
        </w:rPr>
        <w:t>–</w:t>
      </w:r>
      <w:r w:rsidRPr="00B75647">
        <w:rPr>
          <w:rFonts w:hint="cs"/>
          <w:sz w:val="18"/>
          <w:szCs w:val="20"/>
          <w:rtl/>
        </w:rPr>
        <w:t>61</w:t>
      </w:r>
      <w:r w:rsidRPr="00B75647">
        <w:rPr>
          <w:sz w:val="18"/>
          <w:szCs w:val="20"/>
          <w:rtl/>
        </w:rPr>
        <w:t>). באר שבע: מרכז הנגב לפיתוח אזורי, אוניברסיטת בן-גוריון בנגב.</w:t>
      </w:r>
    </w:p>
    <w:p w14:paraId="33BD6ADA" w14:textId="77777777" w:rsidR="00452401" w:rsidRPr="00B75647" w:rsidRDefault="00452401" w:rsidP="00B75647">
      <w:pPr>
        <w:spacing w:after="120"/>
        <w:ind w:left="397" w:hanging="397"/>
        <w:jc w:val="both"/>
        <w:rPr>
          <w:sz w:val="18"/>
          <w:szCs w:val="20"/>
        </w:rPr>
      </w:pPr>
      <w:r w:rsidRPr="00B75647">
        <w:rPr>
          <w:sz w:val="18"/>
          <w:szCs w:val="20"/>
          <w:rtl/>
        </w:rPr>
        <w:t xml:space="preserve">גולדברג, א' (2008). </w:t>
      </w:r>
      <w:r w:rsidRPr="00AF7CA3">
        <w:rPr>
          <w:bCs/>
          <w:sz w:val="18"/>
          <w:szCs w:val="20"/>
          <w:rtl/>
        </w:rPr>
        <w:t>ד</w:t>
      </w:r>
      <w:r w:rsidRPr="00B75647">
        <w:rPr>
          <w:bCs/>
          <w:sz w:val="18"/>
          <w:szCs w:val="20"/>
          <w:rtl/>
        </w:rPr>
        <w:t>וח הוועדה להצעת מדיניות להסדרת ההתיישבות הבדואית בנגב בראשות השופט בדימוס אליהו גולדברג</w:t>
      </w:r>
      <w:r w:rsidRPr="00B75647">
        <w:rPr>
          <w:sz w:val="18"/>
          <w:szCs w:val="20"/>
          <w:rtl/>
        </w:rPr>
        <w:t xml:space="preserve">. הוגש לשר הבינוי והשיכון, משרד הבינוי והשיכון, ירושלים. </w:t>
      </w:r>
    </w:p>
    <w:p w14:paraId="04B9064A" w14:textId="77777777" w:rsidR="00452401" w:rsidRPr="00B75647" w:rsidRDefault="00452401" w:rsidP="00B75647">
      <w:pPr>
        <w:spacing w:after="120"/>
        <w:ind w:left="397" w:hanging="397"/>
        <w:jc w:val="both"/>
        <w:rPr>
          <w:sz w:val="18"/>
          <w:szCs w:val="20"/>
        </w:rPr>
      </w:pPr>
      <w:proofErr w:type="spellStart"/>
      <w:r w:rsidRPr="00B75647">
        <w:rPr>
          <w:sz w:val="18"/>
          <w:szCs w:val="20"/>
          <w:rtl/>
        </w:rPr>
        <w:t>ג'ריס</w:t>
      </w:r>
      <w:proofErr w:type="spellEnd"/>
      <w:r w:rsidRPr="00B75647">
        <w:rPr>
          <w:sz w:val="18"/>
          <w:szCs w:val="20"/>
          <w:rtl/>
        </w:rPr>
        <w:t xml:space="preserve">, ס' (1966). </w:t>
      </w:r>
      <w:r w:rsidRPr="00B75647">
        <w:rPr>
          <w:bCs/>
          <w:sz w:val="18"/>
          <w:szCs w:val="20"/>
          <w:rtl/>
        </w:rPr>
        <w:t>הערבים בישראל</w:t>
      </w:r>
      <w:r w:rsidRPr="00B75647">
        <w:rPr>
          <w:sz w:val="18"/>
          <w:szCs w:val="20"/>
          <w:rtl/>
        </w:rPr>
        <w:t>. חיפה: דפוס אל-</w:t>
      </w:r>
      <w:proofErr w:type="spellStart"/>
      <w:r w:rsidRPr="00B75647">
        <w:rPr>
          <w:sz w:val="18"/>
          <w:szCs w:val="20"/>
          <w:rtl/>
        </w:rPr>
        <w:t>אתיחאד</w:t>
      </w:r>
      <w:proofErr w:type="spellEnd"/>
      <w:r w:rsidRPr="00B75647">
        <w:rPr>
          <w:sz w:val="18"/>
          <w:szCs w:val="20"/>
          <w:rtl/>
        </w:rPr>
        <w:t>.</w:t>
      </w:r>
    </w:p>
    <w:p w14:paraId="4932F73C" w14:textId="77777777" w:rsidR="00452401" w:rsidRPr="00B75647" w:rsidRDefault="00452401" w:rsidP="00B75647">
      <w:pPr>
        <w:ind w:left="397" w:hanging="397"/>
        <w:jc w:val="both"/>
        <w:rPr>
          <w:sz w:val="18"/>
          <w:szCs w:val="20"/>
        </w:rPr>
      </w:pPr>
      <w:r w:rsidRPr="00B75647">
        <w:rPr>
          <w:sz w:val="18"/>
          <w:szCs w:val="20"/>
          <w:rtl/>
        </w:rPr>
        <w:t xml:space="preserve">דגן-בוזגלו, נ' (2014). </w:t>
      </w:r>
      <w:r w:rsidRPr="00B75647">
        <w:rPr>
          <w:bCs/>
          <w:sz w:val="18"/>
          <w:szCs w:val="20"/>
          <w:rtl/>
        </w:rPr>
        <w:t>הכפרים הבדואים המוכרים (יישובי אבו בסמה): עשור של תת-פיתוח</w:t>
      </w:r>
      <w:r w:rsidRPr="00B75647">
        <w:rPr>
          <w:sz w:val="18"/>
          <w:szCs w:val="20"/>
          <w:rtl/>
        </w:rPr>
        <w:t>. תל</w:t>
      </w:r>
      <w:r w:rsidRPr="00B75647">
        <w:rPr>
          <w:rFonts w:hint="cs"/>
          <w:sz w:val="18"/>
          <w:szCs w:val="20"/>
          <w:rtl/>
        </w:rPr>
        <w:t xml:space="preserve"> </w:t>
      </w:r>
      <w:r w:rsidRPr="00B75647">
        <w:rPr>
          <w:sz w:val="18"/>
          <w:szCs w:val="20"/>
          <w:rtl/>
        </w:rPr>
        <w:t xml:space="preserve">אביב: מרכז אדוה. </w:t>
      </w:r>
    </w:p>
    <w:p w14:paraId="43439509" w14:textId="77777777" w:rsidR="00452401" w:rsidRPr="00B75647" w:rsidRDefault="00452401" w:rsidP="00B75647">
      <w:pPr>
        <w:bidi w:val="0"/>
        <w:spacing w:after="120"/>
        <w:rPr>
          <w:rStyle w:val="Hyperlink"/>
          <w:color w:val="auto"/>
          <w:sz w:val="16"/>
          <w:szCs w:val="18"/>
          <w:u w:val="none"/>
        </w:rPr>
      </w:pPr>
      <w:r w:rsidRPr="00B75647">
        <w:rPr>
          <w:rStyle w:val="Hyperlink"/>
          <w:color w:val="auto"/>
          <w:sz w:val="16"/>
          <w:szCs w:val="18"/>
          <w:u w:val="none"/>
        </w:rPr>
        <w:t>https://adva.org/wp-content/uploads/2015/06/Abu-Basma1.pdf</w:t>
      </w:r>
      <w:r w:rsidRPr="00B75647">
        <w:rPr>
          <w:rStyle w:val="Hyperlink"/>
          <w:color w:val="auto"/>
          <w:sz w:val="16"/>
          <w:szCs w:val="18"/>
          <w:u w:val="none"/>
          <w:rtl/>
        </w:rPr>
        <w:t xml:space="preserve"> </w:t>
      </w:r>
    </w:p>
    <w:p w14:paraId="12B944C0" w14:textId="77777777" w:rsidR="00452401" w:rsidRPr="00B75647" w:rsidRDefault="00452401" w:rsidP="00B75647">
      <w:pPr>
        <w:spacing w:after="120"/>
        <w:ind w:left="397" w:hanging="397"/>
        <w:jc w:val="both"/>
        <w:rPr>
          <w:sz w:val="18"/>
          <w:szCs w:val="20"/>
        </w:rPr>
      </w:pPr>
      <w:r w:rsidRPr="00B75647">
        <w:rPr>
          <w:sz w:val="18"/>
          <w:szCs w:val="20"/>
          <w:rtl/>
        </w:rPr>
        <w:t xml:space="preserve">הלוי, ר' (2002). </w:t>
      </w:r>
      <w:r w:rsidRPr="00B75647">
        <w:rPr>
          <w:bCs/>
          <w:sz w:val="18"/>
          <w:szCs w:val="20"/>
          <w:rtl/>
        </w:rPr>
        <w:t>"ללכת בין הטיפות": מאבקן הכפול של נשים בדוויות משכילות בנגב</w:t>
      </w:r>
      <w:r w:rsidRPr="00B75647">
        <w:rPr>
          <w:i/>
          <w:sz w:val="18"/>
          <w:szCs w:val="20"/>
          <w:rtl/>
        </w:rPr>
        <w:t xml:space="preserve"> </w:t>
      </w:r>
      <w:r w:rsidRPr="00B75647">
        <w:rPr>
          <w:sz w:val="18"/>
          <w:szCs w:val="20"/>
          <w:rtl/>
        </w:rPr>
        <w:t xml:space="preserve">(חיבור לקבלת תואר מוסמך). באר שבע: אוניברסיטת בן-גוריון בנגב. </w:t>
      </w:r>
    </w:p>
    <w:p w14:paraId="688F425A" w14:textId="77777777" w:rsidR="00452401" w:rsidRPr="00B75647" w:rsidRDefault="00452401" w:rsidP="00B75647">
      <w:pPr>
        <w:spacing w:after="120"/>
        <w:ind w:left="397" w:hanging="397"/>
        <w:jc w:val="both"/>
        <w:rPr>
          <w:sz w:val="18"/>
          <w:szCs w:val="20"/>
        </w:rPr>
      </w:pPr>
      <w:proofErr w:type="spellStart"/>
      <w:r w:rsidRPr="00B75647">
        <w:rPr>
          <w:sz w:val="18"/>
          <w:szCs w:val="20"/>
          <w:rtl/>
        </w:rPr>
        <w:t>וינקלר</w:t>
      </w:r>
      <w:proofErr w:type="spellEnd"/>
      <w:r w:rsidRPr="00B75647">
        <w:rPr>
          <w:sz w:val="18"/>
          <w:szCs w:val="20"/>
          <w:rtl/>
        </w:rPr>
        <w:t xml:space="preserve">, א' (2015). </w:t>
      </w:r>
      <w:r w:rsidRPr="00B75647">
        <w:rPr>
          <w:bCs/>
          <w:sz w:val="18"/>
          <w:szCs w:val="20"/>
          <w:rtl/>
        </w:rPr>
        <w:t>מאחורי המספרים: דמוגרפיה פוליטית בישראל</w:t>
      </w:r>
      <w:r w:rsidRPr="00B75647">
        <w:rPr>
          <w:sz w:val="18"/>
          <w:szCs w:val="20"/>
          <w:rtl/>
        </w:rPr>
        <w:t>. חיפה: אוניברסיטת חיפה.</w:t>
      </w:r>
    </w:p>
    <w:p w14:paraId="5AF17745" w14:textId="77777777" w:rsidR="00452401" w:rsidRPr="00B75647" w:rsidRDefault="00452401" w:rsidP="00B75647">
      <w:pPr>
        <w:spacing w:after="120"/>
        <w:ind w:left="397" w:hanging="397"/>
        <w:jc w:val="both"/>
        <w:rPr>
          <w:sz w:val="18"/>
          <w:szCs w:val="20"/>
          <w:rtl/>
        </w:rPr>
      </w:pPr>
      <w:proofErr w:type="spellStart"/>
      <w:r w:rsidRPr="00B75647">
        <w:rPr>
          <w:sz w:val="18"/>
          <w:szCs w:val="20"/>
          <w:rtl/>
        </w:rPr>
        <w:t>זועבי</w:t>
      </w:r>
      <w:proofErr w:type="spellEnd"/>
      <w:r w:rsidRPr="00B75647">
        <w:rPr>
          <w:sz w:val="18"/>
          <w:szCs w:val="20"/>
          <w:rtl/>
        </w:rPr>
        <w:t xml:space="preserve">, ח' ואנסון, י' (2017). ההתמקחות המרובה עם הפטריארכיה: פריון הילודה בעיני נשים ערביות אקדמאיות בישראל. </w:t>
      </w:r>
      <w:r w:rsidRPr="00B75647">
        <w:rPr>
          <w:bCs/>
          <w:sz w:val="18"/>
          <w:szCs w:val="20"/>
          <w:rtl/>
        </w:rPr>
        <w:t>סוציולוגיה ישראלית</w:t>
      </w:r>
      <w:r w:rsidRPr="00B75647">
        <w:rPr>
          <w:rFonts w:hint="cs"/>
          <w:b/>
          <w:sz w:val="18"/>
          <w:szCs w:val="20"/>
          <w:rtl/>
        </w:rPr>
        <w:t xml:space="preserve">, </w:t>
      </w:r>
      <w:proofErr w:type="spellStart"/>
      <w:r w:rsidRPr="00B75647">
        <w:rPr>
          <w:rFonts w:hint="cs"/>
          <w:bCs/>
          <w:sz w:val="18"/>
          <w:szCs w:val="20"/>
          <w:rtl/>
        </w:rPr>
        <w:t>יט</w:t>
      </w:r>
      <w:proofErr w:type="spellEnd"/>
      <w:r w:rsidRPr="00B75647">
        <w:rPr>
          <w:rFonts w:hint="cs"/>
          <w:b/>
          <w:sz w:val="18"/>
          <w:szCs w:val="20"/>
          <w:rtl/>
        </w:rPr>
        <w:t>(1), 67</w:t>
      </w:r>
      <w:r w:rsidRPr="00B75647">
        <w:rPr>
          <w:b/>
          <w:sz w:val="18"/>
          <w:szCs w:val="20"/>
          <w:rtl/>
        </w:rPr>
        <w:t>–</w:t>
      </w:r>
      <w:r w:rsidRPr="00B75647">
        <w:rPr>
          <w:rFonts w:hint="cs"/>
          <w:b/>
          <w:sz w:val="18"/>
          <w:szCs w:val="20"/>
          <w:rtl/>
        </w:rPr>
        <w:t>91.</w:t>
      </w:r>
      <w:r w:rsidRPr="00B75647">
        <w:rPr>
          <w:sz w:val="18"/>
          <w:szCs w:val="20"/>
          <w:rtl/>
        </w:rPr>
        <w:t xml:space="preserve"> </w:t>
      </w:r>
    </w:p>
    <w:p w14:paraId="7C798694" w14:textId="28F2DC13" w:rsidR="00452401" w:rsidRPr="00B75647" w:rsidRDefault="00452401" w:rsidP="00B75647">
      <w:pPr>
        <w:spacing w:after="120"/>
        <w:ind w:left="397" w:hanging="397"/>
        <w:jc w:val="both"/>
        <w:rPr>
          <w:sz w:val="18"/>
          <w:szCs w:val="20"/>
        </w:rPr>
      </w:pPr>
      <w:proofErr w:type="spellStart"/>
      <w:r w:rsidRPr="00B75647">
        <w:rPr>
          <w:sz w:val="18"/>
          <w:szCs w:val="20"/>
          <w:rtl/>
        </w:rPr>
        <w:t>חליחל</w:t>
      </w:r>
      <w:proofErr w:type="spellEnd"/>
      <w:r w:rsidRPr="00B75647">
        <w:rPr>
          <w:sz w:val="18"/>
          <w:szCs w:val="20"/>
          <w:rtl/>
        </w:rPr>
        <w:t xml:space="preserve">, א' (2011). </w:t>
      </w:r>
      <w:r w:rsidRPr="00B75647">
        <w:rPr>
          <w:b/>
          <w:bCs/>
          <w:sz w:val="18"/>
          <w:szCs w:val="20"/>
          <w:rtl/>
        </w:rPr>
        <w:t>פריון של נשים יהודיות ומוסלמיות בישראל לפי מידת הדתיות שלהן בשנים</w:t>
      </w:r>
      <w:r w:rsidRPr="00B75647">
        <w:rPr>
          <w:rFonts w:hint="cs"/>
          <w:b/>
          <w:bCs/>
          <w:sz w:val="18"/>
          <w:szCs w:val="20"/>
          <w:rtl/>
        </w:rPr>
        <w:t xml:space="preserve"> 1979</w:t>
      </w:r>
      <w:r w:rsidRPr="00B75647">
        <w:rPr>
          <w:b/>
          <w:bCs/>
          <w:sz w:val="18"/>
          <w:szCs w:val="20"/>
          <w:rtl/>
        </w:rPr>
        <w:t>–</w:t>
      </w:r>
      <w:r w:rsidRPr="00AF7CA3">
        <w:rPr>
          <w:b/>
          <w:bCs/>
          <w:sz w:val="18"/>
          <w:szCs w:val="20"/>
          <w:rtl/>
        </w:rPr>
        <w:t>2009</w:t>
      </w:r>
      <w:r w:rsidRPr="00B75647">
        <w:rPr>
          <w:rFonts w:hint="cs"/>
          <w:sz w:val="18"/>
          <w:szCs w:val="20"/>
          <w:rtl/>
        </w:rPr>
        <w:t>.</w:t>
      </w:r>
      <w:r w:rsidRPr="00B75647">
        <w:rPr>
          <w:rFonts w:hint="cs"/>
          <w:b/>
          <w:bCs/>
          <w:sz w:val="18"/>
          <w:szCs w:val="20"/>
          <w:rtl/>
        </w:rPr>
        <w:t xml:space="preserve"> </w:t>
      </w:r>
      <w:r w:rsidRPr="00B75647">
        <w:rPr>
          <w:sz w:val="18"/>
          <w:szCs w:val="20"/>
          <w:rtl/>
        </w:rPr>
        <w:t>נייר עבודה מס' 60</w:t>
      </w:r>
      <w:r w:rsidRPr="00B75647">
        <w:rPr>
          <w:rFonts w:hint="cs"/>
          <w:sz w:val="18"/>
          <w:szCs w:val="20"/>
          <w:rtl/>
        </w:rPr>
        <w:t>.</w:t>
      </w:r>
      <w:r w:rsidRPr="00B75647">
        <w:rPr>
          <w:sz w:val="18"/>
          <w:szCs w:val="20"/>
          <w:rtl/>
        </w:rPr>
        <w:t xml:space="preserve"> הלשכה המרכזית לסטטיסטיקה, אגף דמוגרפיה ומפקד.</w:t>
      </w:r>
      <w:r w:rsidR="00B75647">
        <w:rPr>
          <w:rFonts w:hint="cs"/>
          <w:sz w:val="18"/>
          <w:szCs w:val="20"/>
          <w:rtl/>
        </w:rPr>
        <w:t xml:space="preserve"> </w:t>
      </w:r>
      <w:r w:rsidR="00690018">
        <w:fldChar w:fldCharType="begin"/>
      </w:r>
      <w:r w:rsidR="00690018">
        <w:instrText xml:space="preserve"> HYPERLINK ""  "https://www.cbs.gov.il/he/publications/DocLib/pw/pw60/pw60.pdf" \h </w:instrText>
      </w:r>
      <w:r w:rsidR="00690018">
        <w:fldChar w:fldCharType="separate"/>
      </w:r>
      <w:r w:rsidR="00B75647" w:rsidRPr="00B75647">
        <w:rPr>
          <w:rStyle w:val="Hyperlink"/>
          <w:color w:val="auto"/>
          <w:sz w:val="16"/>
          <w:szCs w:val="18"/>
          <w:u w:val="none"/>
        </w:rPr>
        <w:t>https://www.cbs.gov.il/he/publications/DocLib/pw/pw60/pw60.pdf</w:t>
      </w:r>
      <w:r w:rsidR="00690018">
        <w:rPr>
          <w:rStyle w:val="Hyperlink"/>
          <w:color w:val="auto"/>
          <w:sz w:val="16"/>
          <w:szCs w:val="18"/>
          <w:u w:val="none"/>
        </w:rPr>
        <w:fldChar w:fldCharType="end"/>
      </w:r>
    </w:p>
    <w:p w14:paraId="19D7CF42" w14:textId="77777777" w:rsidR="00452401" w:rsidRPr="00B75647" w:rsidRDefault="00452401" w:rsidP="00B75647">
      <w:pPr>
        <w:spacing w:after="120"/>
        <w:ind w:left="397" w:hanging="397"/>
        <w:jc w:val="both"/>
        <w:rPr>
          <w:sz w:val="18"/>
          <w:szCs w:val="20"/>
        </w:rPr>
      </w:pPr>
      <w:proofErr w:type="spellStart"/>
      <w:r w:rsidRPr="00B75647">
        <w:rPr>
          <w:sz w:val="18"/>
          <w:szCs w:val="20"/>
          <w:rtl/>
        </w:rPr>
        <w:t>יפתחאל</w:t>
      </w:r>
      <w:proofErr w:type="spellEnd"/>
      <w:r w:rsidRPr="00B75647">
        <w:rPr>
          <w:sz w:val="18"/>
          <w:szCs w:val="20"/>
          <w:rtl/>
        </w:rPr>
        <w:t xml:space="preserve">, א' (2013). המרחב הבדואי "הלא מוכר": התפתחות של סוגיה אסטרטגית. בתוך ר' </w:t>
      </w:r>
      <w:proofErr w:type="spellStart"/>
      <w:r w:rsidRPr="00B75647">
        <w:rPr>
          <w:sz w:val="18"/>
          <w:szCs w:val="20"/>
          <w:rtl/>
        </w:rPr>
        <w:t>פדהצור</w:t>
      </w:r>
      <w:proofErr w:type="spellEnd"/>
      <w:r w:rsidRPr="00B75647">
        <w:rPr>
          <w:sz w:val="18"/>
          <w:szCs w:val="20"/>
          <w:rtl/>
        </w:rPr>
        <w:t xml:space="preserve"> (עורך), </w:t>
      </w:r>
      <w:r w:rsidRPr="00B75647">
        <w:rPr>
          <w:bCs/>
          <w:sz w:val="18"/>
          <w:szCs w:val="20"/>
          <w:rtl/>
        </w:rPr>
        <w:t>הבדואים בנגב: אתגר אסטרטגי לישראל</w:t>
      </w:r>
      <w:r w:rsidRPr="00B75647">
        <w:rPr>
          <w:b/>
          <w:sz w:val="18"/>
          <w:szCs w:val="20"/>
          <w:rtl/>
        </w:rPr>
        <w:t xml:space="preserve"> </w:t>
      </w:r>
      <w:r w:rsidRPr="00B75647">
        <w:rPr>
          <w:sz w:val="18"/>
          <w:szCs w:val="20"/>
          <w:rtl/>
        </w:rPr>
        <w:t>(עמ' 8–17).</w:t>
      </w:r>
      <w:r w:rsidRPr="00B75647">
        <w:rPr>
          <w:b/>
          <w:sz w:val="18"/>
          <w:szCs w:val="20"/>
          <w:rtl/>
        </w:rPr>
        <w:t xml:space="preserve"> </w:t>
      </w:r>
      <w:r w:rsidRPr="00B75647">
        <w:rPr>
          <w:sz w:val="18"/>
          <w:szCs w:val="20"/>
          <w:rtl/>
        </w:rPr>
        <w:t xml:space="preserve">נתניה: המכללה האקדמית נתניה. </w:t>
      </w:r>
    </w:p>
    <w:p w14:paraId="0736DF10" w14:textId="77777777" w:rsidR="00452401" w:rsidRPr="00B75647" w:rsidRDefault="00452401" w:rsidP="00B75647">
      <w:pPr>
        <w:spacing w:after="120"/>
        <w:ind w:left="397" w:hanging="397"/>
        <w:jc w:val="both"/>
        <w:rPr>
          <w:sz w:val="18"/>
          <w:szCs w:val="20"/>
        </w:rPr>
      </w:pPr>
      <w:proofErr w:type="spellStart"/>
      <w:r w:rsidRPr="00B75647">
        <w:rPr>
          <w:sz w:val="18"/>
          <w:szCs w:val="20"/>
          <w:rtl/>
        </w:rPr>
        <w:t>יפתחאל</w:t>
      </w:r>
      <w:proofErr w:type="spellEnd"/>
      <w:r w:rsidRPr="00B75647">
        <w:rPr>
          <w:sz w:val="18"/>
          <w:szCs w:val="20"/>
          <w:rtl/>
        </w:rPr>
        <w:t>, א'</w:t>
      </w:r>
      <w:r w:rsidRPr="00B75647">
        <w:rPr>
          <w:rFonts w:hint="cs"/>
          <w:sz w:val="18"/>
          <w:szCs w:val="20"/>
          <w:rtl/>
        </w:rPr>
        <w:t xml:space="preserve"> </w:t>
      </w:r>
      <w:proofErr w:type="spellStart"/>
      <w:r w:rsidRPr="00B75647">
        <w:rPr>
          <w:rFonts w:hint="cs"/>
          <w:sz w:val="18"/>
          <w:szCs w:val="20"/>
          <w:rtl/>
        </w:rPr>
        <w:t>ו</w:t>
      </w:r>
      <w:r w:rsidRPr="00B75647">
        <w:rPr>
          <w:sz w:val="18"/>
          <w:szCs w:val="20"/>
          <w:rtl/>
        </w:rPr>
        <w:t>גאנם</w:t>
      </w:r>
      <w:proofErr w:type="spellEnd"/>
      <w:r w:rsidRPr="00B75647">
        <w:rPr>
          <w:sz w:val="18"/>
          <w:szCs w:val="20"/>
          <w:rtl/>
        </w:rPr>
        <w:t xml:space="preserve">, א' (2005). תיאוריה של משטרים </w:t>
      </w:r>
      <w:proofErr w:type="spellStart"/>
      <w:r w:rsidRPr="00B75647">
        <w:rPr>
          <w:sz w:val="18"/>
          <w:szCs w:val="20"/>
          <w:rtl/>
        </w:rPr>
        <w:t>אתנוקרטיים</w:t>
      </w:r>
      <w:proofErr w:type="spellEnd"/>
      <w:r w:rsidRPr="00B75647">
        <w:rPr>
          <w:sz w:val="18"/>
          <w:szCs w:val="20"/>
          <w:rtl/>
        </w:rPr>
        <w:t xml:space="preserve">: הפוליטיקה של התפשטות אתנו-לאומית. </w:t>
      </w:r>
      <w:r w:rsidRPr="00B75647">
        <w:rPr>
          <w:bCs/>
          <w:sz w:val="18"/>
          <w:szCs w:val="20"/>
          <w:rtl/>
        </w:rPr>
        <w:t>מדינה וחברה</w:t>
      </w:r>
      <w:r w:rsidRPr="00B75647">
        <w:rPr>
          <w:rFonts w:hint="cs"/>
          <w:sz w:val="18"/>
          <w:szCs w:val="20"/>
          <w:rtl/>
        </w:rPr>
        <w:t>,</w:t>
      </w:r>
      <w:r w:rsidRPr="00B75647">
        <w:rPr>
          <w:sz w:val="18"/>
          <w:szCs w:val="20"/>
          <w:rtl/>
        </w:rPr>
        <w:t xml:space="preserve"> </w:t>
      </w:r>
      <w:r w:rsidRPr="00B75647">
        <w:rPr>
          <w:b/>
          <w:bCs/>
          <w:sz w:val="18"/>
          <w:szCs w:val="20"/>
          <w:rtl/>
        </w:rPr>
        <w:t>4</w:t>
      </w:r>
      <w:r w:rsidRPr="00B75647">
        <w:rPr>
          <w:sz w:val="18"/>
          <w:szCs w:val="20"/>
          <w:rtl/>
        </w:rPr>
        <w:t xml:space="preserve">(1), </w:t>
      </w:r>
      <w:r w:rsidRPr="00B75647">
        <w:rPr>
          <w:rFonts w:hint="cs"/>
          <w:sz w:val="18"/>
          <w:szCs w:val="20"/>
          <w:rtl/>
        </w:rPr>
        <w:t>761</w:t>
      </w:r>
      <w:r w:rsidRPr="00B75647">
        <w:rPr>
          <w:sz w:val="18"/>
          <w:szCs w:val="20"/>
          <w:rtl/>
        </w:rPr>
        <w:t>–</w:t>
      </w:r>
      <w:r w:rsidRPr="00B75647">
        <w:rPr>
          <w:rFonts w:hint="cs"/>
          <w:sz w:val="18"/>
          <w:szCs w:val="20"/>
          <w:rtl/>
        </w:rPr>
        <w:t xml:space="preserve">788. </w:t>
      </w:r>
    </w:p>
    <w:p w14:paraId="5F18123F" w14:textId="77777777" w:rsidR="00452401" w:rsidRPr="00B75647" w:rsidRDefault="00452401" w:rsidP="00B75647">
      <w:pPr>
        <w:spacing w:after="120"/>
        <w:ind w:left="397" w:hanging="397"/>
        <w:jc w:val="both"/>
        <w:rPr>
          <w:sz w:val="18"/>
          <w:szCs w:val="20"/>
        </w:rPr>
      </w:pPr>
      <w:proofErr w:type="spellStart"/>
      <w:r w:rsidRPr="00B75647">
        <w:rPr>
          <w:sz w:val="18"/>
          <w:szCs w:val="20"/>
          <w:rtl/>
        </w:rPr>
        <w:t>יפתחאל</w:t>
      </w:r>
      <w:proofErr w:type="spellEnd"/>
      <w:r w:rsidRPr="00B75647">
        <w:rPr>
          <w:sz w:val="18"/>
          <w:szCs w:val="20"/>
          <w:rtl/>
        </w:rPr>
        <w:t xml:space="preserve">, א', קדר, ס' </w:t>
      </w:r>
      <w:proofErr w:type="spellStart"/>
      <w:r w:rsidRPr="00B75647">
        <w:rPr>
          <w:sz w:val="18"/>
          <w:szCs w:val="20"/>
          <w:rtl/>
        </w:rPr>
        <w:t>ואמארה</w:t>
      </w:r>
      <w:proofErr w:type="spellEnd"/>
      <w:r w:rsidRPr="00B75647">
        <w:rPr>
          <w:sz w:val="18"/>
          <w:szCs w:val="20"/>
          <w:rtl/>
        </w:rPr>
        <w:t xml:space="preserve">, א' (2012). עיון מחודש בהלכת "הנגב המת": זכויות קניין במרחב הבדווי. </w:t>
      </w:r>
      <w:r w:rsidRPr="00B75647">
        <w:rPr>
          <w:bCs/>
          <w:sz w:val="18"/>
          <w:szCs w:val="20"/>
          <w:rtl/>
        </w:rPr>
        <w:t>משפט וממשל</w:t>
      </w:r>
      <w:r w:rsidRPr="00B75647">
        <w:rPr>
          <w:sz w:val="18"/>
          <w:szCs w:val="20"/>
          <w:rtl/>
        </w:rPr>
        <w:t>,</w:t>
      </w:r>
      <w:r w:rsidRPr="00B75647">
        <w:rPr>
          <w:rFonts w:hint="cs"/>
          <w:b/>
          <w:sz w:val="18"/>
          <w:szCs w:val="20"/>
          <w:rtl/>
        </w:rPr>
        <w:t xml:space="preserve"> </w:t>
      </w:r>
      <w:r w:rsidRPr="00B75647">
        <w:rPr>
          <w:rFonts w:hint="cs"/>
          <w:bCs/>
          <w:sz w:val="18"/>
          <w:szCs w:val="20"/>
          <w:rtl/>
        </w:rPr>
        <w:t>יד</w:t>
      </w:r>
      <w:r w:rsidRPr="00B75647">
        <w:rPr>
          <w:rFonts w:hint="cs"/>
          <w:b/>
          <w:sz w:val="18"/>
          <w:szCs w:val="20"/>
          <w:rtl/>
        </w:rPr>
        <w:t>, 7</w:t>
      </w:r>
      <w:r w:rsidRPr="00B75647">
        <w:rPr>
          <w:b/>
          <w:sz w:val="18"/>
          <w:szCs w:val="20"/>
          <w:rtl/>
        </w:rPr>
        <w:t>–</w:t>
      </w:r>
      <w:r w:rsidRPr="00B75647">
        <w:rPr>
          <w:rFonts w:hint="cs"/>
          <w:b/>
          <w:sz w:val="18"/>
          <w:szCs w:val="20"/>
          <w:rtl/>
        </w:rPr>
        <w:t>147.</w:t>
      </w:r>
      <w:r w:rsidRPr="00B75647">
        <w:rPr>
          <w:sz w:val="18"/>
          <w:szCs w:val="20"/>
          <w:rtl/>
        </w:rPr>
        <w:t xml:space="preserve"> </w:t>
      </w:r>
    </w:p>
    <w:p w14:paraId="3980E5E3" w14:textId="77777777" w:rsidR="00452401" w:rsidRPr="00B75647" w:rsidRDefault="00452401" w:rsidP="00B75647">
      <w:pPr>
        <w:spacing w:after="120"/>
        <w:ind w:left="397" w:hanging="397"/>
        <w:jc w:val="both"/>
        <w:rPr>
          <w:sz w:val="18"/>
          <w:szCs w:val="20"/>
        </w:rPr>
      </w:pPr>
      <w:r w:rsidRPr="00B75647">
        <w:rPr>
          <w:sz w:val="18"/>
          <w:szCs w:val="20"/>
          <w:rtl/>
        </w:rPr>
        <w:lastRenderedPageBreak/>
        <w:t xml:space="preserve">כהן, ה' (2006). </w:t>
      </w:r>
      <w:r w:rsidRPr="00B75647">
        <w:rPr>
          <w:bCs/>
          <w:sz w:val="18"/>
          <w:szCs w:val="20"/>
          <w:rtl/>
        </w:rPr>
        <w:t xml:space="preserve">ערבים טובים – המודיעין הישראלי והערבים בישראל: סוכנים ומפעילים, </w:t>
      </w:r>
      <w:proofErr w:type="spellStart"/>
      <w:r w:rsidRPr="00B75647">
        <w:rPr>
          <w:bCs/>
          <w:sz w:val="18"/>
          <w:szCs w:val="20"/>
          <w:rtl/>
        </w:rPr>
        <w:t>משת"פים</w:t>
      </w:r>
      <w:proofErr w:type="spellEnd"/>
      <w:r w:rsidRPr="00B75647">
        <w:rPr>
          <w:bCs/>
          <w:sz w:val="18"/>
          <w:szCs w:val="20"/>
          <w:rtl/>
        </w:rPr>
        <w:t xml:space="preserve"> ומורדים, מטרות ושיטות</w:t>
      </w:r>
      <w:r w:rsidRPr="00B75647">
        <w:rPr>
          <w:rFonts w:hint="cs"/>
          <w:b/>
          <w:i/>
          <w:sz w:val="18"/>
          <w:szCs w:val="20"/>
          <w:rtl/>
        </w:rPr>
        <w:t>.</w:t>
      </w:r>
      <w:r w:rsidRPr="00B75647">
        <w:rPr>
          <w:rFonts w:hint="cs"/>
          <w:sz w:val="18"/>
          <w:szCs w:val="20"/>
          <w:rtl/>
        </w:rPr>
        <w:t xml:space="preserve"> </w:t>
      </w:r>
      <w:r w:rsidRPr="00B75647">
        <w:rPr>
          <w:sz w:val="18"/>
          <w:szCs w:val="20"/>
          <w:rtl/>
        </w:rPr>
        <w:t>ירושלים: עברית.</w:t>
      </w:r>
    </w:p>
    <w:p w14:paraId="20FFF7A1" w14:textId="77777777" w:rsidR="00452401" w:rsidRPr="00B75647" w:rsidRDefault="00452401" w:rsidP="00B75647">
      <w:pPr>
        <w:spacing w:after="120"/>
        <w:ind w:left="397" w:hanging="397"/>
        <w:jc w:val="both"/>
        <w:rPr>
          <w:sz w:val="18"/>
          <w:szCs w:val="20"/>
        </w:rPr>
      </w:pPr>
      <w:proofErr w:type="spellStart"/>
      <w:r w:rsidRPr="00B75647">
        <w:rPr>
          <w:sz w:val="18"/>
          <w:szCs w:val="20"/>
          <w:rtl/>
        </w:rPr>
        <w:t>לוסטיק</w:t>
      </w:r>
      <w:proofErr w:type="spellEnd"/>
      <w:r w:rsidRPr="00B75647">
        <w:rPr>
          <w:sz w:val="18"/>
          <w:szCs w:val="20"/>
          <w:rtl/>
        </w:rPr>
        <w:t xml:space="preserve">, א' (1985). </w:t>
      </w:r>
      <w:r w:rsidRPr="00B75647">
        <w:rPr>
          <w:bCs/>
          <w:sz w:val="18"/>
          <w:szCs w:val="20"/>
          <w:rtl/>
        </w:rPr>
        <w:t>ערבים במדינה היהודית: שליטת ישראל במיעוט לאומי</w:t>
      </w:r>
      <w:r w:rsidRPr="00B75647">
        <w:rPr>
          <w:i/>
          <w:sz w:val="18"/>
          <w:szCs w:val="20"/>
          <w:rtl/>
        </w:rPr>
        <w:t>.</w:t>
      </w:r>
      <w:r w:rsidRPr="00B75647">
        <w:rPr>
          <w:sz w:val="18"/>
          <w:szCs w:val="20"/>
          <w:rtl/>
        </w:rPr>
        <w:t xml:space="preserve"> חיפה: מפרש.</w:t>
      </w:r>
    </w:p>
    <w:p w14:paraId="16CB9DE1" w14:textId="7B31F727" w:rsidR="00452401" w:rsidRPr="00B75647" w:rsidRDefault="00452401" w:rsidP="00B75647">
      <w:pPr>
        <w:spacing w:after="120"/>
        <w:ind w:left="397" w:hanging="397"/>
        <w:jc w:val="both"/>
        <w:rPr>
          <w:sz w:val="18"/>
          <w:szCs w:val="20"/>
        </w:rPr>
      </w:pPr>
      <w:r w:rsidRPr="00B75647">
        <w:rPr>
          <w:sz w:val="18"/>
          <w:szCs w:val="20"/>
          <w:rtl/>
        </w:rPr>
        <w:t>הלשכה המרכזית לסטטיסטיקה</w:t>
      </w:r>
      <w:r w:rsidRPr="00B75647">
        <w:rPr>
          <w:rFonts w:hint="cs"/>
          <w:sz w:val="18"/>
          <w:szCs w:val="20"/>
          <w:rtl/>
        </w:rPr>
        <w:t xml:space="preserve">. </w:t>
      </w:r>
      <w:r w:rsidRPr="00B75647">
        <w:rPr>
          <w:b/>
          <w:bCs/>
          <w:sz w:val="18"/>
          <w:szCs w:val="20"/>
          <w:rtl/>
        </w:rPr>
        <w:t>השנתון הסטטיסטי לישראל</w:t>
      </w:r>
      <w:r w:rsidRPr="00B75647">
        <w:rPr>
          <w:sz w:val="18"/>
          <w:szCs w:val="20"/>
          <w:rtl/>
        </w:rPr>
        <w:t>. שנים נבחרות.</w:t>
      </w:r>
    </w:p>
    <w:p w14:paraId="1C7471AB" w14:textId="77777777" w:rsidR="00452401" w:rsidRPr="00B75647" w:rsidRDefault="00452401" w:rsidP="00B75647">
      <w:pPr>
        <w:spacing w:after="120"/>
        <w:ind w:left="397" w:hanging="397"/>
        <w:jc w:val="both"/>
        <w:rPr>
          <w:sz w:val="18"/>
          <w:szCs w:val="20"/>
        </w:rPr>
      </w:pPr>
      <w:r w:rsidRPr="00B75647">
        <w:rPr>
          <w:sz w:val="18"/>
          <w:szCs w:val="20"/>
          <w:rtl/>
        </w:rPr>
        <w:t xml:space="preserve">מאיר, א' (1999). </w:t>
      </w:r>
      <w:r w:rsidRPr="00B75647">
        <w:rPr>
          <w:bCs/>
          <w:sz w:val="18"/>
          <w:szCs w:val="20"/>
          <w:rtl/>
        </w:rPr>
        <w:t>המתח בין בדווי הנגב למדינה: מדיניות ומציאות</w:t>
      </w:r>
      <w:r w:rsidRPr="00B75647">
        <w:rPr>
          <w:sz w:val="18"/>
          <w:szCs w:val="20"/>
          <w:rtl/>
        </w:rPr>
        <w:t xml:space="preserve">. ירושלים: מכון </w:t>
      </w:r>
      <w:proofErr w:type="spellStart"/>
      <w:r w:rsidRPr="00B75647">
        <w:rPr>
          <w:sz w:val="18"/>
          <w:szCs w:val="20"/>
          <w:rtl/>
        </w:rPr>
        <w:t>פלורסהיימר</w:t>
      </w:r>
      <w:proofErr w:type="spellEnd"/>
      <w:r w:rsidRPr="00B75647">
        <w:rPr>
          <w:sz w:val="18"/>
          <w:szCs w:val="20"/>
          <w:rtl/>
        </w:rPr>
        <w:t xml:space="preserve"> למחקרי מדיניות. </w:t>
      </w:r>
    </w:p>
    <w:p w14:paraId="3A39780D" w14:textId="77777777" w:rsidR="00452401" w:rsidRPr="00B75647" w:rsidRDefault="00452401" w:rsidP="00B75647">
      <w:pPr>
        <w:spacing w:after="120"/>
        <w:ind w:left="397" w:hanging="397"/>
        <w:jc w:val="both"/>
        <w:rPr>
          <w:sz w:val="18"/>
          <w:szCs w:val="20"/>
        </w:rPr>
      </w:pPr>
      <w:r w:rsidRPr="00B75647">
        <w:rPr>
          <w:sz w:val="18"/>
          <w:szCs w:val="20"/>
          <w:rtl/>
        </w:rPr>
        <w:t xml:space="preserve">מאיר, א' (2006). </w:t>
      </w:r>
      <w:r w:rsidRPr="00B75647">
        <w:rPr>
          <w:bCs/>
          <w:sz w:val="18"/>
          <w:szCs w:val="20"/>
          <w:rtl/>
        </w:rPr>
        <w:t>כלכלה וקרקע בקרב בדווי הנגב: תהליכים חדשים, תובנות חדשות</w:t>
      </w:r>
      <w:r w:rsidRPr="00B75647">
        <w:rPr>
          <w:sz w:val="18"/>
          <w:szCs w:val="20"/>
          <w:rtl/>
        </w:rPr>
        <w:t>. באר שבע: מרכז הנגב לפיתוח אזורי, אוניברסיטת בן-גוריון בנגב.</w:t>
      </w:r>
    </w:p>
    <w:p w14:paraId="49BF56C6" w14:textId="4705CB25" w:rsidR="00452401" w:rsidRPr="00B75647" w:rsidRDefault="00452401" w:rsidP="00CB60AE">
      <w:pPr>
        <w:spacing w:after="120"/>
        <w:ind w:left="397" w:hanging="397"/>
        <w:jc w:val="both"/>
        <w:rPr>
          <w:sz w:val="18"/>
          <w:szCs w:val="20"/>
        </w:rPr>
      </w:pPr>
      <w:r w:rsidRPr="00B75647">
        <w:rPr>
          <w:sz w:val="18"/>
          <w:szCs w:val="20"/>
          <w:rtl/>
        </w:rPr>
        <w:t xml:space="preserve">מאיר, א' ובן-דוד, </w:t>
      </w:r>
      <w:r w:rsidRPr="00B75647">
        <w:rPr>
          <w:rFonts w:hint="cs"/>
          <w:sz w:val="18"/>
          <w:szCs w:val="20"/>
          <w:rtl/>
        </w:rPr>
        <w:t xml:space="preserve">י' </w:t>
      </w:r>
      <w:r w:rsidRPr="00B75647">
        <w:rPr>
          <w:sz w:val="18"/>
          <w:szCs w:val="20"/>
          <w:rtl/>
        </w:rPr>
        <w:t>(1989)</w:t>
      </w:r>
      <w:r w:rsidRPr="00B75647">
        <w:rPr>
          <w:rFonts w:hint="cs"/>
          <w:b/>
          <w:sz w:val="18"/>
          <w:szCs w:val="20"/>
          <w:rtl/>
        </w:rPr>
        <w:t xml:space="preserve">. </w:t>
      </w:r>
      <w:r w:rsidRPr="00B75647">
        <w:rPr>
          <w:bCs/>
          <w:sz w:val="18"/>
          <w:szCs w:val="20"/>
          <w:rtl/>
        </w:rPr>
        <w:t>התנהגות דמוגרפית-</w:t>
      </w:r>
      <w:proofErr w:type="spellStart"/>
      <w:r w:rsidRPr="00B75647">
        <w:rPr>
          <w:bCs/>
          <w:sz w:val="18"/>
          <w:szCs w:val="20"/>
          <w:rtl/>
        </w:rPr>
        <w:t>פריונית</w:t>
      </w:r>
      <w:proofErr w:type="spellEnd"/>
      <w:r w:rsidRPr="00B75647">
        <w:rPr>
          <w:bCs/>
          <w:sz w:val="18"/>
          <w:szCs w:val="20"/>
          <w:rtl/>
        </w:rPr>
        <w:t xml:space="preserve"> של בדווי הנגב</w:t>
      </w:r>
      <w:r w:rsidRPr="00B75647">
        <w:rPr>
          <w:sz w:val="18"/>
          <w:szCs w:val="20"/>
          <w:rtl/>
        </w:rPr>
        <w:t>. דוח מחקר</w:t>
      </w:r>
      <w:r w:rsidRPr="00B75647">
        <w:rPr>
          <w:rFonts w:hint="cs"/>
          <w:sz w:val="18"/>
          <w:szCs w:val="20"/>
          <w:rtl/>
        </w:rPr>
        <w:t>.</w:t>
      </w:r>
      <w:r w:rsidRPr="00B75647">
        <w:rPr>
          <w:sz w:val="18"/>
          <w:szCs w:val="20"/>
          <w:rtl/>
        </w:rPr>
        <w:t xml:space="preserve"> ירושלים</w:t>
      </w:r>
      <w:r w:rsidRPr="00B75647">
        <w:rPr>
          <w:rFonts w:hint="cs"/>
          <w:sz w:val="18"/>
          <w:szCs w:val="20"/>
          <w:rtl/>
        </w:rPr>
        <w:t>:</w:t>
      </w:r>
      <w:r w:rsidRPr="00B75647">
        <w:rPr>
          <w:sz w:val="18"/>
          <w:szCs w:val="20"/>
          <w:rtl/>
        </w:rPr>
        <w:t xml:space="preserve"> האקדמיה הלאומית הישראלית למדעים, הקרן למחקר בסיסי.</w:t>
      </w:r>
    </w:p>
    <w:p w14:paraId="4C70D1C8" w14:textId="436138EA" w:rsidR="00452401" w:rsidRPr="00B75647" w:rsidRDefault="00452401" w:rsidP="00B75647">
      <w:pPr>
        <w:spacing w:after="120"/>
        <w:ind w:left="397" w:hanging="397"/>
        <w:jc w:val="both"/>
        <w:rPr>
          <w:sz w:val="18"/>
          <w:szCs w:val="20"/>
        </w:rPr>
      </w:pPr>
      <w:r w:rsidRPr="00B75647">
        <w:rPr>
          <w:sz w:val="18"/>
          <w:szCs w:val="20"/>
          <w:rtl/>
        </w:rPr>
        <w:t xml:space="preserve">מאיר, א' ובן-דוד, י' (1994). תהליכים </w:t>
      </w:r>
      <w:proofErr w:type="spellStart"/>
      <w:r w:rsidRPr="00B75647">
        <w:rPr>
          <w:sz w:val="18"/>
          <w:szCs w:val="20"/>
          <w:rtl/>
        </w:rPr>
        <w:t>דמוגראפיים</w:t>
      </w:r>
      <w:proofErr w:type="spellEnd"/>
      <w:r w:rsidRPr="00B75647">
        <w:rPr>
          <w:sz w:val="18"/>
          <w:szCs w:val="20"/>
          <w:rtl/>
        </w:rPr>
        <w:t xml:space="preserve"> בקרב בדווי הנגב המתעיירים. בתוך ד' גרוסמן וא' מאיר (עורכים)</w:t>
      </w:r>
      <w:r w:rsidRPr="00B75647">
        <w:rPr>
          <w:rFonts w:hint="cs"/>
          <w:sz w:val="18"/>
          <w:szCs w:val="20"/>
          <w:rtl/>
        </w:rPr>
        <w:t>,</w:t>
      </w:r>
      <w:r w:rsidRPr="00B75647">
        <w:rPr>
          <w:sz w:val="18"/>
          <w:szCs w:val="20"/>
          <w:rtl/>
        </w:rPr>
        <w:t xml:space="preserve"> </w:t>
      </w:r>
      <w:r w:rsidRPr="00B75647">
        <w:rPr>
          <w:bCs/>
          <w:sz w:val="18"/>
          <w:szCs w:val="20"/>
          <w:rtl/>
        </w:rPr>
        <w:t>היישוב הערבי בישראל</w:t>
      </w:r>
      <w:r w:rsidRPr="00B75647">
        <w:rPr>
          <w:rFonts w:hint="cs"/>
          <w:bCs/>
          <w:sz w:val="18"/>
          <w:szCs w:val="20"/>
          <w:rtl/>
        </w:rPr>
        <w:t>:</w:t>
      </w:r>
      <w:r w:rsidRPr="00B75647">
        <w:rPr>
          <w:bCs/>
          <w:sz w:val="18"/>
          <w:szCs w:val="20"/>
          <w:rtl/>
        </w:rPr>
        <w:t xml:space="preserve"> תהליכים גיאוגרפיים</w:t>
      </w:r>
      <w:r w:rsidRPr="00B75647">
        <w:rPr>
          <w:rFonts w:hint="cs"/>
          <w:bCs/>
          <w:sz w:val="18"/>
          <w:szCs w:val="20"/>
          <w:rtl/>
        </w:rPr>
        <w:t xml:space="preserve"> </w:t>
      </w:r>
      <w:r w:rsidRPr="00B75647">
        <w:rPr>
          <w:rFonts w:hint="cs"/>
          <w:b/>
          <w:sz w:val="18"/>
          <w:szCs w:val="20"/>
          <w:rtl/>
        </w:rPr>
        <w:t>(</w:t>
      </w:r>
      <w:r w:rsidRPr="00B75647">
        <w:rPr>
          <w:sz w:val="18"/>
          <w:szCs w:val="20"/>
          <w:rtl/>
        </w:rPr>
        <w:t>עמ'</w:t>
      </w:r>
      <w:r w:rsidRPr="00B75647">
        <w:rPr>
          <w:rFonts w:hint="cs"/>
          <w:sz w:val="18"/>
          <w:szCs w:val="20"/>
          <w:rtl/>
        </w:rPr>
        <w:t xml:space="preserve"> </w:t>
      </w:r>
      <w:r w:rsidR="00B75647">
        <w:rPr>
          <w:sz w:val="18"/>
          <w:szCs w:val="20"/>
          <w:rtl/>
        </w:rPr>
        <w:br/>
      </w:r>
      <w:r w:rsidRPr="00B75647">
        <w:rPr>
          <w:rFonts w:hint="cs"/>
          <w:sz w:val="18"/>
          <w:szCs w:val="20"/>
          <w:rtl/>
        </w:rPr>
        <w:t>77</w:t>
      </w:r>
      <w:r w:rsidRPr="00B75647">
        <w:rPr>
          <w:sz w:val="18"/>
          <w:szCs w:val="20"/>
          <w:rtl/>
        </w:rPr>
        <w:t>–</w:t>
      </w:r>
      <w:r w:rsidRPr="00B75647">
        <w:rPr>
          <w:rFonts w:hint="cs"/>
          <w:sz w:val="18"/>
          <w:szCs w:val="20"/>
          <w:rtl/>
        </w:rPr>
        <w:t>95). רמת גן:</w:t>
      </w:r>
      <w:r w:rsidRPr="00B75647">
        <w:rPr>
          <w:sz w:val="18"/>
          <w:szCs w:val="20"/>
          <w:rtl/>
        </w:rPr>
        <w:t xml:space="preserve"> אוניברסיטת בר-אילן</w:t>
      </w:r>
      <w:r w:rsidRPr="00B75647">
        <w:rPr>
          <w:rFonts w:hint="cs"/>
          <w:sz w:val="18"/>
          <w:szCs w:val="20"/>
          <w:rtl/>
        </w:rPr>
        <w:t xml:space="preserve">. </w:t>
      </w:r>
    </w:p>
    <w:p w14:paraId="1F2CB60E" w14:textId="77777777" w:rsidR="00452401" w:rsidRPr="00B75647" w:rsidRDefault="00452401" w:rsidP="00B75647">
      <w:pPr>
        <w:spacing w:after="120"/>
        <w:ind w:left="397" w:hanging="397"/>
        <w:jc w:val="both"/>
        <w:rPr>
          <w:sz w:val="18"/>
          <w:szCs w:val="20"/>
        </w:rPr>
      </w:pPr>
      <w:r w:rsidRPr="00B75647">
        <w:rPr>
          <w:sz w:val="18"/>
          <w:szCs w:val="20"/>
          <w:rtl/>
        </w:rPr>
        <w:t xml:space="preserve">ממשלת ישראל (2018). </w:t>
      </w:r>
      <w:r w:rsidRPr="00B75647">
        <w:rPr>
          <w:bCs/>
          <w:sz w:val="18"/>
          <w:szCs w:val="20"/>
          <w:rtl/>
        </w:rPr>
        <w:t>התוכנית לפיתוח כלכלי-חברתי בקרב האוכלוסייה הבדואית בנגב 2017–2021</w:t>
      </w:r>
      <w:r w:rsidRPr="00B75647">
        <w:rPr>
          <w:sz w:val="18"/>
          <w:szCs w:val="20"/>
          <w:rtl/>
        </w:rPr>
        <w:t xml:space="preserve"> (ממשלת ישראל, החלטה מספר 2397).</w:t>
      </w:r>
    </w:p>
    <w:p w14:paraId="11510D1B" w14:textId="77777777" w:rsidR="00452401" w:rsidRPr="00B75647" w:rsidRDefault="00452401" w:rsidP="00B75647">
      <w:pPr>
        <w:spacing w:after="120"/>
        <w:ind w:left="397" w:hanging="397"/>
        <w:jc w:val="both"/>
        <w:rPr>
          <w:sz w:val="18"/>
          <w:szCs w:val="20"/>
        </w:rPr>
      </w:pPr>
      <w:r w:rsidRPr="00B75647">
        <w:rPr>
          <w:sz w:val="18"/>
          <w:szCs w:val="20"/>
          <w:rtl/>
        </w:rPr>
        <w:t xml:space="preserve">מריות, א' (2011). </w:t>
      </w:r>
      <w:r w:rsidRPr="00B75647">
        <w:rPr>
          <w:bCs/>
          <w:sz w:val="18"/>
          <w:szCs w:val="20"/>
          <w:rtl/>
        </w:rPr>
        <w:t>אימוץ והטמעה בדווים של שרידים קדומים מהסביבה הארכיאולוגית של עבדת הביזנטית בתהליך ההתקבעות המסורתי והעכשווי בהר הנגב</w:t>
      </w:r>
      <w:r w:rsidRPr="00B75647">
        <w:rPr>
          <w:b/>
          <w:sz w:val="18"/>
          <w:szCs w:val="20"/>
          <w:rtl/>
        </w:rPr>
        <w:t xml:space="preserve"> </w:t>
      </w:r>
      <w:r w:rsidRPr="00B75647">
        <w:rPr>
          <w:sz w:val="18"/>
          <w:szCs w:val="20"/>
          <w:rtl/>
        </w:rPr>
        <w:t xml:space="preserve">(חיבור לשם קבלת תואר "דוקטור לפילוסופיה"). באר שבע: אוניברסיטת בן-גוריון בנגב. </w:t>
      </w:r>
    </w:p>
    <w:p w14:paraId="6D708C5D" w14:textId="77777777" w:rsidR="00452401" w:rsidRPr="00B75647" w:rsidRDefault="00452401" w:rsidP="00B75647">
      <w:pPr>
        <w:spacing w:after="120"/>
        <w:ind w:left="397" w:hanging="397"/>
        <w:jc w:val="both"/>
        <w:rPr>
          <w:sz w:val="18"/>
          <w:szCs w:val="20"/>
        </w:rPr>
      </w:pPr>
      <w:r w:rsidRPr="00B75647">
        <w:rPr>
          <w:sz w:val="18"/>
          <w:szCs w:val="20"/>
          <w:rtl/>
        </w:rPr>
        <w:t xml:space="preserve">מרקס, ע' (1974). </w:t>
      </w:r>
      <w:r w:rsidRPr="00B75647">
        <w:rPr>
          <w:bCs/>
          <w:sz w:val="18"/>
          <w:szCs w:val="20"/>
          <w:rtl/>
        </w:rPr>
        <w:t>החברה הבדואית בנגב</w:t>
      </w:r>
      <w:r w:rsidRPr="00B75647">
        <w:rPr>
          <w:sz w:val="18"/>
          <w:szCs w:val="20"/>
          <w:rtl/>
        </w:rPr>
        <w:t>.</w:t>
      </w:r>
      <w:r w:rsidRPr="00B75647">
        <w:rPr>
          <w:rFonts w:hint="cs"/>
          <w:sz w:val="18"/>
          <w:szCs w:val="20"/>
          <w:rtl/>
        </w:rPr>
        <w:t xml:space="preserve"> </w:t>
      </w:r>
      <w:r w:rsidRPr="00B75647">
        <w:rPr>
          <w:sz w:val="18"/>
          <w:szCs w:val="20"/>
          <w:rtl/>
        </w:rPr>
        <w:t>תל</w:t>
      </w:r>
      <w:r w:rsidRPr="00B75647">
        <w:rPr>
          <w:rFonts w:hint="cs"/>
          <w:sz w:val="18"/>
          <w:szCs w:val="20"/>
          <w:rtl/>
        </w:rPr>
        <w:t xml:space="preserve"> </w:t>
      </w:r>
      <w:r w:rsidRPr="00B75647">
        <w:rPr>
          <w:sz w:val="18"/>
          <w:szCs w:val="20"/>
          <w:rtl/>
        </w:rPr>
        <w:t xml:space="preserve">אביב: רשפים. </w:t>
      </w:r>
    </w:p>
    <w:p w14:paraId="11C5B789" w14:textId="77777777" w:rsidR="00452401" w:rsidRPr="00B75647" w:rsidRDefault="00452401" w:rsidP="00B75647">
      <w:pPr>
        <w:spacing w:after="120"/>
        <w:ind w:left="397" w:hanging="397"/>
        <w:jc w:val="both"/>
        <w:rPr>
          <w:b/>
          <w:sz w:val="18"/>
          <w:szCs w:val="20"/>
        </w:rPr>
      </w:pPr>
      <w:proofErr w:type="spellStart"/>
      <w:r w:rsidRPr="00B75647">
        <w:rPr>
          <w:sz w:val="18"/>
          <w:szCs w:val="20"/>
          <w:rtl/>
        </w:rPr>
        <w:t>סבטאלו</w:t>
      </w:r>
      <w:proofErr w:type="spellEnd"/>
      <w:r w:rsidRPr="00B75647">
        <w:rPr>
          <w:sz w:val="18"/>
          <w:szCs w:val="20"/>
          <w:rtl/>
        </w:rPr>
        <w:t xml:space="preserve">, א', אדלר, י', </w:t>
      </w:r>
      <w:proofErr w:type="spellStart"/>
      <w:r w:rsidRPr="00B75647">
        <w:rPr>
          <w:sz w:val="18"/>
          <w:szCs w:val="20"/>
          <w:rtl/>
        </w:rPr>
        <w:t>שטרקשל</w:t>
      </w:r>
      <w:proofErr w:type="spellEnd"/>
      <w:r w:rsidRPr="00B75647">
        <w:rPr>
          <w:sz w:val="18"/>
          <w:szCs w:val="20"/>
          <w:rtl/>
        </w:rPr>
        <w:t xml:space="preserve">, ר' ופרץ, א' (1996). התפתחות הפריון בקרב נשים מוסלמיות בישראל בעשור האחרון: מחקר אורך. </w:t>
      </w:r>
      <w:r w:rsidRPr="00B75647">
        <w:rPr>
          <w:bCs/>
          <w:sz w:val="18"/>
          <w:szCs w:val="20"/>
          <w:rtl/>
        </w:rPr>
        <w:t>ביטחון סוציאלי</w:t>
      </w:r>
      <w:r w:rsidRPr="00B75647">
        <w:rPr>
          <w:rFonts w:hint="cs"/>
          <w:b/>
          <w:sz w:val="18"/>
          <w:szCs w:val="20"/>
          <w:rtl/>
        </w:rPr>
        <w:t>,</w:t>
      </w:r>
      <w:r w:rsidRPr="00B75647">
        <w:rPr>
          <w:rFonts w:hint="cs"/>
          <w:bCs/>
          <w:sz w:val="18"/>
          <w:szCs w:val="20"/>
          <w:rtl/>
        </w:rPr>
        <w:t xml:space="preserve"> 46</w:t>
      </w:r>
      <w:r w:rsidRPr="00B75647">
        <w:rPr>
          <w:rFonts w:hint="cs"/>
          <w:b/>
          <w:sz w:val="18"/>
          <w:szCs w:val="20"/>
          <w:rtl/>
        </w:rPr>
        <w:t>, 64</w:t>
      </w:r>
      <w:r w:rsidRPr="00B75647">
        <w:rPr>
          <w:b/>
          <w:sz w:val="18"/>
          <w:szCs w:val="20"/>
          <w:rtl/>
        </w:rPr>
        <w:t>–</w:t>
      </w:r>
      <w:r w:rsidRPr="00B75647">
        <w:rPr>
          <w:rFonts w:hint="cs"/>
          <w:b/>
          <w:sz w:val="18"/>
          <w:szCs w:val="20"/>
          <w:rtl/>
        </w:rPr>
        <w:t>84.</w:t>
      </w:r>
      <w:r w:rsidRPr="00B75647">
        <w:rPr>
          <w:b/>
          <w:sz w:val="18"/>
          <w:szCs w:val="20"/>
          <w:rtl/>
        </w:rPr>
        <w:t xml:space="preserve"> </w:t>
      </w:r>
    </w:p>
    <w:p w14:paraId="691EBE09" w14:textId="77777777" w:rsidR="00452401" w:rsidRPr="00B75647" w:rsidRDefault="00452401" w:rsidP="00B75647">
      <w:pPr>
        <w:spacing w:after="120"/>
        <w:ind w:left="397" w:hanging="397"/>
        <w:jc w:val="both"/>
        <w:rPr>
          <w:sz w:val="18"/>
          <w:szCs w:val="20"/>
        </w:rPr>
      </w:pPr>
      <w:proofErr w:type="spellStart"/>
      <w:r w:rsidRPr="00B75647">
        <w:rPr>
          <w:sz w:val="18"/>
          <w:szCs w:val="20"/>
          <w:rtl/>
        </w:rPr>
        <w:t>סבירסקי</w:t>
      </w:r>
      <w:proofErr w:type="spellEnd"/>
      <w:r w:rsidRPr="00B75647">
        <w:rPr>
          <w:sz w:val="18"/>
          <w:szCs w:val="20"/>
          <w:rtl/>
        </w:rPr>
        <w:t xml:space="preserve">, ש' וחסון, י' (2005). </w:t>
      </w:r>
      <w:r w:rsidRPr="00B75647">
        <w:rPr>
          <w:bCs/>
          <w:sz w:val="18"/>
          <w:szCs w:val="20"/>
          <w:rtl/>
        </w:rPr>
        <w:t>אזרחים שקופים: מדיניות הממשלה כלפי הבדואים בנגב</w:t>
      </w:r>
      <w:r w:rsidRPr="00B75647">
        <w:rPr>
          <w:rFonts w:hint="cs"/>
          <w:b/>
          <w:sz w:val="18"/>
          <w:szCs w:val="20"/>
          <w:rtl/>
        </w:rPr>
        <w:t>.</w:t>
      </w:r>
      <w:r w:rsidRPr="00B75647">
        <w:rPr>
          <w:b/>
          <w:i/>
          <w:sz w:val="18"/>
          <w:szCs w:val="20"/>
          <w:rtl/>
        </w:rPr>
        <w:t xml:space="preserve"> </w:t>
      </w:r>
      <w:r w:rsidRPr="00B75647">
        <w:rPr>
          <w:sz w:val="18"/>
          <w:szCs w:val="20"/>
          <w:rtl/>
        </w:rPr>
        <w:t>תל</w:t>
      </w:r>
      <w:r w:rsidRPr="00B75647">
        <w:rPr>
          <w:rFonts w:hint="cs"/>
          <w:sz w:val="18"/>
          <w:szCs w:val="20"/>
          <w:rtl/>
        </w:rPr>
        <w:t xml:space="preserve"> </w:t>
      </w:r>
      <w:r w:rsidRPr="00B75647">
        <w:rPr>
          <w:sz w:val="18"/>
          <w:szCs w:val="20"/>
          <w:rtl/>
        </w:rPr>
        <w:t>אביב: מרכז אדוה.</w:t>
      </w:r>
    </w:p>
    <w:p w14:paraId="5B6D531B" w14:textId="77777777" w:rsidR="00452401" w:rsidRPr="00B75647" w:rsidRDefault="00452401" w:rsidP="00B75647">
      <w:pPr>
        <w:spacing w:after="120"/>
        <w:ind w:left="397" w:hanging="397"/>
        <w:jc w:val="both"/>
        <w:rPr>
          <w:sz w:val="18"/>
          <w:szCs w:val="20"/>
          <w:rtl/>
        </w:rPr>
      </w:pPr>
      <w:proofErr w:type="spellStart"/>
      <w:r w:rsidRPr="00B75647">
        <w:rPr>
          <w:sz w:val="18"/>
          <w:szCs w:val="20"/>
          <w:rtl/>
        </w:rPr>
        <w:t>ספקטור</w:t>
      </w:r>
      <w:proofErr w:type="spellEnd"/>
      <w:r w:rsidRPr="00B75647">
        <w:rPr>
          <w:sz w:val="18"/>
          <w:szCs w:val="20"/>
          <w:rtl/>
        </w:rPr>
        <w:t xml:space="preserve">-בן ארי, ש' (2013). </w:t>
      </w:r>
      <w:r w:rsidRPr="00AF7CA3">
        <w:rPr>
          <w:bCs/>
          <w:sz w:val="18"/>
          <w:szCs w:val="20"/>
          <w:rtl/>
        </w:rPr>
        <w:t>הסדרת התיישבות הבדואים בנגב</w:t>
      </w:r>
      <w:r w:rsidRPr="00B75647">
        <w:rPr>
          <w:sz w:val="18"/>
          <w:szCs w:val="20"/>
          <w:rtl/>
        </w:rPr>
        <w:t xml:space="preserve">. ירושלים: מרכז המחקר והמידע של הכנסת. </w:t>
      </w:r>
      <w:r w:rsidR="00690018">
        <w:fldChar w:fldCharType="begin"/>
      </w:r>
      <w:r w:rsidR="00690018">
        <w:instrText xml:space="preserve"> HYPERLINK ""  "https://katzr.net/1c69d1" </w:instrText>
      </w:r>
      <w:r w:rsidR="00690018">
        <w:fldChar w:fldCharType="separate"/>
      </w:r>
      <w:r w:rsidRPr="00B75647">
        <w:rPr>
          <w:rStyle w:val="Hyperlink"/>
          <w:color w:val="auto"/>
          <w:sz w:val="18"/>
          <w:szCs w:val="20"/>
          <w:u w:val="none"/>
        </w:rPr>
        <w:t>https://katzr.net/1c69d1</w:t>
      </w:r>
      <w:r w:rsidR="00690018">
        <w:rPr>
          <w:rStyle w:val="Hyperlink"/>
          <w:color w:val="auto"/>
          <w:sz w:val="18"/>
          <w:szCs w:val="20"/>
          <w:u w:val="none"/>
        </w:rPr>
        <w:fldChar w:fldCharType="end"/>
      </w:r>
    </w:p>
    <w:p w14:paraId="0C1A2BF9" w14:textId="77777777" w:rsidR="00452401" w:rsidRPr="00B75647" w:rsidRDefault="00452401" w:rsidP="00B75647">
      <w:pPr>
        <w:spacing w:after="120"/>
        <w:ind w:left="397" w:hanging="397"/>
        <w:jc w:val="both"/>
        <w:rPr>
          <w:sz w:val="18"/>
          <w:szCs w:val="20"/>
        </w:rPr>
      </w:pPr>
      <w:r w:rsidRPr="00B75647">
        <w:rPr>
          <w:sz w:val="18"/>
          <w:szCs w:val="20"/>
          <w:rtl/>
        </w:rPr>
        <w:t xml:space="preserve">עצמון, א' (2013). המרחב הבדואי "הלא מוכר": התפתחות של סוגיה אסטרטגית. בתוך </w:t>
      </w:r>
      <w:r w:rsidRPr="00B75647">
        <w:rPr>
          <w:rFonts w:hint="cs"/>
          <w:sz w:val="18"/>
          <w:szCs w:val="20"/>
          <w:rtl/>
        </w:rPr>
        <w:t xml:space="preserve">ר' </w:t>
      </w:r>
      <w:proofErr w:type="spellStart"/>
      <w:r w:rsidRPr="00B75647">
        <w:rPr>
          <w:sz w:val="18"/>
          <w:szCs w:val="20"/>
          <w:rtl/>
        </w:rPr>
        <w:t>פדהצור</w:t>
      </w:r>
      <w:proofErr w:type="spellEnd"/>
      <w:r w:rsidRPr="00B75647">
        <w:rPr>
          <w:sz w:val="18"/>
          <w:szCs w:val="20"/>
          <w:rtl/>
        </w:rPr>
        <w:t xml:space="preserve"> (עורך), </w:t>
      </w:r>
      <w:r w:rsidRPr="00B75647">
        <w:rPr>
          <w:bCs/>
          <w:sz w:val="18"/>
          <w:szCs w:val="20"/>
          <w:rtl/>
        </w:rPr>
        <w:t>הבדואים בנגב: אתגר אסטרטגי לישראל</w:t>
      </w:r>
      <w:r w:rsidRPr="00B75647">
        <w:rPr>
          <w:b/>
          <w:sz w:val="18"/>
          <w:szCs w:val="20"/>
          <w:rtl/>
        </w:rPr>
        <w:t xml:space="preserve"> </w:t>
      </w:r>
      <w:r w:rsidRPr="00B75647">
        <w:rPr>
          <w:sz w:val="18"/>
          <w:szCs w:val="20"/>
          <w:rtl/>
        </w:rPr>
        <w:t xml:space="preserve">(עמ' 50–65). נתניה: המכללה האקדמית נתניה. </w:t>
      </w:r>
    </w:p>
    <w:p w14:paraId="631597EB" w14:textId="77777777" w:rsidR="00452401" w:rsidRPr="00B75647" w:rsidRDefault="00452401" w:rsidP="00B75647">
      <w:pPr>
        <w:spacing w:after="120"/>
        <w:ind w:left="397" w:hanging="397"/>
        <w:jc w:val="both"/>
        <w:rPr>
          <w:b/>
          <w:sz w:val="18"/>
          <w:szCs w:val="20"/>
        </w:rPr>
      </w:pPr>
      <w:r w:rsidRPr="00B75647">
        <w:rPr>
          <w:sz w:val="18"/>
          <w:szCs w:val="20"/>
          <w:rtl/>
        </w:rPr>
        <w:t xml:space="preserve">פורת, ח' (2009). </w:t>
      </w:r>
      <w:r w:rsidRPr="00B75647">
        <w:rPr>
          <w:bCs/>
          <w:sz w:val="18"/>
          <w:szCs w:val="20"/>
          <w:rtl/>
        </w:rPr>
        <w:t>הבדואים בנגב בין נוודות לעיור: 1948–1973</w:t>
      </w:r>
      <w:r w:rsidRPr="00B75647">
        <w:rPr>
          <w:sz w:val="18"/>
          <w:szCs w:val="20"/>
          <w:rtl/>
        </w:rPr>
        <w:t>. באר שבע: מרכז הנגב לפיתוח אזורי, אוניברסיטת בן-גוריון בנגב בשיתוף מכללת ספיר.</w:t>
      </w:r>
    </w:p>
    <w:p w14:paraId="4E71EF82" w14:textId="77777777" w:rsidR="00452401" w:rsidRPr="00B75647" w:rsidRDefault="00452401" w:rsidP="00B75647">
      <w:pPr>
        <w:spacing w:after="120"/>
        <w:ind w:left="397" w:hanging="397"/>
        <w:jc w:val="both"/>
        <w:rPr>
          <w:sz w:val="18"/>
          <w:szCs w:val="20"/>
        </w:rPr>
      </w:pPr>
      <w:proofErr w:type="spellStart"/>
      <w:r w:rsidRPr="00B75647">
        <w:rPr>
          <w:sz w:val="18"/>
          <w:szCs w:val="20"/>
          <w:rtl/>
        </w:rPr>
        <w:t>פראוור</w:t>
      </w:r>
      <w:proofErr w:type="spellEnd"/>
      <w:r w:rsidRPr="00B75647">
        <w:rPr>
          <w:sz w:val="18"/>
          <w:szCs w:val="20"/>
          <w:rtl/>
        </w:rPr>
        <w:t xml:space="preserve">, א' (2011). </w:t>
      </w:r>
      <w:r w:rsidRPr="00AF7CA3">
        <w:rPr>
          <w:bCs/>
          <w:sz w:val="18"/>
          <w:szCs w:val="20"/>
          <w:rtl/>
        </w:rPr>
        <w:t>המלצות צוות היישום לדוח גולדברג להסדרת התיישבות הבדואים בנגב</w:t>
      </w:r>
      <w:r w:rsidRPr="00B75647">
        <w:rPr>
          <w:sz w:val="18"/>
          <w:szCs w:val="20"/>
          <w:rtl/>
        </w:rPr>
        <w:t>. הוגש לממשלת ישראל, ירושלים.</w:t>
      </w:r>
    </w:p>
    <w:p w14:paraId="03FE1F9A" w14:textId="77777777" w:rsidR="00452401" w:rsidRPr="00B75647" w:rsidRDefault="00452401" w:rsidP="00B75647">
      <w:pPr>
        <w:spacing w:after="120"/>
        <w:ind w:left="397" w:hanging="397"/>
        <w:jc w:val="both"/>
        <w:rPr>
          <w:sz w:val="18"/>
          <w:szCs w:val="20"/>
        </w:rPr>
      </w:pPr>
      <w:proofErr w:type="spellStart"/>
      <w:r w:rsidRPr="00B75647">
        <w:rPr>
          <w:sz w:val="18"/>
          <w:szCs w:val="20"/>
          <w:rtl/>
        </w:rPr>
        <w:t>צפדיה</w:t>
      </w:r>
      <w:proofErr w:type="spellEnd"/>
      <w:r w:rsidRPr="00B75647">
        <w:rPr>
          <w:sz w:val="18"/>
          <w:szCs w:val="20"/>
          <w:rtl/>
        </w:rPr>
        <w:t xml:space="preserve">, א' ורודד, ב' (2011). </w:t>
      </w:r>
      <w:r w:rsidRPr="00B75647">
        <w:rPr>
          <w:bCs/>
          <w:sz w:val="18"/>
          <w:szCs w:val="20"/>
          <w:rtl/>
        </w:rPr>
        <w:t>מבט השוואתי על התפתחות ההכרה בזכויות קרקע של עמים ילידים: המקרה של הערבים-בדואים בנגב</w:t>
      </w:r>
      <w:r w:rsidRPr="00B75647">
        <w:rPr>
          <w:b/>
          <w:sz w:val="18"/>
          <w:szCs w:val="20"/>
          <w:rtl/>
        </w:rPr>
        <w:t xml:space="preserve">. </w:t>
      </w:r>
      <w:r w:rsidRPr="00B75647">
        <w:rPr>
          <w:sz w:val="18"/>
          <w:szCs w:val="20"/>
          <w:rtl/>
        </w:rPr>
        <w:t>באר</w:t>
      </w:r>
      <w:r w:rsidRPr="00B75647">
        <w:rPr>
          <w:rFonts w:hint="cs"/>
          <w:sz w:val="18"/>
          <w:szCs w:val="20"/>
          <w:rtl/>
        </w:rPr>
        <w:t xml:space="preserve"> </w:t>
      </w:r>
      <w:r w:rsidRPr="00B75647">
        <w:rPr>
          <w:sz w:val="18"/>
          <w:szCs w:val="20"/>
          <w:rtl/>
        </w:rPr>
        <w:t>שבע: אוניברסיטת בן-גוריון בנגב, מרכז רוברט ה' ארנו לחקר החברה הבדואית והתפתחותה.</w:t>
      </w:r>
    </w:p>
    <w:p w14:paraId="470F1476" w14:textId="77777777" w:rsidR="00452401" w:rsidRPr="00B75647" w:rsidRDefault="00452401" w:rsidP="00B75647">
      <w:pPr>
        <w:spacing w:after="120"/>
        <w:ind w:left="397" w:hanging="397"/>
        <w:jc w:val="both"/>
        <w:rPr>
          <w:sz w:val="18"/>
          <w:szCs w:val="20"/>
        </w:rPr>
      </w:pPr>
      <w:r w:rsidRPr="00B75647">
        <w:rPr>
          <w:sz w:val="18"/>
          <w:szCs w:val="20"/>
          <w:rtl/>
        </w:rPr>
        <w:lastRenderedPageBreak/>
        <w:t xml:space="preserve">קאסם, פ' (2000). </w:t>
      </w:r>
      <w:r w:rsidRPr="00B75647">
        <w:rPr>
          <w:bCs/>
          <w:sz w:val="18"/>
          <w:szCs w:val="20"/>
          <w:rtl/>
        </w:rPr>
        <w:t>מנהיגות נשים בדואיות: דרכי צמיחה במציאות משתנה</w:t>
      </w:r>
      <w:r w:rsidRPr="00B75647">
        <w:rPr>
          <w:b/>
          <w:sz w:val="18"/>
          <w:szCs w:val="20"/>
          <w:rtl/>
        </w:rPr>
        <w:t xml:space="preserve"> </w:t>
      </w:r>
      <w:r w:rsidRPr="00B75647">
        <w:rPr>
          <w:sz w:val="18"/>
          <w:szCs w:val="20"/>
          <w:rtl/>
        </w:rPr>
        <w:t>(חיבור לקבלת תואר מוסמך). באר שבע: אוניברסיטת בן-גוריון בנגב.</w:t>
      </w:r>
    </w:p>
    <w:p w14:paraId="2890D194" w14:textId="77777777" w:rsidR="00452401" w:rsidRPr="00B75647" w:rsidRDefault="00452401" w:rsidP="00B75647">
      <w:pPr>
        <w:spacing w:after="120"/>
        <w:ind w:left="397" w:hanging="397"/>
        <w:jc w:val="both"/>
        <w:rPr>
          <w:sz w:val="18"/>
          <w:szCs w:val="20"/>
        </w:rPr>
      </w:pPr>
      <w:r w:rsidRPr="00B75647">
        <w:rPr>
          <w:sz w:val="18"/>
          <w:szCs w:val="20"/>
          <w:rtl/>
        </w:rPr>
        <w:t xml:space="preserve">קרם, נ' (2013). אדמה, תרבות ומשפט: התפתחות המשפט </w:t>
      </w:r>
      <w:proofErr w:type="spellStart"/>
      <w:r w:rsidRPr="00B75647">
        <w:rPr>
          <w:sz w:val="18"/>
          <w:szCs w:val="20"/>
          <w:rtl/>
        </w:rPr>
        <w:t>המנהגי</w:t>
      </w:r>
      <w:proofErr w:type="spellEnd"/>
      <w:r w:rsidRPr="00B75647">
        <w:rPr>
          <w:sz w:val="18"/>
          <w:szCs w:val="20"/>
          <w:rtl/>
        </w:rPr>
        <w:t xml:space="preserve"> הבדואי לגבי בעלות על האדמה מאמצע המאה ה-19 ועד אמצע המאה ה-20. בתוך י' </w:t>
      </w:r>
      <w:proofErr w:type="spellStart"/>
      <w:r w:rsidRPr="00B75647">
        <w:rPr>
          <w:sz w:val="18"/>
          <w:szCs w:val="20"/>
          <w:rtl/>
        </w:rPr>
        <w:t>קרפלוס</w:t>
      </w:r>
      <w:proofErr w:type="spellEnd"/>
      <w:r w:rsidRPr="00B75647">
        <w:rPr>
          <w:sz w:val="18"/>
          <w:szCs w:val="20"/>
          <w:rtl/>
        </w:rPr>
        <w:t xml:space="preserve"> וא' ומאיר (עורכים), </w:t>
      </w:r>
      <w:r w:rsidRPr="00B75647">
        <w:rPr>
          <w:bCs/>
          <w:sz w:val="18"/>
          <w:szCs w:val="20"/>
          <w:rtl/>
        </w:rPr>
        <w:t>הבניית המרחב הבדואי בנגב</w:t>
      </w:r>
      <w:r w:rsidRPr="00B75647">
        <w:rPr>
          <w:sz w:val="18"/>
          <w:szCs w:val="20"/>
          <w:rtl/>
        </w:rPr>
        <w:t xml:space="preserve"> </w:t>
      </w:r>
      <w:r w:rsidRPr="00B75647">
        <w:rPr>
          <w:rFonts w:hint="cs"/>
          <w:sz w:val="18"/>
          <w:szCs w:val="20"/>
          <w:rtl/>
        </w:rPr>
        <w:t>(עמ' 116</w:t>
      </w:r>
      <w:r w:rsidRPr="00B75647">
        <w:rPr>
          <w:sz w:val="18"/>
          <w:szCs w:val="20"/>
          <w:rtl/>
        </w:rPr>
        <w:t>–</w:t>
      </w:r>
      <w:r w:rsidRPr="00B75647">
        <w:rPr>
          <w:rFonts w:hint="cs"/>
          <w:sz w:val="18"/>
          <w:szCs w:val="20"/>
          <w:rtl/>
        </w:rPr>
        <w:t xml:space="preserve">144). </w:t>
      </w:r>
      <w:r w:rsidRPr="00B75647">
        <w:rPr>
          <w:sz w:val="18"/>
          <w:szCs w:val="20"/>
          <w:rtl/>
        </w:rPr>
        <w:t>באר שבע</w:t>
      </w:r>
      <w:r w:rsidRPr="00B75647">
        <w:rPr>
          <w:rFonts w:hint="cs"/>
          <w:sz w:val="18"/>
          <w:szCs w:val="20"/>
          <w:rtl/>
        </w:rPr>
        <w:t xml:space="preserve">: </w:t>
      </w:r>
      <w:r w:rsidRPr="00B75647">
        <w:rPr>
          <w:sz w:val="18"/>
          <w:szCs w:val="20"/>
          <w:rtl/>
        </w:rPr>
        <w:t>מרכז הנגב לפיתוח אזורי, אוניברסיטת בן-גוריון בנגב.</w:t>
      </w:r>
    </w:p>
    <w:p w14:paraId="56C4E505" w14:textId="77777777" w:rsidR="00452401" w:rsidRPr="00B75647" w:rsidRDefault="00452401" w:rsidP="00B75647">
      <w:pPr>
        <w:spacing w:after="120"/>
        <w:ind w:left="397" w:hanging="397"/>
        <w:jc w:val="both"/>
        <w:rPr>
          <w:sz w:val="18"/>
          <w:szCs w:val="20"/>
        </w:rPr>
      </w:pPr>
      <w:proofErr w:type="spellStart"/>
      <w:r w:rsidRPr="00B75647">
        <w:rPr>
          <w:sz w:val="18"/>
          <w:szCs w:val="20"/>
          <w:rtl/>
        </w:rPr>
        <w:t>קרסל</w:t>
      </w:r>
      <w:proofErr w:type="spellEnd"/>
      <w:r w:rsidRPr="00B75647">
        <w:rPr>
          <w:sz w:val="18"/>
          <w:szCs w:val="20"/>
          <w:rtl/>
        </w:rPr>
        <w:t xml:space="preserve">, ג' (1976). </w:t>
      </w:r>
      <w:r w:rsidRPr="00B75647">
        <w:rPr>
          <w:bCs/>
          <w:sz w:val="18"/>
          <w:szCs w:val="20"/>
          <w:rtl/>
        </w:rPr>
        <w:t>פרטיות לעומת שבטיות</w:t>
      </w:r>
      <w:r w:rsidRPr="00B75647">
        <w:rPr>
          <w:rFonts w:hint="cs"/>
          <w:bCs/>
          <w:sz w:val="18"/>
          <w:szCs w:val="20"/>
          <w:rtl/>
        </w:rPr>
        <w:t>:</w:t>
      </w:r>
      <w:r w:rsidRPr="00B75647">
        <w:rPr>
          <w:bCs/>
          <w:sz w:val="18"/>
          <w:szCs w:val="20"/>
          <w:rtl/>
        </w:rPr>
        <w:t xml:space="preserve"> דינמיקה של קהילת בדואים בתהליך </w:t>
      </w:r>
      <w:proofErr w:type="spellStart"/>
      <w:r w:rsidRPr="00B75647">
        <w:rPr>
          <w:bCs/>
          <w:sz w:val="18"/>
          <w:szCs w:val="20"/>
          <w:rtl/>
        </w:rPr>
        <w:t>התעיירות</w:t>
      </w:r>
      <w:proofErr w:type="spellEnd"/>
      <w:r w:rsidRPr="00B75647">
        <w:rPr>
          <w:b/>
          <w:sz w:val="18"/>
          <w:szCs w:val="20"/>
          <w:rtl/>
        </w:rPr>
        <w:t>.</w:t>
      </w:r>
      <w:r w:rsidRPr="00B75647">
        <w:rPr>
          <w:sz w:val="18"/>
          <w:szCs w:val="20"/>
          <w:rtl/>
        </w:rPr>
        <w:t xml:space="preserve"> </w:t>
      </w:r>
      <w:r w:rsidRPr="00B75647">
        <w:rPr>
          <w:rFonts w:hint="cs"/>
          <w:sz w:val="18"/>
          <w:szCs w:val="20"/>
          <w:rtl/>
        </w:rPr>
        <w:t xml:space="preserve">תל אביב: </w:t>
      </w:r>
      <w:r w:rsidRPr="00B75647">
        <w:rPr>
          <w:sz w:val="18"/>
          <w:szCs w:val="20"/>
          <w:rtl/>
        </w:rPr>
        <w:t>הקיבוץ המאוחד.</w:t>
      </w:r>
    </w:p>
    <w:p w14:paraId="5A92CAE1" w14:textId="77777777" w:rsidR="00452401" w:rsidRPr="00B75647" w:rsidRDefault="00452401" w:rsidP="00B75647">
      <w:pPr>
        <w:spacing w:after="120"/>
        <w:ind w:left="397" w:hanging="397"/>
        <w:jc w:val="both"/>
        <w:rPr>
          <w:sz w:val="18"/>
          <w:szCs w:val="20"/>
        </w:rPr>
      </w:pPr>
      <w:proofErr w:type="spellStart"/>
      <w:r w:rsidRPr="00B75647">
        <w:rPr>
          <w:sz w:val="18"/>
          <w:szCs w:val="20"/>
          <w:rtl/>
        </w:rPr>
        <w:t>קרסל</w:t>
      </w:r>
      <w:proofErr w:type="spellEnd"/>
      <w:r w:rsidRPr="00B75647">
        <w:rPr>
          <w:sz w:val="18"/>
          <w:szCs w:val="20"/>
          <w:rtl/>
        </w:rPr>
        <w:t xml:space="preserve">, ג' (1982). </w:t>
      </w:r>
      <w:r w:rsidRPr="00B75647">
        <w:rPr>
          <w:bCs/>
          <w:sz w:val="18"/>
          <w:szCs w:val="20"/>
          <w:rtl/>
        </w:rPr>
        <w:t>ריבי-דם בקרב בדואים עירוניים: מחקר אנתרופולוגי</w:t>
      </w:r>
      <w:r w:rsidRPr="00B75647">
        <w:rPr>
          <w:sz w:val="18"/>
          <w:szCs w:val="20"/>
          <w:rtl/>
        </w:rPr>
        <w:t>. ירושלים</w:t>
      </w:r>
      <w:r w:rsidRPr="00B75647">
        <w:rPr>
          <w:rFonts w:hint="cs"/>
          <w:sz w:val="18"/>
          <w:szCs w:val="20"/>
          <w:rtl/>
        </w:rPr>
        <w:t xml:space="preserve">: </w:t>
      </w:r>
      <w:r w:rsidRPr="00B75647">
        <w:rPr>
          <w:sz w:val="18"/>
          <w:szCs w:val="20"/>
          <w:rtl/>
        </w:rPr>
        <w:t>מאגנס</w:t>
      </w:r>
      <w:r w:rsidRPr="00B75647">
        <w:rPr>
          <w:rFonts w:hint="cs"/>
          <w:sz w:val="18"/>
          <w:szCs w:val="20"/>
          <w:rtl/>
        </w:rPr>
        <w:t>.</w:t>
      </w:r>
    </w:p>
    <w:p w14:paraId="4C7E0051" w14:textId="77777777" w:rsidR="00452401" w:rsidRPr="00B75647" w:rsidRDefault="00452401" w:rsidP="00B75647">
      <w:pPr>
        <w:spacing w:after="120"/>
        <w:ind w:left="397" w:hanging="397"/>
        <w:jc w:val="both"/>
        <w:rPr>
          <w:sz w:val="18"/>
          <w:szCs w:val="20"/>
        </w:rPr>
      </w:pPr>
      <w:r w:rsidRPr="00B75647">
        <w:rPr>
          <w:sz w:val="18"/>
          <w:szCs w:val="20"/>
          <w:rtl/>
        </w:rPr>
        <w:t xml:space="preserve">שמיר, ר' (1999). מושעים במרחב: בדואים והמשטר המשפטי בישראל. בתוך ד' </w:t>
      </w:r>
      <w:proofErr w:type="spellStart"/>
      <w:r w:rsidRPr="00B75647">
        <w:rPr>
          <w:sz w:val="18"/>
          <w:szCs w:val="20"/>
          <w:rtl/>
        </w:rPr>
        <w:t>גוטווין</w:t>
      </w:r>
      <w:proofErr w:type="spellEnd"/>
      <w:r w:rsidRPr="00B75647">
        <w:rPr>
          <w:sz w:val="18"/>
          <w:szCs w:val="20"/>
          <w:rtl/>
        </w:rPr>
        <w:t xml:space="preserve"> ומ' </w:t>
      </w:r>
      <w:proofErr w:type="spellStart"/>
      <w:r w:rsidRPr="00B75647">
        <w:rPr>
          <w:sz w:val="18"/>
          <w:szCs w:val="20"/>
          <w:rtl/>
        </w:rPr>
        <w:t>מאוטנר</w:t>
      </w:r>
      <w:proofErr w:type="spellEnd"/>
      <w:r w:rsidRPr="00B75647">
        <w:rPr>
          <w:sz w:val="18"/>
          <w:szCs w:val="20"/>
          <w:rtl/>
        </w:rPr>
        <w:t xml:space="preserve"> (עורכים), </w:t>
      </w:r>
      <w:r w:rsidRPr="00B75647">
        <w:rPr>
          <w:bCs/>
          <w:sz w:val="18"/>
          <w:szCs w:val="20"/>
          <w:rtl/>
        </w:rPr>
        <w:t>משפט והיסטוריה</w:t>
      </w:r>
      <w:r w:rsidRPr="00B75647">
        <w:rPr>
          <w:b/>
          <w:sz w:val="18"/>
          <w:szCs w:val="20"/>
          <w:rtl/>
        </w:rPr>
        <w:t xml:space="preserve"> </w:t>
      </w:r>
      <w:r w:rsidRPr="00B75647">
        <w:rPr>
          <w:sz w:val="18"/>
          <w:szCs w:val="20"/>
          <w:rtl/>
        </w:rPr>
        <w:t>(עמ' 473–498). ירושלים: מרכז זלמן שזר לתולדות ישראל.</w:t>
      </w:r>
    </w:p>
    <w:p w14:paraId="18DEF074" w14:textId="77777777" w:rsidR="00452401" w:rsidRPr="00B75647" w:rsidRDefault="00452401" w:rsidP="00B75647">
      <w:pPr>
        <w:spacing w:after="120"/>
        <w:ind w:left="397" w:hanging="397"/>
        <w:jc w:val="both"/>
        <w:rPr>
          <w:sz w:val="18"/>
          <w:szCs w:val="20"/>
        </w:rPr>
      </w:pPr>
      <w:r w:rsidRPr="00B75647">
        <w:rPr>
          <w:sz w:val="18"/>
          <w:szCs w:val="20"/>
          <w:rtl/>
        </w:rPr>
        <w:t xml:space="preserve">שפרינצק, א' (2003). </w:t>
      </w:r>
      <w:r w:rsidRPr="00B75647">
        <w:rPr>
          <w:bCs/>
          <w:sz w:val="18"/>
          <w:szCs w:val="20"/>
          <w:rtl/>
        </w:rPr>
        <w:t>שאלת הערבים בישראל: מפתרון הבעיה לניהולה</w:t>
      </w:r>
      <w:r w:rsidRPr="00B75647">
        <w:rPr>
          <w:rFonts w:hint="cs"/>
          <w:i/>
          <w:sz w:val="18"/>
          <w:szCs w:val="20"/>
          <w:rtl/>
        </w:rPr>
        <w:t xml:space="preserve">. </w:t>
      </w:r>
      <w:r w:rsidRPr="00B75647">
        <w:rPr>
          <w:sz w:val="18"/>
          <w:szCs w:val="20"/>
          <w:rtl/>
        </w:rPr>
        <w:t xml:space="preserve">הרצליה: </w:t>
      </w:r>
      <w:proofErr w:type="spellStart"/>
      <w:r w:rsidRPr="00B75647">
        <w:rPr>
          <w:sz w:val="18"/>
          <w:szCs w:val="20"/>
          <w:rtl/>
        </w:rPr>
        <w:t>מפעלות</w:t>
      </w:r>
      <w:proofErr w:type="spellEnd"/>
      <w:r w:rsidRPr="00B75647">
        <w:rPr>
          <w:sz w:val="18"/>
          <w:szCs w:val="20"/>
          <w:rtl/>
        </w:rPr>
        <w:t>, המרכז הבינתחומי הרצליה.</w:t>
      </w:r>
    </w:p>
    <w:p w14:paraId="3BBB617E" w14:textId="77777777" w:rsidR="00452401" w:rsidRPr="00B75647" w:rsidRDefault="00452401" w:rsidP="00B75647">
      <w:pPr>
        <w:ind w:left="397" w:hanging="397"/>
        <w:jc w:val="both"/>
        <w:rPr>
          <w:sz w:val="18"/>
          <w:szCs w:val="20"/>
        </w:rPr>
      </w:pPr>
      <w:r w:rsidRPr="00B75647">
        <w:rPr>
          <w:sz w:val="18"/>
          <w:szCs w:val="20"/>
          <w:rtl/>
        </w:rPr>
        <w:t>שרון, מ' (1975)</w:t>
      </w:r>
      <w:r w:rsidRPr="00B75647">
        <w:rPr>
          <w:rFonts w:hint="cs"/>
          <w:sz w:val="18"/>
          <w:szCs w:val="20"/>
          <w:rtl/>
        </w:rPr>
        <w:t>.</w:t>
      </w:r>
      <w:r w:rsidRPr="00B75647">
        <w:rPr>
          <w:sz w:val="18"/>
          <w:szCs w:val="20"/>
          <w:rtl/>
        </w:rPr>
        <w:t xml:space="preserve"> </w:t>
      </w:r>
      <w:r w:rsidRPr="00B75647">
        <w:rPr>
          <w:b/>
          <w:bCs/>
          <w:sz w:val="18"/>
          <w:szCs w:val="20"/>
          <w:rtl/>
        </w:rPr>
        <w:t>הבדווים במדבר יהודה</w:t>
      </w:r>
      <w:r w:rsidRPr="00B75647">
        <w:rPr>
          <w:sz w:val="18"/>
          <w:szCs w:val="20"/>
          <w:rtl/>
        </w:rPr>
        <w:t xml:space="preserve">. פרסום ליום העיון בנושא הבדווים לזכרו של יצחקי נצר ז"ל. </w:t>
      </w:r>
    </w:p>
    <w:p w14:paraId="1E97DFF7" w14:textId="77777777" w:rsidR="00452401" w:rsidRPr="00B75647" w:rsidRDefault="00452401" w:rsidP="00B75647">
      <w:pPr>
        <w:bidi w:val="0"/>
        <w:spacing w:after="120"/>
        <w:rPr>
          <w:rStyle w:val="Hyperlink"/>
          <w:color w:val="auto"/>
          <w:sz w:val="16"/>
          <w:szCs w:val="18"/>
          <w:u w:val="none"/>
        </w:rPr>
      </w:pPr>
      <w:r w:rsidRPr="00B75647">
        <w:rPr>
          <w:rStyle w:val="Hyperlink"/>
          <w:color w:val="auto"/>
          <w:sz w:val="16"/>
          <w:szCs w:val="18"/>
          <w:u w:val="none"/>
        </w:rPr>
        <w:t>http://beduin.snunit.org.il/arti/0633.html</w:t>
      </w:r>
    </w:p>
    <w:p w14:paraId="4A3F7C00" w14:textId="77777777" w:rsidR="00B75647" w:rsidRDefault="00452401" w:rsidP="00B75647">
      <w:pPr>
        <w:pBdr>
          <w:top w:val="nil"/>
          <w:left w:val="nil"/>
          <w:bottom w:val="nil"/>
          <w:right w:val="nil"/>
          <w:between w:val="nil"/>
        </w:pBdr>
        <w:bidi w:val="0"/>
        <w:ind w:left="397" w:hanging="397"/>
        <w:jc w:val="both"/>
        <w:rPr>
          <w:sz w:val="18"/>
          <w:szCs w:val="20"/>
          <w:rtl/>
        </w:rPr>
      </w:pPr>
      <w:r w:rsidRPr="00B75647">
        <w:rPr>
          <w:sz w:val="18"/>
          <w:szCs w:val="20"/>
        </w:rPr>
        <w:t xml:space="preserve">Abu </w:t>
      </w:r>
      <w:proofErr w:type="spellStart"/>
      <w:r w:rsidRPr="00B75647">
        <w:rPr>
          <w:sz w:val="18"/>
          <w:szCs w:val="20"/>
        </w:rPr>
        <w:t>Aleon</w:t>
      </w:r>
      <w:proofErr w:type="spellEnd"/>
      <w:r w:rsidRPr="00B75647">
        <w:rPr>
          <w:sz w:val="18"/>
          <w:szCs w:val="20"/>
        </w:rPr>
        <w:t xml:space="preserve">, T., Weinstock, M., </w:t>
      </w:r>
      <w:proofErr w:type="spellStart"/>
      <w:r w:rsidRPr="00B75647">
        <w:rPr>
          <w:sz w:val="18"/>
          <w:szCs w:val="20"/>
        </w:rPr>
        <w:t>Manago</w:t>
      </w:r>
      <w:proofErr w:type="spellEnd"/>
      <w:r w:rsidRPr="00B75647">
        <w:rPr>
          <w:sz w:val="18"/>
          <w:szCs w:val="20"/>
        </w:rPr>
        <w:t xml:space="preserve">, A. M., &amp; Greenfield, P. M. (2019). Social change and intergenerational value differences in a Bedouin community in Israel. </w:t>
      </w:r>
      <w:r w:rsidRPr="00B75647">
        <w:rPr>
          <w:i/>
          <w:sz w:val="18"/>
          <w:szCs w:val="20"/>
        </w:rPr>
        <w:t>Journal of Cross-Cultural Psychology</w:t>
      </w:r>
      <w:r w:rsidRPr="00B75647">
        <w:rPr>
          <w:sz w:val="18"/>
          <w:szCs w:val="20"/>
        </w:rPr>
        <w:t xml:space="preserve">, </w:t>
      </w:r>
      <w:r w:rsidRPr="00B75647">
        <w:rPr>
          <w:i/>
          <w:iCs/>
          <w:sz w:val="18"/>
          <w:szCs w:val="20"/>
        </w:rPr>
        <w:t>50</w:t>
      </w:r>
      <w:r w:rsidRPr="00B75647">
        <w:rPr>
          <w:sz w:val="18"/>
          <w:szCs w:val="20"/>
        </w:rPr>
        <w:t xml:space="preserve">(5), 708–727. </w:t>
      </w:r>
    </w:p>
    <w:p w14:paraId="4377BB41" w14:textId="7CC91BE1" w:rsidR="00452401" w:rsidRPr="00B75647" w:rsidRDefault="00452401" w:rsidP="00B75647">
      <w:pPr>
        <w:bidi w:val="0"/>
        <w:spacing w:after="120"/>
        <w:rPr>
          <w:rStyle w:val="Hyperlink"/>
          <w:color w:val="auto"/>
          <w:sz w:val="16"/>
          <w:szCs w:val="18"/>
          <w:u w:val="none"/>
        </w:rPr>
      </w:pPr>
      <w:r w:rsidRPr="00B75647">
        <w:rPr>
          <w:rStyle w:val="Hyperlink"/>
          <w:color w:val="auto"/>
          <w:sz w:val="16"/>
          <w:szCs w:val="18"/>
          <w:u w:val="none"/>
        </w:rPr>
        <w:t>DOI: 10.1177/0022022119839148</w:t>
      </w:r>
    </w:p>
    <w:p w14:paraId="6357931D" w14:textId="77777777" w:rsidR="00452401" w:rsidRPr="00B75647" w:rsidRDefault="00452401" w:rsidP="00B75647">
      <w:pPr>
        <w:pBdr>
          <w:top w:val="nil"/>
          <w:left w:val="nil"/>
          <w:bottom w:val="nil"/>
          <w:right w:val="nil"/>
          <w:between w:val="nil"/>
        </w:pBdr>
        <w:bidi w:val="0"/>
        <w:spacing w:after="120"/>
        <w:ind w:left="397" w:hanging="397"/>
        <w:jc w:val="both"/>
        <w:rPr>
          <w:sz w:val="18"/>
          <w:szCs w:val="20"/>
        </w:rPr>
      </w:pPr>
      <w:r w:rsidRPr="00B75647">
        <w:rPr>
          <w:sz w:val="18"/>
          <w:szCs w:val="20"/>
        </w:rPr>
        <w:t xml:space="preserve">Abu-Rabia, A., </w:t>
      </w:r>
      <w:proofErr w:type="spellStart"/>
      <w:r w:rsidRPr="00B75647">
        <w:rPr>
          <w:sz w:val="18"/>
          <w:szCs w:val="20"/>
        </w:rPr>
        <w:t>Elbadour</w:t>
      </w:r>
      <w:proofErr w:type="spellEnd"/>
      <w:r w:rsidRPr="00B75647">
        <w:rPr>
          <w:sz w:val="18"/>
          <w:szCs w:val="20"/>
        </w:rPr>
        <w:t xml:space="preserve">, S., &amp; </w:t>
      </w:r>
      <w:proofErr w:type="spellStart"/>
      <w:r w:rsidRPr="00B75647">
        <w:rPr>
          <w:sz w:val="18"/>
          <w:szCs w:val="20"/>
        </w:rPr>
        <w:t>Scham</w:t>
      </w:r>
      <w:proofErr w:type="spellEnd"/>
      <w:r w:rsidRPr="00B75647">
        <w:rPr>
          <w:sz w:val="18"/>
          <w:szCs w:val="20"/>
        </w:rPr>
        <w:t xml:space="preserve">, S. (2008). Polygyny and post-nomadism among the </w:t>
      </w:r>
      <w:proofErr w:type="spellStart"/>
      <w:r w:rsidRPr="00B75647">
        <w:rPr>
          <w:sz w:val="18"/>
          <w:szCs w:val="20"/>
        </w:rPr>
        <w:t>Besouin</w:t>
      </w:r>
      <w:proofErr w:type="spellEnd"/>
      <w:r w:rsidRPr="00B75647">
        <w:rPr>
          <w:sz w:val="18"/>
          <w:szCs w:val="20"/>
        </w:rPr>
        <w:t xml:space="preserve"> in Israel. </w:t>
      </w:r>
      <w:r w:rsidRPr="00B75647">
        <w:rPr>
          <w:i/>
          <w:sz w:val="18"/>
          <w:szCs w:val="20"/>
        </w:rPr>
        <w:t>Anthropology of the Middle East</w:t>
      </w:r>
      <w:r w:rsidRPr="00B75647">
        <w:rPr>
          <w:sz w:val="18"/>
          <w:szCs w:val="20"/>
        </w:rPr>
        <w:t xml:space="preserve">, </w:t>
      </w:r>
      <w:r w:rsidRPr="00B75647">
        <w:rPr>
          <w:i/>
          <w:sz w:val="18"/>
          <w:szCs w:val="20"/>
        </w:rPr>
        <w:t>3</w:t>
      </w:r>
      <w:r w:rsidRPr="00B75647">
        <w:rPr>
          <w:sz w:val="18"/>
          <w:szCs w:val="20"/>
        </w:rPr>
        <w:t>(2), 20–37.</w:t>
      </w:r>
    </w:p>
    <w:p w14:paraId="31B3ABF5" w14:textId="77777777" w:rsidR="00452401" w:rsidRPr="00B75647" w:rsidRDefault="00452401" w:rsidP="00B75647">
      <w:pPr>
        <w:pBdr>
          <w:top w:val="nil"/>
          <w:left w:val="nil"/>
          <w:bottom w:val="nil"/>
          <w:right w:val="nil"/>
          <w:between w:val="nil"/>
        </w:pBdr>
        <w:bidi w:val="0"/>
        <w:spacing w:after="120"/>
        <w:ind w:left="397" w:hanging="397"/>
        <w:jc w:val="both"/>
        <w:rPr>
          <w:sz w:val="18"/>
          <w:szCs w:val="20"/>
        </w:rPr>
      </w:pPr>
      <w:r w:rsidRPr="00B75647">
        <w:rPr>
          <w:sz w:val="18"/>
          <w:szCs w:val="20"/>
        </w:rPr>
        <w:t>Abu-Rabia-</w:t>
      </w:r>
      <w:proofErr w:type="spellStart"/>
      <w:r w:rsidRPr="00B75647">
        <w:rPr>
          <w:sz w:val="18"/>
          <w:szCs w:val="20"/>
        </w:rPr>
        <w:t>Queder</w:t>
      </w:r>
      <w:proofErr w:type="spellEnd"/>
      <w:r w:rsidRPr="00B75647">
        <w:rPr>
          <w:sz w:val="18"/>
          <w:szCs w:val="20"/>
        </w:rPr>
        <w:t xml:space="preserve">, S. (2006). Between tradition and modernization: Understanding the problem of female Bedouin dropouts. </w:t>
      </w:r>
      <w:r w:rsidRPr="00B75647">
        <w:rPr>
          <w:i/>
          <w:sz w:val="18"/>
          <w:szCs w:val="20"/>
        </w:rPr>
        <w:t>British Journal of Sociology of Education</w:t>
      </w:r>
      <w:r w:rsidRPr="00B75647">
        <w:rPr>
          <w:sz w:val="18"/>
          <w:szCs w:val="20"/>
        </w:rPr>
        <w:t xml:space="preserve">, </w:t>
      </w:r>
      <w:r w:rsidRPr="00B75647">
        <w:rPr>
          <w:i/>
          <w:sz w:val="18"/>
          <w:szCs w:val="20"/>
        </w:rPr>
        <w:t>27</w:t>
      </w:r>
      <w:r w:rsidRPr="00B75647">
        <w:rPr>
          <w:sz w:val="18"/>
          <w:szCs w:val="20"/>
        </w:rPr>
        <w:t>(1), 3–17.</w:t>
      </w:r>
    </w:p>
    <w:p w14:paraId="54D8A979" w14:textId="77777777" w:rsidR="00452401" w:rsidRPr="00B75647" w:rsidRDefault="00452401" w:rsidP="00B75647">
      <w:pPr>
        <w:bidi w:val="0"/>
        <w:spacing w:after="120"/>
        <w:ind w:left="397" w:hanging="397"/>
        <w:jc w:val="both"/>
        <w:rPr>
          <w:sz w:val="18"/>
          <w:szCs w:val="20"/>
        </w:rPr>
      </w:pPr>
      <w:r w:rsidRPr="00B75647">
        <w:rPr>
          <w:sz w:val="18"/>
          <w:szCs w:val="20"/>
        </w:rPr>
        <w:t>Abu-Rabia-</w:t>
      </w:r>
      <w:proofErr w:type="spellStart"/>
      <w:r w:rsidRPr="00B75647">
        <w:rPr>
          <w:sz w:val="18"/>
          <w:szCs w:val="20"/>
        </w:rPr>
        <w:t>Queder</w:t>
      </w:r>
      <w:proofErr w:type="spellEnd"/>
      <w:r w:rsidRPr="00B75647">
        <w:rPr>
          <w:sz w:val="18"/>
          <w:szCs w:val="20"/>
        </w:rPr>
        <w:t xml:space="preserve">, S. (2007a). The activism of Bedouin women: Social and political resistance. </w:t>
      </w:r>
      <w:r w:rsidRPr="00B75647">
        <w:rPr>
          <w:i/>
          <w:sz w:val="18"/>
          <w:szCs w:val="20"/>
        </w:rPr>
        <w:t>HAGAR: Studies in Culture, Polity and Identities</w:t>
      </w:r>
      <w:r w:rsidRPr="00B75647">
        <w:rPr>
          <w:sz w:val="18"/>
          <w:szCs w:val="20"/>
        </w:rPr>
        <w:t xml:space="preserve">, </w:t>
      </w:r>
      <w:r w:rsidRPr="00B75647">
        <w:rPr>
          <w:i/>
          <w:sz w:val="18"/>
          <w:szCs w:val="20"/>
        </w:rPr>
        <w:t>7</w:t>
      </w:r>
      <w:r w:rsidRPr="00B75647">
        <w:rPr>
          <w:sz w:val="18"/>
          <w:szCs w:val="20"/>
        </w:rPr>
        <w:t>(2), 67–84.</w:t>
      </w:r>
    </w:p>
    <w:p w14:paraId="16EA6E23" w14:textId="77777777" w:rsidR="00452401" w:rsidRPr="00B75647" w:rsidRDefault="00452401" w:rsidP="00B75647">
      <w:pPr>
        <w:bidi w:val="0"/>
        <w:spacing w:after="120"/>
        <w:ind w:left="397" w:hanging="397"/>
        <w:jc w:val="both"/>
        <w:rPr>
          <w:sz w:val="18"/>
          <w:szCs w:val="20"/>
        </w:rPr>
      </w:pPr>
      <w:r w:rsidRPr="00B75647">
        <w:rPr>
          <w:sz w:val="18"/>
          <w:szCs w:val="20"/>
        </w:rPr>
        <w:t>Abu-Rabia-</w:t>
      </w:r>
      <w:proofErr w:type="spellStart"/>
      <w:r w:rsidRPr="00B75647">
        <w:rPr>
          <w:sz w:val="18"/>
          <w:szCs w:val="20"/>
        </w:rPr>
        <w:t>Queder</w:t>
      </w:r>
      <w:proofErr w:type="spellEnd"/>
      <w:r w:rsidRPr="00B75647">
        <w:rPr>
          <w:sz w:val="18"/>
          <w:szCs w:val="20"/>
        </w:rPr>
        <w:t xml:space="preserve">, S. (2007b). Permission to rebel: Arab Bedouin women changing negotiation of social roles. </w:t>
      </w:r>
      <w:r w:rsidRPr="00B75647">
        <w:rPr>
          <w:i/>
          <w:sz w:val="18"/>
          <w:szCs w:val="20"/>
        </w:rPr>
        <w:t>Feminist Studies</w:t>
      </w:r>
      <w:r w:rsidRPr="00B75647">
        <w:rPr>
          <w:sz w:val="18"/>
          <w:szCs w:val="20"/>
        </w:rPr>
        <w:t>,</w:t>
      </w:r>
      <w:r w:rsidRPr="00B75647">
        <w:rPr>
          <w:i/>
          <w:sz w:val="18"/>
          <w:szCs w:val="20"/>
        </w:rPr>
        <w:t xml:space="preserve"> 33</w:t>
      </w:r>
      <w:r w:rsidRPr="00B75647">
        <w:rPr>
          <w:sz w:val="18"/>
          <w:szCs w:val="20"/>
        </w:rPr>
        <w:t>(1), 161–87.</w:t>
      </w:r>
    </w:p>
    <w:p w14:paraId="3A8FECC3" w14:textId="444F31D8" w:rsidR="00452401" w:rsidRPr="00B75647" w:rsidRDefault="00452401" w:rsidP="00F76D90">
      <w:pPr>
        <w:bidi w:val="0"/>
        <w:spacing w:after="120"/>
        <w:ind w:left="397" w:hanging="397"/>
        <w:jc w:val="both"/>
        <w:rPr>
          <w:sz w:val="18"/>
          <w:szCs w:val="20"/>
        </w:rPr>
      </w:pPr>
      <w:r w:rsidRPr="00B75647">
        <w:rPr>
          <w:sz w:val="18"/>
          <w:szCs w:val="20"/>
        </w:rPr>
        <w:t>Al-</w:t>
      </w:r>
      <w:proofErr w:type="spellStart"/>
      <w:r w:rsidRPr="00B75647">
        <w:rPr>
          <w:sz w:val="18"/>
          <w:szCs w:val="20"/>
        </w:rPr>
        <w:t>Krenawi</w:t>
      </w:r>
      <w:proofErr w:type="spellEnd"/>
      <w:r w:rsidRPr="00B75647">
        <w:rPr>
          <w:sz w:val="18"/>
          <w:szCs w:val="20"/>
        </w:rPr>
        <w:t>, A., &amp; Slonim-</w:t>
      </w:r>
      <w:proofErr w:type="spellStart"/>
      <w:r w:rsidRPr="00B75647">
        <w:rPr>
          <w:sz w:val="18"/>
          <w:szCs w:val="20"/>
        </w:rPr>
        <w:t>Nevo</w:t>
      </w:r>
      <w:proofErr w:type="spellEnd"/>
      <w:r w:rsidRPr="00B75647">
        <w:rPr>
          <w:sz w:val="18"/>
          <w:szCs w:val="20"/>
        </w:rPr>
        <w:t xml:space="preserve">, V. (2003). </w:t>
      </w:r>
      <w:r w:rsidRPr="00B75647">
        <w:rPr>
          <w:i/>
          <w:sz w:val="18"/>
          <w:szCs w:val="20"/>
        </w:rPr>
        <w:t>Psycho-social functioning in Bedouin-Arab society in the Negev: A comparison of polygamous and monogamous families</w:t>
      </w:r>
      <w:r w:rsidRPr="00B75647">
        <w:rPr>
          <w:sz w:val="18"/>
          <w:szCs w:val="20"/>
        </w:rPr>
        <w:t xml:space="preserve">. Beer-Sheva: Center for Bedouin Studies and Development, Ben-Gurion </w:t>
      </w:r>
      <w:r w:rsidR="00F76D90">
        <w:rPr>
          <w:sz w:val="18"/>
          <w:szCs w:val="20"/>
        </w:rPr>
        <w:t>U</w:t>
      </w:r>
      <w:r w:rsidR="00F76D90" w:rsidRPr="00B75647">
        <w:rPr>
          <w:sz w:val="18"/>
          <w:szCs w:val="20"/>
        </w:rPr>
        <w:t xml:space="preserve">niversity </w:t>
      </w:r>
      <w:r w:rsidRPr="00B75647">
        <w:rPr>
          <w:sz w:val="18"/>
          <w:szCs w:val="20"/>
        </w:rPr>
        <w:t>of the Negev.</w:t>
      </w:r>
    </w:p>
    <w:p w14:paraId="3E7AC996" w14:textId="7F7A6DEB" w:rsidR="00452401" w:rsidRPr="00B75647" w:rsidRDefault="00452401" w:rsidP="00B75647">
      <w:pPr>
        <w:bidi w:val="0"/>
        <w:spacing w:after="120"/>
        <w:ind w:left="397" w:hanging="397"/>
        <w:jc w:val="both"/>
        <w:rPr>
          <w:sz w:val="18"/>
          <w:szCs w:val="20"/>
        </w:rPr>
      </w:pPr>
      <w:r w:rsidRPr="00B75647">
        <w:rPr>
          <w:sz w:val="18"/>
          <w:szCs w:val="20"/>
        </w:rPr>
        <w:lastRenderedPageBreak/>
        <w:t xml:space="preserve">Anson, J., &amp; Ajayi, A. (2018). Israel's fertility: A continuing enigma. In S. </w:t>
      </w:r>
      <w:proofErr w:type="spellStart"/>
      <w:r w:rsidRPr="00B75647">
        <w:rPr>
          <w:sz w:val="18"/>
          <w:szCs w:val="20"/>
        </w:rPr>
        <w:t>Gietele-Basten</w:t>
      </w:r>
      <w:proofErr w:type="spellEnd"/>
      <w:r w:rsidRPr="00B75647">
        <w:rPr>
          <w:sz w:val="18"/>
          <w:szCs w:val="20"/>
        </w:rPr>
        <w:t xml:space="preserve">, J. </w:t>
      </w:r>
      <w:proofErr w:type="spellStart"/>
      <w:r w:rsidRPr="00B75647">
        <w:rPr>
          <w:sz w:val="18"/>
          <w:szCs w:val="20"/>
        </w:rPr>
        <w:t>Casterline</w:t>
      </w:r>
      <w:proofErr w:type="spellEnd"/>
      <w:r w:rsidRPr="00B75647">
        <w:rPr>
          <w:sz w:val="18"/>
          <w:szCs w:val="20"/>
        </w:rPr>
        <w:t>, &amp; M.</w:t>
      </w:r>
      <w:r w:rsidR="00F76D90">
        <w:rPr>
          <w:sz w:val="18"/>
          <w:szCs w:val="20"/>
        </w:rPr>
        <w:t xml:space="preserve"> </w:t>
      </w:r>
      <w:r w:rsidRPr="00B75647">
        <w:rPr>
          <w:sz w:val="18"/>
          <w:szCs w:val="20"/>
        </w:rPr>
        <w:t xml:space="preserve">K. Choe (Eds.), </w:t>
      </w:r>
      <w:r w:rsidRPr="00B75647">
        <w:rPr>
          <w:i/>
          <w:sz w:val="18"/>
          <w:szCs w:val="20"/>
        </w:rPr>
        <w:t>Family Demography in Asia</w:t>
      </w:r>
      <w:r w:rsidRPr="00B75647">
        <w:rPr>
          <w:sz w:val="18"/>
          <w:szCs w:val="20"/>
        </w:rPr>
        <w:t xml:space="preserve"> (pp. </w:t>
      </w:r>
      <w:r w:rsidR="00B75647">
        <w:rPr>
          <w:sz w:val="18"/>
          <w:szCs w:val="20"/>
          <w:rtl/>
        </w:rPr>
        <w:br/>
      </w:r>
      <w:r w:rsidRPr="00B75647">
        <w:rPr>
          <w:sz w:val="18"/>
          <w:szCs w:val="20"/>
        </w:rPr>
        <w:t xml:space="preserve">153–170). Cheltenham, UK: Edward Elgar. </w:t>
      </w:r>
    </w:p>
    <w:p w14:paraId="079443AE" w14:textId="77777777" w:rsidR="00452401" w:rsidRPr="00B75647" w:rsidRDefault="00452401" w:rsidP="00B75647">
      <w:pPr>
        <w:bidi w:val="0"/>
        <w:spacing w:after="120"/>
        <w:ind w:left="397" w:hanging="397"/>
        <w:jc w:val="both"/>
        <w:rPr>
          <w:sz w:val="18"/>
          <w:szCs w:val="20"/>
        </w:rPr>
      </w:pPr>
      <w:r w:rsidRPr="00B75647">
        <w:rPr>
          <w:sz w:val="18"/>
          <w:szCs w:val="20"/>
        </w:rPr>
        <w:t xml:space="preserve">Anson, J., &amp; Meir, A. (1996). Religiosity, nationalism and fertility in Israel. </w:t>
      </w:r>
      <w:r w:rsidRPr="00B75647">
        <w:rPr>
          <w:i/>
          <w:sz w:val="18"/>
          <w:szCs w:val="20"/>
        </w:rPr>
        <w:t>European Journal of Population</w:t>
      </w:r>
      <w:r w:rsidRPr="00B75647">
        <w:rPr>
          <w:sz w:val="18"/>
          <w:szCs w:val="20"/>
        </w:rPr>
        <w:t xml:space="preserve">, </w:t>
      </w:r>
      <w:r w:rsidRPr="00B75647">
        <w:rPr>
          <w:i/>
          <w:sz w:val="18"/>
          <w:szCs w:val="20"/>
        </w:rPr>
        <w:t>12</w:t>
      </w:r>
      <w:r w:rsidRPr="00B75647">
        <w:rPr>
          <w:sz w:val="18"/>
          <w:szCs w:val="20"/>
        </w:rPr>
        <w:t>, 1–25.</w:t>
      </w:r>
    </w:p>
    <w:p w14:paraId="5DF528ED" w14:textId="77777777" w:rsidR="00452401" w:rsidRPr="00B75647" w:rsidRDefault="00452401" w:rsidP="00B75647">
      <w:pPr>
        <w:bidi w:val="0"/>
        <w:spacing w:after="120"/>
        <w:ind w:left="397" w:hanging="397"/>
        <w:jc w:val="both"/>
        <w:rPr>
          <w:sz w:val="18"/>
          <w:szCs w:val="20"/>
        </w:rPr>
      </w:pPr>
      <w:proofErr w:type="spellStart"/>
      <w:r w:rsidRPr="00B75647">
        <w:rPr>
          <w:sz w:val="18"/>
          <w:szCs w:val="20"/>
        </w:rPr>
        <w:t>Arokiasamy</w:t>
      </w:r>
      <w:proofErr w:type="spellEnd"/>
      <w:r w:rsidRPr="00B75647">
        <w:rPr>
          <w:sz w:val="18"/>
          <w:szCs w:val="20"/>
        </w:rPr>
        <w:t xml:space="preserve">, P., </w:t>
      </w:r>
      <w:proofErr w:type="spellStart"/>
      <w:r w:rsidRPr="00B75647">
        <w:rPr>
          <w:sz w:val="18"/>
          <w:szCs w:val="20"/>
        </w:rPr>
        <w:t>McNay</w:t>
      </w:r>
      <w:proofErr w:type="spellEnd"/>
      <w:r w:rsidRPr="00B75647">
        <w:rPr>
          <w:sz w:val="18"/>
          <w:szCs w:val="20"/>
        </w:rPr>
        <w:t xml:space="preserve">, K., &amp; </w:t>
      </w:r>
      <w:proofErr w:type="spellStart"/>
      <w:r w:rsidRPr="00B75647">
        <w:rPr>
          <w:sz w:val="18"/>
          <w:szCs w:val="20"/>
        </w:rPr>
        <w:t>Cassen</w:t>
      </w:r>
      <w:proofErr w:type="spellEnd"/>
      <w:r w:rsidRPr="00B75647">
        <w:rPr>
          <w:sz w:val="18"/>
          <w:szCs w:val="20"/>
        </w:rPr>
        <w:t xml:space="preserve">, R. H. (2004). Female education and fertility decline: Recent developments in the relationship. </w:t>
      </w:r>
      <w:r w:rsidRPr="00B75647">
        <w:rPr>
          <w:i/>
          <w:sz w:val="18"/>
          <w:szCs w:val="20"/>
        </w:rPr>
        <w:t>Economic and Political Weekly</w:t>
      </w:r>
      <w:r w:rsidRPr="00B75647">
        <w:rPr>
          <w:sz w:val="18"/>
          <w:szCs w:val="20"/>
        </w:rPr>
        <w:t xml:space="preserve">, </w:t>
      </w:r>
      <w:r w:rsidRPr="00B75647">
        <w:rPr>
          <w:i/>
          <w:sz w:val="18"/>
          <w:szCs w:val="20"/>
        </w:rPr>
        <w:t>39</w:t>
      </w:r>
      <w:r w:rsidRPr="00B75647">
        <w:rPr>
          <w:sz w:val="18"/>
          <w:szCs w:val="20"/>
        </w:rPr>
        <w:t>(41), 4503–4507.</w:t>
      </w:r>
    </w:p>
    <w:p w14:paraId="212FE736" w14:textId="77777777" w:rsidR="00452401" w:rsidRPr="00B75647" w:rsidRDefault="00452401" w:rsidP="00B75647">
      <w:pPr>
        <w:bidi w:val="0"/>
        <w:spacing w:after="120"/>
        <w:ind w:left="397" w:hanging="397"/>
        <w:jc w:val="both"/>
        <w:rPr>
          <w:sz w:val="18"/>
          <w:szCs w:val="20"/>
        </w:rPr>
      </w:pPr>
      <w:r w:rsidRPr="00B75647">
        <w:rPr>
          <w:sz w:val="18"/>
          <w:szCs w:val="20"/>
        </w:rPr>
        <w:t xml:space="preserve">Bailey, C. (1985). Dating the arrival of the Bedouin tribes in Sinai and the Negev. </w:t>
      </w:r>
      <w:r w:rsidRPr="00B75647">
        <w:rPr>
          <w:i/>
          <w:sz w:val="18"/>
          <w:szCs w:val="20"/>
        </w:rPr>
        <w:t>Journal of the Economic and Social History of the Orient</w:t>
      </w:r>
      <w:r w:rsidRPr="00B75647">
        <w:rPr>
          <w:sz w:val="18"/>
          <w:szCs w:val="20"/>
        </w:rPr>
        <w:t xml:space="preserve">, </w:t>
      </w:r>
      <w:r w:rsidRPr="00B75647">
        <w:rPr>
          <w:i/>
          <w:sz w:val="18"/>
          <w:szCs w:val="20"/>
        </w:rPr>
        <w:t>28</w:t>
      </w:r>
      <w:r w:rsidRPr="00B75647">
        <w:rPr>
          <w:sz w:val="18"/>
          <w:szCs w:val="20"/>
        </w:rPr>
        <w:t>(1), 20–49.</w:t>
      </w:r>
    </w:p>
    <w:p w14:paraId="45C5D7A9" w14:textId="77777777" w:rsidR="00452401" w:rsidRPr="00B75647" w:rsidRDefault="00452401" w:rsidP="00B75647">
      <w:pPr>
        <w:bidi w:val="0"/>
        <w:spacing w:after="120"/>
        <w:ind w:left="397" w:hanging="397"/>
        <w:jc w:val="both"/>
        <w:rPr>
          <w:sz w:val="18"/>
          <w:szCs w:val="20"/>
        </w:rPr>
      </w:pPr>
      <w:proofErr w:type="spellStart"/>
      <w:r w:rsidRPr="00B75647">
        <w:rPr>
          <w:sz w:val="18"/>
          <w:szCs w:val="20"/>
        </w:rPr>
        <w:t>Billari</w:t>
      </w:r>
      <w:proofErr w:type="spellEnd"/>
      <w:r w:rsidRPr="00B75647">
        <w:rPr>
          <w:sz w:val="18"/>
          <w:szCs w:val="20"/>
        </w:rPr>
        <w:t xml:space="preserve">, C. F., &amp; Kohler, H. P. (2004). Patterns of low and lowest-low fertility in Europe. </w:t>
      </w:r>
      <w:r w:rsidRPr="00B75647">
        <w:rPr>
          <w:i/>
          <w:sz w:val="18"/>
          <w:szCs w:val="20"/>
        </w:rPr>
        <w:t>Population Studies</w:t>
      </w:r>
      <w:r w:rsidRPr="00B75647">
        <w:rPr>
          <w:sz w:val="18"/>
          <w:szCs w:val="20"/>
        </w:rPr>
        <w:t xml:space="preserve">, </w:t>
      </w:r>
      <w:r w:rsidRPr="00B75647">
        <w:rPr>
          <w:i/>
          <w:sz w:val="18"/>
          <w:szCs w:val="20"/>
        </w:rPr>
        <w:t>58</w:t>
      </w:r>
      <w:r w:rsidRPr="00B75647">
        <w:rPr>
          <w:sz w:val="18"/>
          <w:szCs w:val="20"/>
        </w:rPr>
        <w:t>(2), 161–176.</w:t>
      </w:r>
    </w:p>
    <w:p w14:paraId="51EF4E74" w14:textId="77777777" w:rsidR="00452401" w:rsidRPr="00B75647" w:rsidRDefault="00452401" w:rsidP="00B75647">
      <w:pPr>
        <w:bidi w:val="0"/>
        <w:spacing w:after="120"/>
        <w:ind w:left="397" w:hanging="397"/>
        <w:jc w:val="both"/>
        <w:rPr>
          <w:sz w:val="18"/>
          <w:szCs w:val="20"/>
        </w:rPr>
      </w:pPr>
      <w:proofErr w:type="spellStart"/>
      <w:r w:rsidRPr="00B75647">
        <w:rPr>
          <w:sz w:val="18"/>
          <w:szCs w:val="20"/>
        </w:rPr>
        <w:t>Boneh</w:t>
      </w:r>
      <w:proofErr w:type="spellEnd"/>
      <w:r w:rsidRPr="00B75647">
        <w:rPr>
          <w:sz w:val="18"/>
          <w:szCs w:val="20"/>
        </w:rPr>
        <w:t xml:space="preserve">, D. (1982). </w:t>
      </w:r>
      <w:r w:rsidRPr="00B75647">
        <w:rPr>
          <w:i/>
          <w:sz w:val="18"/>
          <w:szCs w:val="20"/>
        </w:rPr>
        <w:t xml:space="preserve">Facing uncertainty: The social consequences of forced </w:t>
      </w:r>
      <w:proofErr w:type="spellStart"/>
      <w:r w:rsidRPr="00B75647">
        <w:rPr>
          <w:i/>
          <w:sz w:val="18"/>
          <w:szCs w:val="20"/>
        </w:rPr>
        <w:t>sedentarization</w:t>
      </w:r>
      <w:proofErr w:type="spellEnd"/>
      <w:r w:rsidRPr="00B75647">
        <w:rPr>
          <w:i/>
          <w:sz w:val="18"/>
          <w:szCs w:val="20"/>
        </w:rPr>
        <w:t xml:space="preserve"> among the </w:t>
      </w:r>
      <w:proofErr w:type="spellStart"/>
      <w:r w:rsidRPr="00B75647">
        <w:rPr>
          <w:i/>
          <w:sz w:val="18"/>
          <w:szCs w:val="20"/>
        </w:rPr>
        <w:t>Jaraween</w:t>
      </w:r>
      <w:proofErr w:type="spellEnd"/>
      <w:r w:rsidRPr="00B75647">
        <w:rPr>
          <w:i/>
          <w:sz w:val="18"/>
          <w:szCs w:val="20"/>
        </w:rPr>
        <w:t xml:space="preserve"> Bedouin, Negev, Israel </w:t>
      </w:r>
      <w:r w:rsidRPr="00B75647">
        <w:rPr>
          <w:iCs/>
          <w:sz w:val="18"/>
          <w:szCs w:val="20"/>
        </w:rPr>
        <w:t>(</w:t>
      </w:r>
      <w:r w:rsidRPr="00B75647">
        <w:rPr>
          <w:sz w:val="18"/>
          <w:szCs w:val="20"/>
        </w:rPr>
        <w:t>PH.D. dissertation). Brandeis University, U.M.I, Ann Arbor, U.S.A.</w:t>
      </w:r>
    </w:p>
    <w:p w14:paraId="64A18CBC" w14:textId="30F0C89B" w:rsidR="00452401" w:rsidRPr="00B75647" w:rsidRDefault="00452401" w:rsidP="00B75647">
      <w:pPr>
        <w:bidi w:val="0"/>
        <w:spacing w:after="120"/>
        <w:ind w:left="397" w:hanging="397"/>
        <w:jc w:val="both"/>
        <w:rPr>
          <w:sz w:val="18"/>
          <w:szCs w:val="20"/>
        </w:rPr>
      </w:pPr>
      <w:proofErr w:type="spellStart"/>
      <w:r w:rsidRPr="00B75647">
        <w:rPr>
          <w:sz w:val="18"/>
          <w:szCs w:val="20"/>
        </w:rPr>
        <w:t>Bongaarts</w:t>
      </w:r>
      <w:proofErr w:type="spellEnd"/>
      <w:r w:rsidRPr="00B75647">
        <w:rPr>
          <w:sz w:val="18"/>
          <w:szCs w:val="20"/>
        </w:rPr>
        <w:t xml:space="preserve">, J. (1987). The proximate determinants of fertility. </w:t>
      </w:r>
      <w:r w:rsidRPr="00B75647">
        <w:rPr>
          <w:i/>
          <w:sz w:val="18"/>
          <w:szCs w:val="20"/>
        </w:rPr>
        <w:t>Technology in Society</w:t>
      </w:r>
      <w:r w:rsidRPr="00B75647">
        <w:rPr>
          <w:sz w:val="18"/>
          <w:szCs w:val="20"/>
        </w:rPr>
        <w:t xml:space="preserve">, </w:t>
      </w:r>
      <w:r w:rsidR="00B75647">
        <w:rPr>
          <w:sz w:val="18"/>
          <w:szCs w:val="20"/>
          <w:rtl/>
        </w:rPr>
        <w:br/>
      </w:r>
      <w:r w:rsidRPr="00B75647">
        <w:rPr>
          <w:i/>
          <w:sz w:val="18"/>
          <w:szCs w:val="20"/>
        </w:rPr>
        <w:t>9</w:t>
      </w:r>
      <w:r w:rsidRPr="00B75647">
        <w:rPr>
          <w:sz w:val="18"/>
          <w:szCs w:val="20"/>
        </w:rPr>
        <w:t>(3–4), 243–260.</w:t>
      </w:r>
    </w:p>
    <w:p w14:paraId="24A0E4E9" w14:textId="77777777" w:rsidR="00452401" w:rsidRPr="00B75647" w:rsidRDefault="00452401" w:rsidP="00B75647">
      <w:pPr>
        <w:bidi w:val="0"/>
        <w:spacing w:after="120"/>
        <w:ind w:left="397" w:hanging="397"/>
        <w:jc w:val="both"/>
        <w:rPr>
          <w:sz w:val="18"/>
          <w:szCs w:val="20"/>
        </w:rPr>
      </w:pPr>
      <w:proofErr w:type="spellStart"/>
      <w:r w:rsidRPr="00B75647">
        <w:rPr>
          <w:sz w:val="18"/>
          <w:szCs w:val="20"/>
        </w:rPr>
        <w:t>Bongaarts</w:t>
      </w:r>
      <w:proofErr w:type="spellEnd"/>
      <w:r w:rsidRPr="00B75647">
        <w:rPr>
          <w:sz w:val="18"/>
          <w:szCs w:val="20"/>
        </w:rPr>
        <w:t xml:space="preserve">, J. (2001). Fertility and reproductive preferences in post-transitional societies. </w:t>
      </w:r>
      <w:r w:rsidRPr="00B75647">
        <w:rPr>
          <w:i/>
          <w:sz w:val="18"/>
          <w:szCs w:val="20"/>
        </w:rPr>
        <w:t>Population and Development Review</w:t>
      </w:r>
      <w:r w:rsidRPr="00B75647">
        <w:rPr>
          <w:sz w:val="18"/>
          <w:szCs w:val="20"/>
        </w:rPr>
        <w:t xml:space="preserve">, </w:t>
      </w:r>
      <w:r w:rsidRPr="00B75647">
        <w:rPr>
          <w:i/>
          <w:sz w:val="18"/>
          <w:szCs w:val="20"/>
        </w:rPr>
        <w:t>27</w:t>
      </w:r>
      <w:r w:rsidRPr="00B75647">
        <w:rPr>
          <w:sz w:val="18"/>
          <w:szCs w:val="20"/>
        </w:rPr>
        <w:t>, 260–281.</w:t>
      </w:r>
    </w:p>
    <w:p w14:paraId="4B7A859A" w14:textId="204CBD80" w:rsidR="00452401" w:rsidRPr="00B75647" w:rsidRDefault="00452401" w:rsidP="00B75647">
      <w:pPr>
        <w:bidi w:val="0"/>
        <w:spacing w:after="120"/>
        <w:ind w:left="397" w:hanging="397"/>
        <w:jc w:val="both"/>
        <w:rPr>
          <w:b/>
          <w:sz w:val="18"/>
          <w:szCs w:val="20"/>
        </w:rPr>
      </w:pPr>
      <w:proofErr w:type="spellStart"/>
      <w:r w:rsidRPr="00B75647">
        <w:rPr>
          <w:sz w:val="18"/>
          <w:szCs w:val="20"/>
        </w:rPr>
        <w:t>Bongaarts</w:t>
      </w:r>
      <w:proofErr w:type="spellEnd"/>
      <w:r w:rsidRPr="00B75647">
        <w:rPr>
          <w:sz w:val="18"/>
          <w:szCs w:val="20"/>
        </w:rPr>
        <w:t xml:space="preserve">, J. (2003). Completing the fertility transition in the developing world: The role of educational differences and fertility preferences. </w:t>
      </w:r>
      <w:r w:rsidRPr="00B75647">
        <w:rPr>
          <w:i/>
          <w:sz w:val="18"/>
          <w:szCs w:val="20"/>
        </w:rPr>
        <w:t>Population Studies</w:t>
      </w:r>
      <w:r w:rsidRPr="00B75647">
        <w:rPr>
          <w:sz w:val="18"/>
          <w:szCs w:val="20"/>
        </w:rPr>
        <w:t xml:space="preserve">, </w:t>
      </w:r>
      <w:r w:rsidRPr="00B75647">
        <w:rPr>
          <w:i/>
          <w:sz w:val="18"/>
          <w:szCs w:val="20"/>
        </w:rPr>
        <w:t>57</w:t>
      </w:r>
      <w:r w:rsidRPr="00B75647">
        <w:rPr>
          <w:sz w:val="18"/>
          <w:szCs w:val="20"/>
        </w:rPr>
        <w:t xml:space="preserve">(3), </w:t>
      </w:r>
      <w:r w:rsidR="00B75647">
        <w:rPr>
          <w:sz w:val="18"/>
          <w:szCs w:val="20"/>
          <w:rtl/>
        </w:rPr>
        <w:br/>
      </w:r>
      <w:r w:rsidRPr="00B75647">
        <w:rPr>
          <w:sz w:val="18"/>
          <w:szCs w:val="20"/>
        </w:rPr>
        <w:t>321–335.</w:t>
      </w:r>
    </w:p>
    <w:p w14:paraId="36643F4F" w14:textId="77777777" w:rsidR="00452401" w:rsidRPr="00B75647" w:rsidRDefault="00452401" w:rsidP="00B75647">
      <w:pPr>
        <w:bidi w:val="0"/>
        <w:spacing w:after="120"/>
        <w:ind w:left="397" w:hanging="397"/>
        <w:jc w:val="both"/>
        <w:rPr>
          <w:b/>
          <w:i/>
          <w:sz w:val="18"/>
          <w:szCs w:val="20"/>
        </w:rPr>
      </w:pPr>
      <w:proofErr w:type="spellStart"/>
      <w:r w:rsidRPr="00B75647">
        <w:rPr>
          <w:sz w:val="18"/>
          <w:szCs w:val="20"/>
        </w:rPr>
        <w:t>Bongaarts</w:t>
      </w:r>
      <w:proofErr w:type="spellEnd"/>
      <w:r w:rsidRPr="00B75647">
        <w:rPr>
          <w:sz w:val="18"/>
          <w:szCs w:val="20"/>
        </w:rPr>
        <w:t xml:space="preserve">, J. (2006). The causes of stalling fertility transitions. </w:t>
      </w:r>
      <w:r w:rsidRPr="00B75647">
        <w:rPr>
          <w:i/>
          <w:sz w:val="18"/>
          <w:szCs w:val="20"/>
        </w:rPr>
        <w:t>Studies in Family</w:t>
      </w:r>
      <w:r w:rsidRPr="00B75647">
        <w:rPr>
          <w:b/>
          <w:i/>
          <w:sz w:val="18"/>
          <w:szCs w:val="20"/>
        </w:rPr>
        <w:t xml:space="preserve"> </w:t>
      </w:r>
      <w:r w:rsidRPr="00B75647">
        <w:rPr>
          <w:i/>
          <w:sz w:val="18"/>
          <w:szCs w:val="20"/>
        </w:rPr>
        <w:t>Planning,</w:t>
      </w:r>
      <w:r w:rsidRPr="00B75647">
        <w:rPr>
          <w:b/>
          <w:i/>
          <w:sz w:val="18"/>
          <w:szCs w:val="20"/>
        </w:rPr>
        <w:t xml:space="preserve"> </w:t>
      </w:r>
      <w:r w:rsidRPr="00B75647">
        <w:rPr>
          <w:i/>
          <w:sz w:val="18"/>
          <w:szCs w:val="20"/>
        </w:rPr>
        <w:t>37</w:t>
      </w:r>
      <w:r w:rsidRPr="00B75647">
        <w:rPr>
          <w:sz w:val="18"/>
          <w:szCs w:val="20"/>
        </w:rPr>
        <w:t>(1), 1–16.</w:t>
      </w:r>
    </w:p>
    <w:p w14:paraId="3EDD95C9" w14:textId="77777777" w:rsidR="00452401" w:rsidRPr="00B75647" w:rsidRDefault="00452401" w:rsidP="00B75647">
      <w:pPr>
        <w:bidi w:val="0"/>
        <w:spacing w:after="120"/>
        <w:ind w:left="397" w:hanging="397"/>
        <w:jc w:val="both"/>
        <w:rPr>
          <w:sz w:val="18"/>
          <w:szCs w:val="20"/>
        </w:rPr>
      </w:pPr>
      <w:proofErr w:type="spellStart"/>
      <w:r w:rsidRPr="00B75647">
        <w:rPr>
          <w:sz w:val="18"/>
          <w:szCs w:val="20"/>
        </w:rPr>
        <w:t>Bongaarts</w:t>
      </w:r>
      <w:proofErr w:type="spellEnd"/>
      <w:r w:rsidRPr="00B75647">
        <w:rPr>
          <w:sz w:val="18"/>
          <w:szCs w:val="20"/>
        </w:rPr>
        <w:t xml:space="preserve">, J., &amp; Watkins, S. C. (1996). Social interactions and contemporary fertility transitions. </w:t>
      </w:r>
      <w:r w:rsidRPr="00B75647">
        <w:rPr>
          <w:i/>
          <w:sz w:val="18"/>
          <w:szCs w:val="20"/>
        </w:rPr>
        <w:t>Population and Development Review</w:t>
      </w:r>
      <w:r w:rsidRPr="00B75647">
        <w:rPr>
          <w:sz w:val="18"/>
          <w:szCs w:val="20"/>
        </w:rPr>
        <w:t xml:space="preserve">, </w:t>
      </w:r>
      <w:r w:rsidRPr="00B75647">
        <w:rPr>
          <w:i/>
          <w:sz w:val="18"/>
          <w:szCs w:val="20"/>
        </w:rPr>
        <w:t>22</w:t>
      </w:r>
      <w:r w:rsidRPr="00B75647">
        <w:rPr>
          <w:sz w:val="18"/>
          <w:szCs w:val="20"/>
        </w:rPr>
        <w:t>(4), 639–682.</w:t>
      </w:r>
    </w:p>
    <w:p w14:paraId="55C822ED" w14:textId="77777777" w:rsidR="00452401" w:rsidRPr="00B75647" w:rsidRDefault="00452401" w:rsidP="00B75647">
      <w:pPr>
        <w:bidi w:val="0"/>
        <w:spacing w:after="120"/>
        <w:ind w:left="397" w:hanging="397"/>
        <w:jc w:val="both"/>
        <w:rPr>
          <w:sz w:val="18"/>
          <w:szCs w:val="20"/>
        </w:rPr>
      </w:pPr>
      <w:proofErr w:type="spellStart"/>
      <w:r w:rsidRPr="00B75647">
        <w:rPr>
          <w:sz w:val="18"/>
          <w:szCs w:val="20"/>
        </w:rPr>
        <w:t>Borooah</w:t>
      </w:r>
      <w:proofErr w:type="spellEnd"/>
      <w:r w:rsidRPr="00B75647">
        <w:rPr>
          <w:sz w:val="18"/>
          <w:szCs w:val="20"/>
        </w:rPr>
        <w:t xml:space="preserve">, V. (2004). The politics of demography: A study of intercommunity fertility differences in India. </w:t>
      </w:r>
      <w:r w:rsidRPr="00B75647">
        <w:rPr>
          <w:i/>
          <w:sz w:val="18"/>
          <w:szCs w:val="20"/>
        </w:rPr>
        <w:t>European Journal of Political Economy</w:t>
      </w:r>
      <w:r w:rsidRPr="00B75647">
        <w:rPr>
          <w:sz w:val="18"/>
          <w:szCs w:val="20"/>
        </w:rPr>
        <w:t xml:space="preserve">, </w:t>
      </w:r>
      <w:r w:rsidRPr="00B75647">
        <w:rPr>
          <w:i/>
          <w:sz w:val="18"/>
          <w:szCs w:val="20"/>
        </w:rPr>
        <w:t>20</w:t>
      </w:r>
      <w:r w:rsidRPr="00B75647">
        <w:rPr>
          <w:sz w:val="18"/>
          <w:szCs w:val="20"/>
        </w:rPr>
        <w:t>(3), 551–578.</w:t>
      </w:r>
    </w:p>
    <w:p w14:paraId="3849C6BE" w14:textId="77777777" w:rsidR="00B75647" w:rsidRDefault="00452401" w:rsidP="00B75647">
      <w:pPr>
        <w:bidi w:val="0"/>
        <w:ind w:left="397" w:hanging="397"/>
        <w:jc w:val="both"/>
        <w:rPr>
          <w:sz w:val="18"/>
          <w:szCs w:val="20"/>
          <w:rtl/>
        </w:rPr>
      </w:pPr>
      <w:bookmarkStart w:id="12" w:name="_heading=h.2s8eyo1" w:colFirst="0" w:colLast="0"/>
      <w:bookmarkEnd w:id="12"/>
      <w:r w:rsidRPr="00B75647">
        <w:rPr>
          <w:sz w:val="18"/>
          <w:szCs w:val="20"/>
        </w:rPr>
        <w:t>Braun-</w:t>
      </w:r>
      <w:proofErr w:type="spellStart"/>
      <w:r w:rsidRPr="00B75647">
        <w:rPr>
          <w:sz w:val="18"/>
          <w:szCs w:val="20"/>
        </w:rPr>
        <w:t>Lewensohn</w:t>
      </w:r>
      <w:proofErr w:type="spellEnd"/>
      <w:r w:rsidRPr="00B75647">
        <w:rPr>
          <w:sz w:val="18"/>
          <w:szCs w:val="20"/>
        </w:rPr>
        <w:t xml:space="preserve">, O., Abu-Kaf, S., Al-Said, K., &amp; Huss, E. (2019). Analysis of the differential relationship between the perception of one’s life and coping resources among three generations of Bedouin women. </w:t>
      </w:r>
      <w:r w:rsidRPr="00B75647">
        <w:rPr>
          <w:i/>
          <w:sz w:val="18"/>
          <w:szCs w:val="20"/>
        </w:rPr>
        <w:t>International Journal of Environmental Research and Public Health</w:t>
      </w:r>
      <w:r w:rsidRPr="00B75647">
        <w:rPr>
          <w:sz w:val="18"/>
          <w:szCs w:val="20"/>
        </w:rPr>
        <w:t xml:space="preserve">, </w:t>
      </w:r>
      <w:r w:rsidRPr="00B75647">
        <w:rPr>
          <w:i/>
          <w:sz w:val="18"/>
          <w:szCs w:val="20"/>
        </w:rPr>
        <w:t>16</w:t>
      </w:r>
      <w:r w:rsidRPr="00B75647">
        <w:rPr>
          <w:sz w:val="18"/>
          <w:szCs w:val="20"/>
        </w:rPr>
        <w:t xml:space="preserve">(5), 804. </w:t>
      </w:r>
    </w:p>
    <w:p w14:paraId="79F0AEF1" w14:textId="76E28F2B" w:rsidR="00452401" w:rsidRPr="00B75647" w:rsidRDefault="00690018" w:rsidP="00B75647">
      <w:pPr>
        <w:bidi w:val="0"/>
        <w:spacing w:after="120"/>
        <w:rPr>
          <w:rStyle w:val="Hyperlink"/>
          <w:color w:val="auto"/>
          <w:sz w:val="16"/>
          <w:szCs w:val="18"/>
          <w:u w:val="none"/>
        </w:rPr>
      </w:pPr>
      <w:hyperlink r:id="rId11" w:history="1">
        <w:r w:rsidR="00B75647" w:rsidRPr="00B75647">
          <w:rPr>
            <w:rStyle w:val="Hyperlink"/>
            <w:color w:val="auto"/>
            <w:sz w:val="16"/>
            <w:szCs w:val="18"/>
            <w:u w:val="none"/>
          </w:rPr>
          <w:t>https://doi.org/10.3390/ijerph16050804</w:t>
        </w:r>
      </w:hyperlink>
    </w:p>
    <w:p w14:paraId="21745361" w14:textId="2D37F86C" w:rsidR="00452401" w:rsidRPr="00B75647" w:rsidRDefault="00452401" w:rsidP="00F76D90">
      <w:pPr>
        <w:bidi w:val="0"/>
        <w:spacing w:after="120"/>
        <w:ind w:left="397" w:hanging="397"/>
        <w:jc w:val="both"/>
        <w:rPr>
          <w:sz w:val="18"/>
          <w:szCs w:val="20"/>
        </w:rPr>
      </w:pPr>
      <w:r w:rsidRPr="00B75647">
        <w:rPr>
          <w:sz w:val="18"/>
          <w:szCs w:val="20"/>
        </w:rPr>
        <w:t xml:space="preserve">Caldwell, J. C. (1976). Toward a restatement of demographic transition theory. </w:t>
      </w:r>
      <w:r w:rsidRPr="00B75647">
        <w:rPr>
          <w:i/>
          <w:sz w:val="18"/>
          <w:szCs w:val="20"/>
        </w:rPr>
        <w:t>Population and Development Review</w:t>
      </w:r>
      <w:r w:rsidRPr="00B75647">
        <w:rPr>
          <w:sz w:val="18"/>
          <w:szCs w:val="20"/>
        </w:rPr>
        <w:t xml:space="preserve">, </w:t>
      </w:r>
      <w:r w:rsidRPr="00B75647">
        <w:rPr>
          <w:i/>
          <w:sz w:val="18"/>
          <w:szCs w:val="20"/>
        </w:rPr>
        <w:t>2</w:t>
      </w:r>
      <w:r w:rsidRPr="00B75647">
        <w:rPr>
          <w:sz w:val="18"/>
          <w:szCs w:val="20"/>
        </w:rPr>
        <w:t>(3–4), 321–366.</w:t>
      </w:r>
    </w:p>
    <w:p w14:paraId="3F03E923" w14:textId="57420F9D" w:rsidR="00452401" w:rsidRPr="00B75647" w:rsidRDefault="00452401" w:rsidP="00F76D90">
      <w:pPr>
        <w:bidi w:val="0"/>
        <w:spacing w:after="120"/>
        <w:ind w:left="397" w:hanging="397"/>
        <w:jc w:val="both"/>
        <w:rPr>
          <w:sz w:val="18"/>
          <w:szCs w:val="20"/>
        </w:rPr>
      </w:pPr>
      <w:proofErr w:type="spellStart"/>
      <w:r w:rsidRPr="00B75647">
        <w:rPr>
          <w:sz w:val="18"/>
          <w:szCs w:val="20"/>
        </w:rPr>
        <w:lastRenderedPageBreak/>
        <w:t>Chabé</w:t>
      </w:r>
      <w:proofErr w:type="spellEnd"/>
      <w:r w:rsidRPr="00B75647">
        <w:rPr>
          <w:sz w:val="18"/>
          <w:szCs w:val="20"/>
        </w:rPr>
        <w:t xml:space="preserve">-Ferret, B., &amp; </w:t>
      </w:r>
      <w:proofErr w:type="spellStart"/>
      <w:r w:rsidRPr="00B75647">
        <w:rPr>
          <w:sz w:val="18"/>
          <w:szCs w:val="20"/>
        </w:rPr>
        <w:t>Melindi-Ghidi</w:t>
      </w:r>
      <w:proofErr w:type="spellEnd"/>
      <w:r w:rsidRPr="00B75647">
        <w:rPr>
          <w:sz w:val="18"/>
          <w:szCs w:val="20"/>
        </w:rPr>
        <w:t>, P. (2013). Differences in fertility behavior and</w:t>
      </w:r>
      <w:r w:rsidR="00F76D90">
        <w:rPr>
          <w:sz w:val="18"/>
          <w:szCs w:val="20"/>
        </w:rPr>
        <w:t xml:space="preserve"> </w:t>
      </w:r>
      <w:r w:rsidRPr="00B75647">
        <w:rPr>
          <w:sz w:val="18"/>
          <w:szCs w:val="20"/>
        </w:rPr>
        <w:t xml:space="preserve">uncertainty: An economic theory of the minority status hypothesis. </w:t>
      </w:r>
      <w:r w:rsidRPr="00B75647">
        <w:rPr>
          <w:i/>
          <w:sz w:val="18"/>
          <w:szCs w:val="20"/>
        </w:rPr>
        <w:t>Journal of</w:t>
      </w:r>
      <w:r w:rsidR="00B75647">
        <w:rPr>
          <w:i/>
          <w:sz w:val="18"/>
          <w:szCs w:val="20"/>
        </w:rPr>
        <w:t xml:space="preserve"> </w:t>
      </w:r>
      <w:r w:rsidRPr="00B75647">
        <w:rPr>
          <w:i/>
          <w:sz w:val="18"/>
          <w:szCs w:val="20"/>
        </w:rPr>
        <w:t>Population Economics</w:t>
      </w:r>
      <w:r w:rsidRPr="00B75647">
        <w:rPr>
          <w:sz w:val="18"/>
          <w:szCs w:val="20"/>
        </w:rPr>
        <w:t xml:space="preserve">, </w:t>
      </w:r>
      <w:r w:rsidRPr="00B75647">
        <w:rPr>
          <w:i/>
          <w:sz w:val="18"/>
          <w:szCs w:val="20"/>
        </w:rPr>
        <w:t>26</w:t>
      </w:r>
      <w:r w:rsidRPr="00B75647">
        <w:rPr>
          <w:sz w:val="18"/>
          <w:szCs w:val="20"/>
        </w:rPr>
        <w:t>(3), 887–905.</w:t>
      </w:r>
    </w:p>
    <w:p w14:paraId="1413C1D4" w14:textId="77777777" w:rsidR="00452401" w:rsidRPr="00B75647" w:rsidRDefault="00452401" w:rsidP="00B75647">
      <w:pPr>
        <w:bidi w:val="0"/>
        <w:spacing w:after="120"/>
        <w:ind w:left="397" w:hanging="397"/>
        <w:jc w:val="both"/>
        <w:rPr>
          <w:i/>
          <w:sz w:val="18"/>
          <w:szCs w:val="20"/>
        </w:rPr>
      </w:pPr>
      <w:r w:rsidRPr="00B75647">
        <w:rPr>
          <w:sz w:val="18"/>
          <w:szCs w:val="20"/>
        </w:rPr>
        <w:t xml:space="preserve">Chesnais, J. C. (1992). </w:t>
      </w:r>
      <w:r w:rsidRPr="00B75647">
        <w:rPr>
          <w:i/>
          <w:sz w:val="18"/>
          <w:szCs w:val="20"/>
        </w:rPr>
        <w:t>The demographic transition: Stages, patterns and economic implications. A longitudinal study of sixty-seven countries covering the period 1720–1984</w:t>
      </w:r>
      <w:r w:rsidRPr="00B75647">
        <w:rPr>
          <w:sz w:val="18"/>
          <w:szCs w:val="20"/>
        </w:rPr>
        <w:t>. Oxford: Clarendon Press.</w:t>
      </w:r>
    </w:p>
    <w:p w14:paraId="54FF9AE3" w14:textId="77777777" w:rsidR="00452401" w:rsidRPr="00B75647" w:rsidRDefault="00452401" w:rsidP="00B75647">
      <w:pPr>
        <w:bidi w:val="0"/>
        <w:spacing w:after="120"/>
        <w:ind w:left="397" w:hanging="397"/>
        <w:jc w:val="both"/>
        <w:rPr>
          <w:sz w:val="18"/>
          <w:szCs w:val="20"/>
        </w:rPr>
      </w:pPr>
      <w:r w:rsidRPr="00B75647">
        <w:rPr>
          <w:sz w:val="18"/>
          <w:szCs w:val="20"/>
        </w:rPr>
        <w:t>Cordoba, J. C., &amp; Ripoll, M. (2016). Intergenerational transfers and the fertility–income relationship.</w:t>
      </w:r>
      <w:r w:rsidRPr="00B75647">
        <w:rPr>
          <w:i/>
          <w:sz w:val="18"/>
          <w:szCs w:val="20"/>
        </w:rPr>
        <w:t xml:space="preserve"> The Economic Journal</w:t>
      </w:r>
      <w:r w:rsidRPr="00B75647">
        <w:rPr>
          <w:sz w:val="18"/>
          <w:szCs w:val="20"/>
        </w:rPr>
        <w:t xml:space="preserve">, </w:t>
      </w:r>
      <w:r w:rsidRPr="00B75647">
        <w:rPr>
          <w:i/>
          <w:sz w:val="18"/>
          <w:szCs w:val="20"/>
        </w:rPr>
        <w:t>126</w:t>
      </w:r>
      <w:r w:rsidRPr="00B75647">
        <w:rPr>
          <w:sz w:val="18"/>
          <w:szCs w:val="20"/>
        </w:rPr>
        <w:t>(593), 949–977.</w:t>
      </w:r>
    </w:p>
    <w:p w14:paraId="6CE5CB22" w14:textId="77777777" w:rsidR="00452401" w:rsidRPr="00B75647" w:rsidRDefault="00452401" w:rsidP="00B75647">
      <w:pPr>
        <w:bidi w:val="0"/>
        <w:spacing w:after="120"/>
        <w:ind w:left="397" w:hanging="397"/>
        <w:jc w:val="both"/>
        <w:rPr>
          <w:i/>
          <w:sz w:val="18"/>
          <w:szCs w:val="20"/>
        </w:rPr>
      </w:pPr>
      <w:proofErr w:type="spellStart"/>
      <w:r w:rsidRPr="00B75647">
        <w:rPr>
          <w:sz w:val="18"/>
          <w:szCs w:val="20"/>
        </w:rPr>
        <w:t>Courbage</w:t>
      </w:r>
      <w:proofErr w:type="spellEnd"/>
      <w:r w:rsidRPr="00B75647">
        <w:rPr>
          <w:sz w:val="18"/>
          <w:szCs w:val="20"/>
        </w:rPr>
        <w:t xml:space="preserve">, Y., &amp; </w:t>
      </w:r>
      <w:proofErr w:type="spellStart"/>
      <w:r w:rsidRPr="00B75647">
        <w:rPr>
          <w:sz w:val="18"/>
          <w:szCs w:val="20"/>
        </w:rPr>
        <w:t>Puschmann</w:t>
      </w:r>
      <w:proofErr w:type="spellEnd"/>
      <w:r w:rsidRPr="00B75647">
        <w:rPr>
          <w:sz w:val="18"/>
          <w:szCs w:val="20"/>
        </w:rPr>
        <w:t xml:space="preserve">, P. (2015). Does demographic revolution lead to democratic revolution? The case of North Africa and the Middle East. In K. Matthijs, K. Neels, C. Timmerman, J. </w:t>
      </w:r>
      <w:proofErr w:type="spellStart"/>
      <w:r w:rsidRPr="00B75647">
        <w:rPr>
          <w:sz w:val="18"/>
          <w:szCs w:val="20"/>
        </w:rPr>
        <w:t>Haers</w:t>
      </w:r>
      <w:proofErr w:type="spellEnd"/>
      <w:r w:rsidRPr="00B75647">
        <w:rPr>
          <w:sz w:val="18"/>
          <w:szCs w:val="20"/>
        </w:rPr>
        <w:t xml:space="preserve">, &amp; </w:t>
      </w:r>
      <w:proofErr w:type="spellStart"/>
      <w:r w:rsidRPr="00B75647">
        <w:rPr>
          <w:sz w:val="18"/>
          <w:szCs w:val="20"/>
        </w:rPr>
        <w:t>Mells</w:t>
      </w:r>
      <w:proofErr w:type="spellEnd"/>
      <w:r w:rsidRPr="00B75647">
        <w:rPr>
          <w:sz w:val="18"/>
          <w:szCs w:val="20"/>
        </w:rPr>
        <w:t>, S. (Eds.),</w:t>
      </w:r>
      <w:r w:rsidRPr="00B75647">
        <w:rPr>
          <w:i/>
          <w:sz w:val="18"/>
          <w:szCs w:val="20"/>
        </w:rPr>
        <w:t xml:space="preserve"> Population </w:t>
      </w:r>
      <w:proofErr w:type="gramStart"/>
      <w:r w:rsidRPr="00B75647">
        <w:rPr>
          <w:i/>
          <w:sz w:val="18"/>
          <w:szCs w:val="20"/>
        </w:rPr>
        <w:t>change</w:t>
      </w:r>
      <w:proofErr w:type="gramEnd"/>
      <w:r w:rsidRPr="00B75647">
        <w:rPr>
          <w:i/>
          <w:sz w:val="18"/>
          <w:szCs w:val="20"/>
        </w:rPr>
        <w:t xml:space="preserve"> in Europe, the Middle-East and North Africa: Beyond the demographic divide </w:t>
      </w:r>
      <w:r w:rsidRPr="00B75647">
        <w:rPr>
          <w:sz w:val="18"/>
          <w:szCs w:val="20"/>
        </w:rPr>
        <w:t>(pp. 203–223).</w:t>
      </w:r>
      <w:r w:rsidRPr="00B75647">
        <w:rPr>
          <w:b/>
          <w:sz w:val="18"/>
          <w:szCs w:val="20"/>
        </w:rPr>
        <w:t xml:space="preserve"> </w:t>
      </w:r>
      <w:r w:rsidRPr="00B75647">
        <w:rPr>
          <w:sz w:val="18"/>
          <w:szCs w:val="20"/>
        </w:rPr>
        <w:t xml:space="preserve">UK.: Ashgate. </w:t>
      </w:r>
    </w:p>
    <w:p w14:paraId="46AEBAEE" w14:textId="77777777" w:rsidR="00452401" w:rsidRPr="00B75647" w:rsidRDefault="00452401" w:rsidP="00B75647">
      <w:pPr>
        <w:bidi w:val="0"/>
        <w:spacing w:after="120"/>
        <w:ind w:left="397" w:hanging="397"/>
        <w:jc w:val="both"/>
        <w:rPr>
          <w:b/>
          <w:sz w:val="18"/>
          <w:szCs w:val="20"/>
        </w:rPr>
      </w:pPr>
      <w:r w:rsidRPr="00B75647">
        <w:rPr>
          <w:sz w:val="18"/>
          <w:szCs w:val="20"/>
        </w:rPr>
        <w:t xml:space="preserve">Davis, K. (1963). The theory of change and response in modern demographic history. </w:t>
      </w:r>
      <w:r w:rsidRPr="00B75647">
        <w:rPr>
          <w:i/>
          <w:sz w:val="18"/>
          <w:szCs w:val="20"/>
        </w:rPr>
        <w:t>Population Index</w:t>
      </w:r>
      <w:r w:rsidRPr="00B75647">
        <w:rPr>
          <w:sz w:val="18"/>
          <w:szCs w:val="20"/>
        </w:rPr>
        <w:t xml:space="preserve">, </w:t>
      </w:r>
      <w:r w:rsidRPr="00B75647">
        <w:rPr>
          <w:i/>
          <w:sz w:val="18"/>
          <w:szCs w:val="20"/>
        </w:rPr>
        <w:t>29</w:t>
      </w:r>
      <w:r w:rsidRPr="00B75647">
        <w:rPr>
          <w:sz w:val="18"/>
          <w:szCs w:val="20"/>
        </w:rPr>
        <w:t>, 345–366.</w:t>
      </w:r>
    </w:p>
    <w:p w14:paraId="384625BC" w14:textId="77777777" w:rsidR="00452401" w:rsidRPr="00B75647" w:rsidRDefault="00452401" w:rsidP="00B75647">
      <w:pPr>
        <w:bidi w:val="0"/>
        <w:spacing w:after="120"/>
        <w:ind w:left="397" w:hanging="397"/>
        <w:jc w:val="both"/>
        <w:rPr>
          <w:b/>
          <w:i/>
          <w:sz w:val="18"/>
          <w:szCs w:val="20"/>
        </w:rPr>
      </w:pPr>
      <w:proofErr w:type="spellStart"/>
      <w:r w:rsidRPr="00B75647">
        <w:rPr>
          <w:sz w:val="18"/>
          <w:szCs w:val="20"/>
        </w:rPr>
        <w:t>Dellapergola</w:t>
      </w:r>
      <w:proofErr w:type="spellEnd"/>
      <w:r w:rsidRPr="00B75647">
        <w:rPr>
          <w:sz w:val="18"/>
          <w:szCs w:val="20"/>
        </w:rPr>
        <w:t>, S. (2009).</w:t>
      </w:r>
      <w:r w:rsidRPr="00B75647">
        <w:rPr>
          <w:b/>
          <w:sz w:val="18"/>
          <w:szCs w:val="20"/>
        </w:rPr>
        <w:t xml:space="preserve"> </w:t>
      </w:r>
      <w:r w:rsidRPr="00B75647">
        <w:rPr>
          <w:sz w:val="18"/>
          <w:szCs w:val="20"/>
        </w:rPr>
        <w:t>Actual, intended, and appropriate family size among</w:t>
      </w:r>
      <w:r w:rsidRPr="00B75647">
        <w:rPr>
          <w:b/>
          <w:sz w:val="18"/>
          <w:szCs w:val="20"/>
        </w:rPr>
        <w:t xml:space="preserve"> </w:t>
      </w:r>
      <w:r w:rsidRPr="00B75647">
        <w:rPr>
          <w:sz w:val="18"/>
          <w:szCs w:val="20"/>
        </w:rPr>
        <w:t xml:space="preserve">Jews in Israel. </w:t>
      </w:r>
      <w:r w:rsidRPr="00B75647">
        <w:rPr>
          <w:i/>
          <w:sz w:val="18"/>
          <w:szCs w:val="20"/>
        </w:rPr>
        <w:t>Contemporary Jewry</w:t>
      </w:r>
      <w:r w:rsidRPr="00B75647">
        <w:rPr>
          <w:sz w:val="18"/>
          <w:szCs w:val="20"/>
        </w:rPr>
        <w:t>,</w:t>
      </w:r>
      <w:r w:rsidRPr="00B75647">
        <w:rPr>
          <w:b/>
          <w:i/>
          <w:sz w:val="18"/>
          <w:szCs w:val="20"/>
        </w:rPr>
        <w:t xml:space="preserve"> </w:t>
      </w:r>
      <w:r w:rsidRPr="00B75647">
        <w:rPr>
          <w:i/>
          <w:sz w:val="18"/>
          <w:szCs w:val="20"/>
        </w:rPr>
        <w:t>29</w:t>
      </w:r>
      <w:r w:rsidRPr="00B75647">
        <w:rPr>
          <w:sz w:val="18"/>
          <w:szCs w:val="20"/>
        </w:rPr>
        <w:t>(2), 127–152</w:t>
      </w:r>
      <w:r w:rsidRPr="00B75647">
        <w:rPr>
          <w:i/>
          <w:sz w:val="18"/>
          <w:szCs w:val="20"/>
        </w:rPr>
        <w:t>.</w:t>
      </w:r>
    </w:p>
    <w:p w14:paraId="76227F00" w14:textId="77777777" w:rsidR="00452401" w:rsidRPr="00B75647" w:rsidRDefault="00452401" w:rsidP="00B75647">
      <w:pPr>
        <w:bidi w:val="0"/>
        <w:spacing w:after="120"/>
        <w:ind w:left="397" w:hanging="397"/>
        <w:jc w:val="both"/>
        <w:rPr>
          <w:sz w:val="18"/>
          <w:szCs w:val="20"/>
        </w:rPr>
      </w:pPr>
      <w:proofErr w:type="spellStart"/>
      <w:r w:rsidRPr="00B75647">
        <w:rPr>
          <w:sz w:val="18"/>
          <w:szCs w:val="20"/>
        </w:rPr>
        <w:t>DellaPergola</w:t>
      </w:r>
      <w:proofErr w:type="spellEnd"/>
      <w:r w:rsidRPr="00B75647">
        <w:rPr>
          <w:sz w:val="18"/>
          <w:szCs w:val="20"/>
        </w:rPr>
        <w:t xml:space="preserve">, S. (2015). View from a different planet: Fertility attitudes, performances and policies among Jewish Israelis. In S. Fishman (Ed.), </w:t>
      </w:r>
      <w:r w:rsidRPr="00B75647">
        <w:rPr>
          <w:i/>
          <w:sz w:val="18"/>
          <w:szCs w:val="20"/>
        </w:rPr>
        <w:t>Love, marriage and Jewish families today: Paradoxes of a social revolution</w:t>
      </w:r>
      <w:r w:rsidRPr="00B75647">
        <w:rPr>
          <w:sz w:val="18"/>
          <w:szCs w:val="20"/>
        </w:rPr>
        <w:t xml:space="preserve"> (pp. 123–150). Waltham: Brandeis University Press.</w:t>
      </w:r>
    </w:p>
    <w:p w14:paraId="246F1DCF" w14:textId="77777777" w:rsidR="00452401" w:rsidRPr="00B75647" w:rsidRDefault="00452401" w:rsidP="00B75647">
      <w:pPr>
        <w:bidi w:val="0"/>
        <w:spacing w:after="120"/>
        <w:ind w:left="397" w:hanging="397"/>
        <w:jc w:val="both"/>
        <w:rPr>
          <w:sz w:val="18"/>
          <w:szCs w:val="20"/>
        </w:rPr>
      </w:pPr>
      <w:r w:rsidRPr="00B75647">
        <w:rPr>
          <w:sz w:val="18"/>
          <w:szCs w:val="20"/>
        </w:rPr>
        <w:t xml:space="preserve">Durkheim, E. (1992). Suicide and fertility: A study of moral statistics. </w:t>
      </w:r>
      <w:r w:rsidRPr="00B75647">
        <w:rPr>
          <w:i/>
          <w:sz w:val="18"/>
          <w:szCs w:val="20"/>
        </w:rPr>
        <w:t>European Journal of Population</w:t>
      </w:r>
      <w:r w:rsidRPr="00B75647">
        <w:rPr>
          <w:sz w:val="18"/>
          <w:szCs w:val="20"/>
        </w:rPr>
        <w:t xml:space="preserve">, </w:t>
      </w:r>
      <w:r w:rsidRPr="00B75647">
        <w:rPr>
          <w:i/>
          <w:sz w:val="18"/>
          <w:szCs w:val="20"/>
        </w:rPr>
        <w:t>8</w:t>
      </w:r>
      <w:r w:rsidRPr="00B75647">
        <w:rPr>
          <w:sz w:val="18"/>
          <w:szCs w:val="20"/>
        </w:rPr>
        <w:t>, 175–197.</w:t>
      </w:r>
    </w:p>
    <w:p w14:paraId="55D75CF3" w14:textId="77777777" w:rsidR="00452401" w:rsidRPr="00B75647" w:rsidRDefault="00452401" w:rsidP="00B75647">
      <w:pPr>
        <w:bidi w:val="0"/>
        <w:spacing w:after="120"/>
        <w:ind w:left="397" w:hanging="397"/>
        <w:jc w:val="both"/>
        <w:rPr>
          <w:sz w:val="18"/>
          <w:szCs w:val="20"/>
        </w:rPr>
      </w:pPr>
      <w:r w:rsidRPr="00B75647">
        <w:rPr>
          <w:sz w:val="18"/>
          <w:szCs w:val="20"/>
        </w:rPr>
        <w:t xml:space="preserve">Emeka, A. (2006). Birth, fortune, and discrepant fertility in twentieth-century America. </w:t>
      </w:r>
      <w:r w:rsidRPr="00B75647">
        <w:rPr>
          <w:i/>
          <w:sz w:val="18"/>
          <w:szCs w:val="20"/>
        </w:rPr>
        <w:t>Social Science History</w:t>
      </w:r>
      <w:r w:rsidRPr="00B75647">
        <w:rPr>
          <w:sz w:val="18"/>
          <w:szCs w:val="20"/>
        </w:rPr>
        <w:t xml:space="preserve">, </w:t>
      </w:r>
      <w:r w:rsidRPr="00B75647">
        <w:rPr>
          <w:i/>
          <w:sz w:val="18"/>
          <w:szCs w:val="20"/>
        </w:rPr>
        <w:t>30</w:t>
      </w:r>
      <w:r w:rsidRPr="00B75647">
        <w:rPr>
          <w:sz w:val="18"/>
          <w:szCs w:val="20"/>
        </w:rPr>
        <w:t xml:space="preserve">(3), 327–357. </w:t>
      </w:r>
    </w:p>
    <w:p w14:paraId="4215AC72" w14:textId="77777777" w:rsidR="00452401" w:rsidRPr="00B75647" w:rsidRDefault="00452401" w:rsidP="00B75647">
      <w:pPr>
        <w:bidi w:val="0"/>
        <w:spacing w:after="120"/>
        <w:ind w:left="397" w:hanging="397"/>
        <w:jc w:val="both"/>
        <w:rPr>
          <w:sz w:val="18"/>
          <w:szCs w:val="20"/>
        </w:rPr>
      </w:pPr>
      <w:proofErr w:type="spellStart"/>
      <w:r w:rsidRPr="00B75647">
        <w:rPr>
          <w:sz w:val="18"/>
          <w:szCs w:val="20"/>
        </w:rPr>
        <w:t>Fallah</w:t>
      </w:r>
      <w:proofErr w:type="spellEnd"/>
      <w:r w:rsidRPr="00B75647">
        <w:rPr>
          <w:sz w:val="18"/>
          <w:szCs w:val="20"/>
        </w:rPr>
        <w:t xml:space="preserve">, G. (1989). Israel state policy towards Bedouin </w:t>
      </w:r>
      <w:proofErr w:type="spellStart"/>
      <w:r w:rsidRPr="00B75647">
        <w:rPr>
          <w:sz w:val="18"/>
          <w:szCs w:val="20"/>
        </w:rPr>
        <w:t>sedentarization</w:t>
      </w:r>
      <w:proofErr w:type="spellEnd"/>
      <w:r w:rsidRPr="00B75647">
        <w:rPr>
          <w:sz w:val="18"/>
          <w:szCs w:val="20"/>
        </w:rPr>
        <w:t xml:space="preserve"> in the Negev. </w:t>
      </w:r>
      <w:r w:rsidRPr="00B75647">
        <w:rPr>
          <w:i/>
          <w:sz w:val="18"/>
          <w:szCs w:val="20"/>
        </w:rPr>
        <w:t>Journal of Palestine Studies</w:t>
      </w:r>
      <w:r w:rsidRPr="00B75647">
        <w:rPr>
          <w:sz w:val="18"/>
          <w:szCs w:val="20"/>
        </w:rPr>
        <w:t xml:space="preserve">, </w:t>
      </w:r>
      <w:r w:rsidRPr="00B75647">
        <w:rPr>
          <w:i/>
          <w:sz w:val="18"/>
          <w:szCs w:val="20"/>
        </w:rPr>
        <w:t>18</w:t>
      </w:r>
      <w:r w:rsidRPr="00B75647">
        <w:rPr>
          <w:sz w:val="18"/>
          <w:szCs w:val="20"/>
        </w:rPr>
        <w:t>(2), 71–90.</w:t>
      </w:r>
    </w:p>
    <w:p w14:paraId="548566E8" w14:textId="57F504CE" w:rsidR="00452401" w:rsidRPr="00B75647" w:rsidRDefault="00452401" w:rsidP="00B75647">
      <w:pPr>
        <w:bidi w:val="0"/>
        <w:spacing w:after="120"/>
        <w:ind w:left="397" w:hanging="397"/>
        <w:jc w:val="both"/>
        <w:rPr>
          <w:i/>
          <w:sz w:val="18"/>
          <w:szCs w:val="20"/>
        </w:rPr>
      </w:pPr>
      <w:proofErr w:type="spellStart"/>
      <w:r w:rsidRPr="00B75647">
        <w:rPr>
          <w:sz w:val="18"/>
          <w:szCs w:val="20"/>
        </w:rPr>
        <w:t>Fargues</w:t>
      </w:r>
      <w:proofErr w:type="spellEnd"/>
      <w:r w:rsidRPr="00B75647">
        <w:rPr>
          <w:sz w:val="18"/>
          <w:szCs w:val="20"/>
        </w:rPr>
        <w:t xml:space="preserve">, P. (2000). Protracted national conflict and fertility change: Palestinians and Israelis in the twentieth century. </w:t>
      </w:r>
      <w:r w:rsidRPr="00B75647">
        <w:rPr>
          <w:i/>
          <w:sz w:val="18"/>
          <w:szCs w:val="20"/>
        </w:rPr>
        <w:t>Population and Development Review</w:t>
      </w:r>
      <w:r w:rsidRPr="00B75647">
        <w:rPr>
          <w:sz w:val="18"/>
          <w:szCs w:val="20"/>
        </w:rPr>
        <w:t xml:space="preserve">, </w:t>
      </w:r>
      <w:r w:rsidRPr="00B75647">
        <w:rPr>
          <w:i/>
          <w:sz w:val="18"/>
          <w:szCs w:val="20"/>
        </w:rPr>
        <w:t>26</w:t>
      </w:r>
      <w:r w:rsidRPr="00B75647">
        <w:rPr>
          <w:sz w:val="18"/>
          <w:szCs w:val="20"/>
        </w:rPr>
        <w:t xml:space="preserve">(3), </w:t>
      </w:r>
      <w:r w:rsidR="00B75647">
        <w:rPr>
          <w:sz w:val="18"/>
          <w:szCs w:val="20"/>
        </w:rPr>
        <w:br/>
      </w:r>
      <w:r w:rsidRPr="00B75647">
        <w:rPr>
          <w:sz w:val="18"/>
          <w:szCs w:val="20"/>
        </w:rPr>
        <w:t>441–482.</w:t>
      </w:r>
    </w:p>
    <w:p w14:paraId="1CC9B5CA" w14:textId="77777777" w:rsidR="00452401" w:rsidRPr="00B75647" w:rsidRDefault="00452401" w:rsidP="00B75647">
      <w:pPr>
        <w:bidi w:val="0"/>
        <w:spacing w:after="120"/>
        <w:ind w:left="397" w:hanging="397"/>
        <w:jc w:val="both"/>
        <w:rPr>
          <w:sz w:val="18"/>
          <w:szCs w:val="20"/>
        </w:rPr>
      </w:pPr>
      <w:r w:rsidRPr="00B75647">
        <w:rPr>
          <w:sz w:val="18"/>
          <w:szCs w:val="20"/>
        </w:rPr>
        <w:t xml:space="preserve">Friedlander, D. (1969). Demographic responses and population change. </w:t>
      </w:r>
      <w:r w:rsidRPr="00B75647">
        <w:rPr>
          <w:i/>
          <w:sz w:val="18"/>
          <w:szCs w:val="20"/>
        </w:rPr>
        <w:t>Demography</w:t>
      </w:r>
      <w:r w:rsidRPr="00B75647">
        <w:rPr>
          <w:sz w:val="18"/>
          <w:szCs w:val="20"/>
        </w:rPr>
        <w:t xml:space="preserve">, </w:t>
      </w:r>
      <w:r w:rsidRPr="00B75647">
        <w:rPr>
          <w:i/>
          <w:sz w:val="18"/>
          <w:szCs w:val="20"/>
        </w:rPr>
        <w:t>6</w:t>
      </w:r>
      <w:r w:rsidRPr="00B75647">
        <w:rPr>
          <w:sz w:val="18"/>
          <w:szCs w:val="20"/>
        </w:rPr>
        <w:t>, 359–381.</w:t>
      </w:r>
    </w:p>
    <w:p w14:paraId="014FC241" w14:textId="77777777" w:rsidR="00452401" w:rsidRPr="00B75647" w:rsidRDefault="00452401" w:rsidP="00B75647">
      <w:pPr>
        <w:bidi w:val="0"/>
        <w:spacing w:after="120"/>
        <w:ind w:left="397" w:hanging="397"/>
        <w:jc w:val="both"/>
        <w:rPr>
          <w:sz w:val="18"/>
          <w:szCs w:val="20"/>
        </w:rPr>
      </w:pPr>
      <w:r w:rsidRPr="00B75647">
        <w:rPr>
          <w:sz w:val="18"/>
          <w:szCs w:val="20"/>
        </w:rPr>
        <w:t xml:space="preserve">Friedlander, D., &amp; Feldman, C. (1992) The modern shift to below-replacement fertility: Has Israel's population joined the process? </w:t>
      </w:r>
      <w:r w:rsidRPr="00B75647">
        <w:rPr>
          <w:i/>
          <w:sz w:val="18"/>
          <w:szCs w:val="20"/>
        </w:rPr>
        <w:t>Population Studies</w:t>
      </w:r>
      <w:r w:rsidRPr="00B75647">
        <w:rPr>
          <w:iCs/>
          <w:sz w:val="18"/>
          <w:szCs w:val="20"/>
        </w:rPr>
        <w:t xml:space="preserve">, </w:t>
      </w:r>
      <w:r w:rsidRPr="00B75647">
        <w:rPr>
          <w:i/>
          <w:iCs/>
          <w:sz w:val="18"/>
          <w:szCs w:val="20"/>
        </w:rPr>
        <w:t>47</w:t>
      </w:r>
      <w:r w:rsidRPr="00B75647">
        <w:rPr>
          <w:sz w:val="18"/>
          <w:szCs w:val="20"/>
        </w:rPr>
        <w:t>, 295–306.</w:t>
      </w:r>
    </w:p>
    <w:p w14:paraId="6BDBF01B" w14:textId="77777777" w:rsidR="00452401" w:rsidRPr="00B75647" w:rsidRDefault="00452401" w:rsidP="00B75647">
      <w:pPr>
        <w:bidi w:val="0"/>
        <w:spacing w:after="120"/>
        <w:ind w:left="397" w:hanging="397"/>
        <w:jc w:val="both"/>
        <w:rPr>
          <w:sz w:val="18"/>
          <w:szCs w:val="20"/>
        </w:rPr>
      </w:pPr>
      <w:proofErr w:type="spellStart"/>
      <w:r w:rsidRPr="00B75647">
        <w:rPr>
          <w:sz w:val="18"/>
          <w:szCs w:val="20"/>
        </w:rPr>
        <w:t>Goldscheider</w:t>
      </w:r>
      <w:proofErr w:type="spellEnd"/>
      <w:r w:rsidRPr="00B75647">
        <w:rPr>
          <w:sz w:val="18"/>
          <w:szCs w:val="20"/>
        </w:rPr>
        <w:t>, C. (1971).</w:t>
      </w:r>
      <w:r w:rsidRPr="00B75647">
        <w:rPr>
          <w:i/>
          <w:sz w:val="18"/>
          <w:szCs w:val="20"/>
        </w:rPr>
        <w:t xml:space="preserve"> Population, modernization and social structure. </w:t>
      </w:r>
      <w:r w:rsidRPr="00B75647">
        <w:rPr>
          <w:sz w:val="18"/>
          <w:szCs w:val="20"/>
        </w:rPr>
        <w:t>Boston: Little Brown.</w:t>
      </w:r>
    </w:p>
    <w:p w14:paraId="6F973A5C" w14:textId="77777777" w:rsidR="00452401" w:rsidRPr="00B75647" w:rsidRDefault="00452401" w:rsidP="00B75647">
      <w:pPr>
        <w:bidi w:val="0"/>
        <w:spacing w:after="120"/>
        <w:ind w:left="397" w:hanging="397"/>
        <w:jc w:val="both"/>
        <w:rPr>
          <w:sz w:val="18"/>
          <w:szCs w:val="20"/>
        </w:rPr>
      </w:pPr>
      <w:proofErr w:type="spellStart"/>
      <w:r w:rsidRPr="00B75647">
        <w:rPr>
          <w:sz w:val="18"/>
          <w:szCs w:val="20"/>
        </w:rPr>
        <w:lastRenderedPageBreak/>
        <w:t>Goldscheider</w:t>
      </w:r>
      <w:proofErr w:type="spellEnd"/>
      <w:r w:rsidRPr="00B75647">
        <w:rPr>
          <w:sz w:val="18"/>
          <w:szCs w:val="20"/>
        </w:rPr>
        <w:t xml:space="preserve">, C., &amp; </w:t>
      </w:r>
      <w:proofErr w:type="spellStart"/>
      <w:r w:rsidRPr="00B75647">
        <w:rPr>
          <w:sz w:val="18"/>
          <w:szCs w:val="20"/>
        </w:rPr>
        <w:t>Uhlenberg</w:t>
      </w:r>
      <w:proofErr w:type="spellEnd"/>
      <w:r w:rsidRPr="00B75647">
        <w:rPr>
          <w:sz w:val="18"/>
          <w:szCs w:val="20"/>
        </w:rPr>
        <w:t xml:space="preserve">, P. (1969). Minority group status and fertility. </w:t>
      </w:r>
      <w:r w:rsidRPr="00B75647">
        <w:rPr>
          <w:i/>
          <w:sz w:val="18"/>
          <w:szCs w:val="20"/>
        </w:rPr>
        <w:t>American Journal of Sociology</w:t>
      </w:r>
      <w:r w:rsidRPr="00B75647">
        <w:rPr>
          <w:sz w:val="18"/>
          <w:szCs w:val="20"/>
        </w:rPr>
        <w:t xml:space="preserve">, </w:t>
      </w:r>
      <w:r w:rsidRPr="00B75647">
        <w:rPr>
          <w:i/>
          <w:sz w:val="18"/>
          <w:szCs w:val="20"/>
        </w:rPr>
        <w:t>74</w:t>
      </w:r>
      <w:r w:rsidRPr="00B75647">
        <w:rPr>
          <w:sz w:val="18"/>
          <w:szCs w:val="20"/>
        </w:rPr>
        <w:t>, 361–372.</w:t>
      </w:r>
    </w:p>
    <w:p w14:paraId="6A4A50E0" w14:textId="77777777" w:rsidR="00B75647" w:rsidRDefault="00452401" w:rsidP="00B75647">
      <w:pPr>
        <w:bidi w:val="0"/>
        <w:ind w:left="397" w:hanging="397"/>
        <w:jc w:val="both"/>
        <w:rPr>
          <w:sz w:val="18"/>
          <w:szCs w:val="20"/>
        </w:rPr>
      </w:pPr>
      <w:r w:rsidRPr="00B75647">
        <w:rPr>
          <w:sz w:val="18"/>
          <w:szCs w:val="20"/>
        </w:rPr>
        <w:t xml:space="preserve">Hansen, C. W., Jensen, P. S., &amp; </w:t>
      </w:r>
      <w:proofErr w:type="spellStart"/>
      <w:r w:rsidRPr="00B75647">
        <w:rPr>
          <w:sz w:val="18"/>
          <w:szCs w:val="20"/>
        </w:rPr>
        <w:t>Lønstrup</w:t>
      </w:r>
      <w:proofErr w:type="spellEnd"/>
      <w:r w:rsidRPr="00B75647">
        <w:rPr>
          <w:sz w:val="18"/>
          <w:szCs w:val="20"/>
        </w:rPr>
        <w:t xml:space="preserve">, L. (2018). The fertility </w:t>
      </w:r>
      <w:proofErr w:type="gramStart"/>
      <w:r w:rsidRPr="00B75647">
        <w:rPr>
          <w:sz w:val="18"/>
          <w:szCs w:val="20"/>
        </w:rPr>
        <w:t>decline</w:t>
      </w:r>
      <w:proofErr w:type="gramEnd"/>
      <w:r w:rsidRPr="00B75647">
        <w:rPr>
          <w:sz w:val="18"/>
          <w:szCs w:val="20"/>
        </w:rPr>
        <w:t xml:space="preserve"> in the United States: Schooling and income. </w:t>
      </w:r>
      <w:r w:rsidRPr="00B75647">
        <w:rPr>
          <w:i/>
          <w:sz w:val="18"/>
          <w:szCs w:val="20"/>
        </w:rPr>
        <w:t>Macroeconomic Dynamics</w:t>
      </w:r>
      <w:r w:rsidRPr="00B75647">
        <w:rPr>
          <w:sz w:val="18"/>
          <w:szCs w:val="20"/>
        </w:rPr>
        <w:t xml:space="preserve">, </w:t>
      </w:r>
      <w:r w:rsidRPr="00B75647">
        <w:rPr>
          <w:i/>
          <w:sz w:val="18"/>
          <w:szCs w:val="20"/>
        </w:rPr>
        <w:t>22</w:t>
      </w:r>
      <w:r w:rsidRPr="00B75647">
        <w:rPr>
          <w:sz w:val="18"/>
          <w:szCs w:val="20"/>
        </w:rPr>
        <w:t xml:space="preserve">(6), 1584–1612. </w:t>
      </w:r>
    </w:p>
    <w:p w14:paraId="17A6DF39" w14:textId="6DC644CD" w:rsidR="00452401" w:rsidRPr="00B75647" w:rsidRDefault="00452401" w:rsidP="00B75647">
      <w:pPr>
        <w:bidi w:val="0"/>
        <w:spacing w:after="120"/>
        <w:rPr>
          <w:rStyle w:val="Hyperlink"/>
          <w:color w:val="auto"/>
          <w:sz w:val="16"/>
          <w:szCs w:val="18"/>
          <w:u w:val="none"/>
        </w:rPr>
      </w:pPr>
      <w:r w:rsidRPr="00B75647">
        <w:rPr>
          <w:rStyle w:val="Hyperlink"/>
          <w:color w:val="auto"/>
          <w:sz w:val="16"/>
          <w:szCs w:val="18"/>
          <w:u w:val="none"/>
        </w:rPr>
        <w:t>https://doi.org/10.1017/S136510051600081X</w:t>
      </w:r>
    </w:p>
    <w:p w14:paraId="77CE54A9" w14:textId="77777777" w:rsidR="00452401" w:rsidRPr="00B75647" w:rsidRDefault="00452401" w:rsidP="00B75647">
      <w:pPr>
        <w:bidi w:val="0"/>
        <w:spacing w:after="120"/>
        <w:ind w:left="397" w:hanging="397"/>
        <w:jc w:val="both"/>
        <w:rPr>
          <w:sz w:val="18"/>
          <w:szCs w:val="20"/>
        </w:rPr>
      </w:pPr>
      <w:r w:rsidRPr="00B75647">
        <w:rPr>
          <w:sz w:val="18"/>
          <w:szCs w:val="20"/>
        </w:rPr>
        <w:t xml:space="preserve">Hechter, M. (1975). </w:t>
      </w:r>
      <w:r w:rsidRPr="00B75647">
        <w:rPr>
          <w:i/>
          <w:sz w:val="18"/>
          <w:szCs w:val="20"/>
        </w:rPr>
        <w:t>Internal colonialism: The Celtic fringe in British national development</w:t>
      </w:r>
      <w:r w:rsidRPr="00B75647">
        <w:rPr>
          <w:sz w:val="18"/>
          <w:szCs w:val="20"/>
        </w:rPr>
        <w:t>. Berkeley: University of California Press.</w:t>
      </w:r>
    </w:p>
    <w:p w14:paraId="4192D81F" w14:textId="77777777" w:rsidR="00452401" w:rsidRPr="00B75647" w:rsidRDefault="00452401" w:rsidP="00B75647">
      <w:pPr>
        <w:bidi w:val="0"/>
        <w:spacing w:after="120"/>
        <w:ind w:left="397" w:hanging="397"/>
        <w:jc w:val="both"/>
        <w:rPr>
          <w:sz w:val="18"/>
          <w:szCs w:val="20"/>
        </w:rPr>
      </w:pPr>
      <w:r w:rsidRPr="00B75647">
        <w:rPr>
          <w:sz w:val="18"/>
          <w:szCs w:val="20"/>
        </w:rPr>
        <w:t xml:space="preserve">Hill, K. (2013). Why do fertility levels vary between urban and rural areas? </w:t>
      </w:r>
      <w:r w:rsidRPr="00B75647">
        <w:rPr>
          <w:i/>
          <w:sz w:val="18"/>
          <w:szCs w:val="20"/>
        </w:rPr>
        <w:t>Regional Studies</w:t>
      </w:r>
      <w:r w:rsidRPr="00B75647">
        <w:rPr>
          <w:sz w:val="18"/>
          <w:szCs w:val="20"/>
        </w:rPr>
        <w:t xml:space="preserve">, </w:t>
      </w:r>
      <w:r w:rsidRPr="00B75647">
        <w:rPr>
          <w:i/>
          <w:sz w:val="18"/>
          <w:szCs w:val="20"/>
        </w:rPr>
        <w:t>43</w:t>
      </w:r>
      <w:r w:rsidRPr="00B75647">
        <w:rPr>
          <w:sz w:val="18"/>
          <w:szCs w:val="20"/>
        </w:rPr>
        <w:t>(6), 895–912.</w:t>
      </w:r>
    </w:p>
    <w:p w14:paraId="3979F980" w14:textId="77777777" w:rsidR="00452401" w:rsidRPr="00B75647" w:rsidRDefault="00452401" w:rsidP="00B75647">
      <w:pPr>
        <w:bidi w:val="0"/>
        <w:spacing w:after="120"/>
        <w:ind w:left="397" w:hanging="397"/>
        <w:jc w:val="both"/>
        <w:rPr>
          <w:sz w:val="18"/>
          <w:szCs w:val="20"/>
        </w:rPr>
      </w:pPr>
      <w:r w:rsidRPr="00B75647">
        <w:rPr>
          <w:sz w:val="18"/>
          <w:szCs w:val="20"/>
        </w:rPr>
        <w:t xml:space="preserve">Hirschman, C. (2001). Comment: Globalization and theories of fertility decline. </w:t>
      </w:r>
      <w:r w:rsidRPr="00B75647">
        <w:rPr>
          <w:i/>
          <w:sz w:val="18"/>
          <w:szCs w:val="20"/>
        </w:rPr>
        <w:t>Population and Development Review</w:t>
      </w:r>
      <w:r w:rsidRPr="00B75647">
        <w:rPr>
          <w:sz w:val="18"/>
          <w:szCs w:val="20"/>
        </w:rPr>
        <w:t xml:space="preserve">, </w:t>
      </w:r>
      <w:r w:rsidRPr="00B75647">
        <w:rPr>
          <w:i/>
          <w:sz w:val="18"/>
          <w:szCs w:val="20"/>
        </w:rPr>
        <w:t>27</w:t>
      </w:r>
      <w:r w:rsidRPr="00B75647">
        <w:rPr>
          <w:sz w:val="18"/>
          <w:szCs w:val="20"/>
        </w:rPr>
        <w:t>, 116–125.</w:t>
      </w:r>
    </w:p>
    <w:p w14:paraId="17656DFB" w14:textId="77777777" w:rsidR="00452401" w:rsidRPr="00B75647" w:rsidRDefault="00452401" w:rsidP="00B75647">
      <w:pPr>
        <w:bidi w:val="0"/>
        <w:spacing w:after="120"/>
        <w:ind w:left="397" w:hanging="397"/>
        <w:jc w:val="both"/>
        <w:rPr>
          <w:sz w:val="18"/>
          <w:szCs w:val="20"/>
        </w:rPr>
      </w:pPr>
      <w:r w:rsidRPr="00B75647">
        <w:rPr>
          <w:sz w:val="18"/>
          <w:szCs w:val="20"/>
        </w:rPr>
        <w:t xml:space="preserve">James, K. S., &amp; </w:t>
      </w:r>
      <w:proofErr w:type="spellStart"/>
      <w:r w:rsidRPr="00B75647">
        <w:rPr>
          <w:sz w:val="18"/>
          <w:szCs w:val="20"/>
        </w:rPr>
        <w:t>Sajini</w:t>
      </w:r>
      <w:proofErr w:type="spellEnd"/>
      <w:r w:rsidRPr="00B75647">
        <w:rPr>
          <w:sz w:val="18"/>
          <w:szCs w:val="20"/>
        </w:rPr>
        <w:t xml:space="preserve">, B. N. (2005). Accelerated decline in fertility in India since the 1980s: Trends among Hindus and Muslims. </w:t>
      </w:r>
      <w:r w:rsidRPr="00B75647">
        <w:rPr>
          <w:i/>
          <w:sz w:val="18"/>
          <w:szCs w:val="20"/>
        </w:rPr>
        <w:t>Economic and Political Weekly</w:t>
      </w:r>
      <w:r w:rsidRPr="00B75647">
        <w:rPr>
          <w:sz w:val="18"/>
          <w:szCs w:val="20"/>
        </w:rPr>
        <w:t xml:space="preserve">, </w:t>
      </w:r>
      <w:r w:rsidRPr="00B75647">
        <w:rPr>
          <w:i/>
          <w:sz w:val="18"/>
          <w:szCs w:val="20"/>
        </w:rPr>
        <w:t>40</w:t>
      </w:r>
      <w:r w:rsidRPr="00B75647">
        <w:rPr>
          <w:sz w:val="18"/>
          <w:szCs w:val="20"/>
        </w:rPr>
        <w:t>(5), 375–383.</w:t>
      </w:r>
    </w:p>
    <w:p w14:paraId="2938FECA" w14:textId="77777777" w:rsidR="00452401" w:rsidRPr="00B75647" w:rsidRDefault="00452401" w:rsidP="00B75647">
      <w:pPr>
        <w:bidi w:val="0"/>
        <w:spacing w:after="120"/>
        <w:ind w:left="397" w:hanging="397"/>
        <w:jc w:val="both"/>
        <w:rPr>
          <w:sz w:val="18"/>
          <w:szCs w:val="20"/>
        </w:rPr>
      </w:pPr>
      <w:r w:rsidRPr="00B75647">
        <w:rPr>
          <w:sz w:val="18"/>
          <w:szCs w:val="20"/>
        </w:rPr>
        <w:t xml:space="preserve">Janus, T. (2013). The political economy of fertility. </w:t>
      </w:r>
      <w:r w:rsidRPr="00B75647">
        <w:rPr>
          <w:i/>
          <w:sz w:val="18"/>
          <w:szCs w:val="20"/>
        </w:rPr>
        <w:t>Public Choice</w:t>
      </w:r>
      <w:r w:rsidRPr="00B75647">
        <w:rPr>
          <w:sz w:val="18"/>
          <w:szCs w:val="20"/>
        </w:rPr>
        <w:t xml:space="preserve">, </w:t>
      </w:r>
      <w:r w:rsidRPr="00B75647">
        <w:rPr>
          <w:i/>
          <w:sz w:val="18"/>
          <w:szCs w:val="20"/>
        </w:rPr>
        <w:t>155</w:t>
      </w:r>
      <w:r w:rsidRPr="00B75647">
        <w:rPr>
          <w:sz w:val="18"/>
          <w:szCs w:val="20"/>
        </w:rPr>
        <w:t>, 493–505.</w:t>
      </w:r>
    </w:p>
    <w:p w14:paraId="0A93659A" w14:textId="77777777" w:rsidR="00452401" w:rsidRPr="00B75647" w:rsidRDefault="00452401" w:rsidP="00B75647">
      <w:pPr>
        <w:bidi w:val="0"/>
        <w:spacing w:after="120"/>
        <w:ind w:left="397" w:hanging="397"/>
        <w:jc w:val="both"/>
        <w:rPr>
          <w:sz w:val="18"/>
          <w:szCs w:val="20"/>
        </w:rPr>
      </w:pPr>
      <w:r w:rsidRPr="00B75647">
        <w:rPr>
          <w:sz w:val="18"/>
          <w:szCs w:val="20"/>
        </w:rPr>
        <w:t xml:space="preserve">Jones, E. F., &amp; </w:t>
      </w:r>
      <w:proofErr w:type="spellStart"/>
      <w:r w:rsidRPr="00B75647">
        <w:rPr>
          <w:sz w:val="18"/>
          <w:szCs w:val="20"/>
        </w:rPr>
        <w:t>Westoff</w:t>
      </w:r>
      <w:proofErr w:type="spellEnd"/>
      <w:r w:rsidRPr="00B75647">
        <w:rPr>
          <w:sz w:val="18"/>
          <w:szCs w:val="20"/>
        </w:rPr>
        <w:t xml:space="preserve">, C. F. (1979). The end of 'Catholic' fertility. </w:t>
      </w:r>
      <w:r w:rsidRPr="00B75647">
        <w:rPr>
          <w:i/>
          <w:sz w:val="18"/>
          <w:szCs w:val="20"/>
        </w:rPr>
        <w:t>Demography</w:t>
      </w:r>
      <w:r w:rsidRPr="00B75647">
        <w:rPr>
          <w:sz w:val="18"/>
          <w:szCs w:val="20"/>
        </w:rPr>
        <w:t xml:space="preserve">, </w:t>
      </w:r>
      <w:r w:rsidRPr="00B75647">
        <w:rPr>
          <w:i/>
          <w:sz w:val="18"/>
          <w:szCs w:val="20"/>
        </w:rPr>
        <w:t>16</w:t>
      </w:r>
      <w:r w:rsidRPr="00B75647">
        <w:rPr>
          <w:sz w:val="18"/>
          <w:szCs w:val="20"/>
        </w:rPr>
        <w:t>(2), 209–218.</w:t>
      </w:r>
    </w:p>
    <w:p w14:paraId="53AD6CBB" w14:textId="77777777" w:rsidR="00452401" w:rsidRPr="00B75647" w:rsidRDefault="00452401" w:rsidP="00B75647">
      <w:pPr>
        <w:bidi w:val="0"/>
        <w:spacing w:after="120"/>
        <w:ind w:left="397" w:hanging="397"/>
        <w:jc w:val="both"/>
        <w:rPr>
          <w:i/>
          <w:sz w:val="18"/>
          <w:szCs w:val="20"/>
        </w:rPr>
      </w:pPr>
      <w:bookmarkStart w:id="13" w:name="_heading=h.17dp8vu" w:colFirst="0" w:colLast="0"/>
      <w:bookmarkEnd w:id="13"/>
      <w:proofErr w:type="spellStart"/>
      <w:r w:rsidRPr="00B75647">
        <w:rPr>
          <w:sz w:val="18"/>
          <w:szCs w:val="20"/>
        </w:rPr>
        <w:t>Kedar</w:t>
      </w:r>
      <w:proofErr w:type="spellEnd"/>
      <w:r w:rsidRPr="00B75647">
        <w:rPr>
          <w:sz w:val="18"/>
          <w:szCs w:val="20"/>
        </w:rPr>
        <w:t xml:space="preserve">, E., Amara, A., &amp; </w:t>
      </w:r>
      <w:proofErr w:type="spellStart"/>
      <w:r w:rsidRPr="00B75647">
        <w:rPr>
          <w:sz w:val="18"/>
          <w:szCs w:val="20"/>
        </w:rPr>
        <w:t>Yiftachel</w:t>
      </w:r>
      <w:proofErr w:type="spellEnd"/>
      <w:r w:rsidRPr="00B75647">
        <w:rPr>
          <w:sz w:val="18"/>
          <w:szCs w:val="20"/>
        </w:rPr>
        <w:t xml:space="preserve">, O. (2018). </w:t>
      </w:r>
      <w:r w:rsidRPr="00B75647">
        <w:rPr>
          <w:i/>
          <w:sz w:val="18"/>
          <w:szCs w:val="20"/>
        </w:rPr>
        <w:t xml:space="preserve">Emptied lands: A legal geography of Bedouin rights in the Negev. </w:t>
      </w:r>
      <w:r w:rsidRPr="00B75647">
        <w:rPr>
          <w:sz w:val="18"/>
          <w:szCs w:val="20"/>
        </w:rPr>
        <w:t>Stanford, California: Stanford University Press.</w:t>
      </w:r>
    </w:p>
    <w:p w14:paraId="3F312D15" w14:textId="77777777" w:rsidR="00452401" w:rsidRPr="00B75647" w:rsidRDefault="00452401" w:rsidP="00B75647">
      <w:pPr>
        <w:bidi w:val="0"/>
        <w:spacing w:after="120"/>
        <w:ind w:left="397" w:hanging="397"/>
        <w:jc w:val="both"/>
        <w:rPr>
          <w:sz w:val="18"/>
          <w:szCs w:val="20"/>
        </w:rPr>
      </w:pPr>
      <w:r w:rsidRPr="00B75647">
        <w:rPr>
          <w:sz w:val="18"/>
          <w:szCs w:val="20"/>
        </w:rPr>
        <w:t xml:space="preserve">Khawaja, M., &amp; Randall, S. (2006). Intifada, Palestinian fertility and women's education. </w:t>
      </w:r>
      <w:r w:rsidRPr="00B75647">
        <w:rPr>
          <w:i/>
          <w:sz w:val="18"/>
          <w:szCs w:val="20"/>
        </w:rPr>
        <w:t>Genus</w:t>
      </w:r>
      <w:r w:rsidRPr="00B75647">
        <w:rPr>
          <w:sz w:val="18"/>
          <w:szCs w:val="20"/>
        </w:rPr>
        <w:t xml:space="preserve">, </w:t>
      </w:r>
      <w:r w:rsidRPr="00B75647">
        <w:rPr>
          <w:i/>
          <w:sz w:val="18"/>
          <w:szCs w:val="20"/>
        </w:rPr>
        <w:t>62</w:t>
      </w:r>
      <w:r w:rsidRPr="00B75647">
        <w:rPr>
          <w:sz w:val="18"/>
          <w:szCs w:val="20"/>
        </w:rPr>
        <w:t>(1), 21–51.</w:t>
      </w:r>
    </w:p>
    <w:p w14:paraId="5C9B4EBA" w14:textId="77777777" w:rsidR="00452401" w:rsidRPr="00B75647" w:rsidRDefault="00452401" w:rsidP="00B75647">
      <w:pPr>
        <w:bidi w:val="0"/>
        <w:spacing w:after="120"/>
        <w:ind w:left="397" w:hanging="397"/>
        <w:jc w:val="both"/>
        <w:rPr>
          <w:sz w:val="18"/>
          <w:szCs w:val="20"/>
        </w:rPr>
      </w:pPr>
      <w:r w:rsidRPr="00B75647">
        <w:rPr>
          <w:sz w:val="18"/>
          <w:szCs w:val="20"/>
        </w:rPr>
        <w:t xml:space="preserve">Kirk, D. (1996). Demographic transition theory. </w:t>
      </w:r>
      <w:r w:rsidRPr="00B75647">
        <w:rPr>
          <w:i/>
          <w:sz w:val="18"/>
          <w:szCs w:val="20"/>
        </w:rPr>
        <w:t>Population Studies</w:t>
      </w:r>
      <w:r w:rsidRPr="00B75647">
        <w:rPr>
          <w:sz w:val="18"/>
          <w:szCs w:val="20"/>
        </w:rPr>
        <w:t>,</w:t>
      </w:r>
      <w:r w:rsidRPr="00B75647">
        <w:rPr>
          <w:i/>
          <w:sz w:val="18"/>
          <w:szCs w:val="20"/>
        </w:rPr>
        <w:t xml:space="preserve"> 50</w:t>
      </w:r>
      <w:r w:rsidRPr="00B75647">
        <w:rPr>
          <w:sz w:val="18"/>
          <w:szCs w:val="20"/>
        </w:rPr>
        <w:t>, 361–387.</w:t>
      </w:r>
    </w:p>
    <w:p w14:paraId="4D281614" w14:textId="77777777" w:rsidR="00452401" w:rsidRPr="00B75647" w:rsidRDefault="00452401" w:rsidP="00B75647">
      <w:pPr>
        <w:bidi w:val="0"/>
        <w:spacing w:after="120"/>
        <w:ind w:left="397" w:hanging="397"/>
        <w:jc w:val="both"/>
        <w:rPr>
          <w:sz w:val="18"/>
          <w:szCs w:val="20"/>
        </w:rPr>
      </w:pPr>
      <w:r w:rsidRPr="00B75647">
        <w:rPr>
          <w:sz w:val="18"/>
          <w:szCs w:val="20"/>
        </w:rPr>
        <w:t xml:space="preserve">Kohler, H. P., </w:t>
      </w:r>
      <w:proofErr w:type="spellStart"/>
      <w:r w:rsidRPr="00B75647">
        <w:rPr>
          <w:sz w:val="18"/>
          <w:szCs w:val="20"/>
        </w:rPr>
        <w:t>Billari</w:t>
      </w:r>
      <w:proofErr w:type="spellEnd"/>
      <w:r w:rsidRPr="00B75647">
        <w:rPr>
          <w:sz w:val="18"/>
          <w:szCs w:val="20"/>
        </w:rPr>
        <w:t xml:space="preserve">, F. C., &amp; Ortega, J. A. (2006). The emergence of lowest-low fertility in Europe during the 1990s. </w:t>
      </w:r>
      <w:r w:rsidRPr="00B75647">
        <w:rPr>
          <w:i/>
          <w:sz w:val="18"/>
          <w:szCs w:val="20"/>
        </w:rPr>
        <w:t>Population and Development Review</w:t>
      </w:r>
      <w:r w:rsidRPr="00B75647">
        <w:rPr>
          <w:sz w:val="18"/>
          <w:szCs w:val="20"/>
        </w:rPr>
        <w:t xml:space="preserve">, </w:t>
      </w:r>
      <w:r w:rsidRPr="00B75647">
        <w:rPr>
          <w:i/>
          <w:sz w:val="18"/>
          <w:szCs w:val="20"/>
        </w:rPr>
        <w:t>28</w:t>
      </w:r>
      <w:r w:rsidRPr="00B75647">
        <w:rPr>
          <w:sz w:val="18"/>
          <w:szCs w:val="20"/>
        </w:rPr>
        <w:t>(4), 641–681.</w:t>
      </w:r>
    </w:p>
    <w:p w14:paraId="15E3D54F" w14:textId="77777777" w:rsidR="00452401" w:rsidRPr="00B75647" w:rsidRDefault="00452401" w:rsidP="00B75647">
      <w:pPr>
        <w:bidi w:val="0"/>
        <w:spacing w:after="120"/>
        <w:ind w:left="397" w:hanging="397"/>
        <w:jc w:val="both"/>
        <w:rPr>
          <w:sz w:val="18"/>
          <w:szCs w:val="20"/>
        </w:rPr>
      </w:pPr>
      <w:r w:rsidRPr="00B75647">
        <w:rPr>
          <w:sz w:val="18"/>
          <w:szCs w:val="20"/>
        </w:rPr>
        <w:t xml:space="preserve">Kohler, H. P., </w:t>
      </w:r>
      <w:proofErr w:type="spellStart"/>
      <w:r w:rsidRPr="00B75647">
        <w:rPr>
          <w:sz w:val="18"/>
          <w:szCs w:val="20"/>
        </w:rPr>
        <w:t>Billari</w:t>
      </w:r>
      <w:proofErr w:type="spellEnd"/>
      <w:r w:rsidRPr="00B75647">
        <w:rPr>
          <w:sz w:val="18"/>
          <w:szCs w:val="20"/>
        </w:rPr>
        <w:t xml:space="preserve">, F. C., &amp; Ortega, J. A. (2006). Low fertility in Europe: Causes, implications and policy options. In F. R. Harris (Ed.), </w:t>
      </w:r>
      <w:r w:rsidRPr="00B75647">
        <w:rPr>
          <w:i/>
          <w:sz w:val="18"/>
          <w:szCs w:val="20"/>
        </w:rPr>
        <w:t>The baby bust: Who will do the work? Who will pay the taxes?</w:t>
      </w:r>
      <w:r w:rsidRPr="00B75647">
        <w:rPr>
          <w:sz w:val="18"/>
          <w:szCs w:val="20"/>
        </w:rPr>
        <w:t xml:space="preserve"> (pp. 48–109). Lanham, Maryland: Rowman &amp; Littlefield Publishers </w:t>
      </w:r>
    </w:p>
    <w:p w14:paraId="607AFB95" w14:textId="77777777" w:rsidR="00452401" w:rsidRPr="00B75647" w:rsidRDefault="00452401" w:rsidP="00B75647">
      <w:pPr>
        <w:bidi w:val="0"/>
        <w:spacing w:after="120"/>
        <w:ind w:left="397" w:hanging="397"/>
        <w:jc w:val="both"/>
        <w:rPr>
          <w:sz w:val="18"/>
          <w:szCs w:val="20"/>
        </w:rPr>
      </w:pPr>
      <w:bookmarkStart w:id="14" w:name="_heading=h.3rdcrjn" w:colFirst="0" w:colLast="0"/>
      <w:bookmarkEnd w:id="14"/>
      <w:proofErr w:type="spellStart"/>
      <w:r w:rsidRPr="00B75647">
        <w:rPr>
          <w:sz w:val="18"/>
          <w:szCs w:val="20"/>
        </w:rPr>
        <w:t>Kraeger</w:t>
      </w:r>
      <w:proofErr w:type="spellEnd"/>
      <w:r w:rsidRPr="00B75647">
        <w:rPr>
          <w:sz w:val="18"/>
          <w:szCs w:val="20"/>
        </w:rPr>
        <w:t xml:space="preserve">, P. (1997). Population and identity. In D. I. </w:t>
      </w:r>
      <w:proofErr w:type="spellStart"/>
      <w:r w:rsidRPr="00B75647">
        <w:rPr>
          <w:sz w:val="18"/>
          <w:szCs w:val="20"/>
        </w:rPr>
        <w:t>Kertzer</w:t>
      </w:r>
      <w:proofErr w:type="spellEnd"/>
      <w:r w:rsidRPr="00B75647">
        <w:rPr>
          <w:sz w:val="18"/>
          <w:szCs w:val="20"/>
        </w:rPr>
        <w:t xml:space="preserve"> &amp; T. Fricke (Eds.), </w:t>
      </w:r>
      <w:r w:rsidRPr="00B75647">
        <w:rPr>
          <w:i/>
          <w:sz w:val="18"/>
          <w:szCs w:val="20"/>
        </w:rPr>
        <w:t xml:space="preserve">Anthropological demography: Towards a new synthesis </w:t>
      </w:r>
      <w:r w:rsidRPr="00B75647">
        <w:rPr>
          <w:sz w:val="18"/>
          <w:szCs w:val="20"/>
        </w:rPr>
        <w:t>(pp. 139–174). Chicago: Chicago University press.</w:t>
      </w:r>
    </w:p>
    <w:p w14:paraId="691272B2" w14:textId="77777777" w:rsidR="00452401" w:rsidRPr="00B75647" w:rsidRDefault="00452401" w:rsidP="00B75647">
      <w:pPr>
        <w:pBdr>
          <w:top w:val="nil"/>
          <w:left w:val="nil"/>
          <w:bottom w:val="nil"/>
          <w:right w:val="nil"/>
          <w:between w:val="nil"/>
        </w:pBdr>
        <w:bidi w:val="0"/>
        <w:spacing w:after="120"/>
        <w:ind w:left="397" w:hanging="397"/>
        <w:jc w:val="both"/>
        <w:rPr>
          <w:sz w:val="18"/>
          <w:szCs w:val="20"/>
        </w:rPr>
      </w:pPr>
      <w:proofErr w:type="spellStart"/>
      <w:r w:rsidRPr="00B75647">
        <w:rPr>
          <w:sz w:val="18"/>
          <w:szCs w:val="20"/>
        </w:rPr>
        <w:t>Kreyenfeld</w:t>
      </w:r>
      <w:proofErr w:type="spellEnd"/>
      <w:r w:rsidRPr="00B75647">
        <w:rPr>
          <w:sz w:val="18"/>
          <w:szCs w:val="20"/>
        </w:rPr>
        <w:t xml:space="preserve">, M., &amp; </w:t>
      </w:r>
      <w:proofErr w:type="spellStart"/>
      <w:r w:rsidRPr="00B75647">
        <w:rPr>
          <w:sz w:val="18"/>
          <w:szCs w:val="20"/>
        </w:rPr>
        <w:t>Konietzka</w:t>
      </w:r>
      <w:proofErr w:type="spellEnd"/>
      <w:r w:rsidRPr="00B75647">
        <w:rPr>
          <w:sz w:val="18"/>
          <w:szCs w:val="20"/>
        </w:rPr>
        <w:t xml:space="preserve">, D. (2017) (Eds.). </w:t>
      </w:r>
      <w:r w:rsidRPr="00B75647">
        <w:rPr>
          <w:i/>
          <w:sz w:val="18"/>
          <w:szCs w:val="20"/>
        </w:rPr>
        <w:t>Childlessness in Europe: Contexts, causes, and consequences</w:t>
      </w:r>
      <w:r w:rsidRPr="00B75647">
        <w:rPr>
          <w:sz w:val="18"/>
          <w:szCs w:val="20"/>
        </w:rPr>
        <w:t>. Cham, Switzerland: Springer Nature.</w:t>
      </w:r>
    </w:p>
    <w:p w14:paraId="03C70244" w14:textId="77777777" w:rsidR="00452401" w:rsidRPr="00B75647" w:rsidRDefault="00452401" w:rsidP="00B75647">
      <w:pPr>
        <w:bidi w:val="0"/>
        <w:spacing w:after="120"/>
        <w:ind w:left="397" w:hanging="397"/>
        <w:jc w:val="both"/>
        <w:rPr>
          <w:sz w:val="18"/>
          <w:szCs w:val="20"/>
        </w:rPr>
      </w:pPr>
      <w:proofErr w:type="spellStart"/>
      <w:r w:rsidRPr="00B75647">
        <w:rPr>
          <w:sz w:val="18"/>
          <w:szCs w:val="20"/>
        </w:rPr>
        <w:lastRenderedPageBreak/>
        <w:t>Kupinsky</w:t>
      </w:r>
      <w:proofErr w:type="spellEnd"/>
      <w:r w:rsidRPr="00B75647">
        <w:rPr>
          <w:sz w:val="18"/>
          <w:szCs w:val="20"/>
        </w:rPr>
        <w:t xml:space="preserve">, S. (1992). Jewish fertility patterns: Norms, differentials and policy implications. In C. </w:t>
      </w:r>
      <w:proofErr w:type="spellStart"/>
      <w:r w:rsidRPr="00B75647">
        <w:rPr>
          <w:sz w:val="18"/>
          <w:szCs w:val="20"/>
        </w:rPr>
        <w:t>Goldscheider</w:t>
      </w:r>
      <w:proofErr w:type="spellEnd"/>
      <w:r w:rsidRPr="00B75647">
        <w:rPr>
          <w:sz w:val="18"/>
          <w:szCs w:val="20"/>
        </w:rPr>
        <w:t xml:space="preserve"> (Ed.), </w:t>
      </w:r>
      <w:r w:rsidRPr="00B75647">
        <w:rPr>
          <w:i/>
          <w:sz w:val="18"/>
          <w:szCs w:val="20"/>
        </w:rPr>
        <w:t>Population and social change in Israel</w:t>
      </w:r>
      <w:r w:rsidRPr="00B75647">
        <w:rPr>
          <w:sz w:val="18"/>
          <w:szCs w:val="20"/>
        </w:rPr>
        <w:t xml:space="preserve"> (pp. 149–175). Boulder, Colo: Westview.</w:t>
      </w:r>
    </w:p>
    <w:p w14:paraId="04AE97E4" w14:textId="77777777" w:rsidR="00452401" w:rsidRPr="00B75647" w:rsidRDefault="00452401" w:rsidP="00B75647">
      <w:pPr>
        <w:bidi w:val="0"/>
        <w:spacing w:after="120"/>
        <w:ind w:left="397" w:hanging="397"/>
        <w:jc w:val="both"/>
        <w:rPr>
          <w:sz w:val="18"/>
          <w:szCs w:val="20"/>
        </w:rPr>
      </w:pPr>
      <w:proofErr w:type="spellStart"/>
      <w:r w:rsidRPr="00B75647">
        <w:rPr>
          <w:sz w:val="18"/>
          <w:szCs w:val="20"/>
        </w:rPr>
        <w:t>Lavy</w:t>
      </w:r>
      <w:proofErr w:type="spellEnd"/>
      <w:r w:rsidRPr="00B75647">
        <w:rPr>
          <w:sz w:val="18"/>
          <w:szCs w:val="20"/>
        </w:rPr>
        <w:t xml:space="preserve">, V., &amp; </w:t>
      </w:r>
      <w:proofErr w:type="spellStart"/>
      <w:r w:rsidRPr="00B75647">
        <w:rPr>
          <w:sz w:val="18"/>
          <w:szCs w:val="20"/>
        </w:rPr>
        <w:t>Zablotsky</w:t>
      </w:r>
      <w:proofErr w:type="spellEnd"/>
      <w:r w:rsidRPr="00B75647">
        <w:rPr>
          <w:sz w:val="18"/>
          <w:szCs w:val="20"/>
        </w:rPr>
        <w:t xml:space="preserve">, A. (2015). Women’s schooling and fertility under low female labor force participation: Evidence from mobility restrictions in Israel. </w:t>
      </w:r>
      <w:r w:rsidRPr="00B75647">
        <w:rPr>
          <w:i/>
          <w:sz w:val="18"/>
          <w:szCs w:val="20"/>
        </w:rPr>
        <w:t>Journal of Public Economics</w:t>
      </w:r>
      <w:r w:rsidRPr="00B75647">
        <w:rPr>
          <w:sz w:val="18"/>
          <w:szCs w:val="20"/>
        </w:rPr>
        <w:t>,</w:t>
      </w:r>
      <w:r w:rsidRPr="00B75647">
        <w:rPr>
          <w:i/>
          <w:sz w:val="18"/>
          <w:szCs w:val="20"/>
        </w:rPr>
        <w:t xml:space="preserve"> 124</w:t>
      </w:r>
      <w:r w:rsidRPr="00B75647">
        <w:rPr>
          <w:sz w:val="18"/>
          <w:szCs w:val="20"/>
        </w:rPr>
        <w:t xml:space="preserve">, 105–121. </w:t>
      </w:r>
      <w:hyperlink r:id="rId12">
        <w:r w:rsidRPr="00B75647">
          <w:rPr>
            <w:sz w:val="18"/>
            <w:szCs w:val="20"/>
          </w:rPr>
          <w:t>https://doi.org/10.1016/j.jpubeco.2015.02.009</w:t>
        </w:r>
      </w:hyperlink>
    </w:p>
    <w:p w14:paraId="3905A73F" w14:textId="77777777" w:rsidR="00452401" w:rsidRPr="00B75647" w:rsidRDefault="00452401" w:rsidP="00B75647">
      <w:pPr>
        <w:bidi w:val="0"/>
        <w:spacing w:after="120"/>
        <w:ind w:left="397" w:hanging="397"/>
        <w:jc w:val="both"/>
        <w:rPr>
          <w:sz w:val="18"/>
          <w:szCs w:val="20"/>
        </w:rPr>
      </w:pPr>
      <w:proofErr w:type="spellStart"/>
      <w:r w:rsidRPr="00B75647">
        <w:rPr>
          <w:sz w:val="18"/>
          <w:szCs w:val="20"/>
        </w:rPr>
        <w:t>Lesthaeghe</w:t>
      </w:r>
      <w:proofErr w:type="spellEnd"/>
      <w:r w:rsidRPr="00B75647">
        <w:rPr>
          <w:sz w:val="18"/>
          <w:szCs w:val="20"/>
        </w:rPr>
        <w:t xml:space="preserve">, R., &amp; Wilson, C. (1986). Modes of production, secularization, and the pace of the fertility decline in western Europe, 1870–1930. In A. </w:t>
      </w:r>
      <w:proofErr w:type="spellStart"/>
      <w:r w:rsidRPr="00B75647">
        <w:rPr>
          <w:sz w:val="18"/>
          <w:szCs w:val="20"/>
        </w:rPr>
        <w:t>Coale</w:t>
      </w:r>
      <w:proofErr w:type="spellEnd"/>
      <w:r w:rsidRPr="00B75647">
        <w:rPr>
          <w:sz w:val="18"/>
          <w:szCs w:val="20"/>
        </w:rPr>
        <w:t xml:space="preserve"> &amp; S. Watkins (Eds.), </w:t>
      </w:r>
      <w:r w:rsidRPr="00B75647">
        <w:rPr>
          <w:i/>
          <w:sz w:val="18"/>
          <w:szCs w:val="20"/>
        </w:rPr>
        <w:t>The decline of fertility in Europe</w:t>
      </w:r>
      <w:r w:rsidRPr="00B75647">
        <w:rPr>
          <w:sz w:val="18"/>
          <w:szCs w:val="20"/>
        </w:rPr>
        <w:t xml:space="preserve"> (pp. 261–292). Princeton, NJ: University Press.</w:t>
      </w:r>
    </w:p>
    <w:p w14:paraId="28EDF62D" w14:textId="3923CF1D" w:rsidR="00452401" w:rsidRPr="00B75647" w:rsidRDefault="00452401" w:rsidP="00B75647">
      <w:pPr>
        <w:bidi w:val="0"/>
        <w:spacing w:after="120"/>
        <w:ind w:left="397" w:hanging="397"/>
        <w:jc w:val="both"/>
        <w:rPr>
          <w:sz w:val="18"/>
          <w:szCs w:val="20"/>
        </w:rPr>
      </w:pPr>
      <w:r w:rsidRPr="00B75647">
        <w:rPr>
          <w:sz w:val="18"/>
          <w:szCs w:val="20"/>
        </w:rPr>
        <w:t xml:space="preserve">Lopez, D. E., &amp; </w:t>
      </w:r>
      <w:proofErr w:type="spellStart"/>
      <w:r w:rsidRPr="00B75647">
        <w:rPr>
          <w:sz w:val="18"/>
          <w:szCs w:val="20"/>
        </w:rPr>
        <w:t>Sabagh</w:t>
      </w:r>
      <w:proofErr w:type="spellEnd"/>
      <w:r w:rsidRPr="00B75647">
        <w:rPr>
          <w:sz w:val="18"/>
          <w:szCs w:val="20"/>
        </w:rPr>
        <w:t xml:space="preserve">, G. (1978). Untangling structural and normative aspects of the minority status‐fertility hypothesis. </w:t>
      </w:r>
      <w:r w:rsidRPr="00B75647">
        <w:rPr>
          <w:i/>
          <w:sz w:val="18"/>
          <w:szCs w:val="20"/>
        </w:rPr>
        <w:t>American Journal of Sociology</w:t>
      </w:r>
      <w:r w:rsidRPr="00B75647">
        <w:rPr>
          <w:sz w:val="18"/>
          <w:szCs w:val="20"/>
        </w:rPr>
        <w:t xml:space="preserve">, </w:t>
      </w:r>
      <w:r w:rsidRPr="00B75647">
        <w:rPr>
          <w:i/>
          <w:sz w:val="18"/>
          <w:szCs w:val="20"/>
        </w:rPr>
        <w:t>83</w:t>
      </w:r>
      <w:r w:rsidRPr="00B75647">
        <w:rPr>
          <w:sz w:val="18"/>
          <w:szCs w:val="20"/>
        </w:rPr>
        <w:t>(6),</w:t>
      </w:r>
      <w:r w:rsidR="00AF7CA3">
        <w:rPr>
          <w:sz w:val="18"/>
          <w:szCs w:val="20"/>
          <w:rtl/>
        </w:rPr>
        <w:br/>
      </w:r>
      <w:r w:rsidRPr="00B75647">
        <w:rPr>
          <w:sz w:val="18"/>
          <w:szCs w:val="20"/>
        </w:rPr>
        <w:t>1491–1497.</w:t>
      </w:r>
    </w:p>
    <w:p w14:paraId="4C09F177" w14:textId="77777777" w:rsidR="00452401" w:rsidRPr="00B75647" w:rsidRDefault="00452401" w:rsidP="00B75647">
      <w:pPr>
        <w:bidi w:val="0"/>
        <w:spacing w:after="120"/>
        <w:ind w:left="397" w:hanging="397"/>
        <w:jc w:val="both"/>
        <w:rPr>
          <w:sz w:val="18"/>
          <w:szCs w:val="20"/>
        </w:rPr>
      </w:pPr>
      <w:r w:rsidRPr="00B75647">
        <w:rPr>
          <w:sz w:val="18"/>
          <w:szCs w:val="20"/>
        </w:rPr>
        <w:t>MacInnes, J., &amp; Pérez, D. J. (2009). The reproductive revolution</w:t>
      </w:r>
      <w:r w:rsidRPr="00B75647">
        <w:rPr>
          <w:i/>
          <w:sz w:val="18"/>
          <w:szCs w:val="20"/>
        </w:rPr>
        <w:t>. Sociological Review</w:t>
      </w:r>
      <w:r w:rsidRPr="00B75647">
        <w:rPr>
          <w:sz w:val="18"/>
          <w:szCs w:val="20"/>
        </w:rPr>
        <w:t xml:space="preserve">, </w:t>
      </w:r>
      <w:r w:rsidRPr="00B75647">
        <w:rPr>
          <w:i/>
          <w:sz w:val="18"/>
          <w:szCs w:val="20"/>
        </w:rPr>
        <w:t>57</w:t>
      </w:r>
      <w:r w:rsidRPr="00B75647">
        <w:rPr>
          <w:sz w:val="18"/>
          <w:szCs w:val="20"/>
        </w:rPr>
        <w:t>(2), 262–284.</w:t>
      </w:r>
    </w:p>
    <w:p w14:paraId="34814942" w14:textId="77777777" w:rsidR="00452401" w:rsidRPr="00B75647" w:rsidRDefault="00452401" w:rsidP="00B75647">
      <w:pPr>
        <w:bidi w:val="0"/>
        <w:spacing w:after="120"/>
        <w:ind w:left="397" w:hanging="397"/>
        <w:jc w:val="both"/>
        <w:rPr>
          <w:sz w:val="18"/>
          <w:szCs w:val="20"/>
        </w:rPr>
      </w:pPr>
      <w:proofErr w:type="spellStart"/>
      <w:r w:rsidRPr="00B75647">
        <w:rPr>
          <w:sz w:val="18"/>
          <w:szCs w:val="20"/>
        </w:rPr>
        <w:t>Maddrell</w:t>
      </w:r>
      <w:proofErr w:type="spellEnd"/>
      <w:r w:rsidRPr="00B75647">
        <w:rPr>
          <w:sz w:val="18"/>
          <w:szCs w:val="20"/>
        </w:rPr>
        <w:t xml:space="preserve">, P. (1990). </w:t>
      </w:r>
      <w:r w:rsidRPr="00B75647">
        <w:rPr>
          <w:i/>
          <w:sz w:val="18"/>
          <w:szCs w:val="20"/>
        </w:rPr>
        <w:t>The Bedouin of the Negev</w:t>
      </w:r>
      <w:r w:rsidRPr="00B75647">
        <w:rPr>
          <w:sz w:val="18"/>
          <w:szCs w:val="20"/>
        </w:rPr>
        <w:t>. Minority Rights Group Report, No. 81.</w:t>
      </w:r>
    </w:p>
    <w:p w14:paraId="5EE43973" w14:textId="77777777" w:rsidR="00452401" w:rsidRPr="00B75647" w:rsidRDefault="00452401" w:rsidP="00B75647">
      <w:pPr>
        <w:bidi w:val="0"/>
        <w:spacing w:after="120"/>
        <w:ind w:left="397" w:hanging="397"/>
        <w:jc w:val="both"/>
        <w:rPr>
          <w:b/>
          <w:i/>
          <w:sz w:val="18"/>
          <w:szCs w:val="20"/>
        </w:rPr>
      </w:pPr>
      <w:r w:rsidRPr="00B75647">
        <w:rPr>
          <w:sz w:val="18"/>
          <w:szCs w:val="20"/>
        </w:rPr>
        <w:t>McQuillan, K. (2004). When does religion influence fertility?</w:t>
      </w:r>
      <w:r w:rsidRPr="00B75647">
        <w:rPr>
          <w:i/>
          <w:sz w:val="18"/>
          <w:szCs w:val="20"/>
        </w:rPr>
        <w:t xml:space="preserve"> Population and Development Review</w:t>
      </w:r>
      <w:r w:rsidRPr="00B75647">
        <w:rPr>
          <w:sz w:val="18"/>
          <w:szCs w:val="20"/>
        </w:rPr>
        <w:t xml:space="preserve">, </w:t>
      </w:r>
      <w:r w:rsidRPr="00B75647">
        <w:rPr>
          <w:i/>
          <w:sz w:val="18"/>
          <w:szCs w:val="20"/>
        </w:rPr>
        <w:t>30</w:t>
      </w:r>
      <w:r w:rsidRPr="00B75647">
        <w:rPr>
          <w:sz w:val="18"/>
          <w:szCs w:val="20"/>
        </w:rPr>
        <w:t>(1), 25–56</w:t>
      </w:r>
      <w:r w:rsidRPr="00B75647">
        <w:rPr>
          <w:i/>
          <w:sz w:val="18"/>
          <w:szCs w:val="20"/>
        </w:rPr>
        <w:t>.</w:t>
      </w:r>
    </w:p>
    <w:p w14:paraId="747CCDC3" w14:textId="77777777" w:rsidR="00452401" w:rsidRPr="00B75647" w:rsidRDefault="00452401" w:rsidP="00B75647">
      <w:pPr>
        <w:bidi w:val="0"/>
        <w:spacing w:after="120"/>
        <w:ind w:left="397" w:hanging="397"/>
        <w:jc w:val="both"/>
        <w:rPr>
          <w:sz w:val="18"/>
          <w:szCs w:val="20"/>
        </w:rPr>
      </w:pPr>
      <w:r w:rsidRPr="00B75647">
        <w:rPr>
          <w:sz w:val="18"/>
          <w:szCs w:val="20"/>
        </w:rPr>
        <w:t xml:space="preserve">Meir, A. (1984). Demographic transition among the Negev Bedouin and its planning implications. </w:t>
      </w:r>
      <w:r w:rsidRPr="00B75647">
        <w:rPr>
          <w:i/>
          <w:sz w:val="18"/>
          <w:szCs w:val="20"/>
        </w:rPr>
        <w:t>Socio-Economic Planning Sciences</w:t>
      </w:r>
      <w:r w:rsidRPr="00B75647">
        <w:rPr>
          <w:sz w:val="18"/>
          <w:szCs w:val="20"/>
        </w:rPr>
        <w:t>,</w:t>
      </w:r>
      <w:r w:rsidRPr="00B75647">
        <w:rPr>
          <w:b/>
          <w:i/>
          <w:sz w:val="18"/>
          <w:szCs w:val="20"/>
        </w:rPr>
        <w:t xml:space="preserve"> </w:t>
      </w:r>
      <w:r w:rsidRPr="00B75647">
        <w:rPr>
          <w:i/>
          <w:sz w:val="18"/>
          <w:szCs w:val="20"/>
        </w:rPr>
        <w:t>18</w:t>
      </w:r>
      <w:r w:rsidRPr="00B75647">
        <w:rPr>
          <w:sz w:val="18"/>
          <w:szCs w:val="20"/>
        </w:rPr>
        <w:t>(6), 399–409.</w:t>
      </w:r>
    </w:p>
    <w:p w14:paraId="72EE9BA3" w14:textId="77777777" w:rsidR="00452401" w:rsidRPr="00B75647" w:rsidRDefault="00452401" w:rsidP="00B75647">
      <w:pPr>
        <w:bidi w:val="0"/>
        <w:spacing w:after="120"/>
        <w:ind w:left="397" w:hanging="397"/>
        <w:jc w:val="both"/>
        <w:rPr>
          <w:sz w:val="18"/>
          <w:szCs w:val="20"/>
        </w:rPr>
      </w:pPr>
      <w:r w:rsidRPr="00B75647">
        <w:rPr>
          <w:sz w:val="18"/>
          <w:szCs w:val="20"/>
        </w:rPr>
        <w:t xml:space="preserve">Meir, A. (1986). Demographic transition theory: A neglected aspect of the nomadism-sedentarism continuum. </w:t>
      </w:r>
      <w:r w:rsidRPr="00B75647">
        <w:rPr>
          <w:i/>
          <w:sz w:val="18"/>
          <w:szCs w:val="20"/>
        </w:rPr>
        <w:t>Transactions</w:t>
      </w:r>
      <w:r w:rsidRPr="00B75647">
        <w:rPr>
          <w:sz w:val="18"/>
          <w:szCs w:val="20"/>
        </w:rPr>
        <w:t xml:space="preserve"> </w:t>
      </w:r>
      <w:r w:rsidRPr="00B75647">
        <w:rPr>
          <w:i/>
          <w:sz w:val="18"/>
          <w:szCs w:val="20"/>
        </w:rPr>
        <w:t>of the</w:t>
      </w:r>
      <w:r w:rsidRPr="00B75647">
        <w:rPr>
          <w:sz w:val="18"/>
          <w:szCs w:val="20"/>
        </w:rPr>
        <w:t xml:space="preserve"> </w:t>
      </w:r>
      <w:r w:rsidRPr="00B75647">
        <w:rPr>
          <w:i/>
          <w:sz w:val="18"/>
          <w:szCs w:val="20"/>
        </w:rPr>
        <w:t>Institute of British Geographers</w:t>
      </w:r>
      <w:r w:rsidRPr="00B75647">
        <w:rPr>
          <w:sz w:val="18"/>
          <w:szCs w:val="20"/>
        </w:rPr>
        <w:t>,</w:t>
      </w:r>
      <w:r w:rsidRPr="00B75647">
        <w:rPr>
          <w:b/>
          <w:i/>
          <w:sz w:val="18"/>
          <w:szCs w:val="20"/>
        </w:rPr>
        <w:t xml:space="preserve"> </w:t>
      </w:r>
      <w:r w:rsidRPr="00B75647">
        <w:rPr>
          <w:i/>
          <w:sz w:val="18"/>
          <w:szCs w:val="20"/>
        </w:rPr>
        <w:t>11</w:t>
      </w:r>
      <w:r w:rsidRPr="00B75647">
        <w:rPr>
          <w:sz w:val="18"/>
          <w:szCs w:val="20"/>
        </w:rPr>
        <w:t>(2), 199–211.</w:t>
      </w:r>
    </w:p>
    <w:p w14:paraId="46D5A856" w14:textId="77777777" w:rsidR="00452401" w:rsidRPr="00B75647" w:rsidRDefault="00452401" w:rsidP="00B75647">
      <w:pPr>
        <w:bidi w:val="0"/>
        <w:spacing w:after="120"/>
        <w:ind w:left="397" w:hanging="397"/>
        <w:jc w:val="both"/>
        <w:rPr>
          <w:sz w:val="18"/>
          <w:szCs w:val="20"/>
        </w:rPr>
      </w:pPr>
      <w:r w:rsidRPr="00B75647">
        <w:rPr>
          <w:sz w:val="18"/>
          <w:szCs w:val="20"/>
        </w:rPr>
        <w:t>Meir, A. (1997). A</w:t>
      </w:r>
      <w:r w:rsidRPr="00B75647">
        <w:rPr>
          <w:i/>
          <w:sz w:val="18"/>
          <w:szCs w:val="20"/>
        </w:rPr>
        <w:t>s nomadism ends: The Israeli Bedouin of the</w:t>
      </w:r>
      <w:r w:rsidRPr="00B75647">
        <w:rPr>
          <w:sz w:val="18"/>
          <w:szCs w:val="20"/>
        </w:rPr>
        <w:t xml:space="preserve"> </w:t>
      </w:r>
      <w:r w:rsidRPr="00B75647">
        <w:rPr>
          <w:i/>
          <w:sz w:val="18"/>
          <w:szCs w:val="20"/>
        </w:rPr>
        <w:t>Negev</w:t>
      </w:r>
      <w:r w:rsidRPr="00B75647">
        <w:rPr>
          <w:sz w:val="18"/>
          <w:szCs w:val="20"/>
        </w:rPr>
        <w:t xml:space="preserve">. U.K.: West View Press. </w:t>
      </w:r>
    </w:p>
    <w:p w14:paraId="0DA7C948" w14:textId="77777777" w:rsidR="00452401" w:rsidRPr="00B75647" w:rsidRDefault="00452401" w:rsidP="00B75647">
      <w:pPr>
        <w:bidi w:val="0"/>
        <w:spacing w:after="120"/>
        <w:ind w:left="397" w:hanging="397"/>
        <w:jc w:val="both"/>
        <w:rPr>
          <w:sz w:val="18"/>
          <w:szCs w:val="20"/>
        </w:rPr>
      </w:pPr>
      <w:r w:rsidRPr="00B75647">
        <w:rPr>
          <w:sz w:val="18"/>
          <w:szCs w:val="20"/>
        </w:rPr>
        <w:t xml:space="preserve">Meir, A. (2009). Contemporary state discourse and historical pastoral spatiality: Contradictions in the land conflict between the Israeli Bedouin and the state. </w:t>
      </w:r>
      <w:r w:rsidRPr="00B75647">
        <w:rPr>
          <w:i/>
          <w:sz w:val="18"/>
          <w:szCs w:val="20"/>
        </w:rPr>
        <w:t xml:space="preserve">Ethnic and Racial </w:t>
      </w:r>
      <w:r w:rsidRPr="00B75647">
        <w:rPr>
          <w:sz w:val="18"/>
          <w:szCs w:val="20"/>
        </w:rPr>
        <w:t xml:space="preserve">Studies, </w:t>
      </w:r>
      <w:r w:rsidRPr="00B75647">
        <w:rPr>
          <w:i/>
          <w:sz w:val="18"/>
          <w:szCs w:val="20"/>
        </w:rPr>
        <w:t>32</w:t>
      </w:r>
      <w:r w:rsidRPr="00B75647">
        <w:rPr>
          <w:sz w:val="18"/>
          <w:szCs w:val="20"/>
        </w:rPr>
        <w:t>(5), 823–843.</w:t>
      </w:r>
    </w:p>
    <w:p w14:paraId="78E1810E" w14:textId="77777777" w:rsidR="00452401" w:rsidRPr="00B75647" w:rsidRDefault="00452401" w:rsidP="00B75647">
      <w:pPr>
        <w:bidi w:val="0"/>
        <w:spacing w:after="120"/>
        <w:ind w:left="397" w:hanging="397"/>
        <w:jc w:val="both"/>
        <w:rPr>
          <w:i/>
          <w:sz w:val="18"/>
          <w:szCs w:val="20"/>
        </w:rPr>
      </w:pPr>
      <w:r w:rsidRPr="00B75647">
        <w:rPr>
          <w:sz w:val="18"/>
          <w:szCs w:val="20"/>
        </w:rPr>
        <w:t xml:space="preserve">Meir, A., &amp; Ben-David, Y. (1991). A methodology of analyzing fertility transition among </w:t>
      </w:r>
      <w:proofErr w:type="spellStart"/>
      <w:r w:rsidRPr="00B75647">
        <w:rPr>
          <w:sz w:val="18"/>
          <w:szCs w:val="20"/>
        </w:rPr>
        <w:t>sedentarizing</w:t>
      </w:r>
      <w:proofErr w:type="spellEnd"/>
      <w:r w:rsidRPr="00B75647">
        <w:rPr>
          <w:sz w:val="18"/>
          <w:szCs w:val="20"/>
        </w:rPr>
        <w:t xml:space="preserve"> pastoral nomads. </w:t>
      </w:r>
      <w:proofErr w:type="spellStart"/>
      <w:r w:rsidRPr="00B75647">
        <w:rPr>
          <w:i/>
          <w:sz w:val="18"/>
          <w:szCs w:val="20"/>
        </w:rPr>
        <w:t>Kieler</w:t>
      </w:r>
      <w:proofErr w:type="spellEnd"/>
      <w:r w:rsidRPr="00B75647">
        <w:rPr>
          <w:i/>
          <w:sz w:val="18"/>
          <w:szCs w:val="20"/>
        </w:rPr>
        <w:t xml:space="preserve"> </w:t>
      </w:r>
      <w:proofErr w:type="spellStart"/>
      <w:r w:rsidRPr="00B75647">
        <w:rPr>
          <w:i/>
          <w:sz w:val="18"/>
          <w:szCs w:val="20"/>
        </w:rPr>
        <w:t>Geographische</w:t>
      </w:r>
      <w:proofErr w:type="spellEnd"/>
      <w:r w:rsidRPr="00B75647">
        <w:rPr>
          <w:sz w:val="18"/>
          <w:szCs w:val="20"/>
        </w:rPr>
        <w:t xml:space="preserve"> </w:t>
      </w:r>
      <w:proofErr w:type="spellStart"/>
      <w:r w:rsidRPr="00B75647">
        <w:rPr>
          <w:i/>
          <w:sz w:val="18"/>
          <w:szCs w:val="20"/>
        </w:rPr>
        <w:t>Schriften</w:t>
      </w:r>
      <w:proofErr w:type="spellEnd"/>
      <w:r w:rsidRPr="00B75647">
        <w:rPr>
          <w:sz w:val="18"/>
          <w:szCs w:val="20"/>
        </w:rPr>
        <w:t xml:space="preserve">, </w:t>
      </w:r>
      <w:r w:rsidRPr="00B75647">
        <w:rPr>
          <w:i/>
          <w:sz w:val="18"/>
          <w:szCs w:val="20"/>
        </w:rPr>
        <w:t>78</w:t>
      </w:r>
      <w:r w:rsidRPr="00B75647">
        <w:rPr>
          <w:sz w:val="18"/>
          <w:szCs w:val="20"/>
        </w:rPr>
        <w:t>, 17–27.</w:t>
      </w:r>
    </w:p>
    <w:p w14:paraId="7E20F53C" w14:textId="2DCD5DE2" w:rsidR="00452401" w:rsidRPr="00B75647" w:rsidRDefault="00452401" w:rsidP="00B75647">
      <w:pPr>
        <w:pBdr>
          <w:top w:val="nil"/>
          <w:left w:val="nil"/>
          <w:bottom w:val="nil"/>
          <w:right w:val="nil"/>
          <w:between w:val="nil"/>
        </w:pBdr>
        <w:bidi w:val="0"/>
        <w:spacing w:after="120"/>
        <w:ind w:left="397" w:hanging="397"/>
        <w:jc w:val="both"/>
        <w:rPr>
          <w:sz w:val="18"/>
          <w:szCs w:val="20"/>
        </w:rPr>
      </w:pPr>
      <w:r w:rsidRPr="00B75647">
        <w:rPr>
          <w:sz w:val="18"/>
          <w:szCs w:val="20"/>
        </w:rPr>
        <w:t xml:space="preserve">Meir, A., &amp; Ben-David, Y. (1992). A latent surplus: Changing value of </w:t>
      </w:r>
      <w:proofErr w:type="spellStart"/>
      <w:r w:rsidRPr="00B75647">
        <w:rPr>
          <w:sz w:val="18"/>
          <w:szCs w:val="20"/>
        </w:rPr>
        <w:t>sedentarizing</w:t>
      </w:r>
      <w:proofErr w:type="spellEnd"/>
      <w:r w:rsidRPr="00B75647">
        <w:rPr>
          <w:sz w:val="18"/>
          <w:szCs w:val="20"/>
        </w:rPr>
        <w:t xml:space="preserve"> and semi-urbanizing nomadic Bedouin children in Israel. </w:t>
      </w:r>
      <w:r w:rsidRPr="00B75647">
        <w:rPr>
          <w:i/>
          <w:sz w:val="18"/>
          <w:szCs w:val="20"/>
        </w:rPr>
        <w:t>Urban Anthropology</w:t>
      </w:r>
      <w:r w:rsidRPr="00B75647">
        <w:rPr>
          <w:sz w:val="18"/>
          <w:szCs w:val="20"/>
        </w:rPr>
        <w:t xml:space="preserve">, </w:t>
      </w:r>
      <w:r w:rsidRPr="00B75647">
        <w:rPr>
          <w:i/>
          <w:sz w:val="18"/>
          <w:szCs w:val="20"/>
        </w:rPr>
        <w:t>21</w:t>
      </w:r>
      <w:r w:rsidRPr="00B75647">
        <w:rPr>
          <w:sz w:val="18"/>
          <w:szCs w:val="20"/>
        </w:rPr>
        <w:t xml:space="preserve">, </w:t>
      </w:r>
      <w:r w:rsidR="00AF7CA3">
        <w:rPr>
          <w:sz w:val="18"/>
          <w:szCs w:val="20"/>
          <w:rtl/>
        </w:rPr>
        <w:br/>
      </w:r>
      <w:r w:rsidRPr="00B75647">
        <w:rPr>
          <w:sz w:val="18"/>
          <w:szCs w:val="20"/>
        </w:rPr>
        <w:t>137–152.</w:t>
      </w:r>
    </w:p>
    <w:p w14:paraId="516D0870" w14:textId="77777777" w:rsidR="00452401" w:rsidRPr="00B75647" w:rsidRDefault="00452401" w:rsidP="00B75647">
      <w:pPr>
        <w:bidi w:val="0"/>
        <w:spacing w:after="120"/>
        <w:ind w:left="397" w:hanging="397"/>
        <w:jc w:val="both"/>
        <w:rPr>
          <w:sz w:val="18"/>
          <w:szCs w:val="20"/>
        </w:rPr>
      </w:pPr>
      <w:r w:rsidRPr="00B75647">
        <w:rPr>
          <w:sz w:val="18"/>
          <w:szCs w:val="20"/>
        </w:rPr>
        <w:t xml:space="preserve">Morgan, S. P., Sharon, S., Herbert, L. S., &amp; Karen, O. M. (2002). Muslim and Non-Muslim differences in female autonomy and fertility: Evidence from four Asian countries. </w:t>
      </w:r>
      <w:r w:rsidRPr="00B75647">
        <w:rPr>
          <w:i/>
          <w:sz w:val="18"/>
          <w:szCs w:val="20"/>
        </w:rPr>
        <w:t>Population and Development Review</w:t>
      </w:r>
      <w:r w:rsidRPr="00B75647">
        <w:rPr>
          <w:sz w:val="18"/>
          <w:szCs w:val="20"/>
        </w:rPr>
        <w:t>,</w:t>
      </w:r>
      <w:r w:rsidRPr="00B75647">
        <w:rPr>
          <w:i/>
          <w:sz w:val="18"/>
          <w:szCs w:val="20"/>
        </w:rPr>
        <w:t xml:space="preserve"> 28</w:t>
      </w:r>
      <w:r w:rsidRPr="00B75647">
        <w:rPr>
          <w:sz w:val="18"/>
          <w:szCs w:val="20"/>
        </w:rPr>
        <w:t>(3), 515–537.</w:t>
      </w:r>
    </w:p>
    <w:p w14:paraId="5EE9A473" w14:textId="77777777" w:rsidR="00452401" w:rsidRPr="00B75647" w:rsidRDefault="00452401" w:rsidP="00B75647">
      <w:pPr>
        <w:bidi w:val="0"/>
        <w:spacing w:after="120"/>
        <w:ind w:left="397" w:hanging="397"/>
        <w:jc w:val="both"/>
        <w:rPr>
          <w:sz w:val="18"/>
          <w:szCs w:val="20"/>
        </w:rPr>
      </w:pPr>
      <w:r w:rsidRPr="00B75647">
        <w:rPr>
          <w:sz w:val="18"/>
          <w:szCs w:val="20"/>
        </w:rPr>
        <w:lastRenderedPageBreak/>
        <w:t xml:space="preserve">Mosher, W. D. (1980). The theory of change and response: An application to Puerto Rico, 1940 to 1970. </w:t>
      </w:r>
      <w:r w:rsidRPr="00B75647">
        <w:rPr>
          <w:i/>
          <w:sz w:val="18"/>
          <w:szCs w:val="20"/>
        </w:rPr>
        <w:t>Population Studies</w:t>
      </w:r>
      <w:r w:rsidRPr="00B75647">
        <w:rPr>
          <w:sz w:val="18"/>
          <w:szCs w:val="20"/>
        </w:rPr>
        <w:t xml:space="preserve">, </w:t>
      </w:r>
      <w:r w:rsidRPr="00B75647">
        <w:rPr>
          <w:i/>
          <w:sz w:val="18"/>
          <w:szCs w:val="20"/>
        </w:rPr>
        <w:t>34</w:t>
      </w:r>
      <w:r w:rsidRPr="00B75647">
        <w:rPr>
          <w:sz w:val="18"/>
          <w:szCs w:val="20"/>
        </w:rPr>
        <w:t>(1), 45–58.</w:t>
      </w:r>
    </w:p>
    <w:p w14:paraId="4456C1F8" w14:textId="6E57DF3E" w:rsidR="00452401" w:rsidRPr="00B75647" w:rsidRDefault="00452401" w:rsidP="00B75647">
      <w:pPr>
        <w:bidi w:val="0"/>
        <w:spacing w:after="120"/>
        <w:ind w:left="397" w:hanging="397"/>
        <w:jc w:val="both"/>
        <w:rPr>
          <w:sz w:val="18"/>
          <w:szCs w:val="20"/>
        </w:rPr>
      </w:pPr>
      <w:r w:rsidRPr="00B75647">
        <w:rPr>
          <w:sz w:val="18"/>
          <w:szCs w:val="20"/>
        </w:rPr>
        <w:t xml:space="preserve">Moultrie, T. A., </w:t>
      </w:r>
      <w:proofErr w:type="spellStart"/>
      <w:r w:rsidRPr="00B75647">
        <w:rPr>
          <w:sz w:val="18"/>
          <w:szCs w:val="20"/>
        </w:rPr>
        <w:t>Hosegood</w:t>
      </w:r>
      <w:proofErr w:type="spellEnd"/>
      <w:r w:rsidRPr="00B75647">
        <w:rPr>
          <w:sz w:val="18"/>
          <w:szCs w:val="20"/>
        </w:rPr>
        <w:t xml:space="preserve">, V., McGrath, N., Hill, C., Herbst, K., &amp; Newell, M. L. (2008). Refining the criteria for stalled fertility declines: An application to rural KwaZulu-Natal, South Africa, 1990–2005. </w:t>
      </w:r>
      <w:r w:rsidRPr="00B75647">
        <w:rPr>
          <w:i/>
          <w:sz w:val="18"/>
          <w:szCs w:val="20"/>
        </w:rPr>
        <w:t>Studies in Family Planning</w:t>
      </w:r>
      <w:r w:rsidRPr="00B75647">
        <w:rPr>
          <w:sz w:val="18"/>
          <w:szCs w:val="20"/>
        </w:rPr>
        <w:t xml:space="preserve">, </w:t>
      </w:r>
      <w:r w:rsidRPr="00B75647">
        <w:rPr>
          <w:i/>
          <w:sz w:val="18"/>
          <w:szCs w:val="20"/>
        </w:rPr>
        <w:t>39</w:t>
      </w:r>
      <w:r w:rsidRPr="00B75647">
        <w:rPr>
          <w:sz w:val="18"/>
          <w:szCs w:val="20"/>
        </w:rPr>
        <w:t xml:space="preserve">(1), </w:t>
      </w:r>
      <w:r w:rsidR="00B75647">
        <w:rPr>
          <w:sz w:val="18"/>
          <w:szCs w:val="20"/>
        </w:rPr>
        <w:br/>
      </w:r>
      <w:r w:rsidRPr="00B75647">
        <w:rPr>
          <w:sz w:val="18"/>
          <w:szCs w:val="20"/>
        </w:rPr>
        <w:t>39–48.</w:t>
      </w:r>
    </w:p>
    <w:p w14:paraId="4F5C1A0A" w14:textId="77777777" w:rsidR="00452401" w:rsidRPr="00B75647" w:rsidRDefault="00452401" w:rsidP="00B75647">
      <w:pPr>
        <w:bidi w:val="0"/>
        <w:spacing w:after="120"/>
        <w:ind w:left="397" w:hanging="397"/>
        <w:jc w:val="both"/>
        <w:rPr>
          <w:sz w:val="18"/>
          <w:szCs w:val="20"/>
        </w:rPr>
      </w:pPr>
      <w:proofErr w:type="spellStart"/>
      <w:r w:rsidRPr="00B75647">
        <w:rPr>
          <w:sz w:val="18"/>
          <w:szCs w:val="20"/>
        </w:rPr>
        <w:t>Muhsam</w:t>
      </w:r>
      <w:proofErr w:type="spellEnd"/>
      <w:r w:rsidRPr="00B75647">
        <w:rPr>
          <w:sz w:val="18"/>
          <w:szCs w:val="20"/>
        </w:rPr>
        <w:t xml:space="preserve">, H. V. (1951). Fertility and reproduction of the Bedouin. </w:t>
      </w:r>
      <w:r w:rsidRPr="00B75647">
        <w:rPr>
          <w:i/>
          <w:sz w:val="18"/>
          <w:szCs w:val="20"/>
        </w:rPr>
        <w:t>Population Studies</w:t>
      </w:r>
      <w:r w:rsidRPr="00B75647">
        <w:rPr>
          <w:sz w:val="18"/>
          <w:szCs w:val="20"/>
        </w:rPr>
        <w:t xml:space="preserve">, </w:t>
      </w:r>
      <w:r w:rsidRPr="00B75647">
        <w:rPr>
          <w:i/>
          <w:sz w:val="18"/>
          <w:szCs w:val="20"/>
        </w:rPr>
        <w:t>4</w:t>
      </w:r>
      <w:r w:rsidRPr="00B75647">
        <w:rPr>
          <w:sz w:val="18"/>
          <w:szCs w:val="20"/>
        </w:rPr>
        <w:t>(4), 354–363.</w:t>
      </w:r>
    </w:p>
    <w:p w14:paraId="1B5FCE66" w14:textId="77777777" w:rsidR="00452401" w:rsidRPr="00B75647" w:rsidRDefault="00452401" w:rsidP="00B75647">
      <w:pPr>
        <w:bidi w:val="0"/>
        <w:spacing w:after="120"/>
        <w:ind w:left="397" w:hanging="397"/>
        <w:jc w:val="both"/>
        <w:rPr>
          <w:sz w:val="18"/>
          <w:szCs w:val="20"/>
        </w:rPr>
      </w:pPr>
      <w:proofErr w:type="spellStart"/>
      <w:r w:rsidRPr="00B75647">
        <w:rPr>
          <w:sz w:val="18"/>
          <w:szCs w:val="20"/>
        </w:rPr>
        <w:t>Muhsam</w:t>
      </w:r>
      <w:proofErr w:type="spellEnd"/>
      <w:r w:rsidRPr="00B75647">
        <w:rPr>
          <w:sz w:val="18"/>
          <w:szCs w:val="20"/>
        </w:rPr>
        <w:t xml:space="preserve">, H. V. (1966). </w:t>
      </w:r>
      <w:r w:rsidRPr="00B75647">
        <w:rPr>
          <w:i/>
          <w:sz w:val="18"/>
          <w:szCs w:val="20"/>
        </w:rPr>
        <w:t>Bedouin of the Negev: Eight demographic studies</w:t>
      </w:r>
      <w:r w:rsidRPr="00B75647">
        <w:rPr>
          <w:sz w:val="18"/>
          <w:szCs w:val="20"/>
        </w:rPr>
        <w:t>. Jerusalem: Jerusalem Academic Studies.</w:t>
      </w:r>
    </w:p>
    <w:p w14:paraId="457DCD96" w14:textId="77777777" w:rsidR="00452401" w:rsidRPr="00B75647" w:rsidRDefault="00452401" w:rsidP="00B75647">
      <w:pPr>
        <w:bidi w:val="0"/>
        <w:spacing w:after="120"/>
        <w:ind w:left="397" w:hanging="397"/>
        <w:jc w:val="both"/>
        <w:rPr>
          <w:sz w:val="18"/>
          <w:szCs w:val="20"/>
        </w:rPr>
      </w:pPr>
      <w:proofErr w:type="spellStart"/>
      <w:r w:rsidRPr="00B75647">
        <w:rPr>
          <w:sz w:val="18"/>
          <w:szCs w:val="20"/>
        </w:rPr>
        <w:t>Nasasra</w:t>
      </w:r>
      <w:proofErr w:type="spellEnd"/>
      <w:r w:rsidRPr="00B75647">
        <w:rPr>
          <w:sz w:val="18"/>
          <w:szCs w:val="20"/>
        </w:rPr>
        <w:t xml:space="preserve">, M. (2017). </w:t>
      </w:r>
      <w:r w:rsidRPr="00B75647">
        <w:rPr>
          <w:i/>
          <w:sz w:val="18"/>
          <w:szCs w:val="20"/>
        </w:rPr>
        <w:t xml:space="preserve">The </w:t>
      </w:r>
      <w:proofErr w:type="spellStart"/>
      <w:r w:rsidRPr="00B75647">
        <w:rPr>
          <w:i/>
          <w:sz w:val="18"/>
          <w:szCs w:val="20"/>
        </w:rPr>
        <w:t>Naqab</w:t>
      </w:r>
      <w:proofErr w:type="spellEnd"/>
      <w:r w:rsidRPr="00B75647">
        <w:rPr>
          <w:i/>
          <w:sz w:val="18"/>
          <w:szCs w:val="20"/>
        </w:rPr>
        <w:t xml:space="preserve"> Bedouin: A century of politics and resistance. </w:t>
      </w:r>
      <w:r w:rsidRPr="00B75647">
        <w:rPr>
          <w:sz w:val="18"/>
          <w:szCs w:val="20"/>
        </w:rPr>
        <w:t>New York: Columbia University Press.</w:t>
      </w:r>
    </w:p>
    <w:p w14:paraId="0644C59E" w14:textId="77777777" w:rsidR="00452401" w:rsidRPr="00B75647" w:rsidRDefault="00452401" w:rsidP="00AF7CA3">
      <w:pPr>
        <w:bidi w:val="0"/>
        <w:ind w:left="397" w:hanging="397"/>
        <w:jc w:val="both"/>
        <w:rPr>
          <w:sz w:val="18"/>
          <w:szCs w:val="20"/>
        </w:rPr>
      </w:pPr>
      <w:r w:rsidRPr="00B75647">
        <w:rPr>
          <w:sz w:val="18"/>
          <w:szCs w:val="20"/>
        </w:rPr>
        <w:t xml:space="preserve">Okun, B. S. (2016). </w:t>
      </w:r>
      <w:r w:rsidRPr="00B75647">
        <w:rPr>
          <w:i/>
          <w:iCs/>
          <w:sz w:val="18"/>
          <w:szCs w:val="20"/>
        </w:rPr>
        <w:t>Early stages of fertility transition accompanying educational expansion: Muslim women in Israel</w:t>
      </w:r>
      <w:r w:rsidRPr="00B75647">
        <w:rPr>
          <w:sz w:val="18"/>
          <w:szCs w:val="20"/>
        </w:rPr>
        <w:t>. Prepared for the 2</w:t>
      </w:r>
      <w:r w:rsidRPr="00B75647">
        <w:rPr>
          <w:sz w:val="18"/>
          <w:szCs w:val="20"/>
          <w:vertAlign w:val="superscript"/>
        </w:rPr>
        <w:t>nd</w:t>
      </w:r>
      <w:r w:rsidRPr="00B75647">
        <w:rPr>
          <w:sz w:val="18"/>
          <w:szCs w:val="20"/>
        </w:rPr>
        <w:t xml:space="preserve"> Human Fertility Database Symposium, 23-24 June 2016, Berlin.</w:t>
      </w:r>
    </w:p>
    <w:p w14:paraId="175DF4E0" w14:textId="77777777" w:rsidR="00452401" w:rsidRPr="00AF7CA3" w:rsidRDefault="00452401" w:rsidP="00B75647">
      <w:pPr>
        <w:bidi w:val="0"/>
        <w:spacing w:after="120"/>
        <w:ind w:left="397" w:hanging="397"/>
        <w:jc w:val="both"/>
        <w:rPr>
          <w:sz w:val="16"/>
          <w:szCs w:val="18"/>
        </w:rPr>
      </w:pPr>
      <w:r w:rsidRPr="00AF7CA3">
        <w:rPr>
          <w:sz w:val="16"/>
          <w:szCs w:val="18"/>
        </w:rPr>
        <w:t xml:space="preserve">https://www.humanfertility.org/Docs/Symposium2/BOkun.pdf </w:t>
      </w:r>
    </w:p>
    <w:p w14:paraId="0A87EAE1" w14:textId="77777777" w:rsidR="00452401" w:rsidRPr="00B75647" w:rsidRDefault="00452401" w:rsidP="00B75647">
      <w:pPr>
        <w:bidi w:val="0"/>
        <w:spacing w:after="120"/>
        <w:ind w:left="397" w:hanging="397"/>
        <w:jc w:val="both"/>
        <w:rPr>
          <w:sz w:val="18"/>
          <w:szCs w:val="20"/>
        </w:rPr>
      </w:pPr>
      <w:proofErr w:type="spellStart"/>
      <w:r w:rsidRPr="00B75647">
        <w:rPr>
          <w:sz w:val="18"/>
          <w:szCs w:val="20"/>
        </w:rPr>
        <w:t>Peritz</w:t>
      </w:r>
      <w:proofErr w:type="spellEnd"/>
      <w:r w:rsidRPr="00B75647">
        <w:rPr>
          <w:sz w:val="18"/>
          <w:szCs w:val="20"/>
        </w:rPr>
        <w:t xml:space="preserve">, E. (1992). Overview of the findings. In E. </w:t>
      </w:r>
      <w:proofErr w:type="spellStart"/>
      <w:r w:rsidRPr="00B75647">
        <w:rPr>
          <w:sz w:val="18"/>
          <w:szCs w:val="20"/>
        </w:rPr>
        <w:t>Peritz</w:t>
      </w:r>
      <w:proofErr w:type="spellEnd"/>
      <w:r w:rsidRPr="00B75647">
        <w:rPr>
          <w:sz w:val="18"/>
          <w:szCs w:val="20"/>
        </w:rPr>
        <w:t xml:space="preserve"> &amp; M. </w:t>
      </w:r>
      <w:proofErr w:type="spellStart"/>
      <w:r w:rsidRPr="00B75647">
        <w:rPr>
          <w:sz w:val="18"/>
          <w:szCs w:val="20"/>
        </w:rPr>
        <w:t>Baras</w:t>
      </w:r>
      <w:proofErr w:type="spellEnd"/>
      <w:r w:rsidRPr="00B75647">
        <w:rPr>
          <w:sz w:val="18"/>
          <w:szCs w:val="20"/>
        </w:rPr>
        <w:t xml:space="preserve"> (Eds.), </w:t>
      </w:r>
      <w:r w:rsidRPr="00B75647">
        <w:rPr>
          <w:i/>
          <w:sz w:val="18"/>
          <w:szCs w:val="20"/>
        </w:rPr>
        <w:t>Studies in the fertility of Israel. Hebrew University Jewish Population Studies</w:t>
      </w:r>
      <w:r w:rsidRPr="00B75647">
        <w:rPr>
          <w:sz w:val="18"/>
          <w:szCs w:val="20"/>
        </w:rPr>
        <w:t xml:space="preserve">, </w:t>
      </w:r>
      <w:r w:rsidRPr="00B75647">
        <w:rPr>
          <w:i/>
          <w:sz w:val="18"/>
          <w:szCs w:val="20"/>
        </w:rPr>
        <w:t>24</w:t>
      </w:r>
      <w:r w:rsidRPr="00B75647">
        <w:rPr>
          <w:sz w:val="18"/>
          <w:szCs w:val="20"/>
        </w:rPr>
        <w:t xml:space="preserve"> (pp. 187–199). Jerusalem: Institute of Contemporary Jewry.</w:t>
      </w:r>
    </w:p>
    <w:p w14:paraId="1B4A6161" w14:textId="77777777" w:rsidR="00452401" w:rsidRPr="00B75647" w:rsidRDefault="00452401" w:rsidP="00B75647">
      <w:pPr>
        <w:bidi w:val="0"/>
        <w:spacing w:after="120"/>
        <w:ind w:left="397" w:hanging="397"/>
        <w:jc w:val="both"/>
        <w:rPr>
          <w:sz w:val="18"/>
          <w:szCs w:val="20"/>
        </w:rPr>
      </w:pPr>
      <w:r w:rsidRPr="00B75647">
        <w:rPr>
          <w:sz w:val="18"/>
          <w:szCs w:val="20"/>
        </w:rPr>
        <w:t xml:space="preserve">Ritchey, P. N. (1975). The effects of minority group status on fertility: A Re-examination of concepts. </w:t>
      </w:r>
      <w:r w:rsidRPr="00B75647">
        <w:rPr>
          <w:i/>
          <w:sz w:val="18"/>
          <w:szCs w:val="20"/>
        </w:rPr>
        <w:t>Population Studies</w:t>
      </w:r>
      <w:r w:rsidRPr="00B75647">
        <w:rPr>
          <w:sz w:val="18"/>
          <w:szCs w:val="20"/>
        </w:rPr>
        <w:t>,</w:t>
      </w:r>
      <w:r w:rsidRPr="00B75647">
        <w:rPr>
          <w:i/>
          <w:sz w:val="18"/>
          <w:szCs w:val="20"/>
        </w:rPr>
        <w:t xml:space="preserve"> 29</w:t>
      </w:r>
      <w:r w:rsidRPr="00B75647">
        <w:rPr>
          <w:sz w:val="18"/>
          <w:szCs w:val="20"/>
        </w:rPr>
        <w:t>(2), 249–257</w:t>
      </w:r>
      <w:r w:rsidRPr="00B75647">
        <w:rPr>
          <w:i/>
          <w:sz w:val="18"/>
          <w:szCs w:val="20"/>
        </w:rPr>
        <w:t>.</w:t>
      </w:r>
    </w:p>
    <w:p w14:paraId="0F867D17" w14:textId="77777777" w:rsidR="00452401" w:rsidRPr="00B75647" w:rsidRDefault="00452401" w:rsidP="00B75647">
      <w:pPr>
        <w:bidi w:val="0"/>
        <w:spacing w:after="120"/>
        <w:ind w:left="397" w:hanging="397"/>
        <w:jc w:val="both"/>
        <w:rPr>
          <w:sz w:val="18"/>
          <w:szCs w:val="20"/>
        </w:rPr>
      </w:pPr>
      <w:r w:rsidRPr="00B75647">
        <w:rPr>
          <w:sz w:val="18"/>
          <w:szCs w:val="20"/>
        </w:rPr>
        <w:t xml:space="preserve">Ryder, N. B., &amp; </w:t>
      </w:r>
      <w:proofErr w:type="spellStart"/>
      <w:r w:rsidRPr="00B75647">
        <w:rPr>
          <w:sz w:val="18"/>
          <w:szCs w:val="20"/>
        </w:rPr>
        <w:t>Westoff</w:t>
      </w:r>
      <w:proofErr w:type="spellEnd"/>
      <w:r w:rsidRPr="00B75647">
        <w:rPr>
          <w:sz w:val="18"/>
          <w:szCs w:val="20"/>
        </w:rPr>
        <w:t xml:space="preserve">, C. F. (1971). </w:t>
      </w:r>
      <w:r w:rsidRPr="00B75647">
        <w:rPr>
          <w:i/>
          <w:sz w:val="18"/>
          <w:szCs w:val="20"/>
        </w:rPr>
        <w:t xml:space="preserve">Reproduction in the United States 1965. </w:t>
      </w:r>
      <w:r w:rsidRPr="00B75647">
        <w:rPr>
          <w:sz w:val="18"/>
          <w:szCs w:val="20"/>
        </w:rPr>
        <w:t xml:space="preserve">Princeton: Princeton University Press. </w:t>
      </w:r>
    </w:p>
    <w:p w14:paraId="35798D55" w14:textId="77777777" w:rsidR="00452401" w:rsidRPr="00B75647" w:rsidRDefault="00452401" w:rsidP="00B75647">
      <w:pPr>
        <w:bidi w:val="0"/>
        <w:spacing w:after="120"/>
        <w:ind w:left="397" w:hanging="397"/>
        <w:jc w:val="both"/>
        <w:rPr>
          <w:sz w:val="18"/>
          <w:szCs w:val="20"/>
        </w:rPr>
      </w:pPr>
      <w:proofErr w:type="spellStart"/>
      <w:r w:rsidRPr="00B75647">
        <w:rPr>
          <w:sz w:val="18"/>
          <w:szCs w:val="20"/>
        </w:rPr>
        <w:t>Schellekens</w:t>
      </w:r>
      <w:proofErr w:type="spellEnd"/>
      <w:r w:rsidRPr="00B75647">
        <w:rPr>
          <w:sz w:val="18"/>
          <w:szCs w:val="20"/>
        </w:rPr>
        <w:t xml:space="preserve">, J., &amp; </w:t>
      </w:r>
      <w:proofErr w:type="spellStart"/>
      <w:r w:rsidRPr="00B75647">
        <w:rPr>
          <w:sz w:val="18"/>
          <w:szCs w:val="20"/>
        </w:rPr>
        <w:t>Atrash</w:t>
      </w:r>
      <w:proofErr w:type="spellEnd"/>
      <w:r w:rsidRPr="00B75647">
        <w:rPr>
          <w:sz w:val="18"/>
          <w:szCs w:val="20"/>
        </w:rPr>
        <w:t xml:space="preserve">, A. (2018). Religiosity and marital fertility among Muslims in Israel. </w:t>
      </w:r>
      <w:r w:rsidRPr="00B75647">
        <w:rPr>
          <w:i/>
          <w:sz w:val="18"/>
          <w:szCs w:val="20"/>
        </w:rPr>
        <w:t>Demographic Research</w:t>
      </w:r>
      <w:r w:rsidRPr="00B75647">
        <w:rPr>
          <w:sz w:val="18"/>
          <w:szCs w:val="20"/>
        </w:rPr>
        <w:t xml:space="preserve">, </w:t>
      </w:r>
      <w:r w:rsidRPr="00B75647">
        <w:rPr>
          <w:i/>
          <w:sz w:val="18"/>
          <w:szCs w:val="20"/>
        </w:rPr>
        <w:t>39</w:t>
      </w:r>
      <w:r w:rsidRPr="00B75647">
        <w:rPr>
          <w:sz w:val="18"/>
          <w:szCs w:val="20"/>
        </w:rPr>
        <w:t>, 911–926.</w:t>
      </w:r>
    </w:p>
    <w:p w14:paraId="132FD5A4" w14:textId="77777777" w:rsidR="00452401" w:rsidRPr="00B75647" w:rsidRDefault="00452401" w:rsidP="00B75647">
      <w:pPr>
        <w:bidi w:val="0"/>
        <w:spacing w:after="120"/>
        <w:ind w:left="397" w:hanging="397"/>
        <w:jc w:val="both"/>
        <w:rPr>
          <w:sz w:val="18"/>
          <w:szCs w:val="20"/>
        </w:rPr>
      </w:pPr>
      <w:proofErr w:type="spellStart"/>
      <w:r w:rsidRPr="00B75647">
        <w:rPr>
          <w:sz w:val="18"/>
          <w:szCs w:val="20"/>
        </w:rPr>
        <w:t>Schellekens</w:t>
      </w:r>
      <w:proofErr w:type="spellEnd"/>
      <w:r w:rsidRPr="00B75647">
        <w:rPr>
          <w:sz w:val="18"/>
          <w:szCs w:val="20"/>
        </w:rPr>
        <w:t xml:space="preserve">, J., &amp; </w:t>
      </w:r>
      <w:proofErr w:type="spellStart"/>
      <w:r w:rsidRPr="00B75647">
        <w:rPr>
          <w:sz w:val="18"/>
          <w:szCs w:val="20"/>
        </w:rPr>
        <w:t>Eisenbach</w:t>
      </w:r>
      <w:proofErr w:type="spellEnd"/>
      <w:r w:rsidRPr="00B75647">
        <w:rPr>
          <w:sz w:val="18"/>
          <w:szCs w:val="20"/>
        </w:rPr>
        <w:t xml:space="preserve">, Z. (2002). The pre-decline </w:t>
      </w:r>
      <w:proofErr w:type="gramStart"/>
      <w:r w:rsidRPr="00B75647">
        <w:rPr>
          <w:sz w:val="18"/>
          <w:szCs w:val="20"/>
        </w:rPr>
        <w:t>rise</w:t>
      </w:r>
      <w:proofErr w:type="gramEnd"/>
      <w:r w:rsidRPr="00B75647">
        <w:rPr>
          <w:sz w:val="18"/>
          <w:szCs w:val="20"/>
        </w:rPr>
        <w:t xml:space="preserve"> in Israeli Moslem fertility. </w:t>
      </w:r>
      <w:r w:rsidRPr="00B75647">
        <w:rPr>
          <w:i/>
          <w:sz w:val="18"/>
          <w:szCs w:val="20"/>
        </w:rPr>
        <w:t>Economic Development and Cultural Change</w:t>
      </w:r>
      <w:r w:rsidRPr="00B75647">
        <w:rPr>
          <w:sz w:val="18"/>
          <w:szCs w:val="20"/>
        </w:rPr>
        <w:t xml:space="preserve">, </w:t>
      </w:r>
      <w:r w:rsidRPr="00B75647">
        <w:rPr>
          <w:i/>
          <w:sz w:val="18"/>
          <w:szCs w:val="20"/>
        </w:rPr>
        <w:t>50</w:t>
      </w:r>
      <w:r w:rsidRPr="00B75647">
        <w:rPr>
          <w:sz w:val="18"/>
          <w:szCs w:val="20"/>
        </w:rPr>
        <w:t>, 541–555.</w:t>
      </w:r>
    </w:p>
    <w:p w14:paraId="2D23AD4D" w14:textId="77777777" w:rsidR="00452401" w:rsidRPr="00B75647" w:rsidRDefault="00452401" w:rsidP="00B75647">
      <w:pPr>
        <w:pStyle w:val="Heading1"/>
        <w:keepNext w:val="0"/>
        <w:shd w:val="clear" w:color="auto" w:fill="FFFFFF"/>
        <w:bidi w:val="0"/>
        <w:spacing w:line="240" w:lineRule="exact"/>
        <w:ind w:left="397" w:hanging="397"/>
        <w:rPr>
          <w:rFonts w:cs="Times New Roman"/>
          <w:b w:val="0"/>
          <w:sz w:val="18"/>
          <w:szCs w:val="18"/>
        </w:rPr>
      </w:pPr>
      <w:proofErr w:type="spellStart"/>
      <w:r w:rsidRPr="00B75647">
        <w:rPr>
          <w:rFonts w:cs="Times New Roman"/>
          <w:b w:val="0"/>
          <w:sz w:val="18"/>
          <w:szCs w:val="18"/>
        </w:rPr>
        <w:t>Schellekens</w:t>
      </w:r>
      <w:proofErr w:type="spellEnd"/>
      <w:r w:rsidRPr="00B75647">
        <w:rPr>
          <w:rFonts w:cs="Times New Roman"/>
          <w:b w:val="0"/>
          <w:sz w:val="18"/>
          <w:szCs w:val="18"/>
        </w:rPr>
        <w:t xml:space="preserve">, J., &amp; </w:t>
      </w:r>
      <w:proofErr w:type="spellStart"/>
      <w:r w:rsidRPr="00B75647">
        <w:rPr>
          <w:rFonts w:cs="Times New Roman"/>
          <w:b w:val="0"/>
          <w:sz w:val="18"/>
          <w:szCs w:val="18"/>
        </w:rPr>
        <w:t>Eisenbach</w:t>
      </w:r>
      <w:proofErr w:type="spellEnd"/>
      <w:r w:rsidRPr="00B75647">
        <w:rPr>
          <w:rFonts w:cs="Times New Roman"/>
          <w:b w:val="0"/>
          <w:sz w:val="18"/>
          <w:szCs w:val="18"/>
        </w:rPr>
        <w:t xml:space="preserve">, Z. (2010). Religiosity and marital fertility: Israeli Arab Muslims, 1955–1972. </w:t>
      </w:r>
      <w:r w:rsidRPr="00B75647">
        <w:rPr>
          <w:rFonts w:cs="Times New Roman"/>
          <w:b w:val="0"/>
          <w:i/>
          <w:sz w:val="18"/>
          <w:szCs w:val="18"/>
          <w:highlight w:val="white"/>
        </w:rPr>
        <w:t>Journal of Family History</w:t>
      </w:r>
      <w:r w:rsidRPr="00B75647">
        <w:rPr>
          <w:rFonts w:cs="Times New Roman"/>
          <w:b w:val="0"/>
          <w:sz w:val="18"/>
          <w:szCs w:val="18"/>
        </w:rPr>
        <w:t xml:space="preserve">, </w:t>
      </w:r>
      <w:r w:rsidRPr="00B75647">
        <w:rPr>
          <w:rFonts w:cs="Times New Roman"/>
          <w:b w:val="0"/>
          <w:i/>
          <w:sz w:val="18"/>
          <w:szCs w:val="18"/>
        </w:rPr>
        <w:t>53</w:t>
      </w:r>
      <w:r w:rsidRPr="00B75647">
        <w:rPr>
          <w:rFonts w:cs="Times New Roman"/>
          <w:b w:val="0"/>
          <w:sz w:val="18"/>
          <w:szCs w:val="18"/>
        </w:rPr>
        <w:t>(2), 147–163.</w:t>
      </w:r>
    </w:p>
    <w:p w14:paraId="4CBC29B4" w14:textId="77777777" w:rsidR="00452401" w:rsidRPr="00B75647" w:rsidRDefault="00452401" w:rsidP="00B75647">
      <w:pPr>
        <w:bidi w:val="0"/>
        <w:spacing w:after="120"/>
        <w:ind w:left="397" w:hanging="397"/>
        <w:jc w:val="both"/>
        <w:rPr>
          <w:sz w:val="18"/>
          <w:szCs w:val="20"/>
        </w:rPr>
      </w:pPr>
      <w:proofErr w:type="spellStart"/>
      <w:r w:rsidRPr="00B75647">
        <w:rPr>
          <w:sz w:val="18"/>
          <w:szCs w:val="20"/>
        </w:rPr>
        <w:t>Shain</w:t>
      </w:r>
      <w:proofErr w:type="spellEnd"/>
      <w:r w:rsidRPr="00B75647">
        <w:rPr>
          <w:sz w:val="18"/>
          <w:szCs w:val="20"/>
        </w:rPr>
        <w:t xml:space="preserve">, M. (2019). Understanding the demographic challenge: Education, orthodoxy and the fertility of American Jews. </w:t>
      </w:r>
      <w:r w:rsidRPr="00B75647">
        <w:rPr>
          <w:i/>
          <w:sz w:val="18"/>
          <w:szCs w:val="20"/>
        </w:rPr>
        <w:t>Contemporary Jewry</w:t>
      </w:r>
      <w:r w:rsidRPr="00B75647">
        <w:rPr>
          <w:sz w:val="18"/>
          <w:szCs w:val="20"/>
        </w:rPr>
        <w:t>,</w:t>
      </w:r>
      <w:r w:rsidRPr="00B75647">
        <w:rPr>
          <w:i/>
          <w:sz w:val="18"/>
          <w:szCs w:val="20"/>
        </w:rPr>
        <w:t xml:space="preserve"> 39</w:t>
      </w:r>
      <w:r w:rsidRPr="00B75647">
        <w:rPr>
          <w:sz w:val="18"/>
          <w:szCs w:val="20"/>
        </w:rPr>
        <w:t>(2), 273–292.</w:t>
      </w:r>
    </w:p>
    <w:p w14:paraId="6998CA36" w14:textId="77777777" w:rsidR="00452401" w:rsidRPr="00B75647" w:rsidRDefault="00452401" w:rsidP="00B75647">
      <w:pPr>
        <w:bidi w:val="0"/>
        <w:spacing w:after="120"/>
        <w:ind w:left="397" w:hanging="397"/>
        <w:jc w:val="both"/>
        <w:rPr>
          <w:sz w:val="18"/>
          <w:szCs w:val="20"/>
        </w:rPr>
      </w:pPr>
      <w:r w:rsidRPr="00B75647">
        <w:rPr>
          <w:sz w:val="18"/>
          <w:szCs w:val="20"/>
        </w:rPr>
        <w:t xml:space="preserve">Shamir, R. (1996). Suspended in space: Bedouin under the low of Israel. </w:t>
      </w:r>
      <w:r w:rsidRPr="00B75647">
        <w:rPr>
          <w:i/>
          <w:sz w:val="18"/>
          <w:szCs w:val="20"/>
        </w:rPr>
        <w:t>Low and Society Review</w:t>
      </w:r>
      <w:r w:rsidRPr="00B75647">
        <w:rPr>
          <w:sz w:val="18"/>
          <w:szCs w:val="20"/>
        </w:rPr>
        <w:t xml:space="preserve">, </w:t>
      </w:r>
      <w:r w:rsidRPr="00B75647">
        <w:rPr>
          <w:i/>
          <w:iCs/>
          <w:sz w:val="18"/>
          <w:szCs w:val="20"/>
        </w:rPr>
        <w:t>30</w:t>
      </w:r>
      <w:r w:rsidRPr="00B75647">
        <w:rPr>
          <w:sz w:val="18"/>
          <w:szCs w:val="20"/>
        </w:rPr>
        <w:t>, 231</w:t>
      </w:r>
      <w:r w:rsidRPr="00B75647">
        <w:rPr>
          <w:b/>
          <w:sz w:val="18"/>
          <w:szCs w:val="20"/>
        </w:rPr>
        <w:t>–</w:t>
      </w:r>
      <w:r w:rsidRPr="00B75647">
        <w:rPr>
          <w:sz w:val="18"/>
          <w:szCs w:val="20"/>
        </w:rPr>
        <w:t>257.</w:t>
      </w:r>
    </w:p>
    <w:p w14:paraId="25926212" w14:textId="77777777" w:rsidR="00452401" w:rsidRPr="00B75647" w:rsidRDefault="00452401" w:rsidP="00B75647">
      <w:pPr>
        <w:bidi w:val="0"/>
        <w:spacing w:after="120"/>
        <w:ind w:left="397" w:hanging="397"/>
        <w:jc w:val="both"/>
        <w:rPr>
          <w:sz w:val="18"/>
          <w:szCs w:val="20"/>
        </w:rPr>
      </w:pPr>
      <w:proofErr w:type="spellStart"/>
      <w:r w:rsidRPr="00B75647">
        <w:rPr>
          <w:sz w:val="18"/>
          <w:szCs w:val="20"/>
        </w:rPr>
        <w:t>Sharkia</w:t>
      </w:r>
      <w:proofErr w:type="spellEnd"/>
      <w:r w:rsidRPr="00B75647">
        <w:rPr>
          <w:sz w:val="18"/>
          <w:szCs w:val="20"/>
        </w:rPr>
        <w:t xml:space="preserve">, R., </w:t>
      </w:r>
      <w:proofErr w:type="spellStart"/>
      <w:r w:rsidRPr="00B75647">
        <w:rPr>
          <w:sz w:val="18"/>
          <w:szCs w:val="20"/>
        </w:rPr>
        <w:t>Mahajnah</w:t>
      </w:r>
      <w:proofErr w:type="spellEnd"/>
      <w:r w:rsidRPr="00B75647">
        <w:rPr>
          <w:sz w:val="18"/>
          <w:szCs w:val="20"/>
        </w:rPr>
        <w:t xml:space="preserve">, M., </w:t>
      </w:r>
      <w:proofErr w:type="spellStart"/>
      <w:r w:rsidRPr="00B75647">
        <w:rPr>
          <w:sz w:val="18"/>
          <w:szCs w:val="20"/>
        </w:rPr>
        <w:t>Athamny</w:t>
      </w:r>
      <w:proofErr w:type="spellEnd"/>
      <w:r w:rsidRPr="00B75647">
        <w:rPr>
          <w:sz w:val="18"/>
          <w:szCs w:val="20"/>
        </w:rPr>
        <w:t xml:space="preserve">, E., Khatib, M., &amp; Sheikh-Muhammad, A. (2016). Changes in marriage patterns among the Arab community in Israel over a 60-year period. </w:t>
      </w:r>
      <w:r w:rsidRPr="00B75647">
        <w:rPr>
          <w:i/>
          <w:sz w:val="18"/>
          <w:szCs w:val="20"/>
        </w:rPr>
        <w:t>Journal of Biosocial Science</w:t>
      </w:r>
      <w:r w:rsidRPr="00B75647">
        <w:rPr>
          <w:sz w:val="18"/>
          <w:szCs w:val="20"/>
        </w:rPr>
        <w:t xml:space="preserve">, </w:t>
      </w:r>
      <w:r w:rsidRPr="00B75647">
        <w:rPr>
          <w:i/>
          <w:sz w:val="18"/>
          <w:szCs w:val="20"/>
        </w:rPr>
        <w:t>48</w:t>
      </w:r>
      <w:r w:rsidRPr="00B75647">
        <w:rPr>
          <w:sz w:val="18"/>
          <w:szCs w:val="20"/>
        </w:rPr>
        <w:t>(2), 283–287.</w:t>
      </w:r>
    </w:p>
    <w:p w14:paraId="7BC907F4" w14:textId="77777777" w:rsidR="00452401" w:rsidRPr="00B75647" w:rsidRDefault="00452401" w:rsidP="00B75647">
      <w:pPr>
        <w:bidi w:val="0"/>
        <w:spacing w:after="120"/>
        <w:ind w:left="397" w:hanging="397"/>
        <w:jc w:val="both"/>
        <w:rPr>
          <w:sz w:val="18"/>
          <w:szCs w:val="20"/>
        </w:rPr>
      </w:pPr>
      <w:r w:rsidRPr="00B75647">
        <w:rPr>
          <w:sz w:val="18"/>
          <w:szCs w:val="20"/>
        </w:rPr>
        <w:lastRenderedPageBreak/>
        <w:t xml:space="preserve">Sheikh-Muhammad, A. (2008) </w:t>
      </w:r>
      <w:r w:rsidRPr="00B75647">
        <w:rPr>
          <w:i/>
          <w:sz w:val="18"/>
          <w:szCs w:val="20"/>
        </w:rPr>
        <w:t xml:space="preserve">The Palestinians in Israel: </w:t>
      </w:r>
      <w:r w:rsidRPr="00B75647">
        <w:rPr>
          <w:rFonts w:hint="cs"/>
          <w:i/>
          <w:sz w:val="18"/>
          <w:szCs w:val="20"/>
        </w:rPr>
        <w:t>S</w:t>
      </w:r>
      <w:r w:rsidRPr="00B75647">
        <w:rPr>
          <w:i/>
          <w:sz w:val="18"/>
          <w:szCs w:val="20"/>
        </w:rPr>
        <w:t xml:space="preserve">ocio-economic survey 2007 </w:t>
      </w:r>
      <w:r w:rsidRPr="00B75647">
        <w:rPr>
          <w:sz w:val="18"/>
          <w:szCs w:val="20"/>
        </w:rPr>
        <w:t>–</w:t>
      </w:r>
      <w:r w:rsidRPr="00B75647">
        <w:rPr>
          <w:i/>
          <w:sz w:val="18"/>
          <w:szCs w:val="20"/>
        </w:rPr>
        <w:t xml:space="preserve"> main findings. </w:t>
      </w:r>
      <w:r w:rsidRPr="00B75647">
        <w:rPr>
          <w:sz w:val="18"/>
          <w:szCs w:val="20"/>
        </w:rPr>
        <w:t xml:space="preserve">The Galilee Society </w:t>
      </w:r>
      <w:proofErr w:type="spellStart"/>
      <w:r w:rsidRPr="00B75647">
        <w:rPr>
          <w:sz w:val="18"/>
          <w:szCs w:val="20"/>
        </w:rPr>
        <w:t>Shefa</w:t>
      </w:r>
      <w:proofErr w:type="spellEnd"/>
      <w:r w:rsidRPr="00B75647">
        <w:rPr>
          <w:sz w:val="18"/>
          <w:szCs w:val="20"/>
        </w:rPr>
        <w:t>-Amr, Israel.</w:t>
      </w:r>
    </w:p>
    <w:p w14:paraId="6A431D6A" w14:textId="77777777" w:rsidR="00452401" w:rsidRPr="00B75647" w:rsidRDefault="00452401" w:rsidP="00B75647">
      <w:pPr>
        <w:bidi w:val="0"/>
        <w:spacing w:after="120"/>
        <w:ind w:left="397" w:hanging="397"/>
        <w:jc w:val="both"/>
        <w:rPr>
          <w:sz w:val="18"/>
          <w:szCs w:val="20"/>
        </w:rPr>
      </w:pPr>
      <w:proofErr w:type="spellStart"/>
      <w:r w:rsidRPr="00B75647">
        <w:rPr>
          <w:sz w:val="18"/>
          <w:szCs w:val="20"/>
        </w:rPr>
        <w:t>Spolaore</w:t>
      </w:r>
      <w:proofErr w:type="spellEnd"/>
      <w:r w:rsidRPr="00B75647">
        <w:rPr>
          <w:sz w:val="18"/>
          <w:szCs w:val="20"/>
        </w:rPr>
        <w:t xml:space="preserve">, E., &amp; </w:t>
      </w:r>
      <w:proofErr w:type="spellStart"/>
      <w:r w:rsidRPr="00B75647">
        <w:rPr>
          <w:sz w:val="18"/>
          <w:szCs w:val="20"/>
        </w:rPr>
        <w:t>Wacziarg</w:t>
      </w:r>
      <w:proofErr w:type="spellEnd"/>
      <w:r w:rsidRPr="00B75647">
        <w:rPr>
          <w:sz w:val="18"/>
          <w:szCs w:val="20"/>
        </w:rPr>
        <w:t xml:space="preserve">, R. (2019). </w:t>
      </w:r>
      <w:r w:rsidRPr="00B75647">
        <w:rPr>
          <w:i/>
          <w:sz w:val="18"/>
          <w:szCs w:val="20"/>
        </w:rPr>
        <w:t>Fertility and modernity</w:t>
      </w:r>
      <w:r w:rsidRPr="00B75647">
        <w:rPr>
          <w:sz w:val="18"/>
          <w:szCs w:val="20"/>
        </w:rPr>
        <w:t>. NBER Working Paper No. 25957, Cambridge, MA: National Bureau of Economic Research.</w:t>
      </w:r>
    </w:p>
    <w:p w14:paraId="2BCC5C6D" w14:textId="77777777" w:rsidR="00452401" w:rsidRPr="00B75647" w:rsidRDefault="00452401" w:rsidP="00B75647">
      <w:pPr>
        <w:bidi w:val="0"/>
        <w:spacing w:after="120"/>
        <w:ind w:left="397" w:hanging="397"/>
        <w:jc w:val="both"/>
        <w:rPr>
          <w:sz w:val="18"/>
          <w:szCs w:val="20"/>
        </w:rPr>
      </w:pPr>
      <w:proofErr w:type="spellStart"/>
      <w:r w:rsidRPr="00B75647">
        <w:rPr>
          <w:sz w:val="18"/>
          <w:szCs w:val="20"/>
        </w:rPr>
        <w:t>Szreter</w:t>
      </w:r>
      <w:proofErr w:type="spellEnd"/>
      <w:r w:rsidRPr="00B75647">
        <w:rPr>
          <w:sz w:val="18"/>
          <w:szCs w:val="20"/>
        </w:rPr>
        <w:t xml:space="preserve">, S. (1993). The idea of demographic transition and the study of fertility change: A critical intellectual history. </w:t>
      </w:r>
      <w:r w:rsidRPr="00B75647">
        <w:rPr>
          <w:i/>
          <w:sz w:val="18"/>
          <w:szCs w:val="20"/>
        </w:rPr>
        <w:t>Population and Development Review</w:t>
      </w:r>
      <w:r w:rsidRPr="00B75647">
        <w:rPr>
          <w:sz w:val="18"/>
          <w:szCs w:val="20"/>
        </w:rPr>
        <w:t xml:space="preserve">, </w:t>
      </w:r>
      <w:r w:rsidRPr="00B75647">
        <w:rPr>
          <w:i/>
          <w:sz w:val="18"/>
          <w:szCs w:val="20"/>
        </w:rPr>
        <w:t>19</w:t>
      </w:r>
      <w:r w:rsidRPr="00B75647">
        <w:rPr>
          <w:sz w:val="18"/>
          <w:szCs w:val="20"/>
        </w:rPr>
        <w:t>(4), 659–701.</w:t>
      </w:r>
    </w:p>
    <w:p w14:paraId="5A02912C" w14:textId="77777777" w:rsidR="00452401" w:rsidRPr="00B75647" w:rsidRDefault="00452401" w:rsidP="00B75647">
      <w:pPr>
        <w:bidi w:val="0"/>
        <w:spacing w:after="120"/>
        <w:ind w:left="397" w:hanging="397"/>
        <w:jc w:val="both"/>
        <w:rPr>
          <w:sz w:val="18"/>
          <w:szCs w:val="20"/>
        </w:rPr>
      </w:pPr>
      <w:r w:rsidRPr="00B75647">
        <w:rPr>
          <w:sz w:val="18"/>
          <w:szCs w:val="20"/>
        </w:rPr>
        <w:t xml:space="preserve">Tamari, S., </w:t>
      </w:r>
      <w:proofErr w:type="spellStart"/>
      <w:r w:rsidRPr="00B75647">
        <w:rPr>
          <w:sz w:val="18"/>
          <w:szCs w:val="20"/>
        </w:rPr>
        <w:t>Katoshevski</w:t>
      </w:r>
      <w:proofErr w:type="spellEnd"/>
      <w:r w:rsidRPr="00B75647">
        <w:rPr>
          <w:sz w:val="18"/>
          <w:szCs w:val="20"/>
        </w:rPr>
        <w:t xml:space="preserve">, R., Karplus, Y., &amp; Dinero, S. C. (2016). Urban tribalism: Negotiating form, function and social milieu in Bedouin towns, Israel. </w:t>
      </w:r>
      <w:r w:rsidRPr="00B75647">
        <w:rPr>
          <w:i/>
          <w:sz w:val="18"/>
          <w:szCs w:val="20"/>
        </w:rPr>
        <w:t>City, Territory and Architecture</w:t>
      </w:r>
      <w:r w:rsidRPr="00B75647">
        <w:rPr>
          <w:sz w:val="18"/>
          <w:szCs w:val="20"/>
        </w:rPr>
        <w:t xml:space="preserve">, </w:t>
      </w:r>
      <w:r w:rsidRPr="00B75647">
        <w:rPr>
          <w:i/>
          <w:sz w:val="18"/>
          <w:szCs w:val="20"/>
        </w:rPr>
        <w:t>3</w:t>
      </w:r>
      <w:r w:rsidRPr="00B75647">
        <w:rPr>
          <w:sz w:val="18"/>
          <w:szCs w:val="20"/>
        </w:rPr>
        <w:t xml:space="preserve">, 2. </w:t>
      </w:r>
      <w:hyperlink r:id="rId13">
        <w:r w:rsidRPr="00B75647">
          <w:rPr>
            <w:sz w:val="18"/>
            <w:szCs w:val="20"/>
          </w:rPr>
          <w:t>https://doi.org/10.1186/s40410-016-0031-3</w:t>
        </w:r>
      </w:hyperlink>
    </w:p>
    <w:p w14:paraId="0CD2D54E" w14:textId="77777777" w:rsidR="00B75647" w:rsidRDefault="00452401" w:rsidP="00B75647">
      <w:pPr>
        <w:bidi w:val="0"/>
        <w:ind w:left="397" w:hanging="397"/>
        <w:jc w:val="both"/>
        <w:rPr>
          <w:sz w:val="18"/>
          <w:szCs w:val="20"/>
        </w:rPr>
      </w:pPr>
      <w:r w:rsidRPr="00B75647">
        <w:rPr>
          <w:sz w:val="18"/>
          <w:szCs w:val="20"/>
        </w:rPr>
        <w:t xml:space="preserve">Tolts, M. (2018). Post-Soviet Jewish demographic dynamics: An analysis of recent data. In S. </w:t>
      </w:r>
      <w:proofErr w:type="spellStart"/>
      <w:r w:rsidRPr="00B75647">
        <w:rPr>
          <w:sz w:val="18"/>
          <w:szCs w:val="20"/>
        </w:rPr>
        <w:t>DellaPergola</w:t>
      </w:r>
      <w:proofErr w:type="spellEnd"/>
      <w:r w:rsidRPr="00B75647">
        <w:rPr>
          <w:sz w:val="18"/>
          <w:szCs w:val="20"/>
        </w:rPr>
        <w:t xml:space="preserve"> &amp; U. </w:t>
      </w:r>
      <w:proofErr w:type="spellStart"/>
      <w:r w:rsidRPr="00B75647">
        <w:rPr>
          <w:sz w:val="18"/>
          <w:szCs w:val="20"/>
        </w:rPr>
        <w:t>Rebhun</w:t>
      </w:r>
      <w:proofErr w:type="spellEnd"/>
      <w:r w:rsidRPr="00B75647">
        <w:rPr>
          <w:sz w:val="18"/>
          <w:szCs w:val="20"/>
        </w:rPr>
        <w:t xml:space="preserve"> (Eds.), </w:t>
      </w:r>
      <w:r w:rsidRPr="00B75647">
        <w:rPr>
          <w:i/>
          <w:sz w:val="18"/>
          <w:szCs w:val="20"/>
        </w:rPr>
        <w:t>Jewish Population and Identity. Studies of Jews in Society</w:t>
      </w:r>
      <w:r w:rsidRPr="00B75647">
        <w:rPr>
          <w:sz w:val="18"/>
          <w:szCs w:val="20"/>
        </w:rPr>
        <w:t xml:space="preserve">, 1 (pp. 213–229). Cham: Springer. </w:t>
      </w:r>
    </w:p>
    <w:p w14:paraId="2F881B14" w14:textId="5DF18FEA" w:rsidR="00452401" w:rsidRPr="00B75647" w:rsidRDefault="00690018" w:rsidP="00B75647">
      <w:pPr>
        <w:bidi w:val="0"/>
        <w:spacing w:after="120"/>
        <w:rPr>
          <w:rStyle w:val="Hyperlink"/>
          <w:color w:val="auto"/>
          <w:sz w:val="16"/>
          <w:szCs w:val="18"/>
          <w:u w:val="none"/>
        </w:rPr>
      </w:pPr>
      <w:hyperlink r:id="rId14" w:history="1">
        <w:r w:rsidR="00B75647" w:rsidRPr="00B75647">
          <w:rPr>
            <w:rStyle w:val="Hyperlink"/>
            <w:color w:val="auto"/>
            <w:sz w:val="16"/>
            <w:szCs w:val="18"/>
            <w:u w:val="none"/>
          </w:rPr>
          <w:t>https://doi.org/10.1007/978-3-319-77446-6_12</w:t>
        </w:r>
      </w:hyperlink>
    </w:p>
    <w:p w14:paraId="13839CCB" w14:textId="77777777" w:rsidR="00452401" w:rsidRPr="00B75647" w:rsidRDefault="00452401" w:rsidP="00B75647">
      <w:pPr>
        <w:bidi w:val="0"/>
        <w:spacing w:after="120"/>
        <w:ind w:left="397" w:hanging="397"/>
        <w:jc w:val="both"/>
        <w:rPr>
          <w:sz w:val="18"/>
          <w:szCs w:val="20"/>
        </w:rPr>
      </w:pPr>
      <w:proofErr w:type="spellStart"/>
      <w:r w:rsidRPr="00B75647">
        <w:rPr>
          <w:sz w:val="18"/>
          <w:szCs w:val="20"/>
        </w:rPr>
        <w:t>Westoff</w:t>
      </w:r>
      <w:proofErr w:type="spellEnd"/>
      <w:r w:rsidRPr="00B75647">
        <w:rPr>
          <w:sz w:val="18"/>
          <w:szCs w:val="20"/>
        </w:rPr>
        <w:t xml:space="preserve">, C. F., &amp; Cross, A. N. (2006). </w:t>
      </w:r>
      <w:r w:rsidRPr="00B75647">
        <w:rPr>
          <w:i/>
          <w:sz w:val="18"/>
          <w:szCs w:val="20"/>
        </w:rPr>
        <w:t xml:space="preserve">The stall in the fertility transition in Kenya. </w:t>
      </w:r>
      <w:r w:rsidRPr="00B75647">
        <w:rPr>
          <w:sz w:val="18"/>
          <w:szCs w:val="20"/>
        </w:rPr>
        <w:t>DHS Analytical Studies 9. Calverton MD: ORC Macro.</w:t>
      </w:r>
    </w:p>
    <w:p w14:paraId="3B22D902" w14:textId="77777777" w:rsidR="00452401" w:rsidRPr="00B75647" w:rsidRDefault="00452401" w:rsidP="00B75647">
      <w:pPr>
        <w:bidi w:val="0"/>
        <w:spacing w:after="120"/>
        <w:ind w:left="397" w:hanging="397"/>
        <w:jc w:val="both"/>
        <w:rPr>
          <w:sz w:val="18"/>
          <w:szCs w:val="20"/>
        </w:rPr>
      </w:pPr>
      <w:proofErr w:type="spellStart"/>
      <w:r w:rsidRPr="00B75647">
        <w:rPr>
          <w:sz w:val="18"/>
          <w:szCs w:val="20"/>
        </w:rPr>
        <w:t>Willekens</w:t>
      </w:r>
      <w:proofErr w:type="spellEnd"/>
      <w:r w:rsidRPr="00B75647">
        <w:rPr>
          <w:sz w:val="18"/>
          <w:szCs w:val="20"/>
        </w:rPr>
        <w:t xml:space="preserve">, F. (2015). Demographic transition in Europe and the world. In K. Matthijs, K. Neels, C. Timmerman, J. </w:t>
      </w:r>
      <w:proofErr w:type="spellStart"/>
      <w:r w:rsidRPr="00B75647">
        <w:rPr>
          <w:sz w:val="18"/>
          <w:szCs w:val="20"/>
        </w:rPr>
        <w:t>Haers</w:t>
      </w:r>
      <w:proofErr w:type="spellEnd"/>
      <w:r w:rsidRPr="00B75647">
        <w:rPr>
          <w:sz w:val="18"/>
          <w:szCs w:val="20"/>
        </w:rPr>
        <w:t xml:space="preserve">, &amp; S. </w:t>
      </w:r>
      <w:proofErr w:type="spellStart"/>
      <w:r w:rsidRPr="00B75647">
        <w:rPr>
          <w:sz w:val="18"/>
          <w:szCs w:val="20"/>
        </w:rPr>
        <w:t>Mells</w:t>
      </w:r>
      <w:proofErr w:type="spellEnd"/>
      <w:r w:rsidRPr="00B75647">
        <w:rPr>
          <w:sz w:val="18"/>
          <w:szCs w:val="20"/>
        </w:rPr>
        <w:t xml:space="preserve">, (Eds.), </w:t>
      </w:r>
      <w:r w:rsidRPr="00B75647">
        <w:rPr>
          <w:i/>
          <w:sz w:val="18"/>
          <w:szCs w:val="20"/>
        </w:rPr>
        <w:t xml:space="preserve">Population </w:t>
      </w:r>
      <w:proofErr w:type="gramStart"/>
      <w:r w:rsidRPr="00B75647">
        <w:rPr>
          <w:i/>
          <w:sz w:val="18"/>
          <w:szCs w:val="20"/>
        </w:rPr>
        <w:t>change</w:t>
      </w:r>
      <w:proofErr w:type="gramEnd"/>
      <w:r w:rsidRPr="00B75647">
        <w:rPr>
          <w:i/>
          <w:sz w:val="18"/>
          <w:szCs w:val="20"/>
        </w:rPr>
        <w:t xml:space="preserve"> in Europe, the Middle-east and North Africa: Beyond the demographic divide. </w:t>
      </w:r>
      <w:r w:rsidRPr="00B75647">
        <w:rPr>
          <w:sz w:val="18"/>
          <w:szCs w:val="20"/>
        </w:rPr>
        <w:t>UK: Ashgate.</w:t>
      </w:r>
    </w:p>
    <w:p w14:paraId="42EC0395" w14:textId="77777777" w:rsidR="00452401" w:rsidRPr="00B75647" w:rsidRDefault="00452401" w:rsidP="00AF7CA3">
      <w:pPr>
        <w:bidi w:val="0"/>
        <w:ind w:left="397" w:hanging="397"/>
        <w:jc w:val="both"/>
        <w:rPr>
          <w:sz w:val="18"/>
          <w:szCs w:val="20"/>
        </w:rPr>
      </w:pPr>
      <w:r w:rsidRPr="00B75647">
        <w:rPr>
          <w:sz w:val="18"/>
          <w:szCs w:val="20"/>
        </w:rPr>
        <w:t xml:space="preserve">The World Bank (2020). </w:t>
      </w:r>
      <w:r w:rsidRPr="00B75647">
        <w:rPr>
          <w:i/>
          <w:sz w:val="18"/>
          <w:szCs w:val="20"/>
        </w:rPr>
        <w:t xml:space="preserve">Fertility rate, total (births per woman) </w:t>
      </w:r>
      <w:r w:rsidRPr="00B75647">
        <w:rPr>
          <w:sz w:val="18"/>
          <w:szCs w:val="20"/>
        </w:rPr>
        <w:t>–</w:t>
      </w:r>
      <w:r w:rsidRPr="00B75647">
        <w:rPr>
          <w:i/>
          <w:sz w:val="18"/>
          <w:szCs w:val="20"/>
        </w:rPr>
        <w:t xml:space="preserve"> Iran, Islamic Rep</w:t>
      </w:r>
      <w:r w:rsidRPr="00B75647">
        <w:rPr>
          <w:sz w:val="18"/>
          <w:szCs w:val="20"/>
        </w:rPr>
        <w:t>.</w:t>
      </w:r>
    </w:p>
    <w:p w14:paraId="73524D82" w14:textId="77777777" w:rsidR="00452401" w:rsidRPr="00AF7CA3" w:rsidRDefault="00690018" w:rsidP="00B75647">
      <w:pPr>
        <w:bidi w:val="0"/>
        <w:spacing w:after="120"/>
        <w:ind w:left="397" w:hanging="397"/>
        <w:jc w:val="both"/>
        <w:rPr>
          <w:sz w:val="16"/>
          <w:szCs w:val="16"/>
        </w:rPr>
      </w:pPr>
      <w:hyperlink r:id="rId15">
        <w:r w:rsidR="00452401" w:rsidRPr="00AF7CA3">
          <w:rPr>
            <w:sz w:val="16"/>
            <w:szCs w:val="16"/>
          </w:rPr>
          <w:t>https://data.worldbank.org/indicator/SP.DYN.TFRT.IN?locations=IR</w:t>
        </w:r>
      </w:hyperlink>
    </w:p>
    <w:p w14:paraId="37746106" w14:textId="77777777" w:rsidR="00452401" w:rsidRPr="00B75647" w:rsidRDefault="00452401" w:rsidP="00B75647">
      <w:pPr>
        <w:bidi w:val="0"/>
        <w:spacing w:after="120"/>
        <w:ind w:left="397" w:hanging="397"/>
        <w:jc w:val="both"/>
        <w:rPr>
          <w:sz w:val="18"/>
          <w:szCs w:val="20"/>
        </w:rPr>
      </w:pPr>
      <w:proofErr w:type="spellStart"/>
      <w:r w:rsidRPr="00B75647">
        <w:rPr>
          <w:sz w:val="18"/>
          <w:szCs w:val="20"/>
        </w:rPr>
        <w:t>Yahel</w:t>
      </w:r>
      <w:proofErr w:type="spellEnd"/>
      <w:r w:rsidRPr="00B75647">
        <w:rPr>
          <w:sz w:val="18"/>
          <w:szCs w:val="20"/>
        </w:rPr>
        <w:t xml:space="preserve">, H. (2006). Land disputes between the Negev Bedouin and Israel. </w:t>
      </w:r>
      <w:r w:rsidRPr="00B75647">
        <w:rPr>
          <w:i/>
          <w:sz w:val="18"/>
          <w:szCs w:val="20"/>
        </w:rPr>
        <w:t>Israel Studies</w:t>
      </w:r>
      <w:r w:rsidRPr="00B75647">
        <w:rPr>
          <w:sz w:val="18"/>
          <w:szCs w:val="20"/>
        </w:rPr>
        <w:t xml:space="preserve">, </w:t>
      </w:r>
      <w:r w:rsidRPr="00B75647">
        <w:rPr>
          <w:i/>
          <w:sz w:val="18"/>
          <w:szCs w:val="20"/>
        </w:rPr>
        <w:t>11</w:t>
      </w:r>
      <w:r w:rsidRPr="00B75647">
        <w:rPr>
          <w:sz w:val="18"/>
          <w:szCs w:val="20"/>
        </w:rPr>
        <w:t>(2), 1–22.</w:t>
      </w:r>
    </w:p>
    <w:p w14:paraId="06BAF322" w14:textId="77777777" w:rsidR="00452401" w:rsidRPr="00B75647" w:rsidRDefault="00452401" w:rsidP="00B75647">
      <w:pPr>
        <w:bidi w:val="0"/>
        <w:spacing w:after="120"/>
        <w:ind w:left="397" w:hanging="397"/>
        <w:jc w:val="both"/>
        <w:rPr>
          <w:iCs/>
          <w:sz w:val="18"/>
          <w:szCs w:val="20"/>
        </w:rPr>
      </w:pPr>
      <w:proofErr w:type="spellStart"/>
      <w:r w:rsidRPr="00B75647">
        <w:rPr>
          <w:sz w:val="18"/>
          <w:szCs w:val="20"/>
        </w:rPr>
        <w:t>Yiftachel</w:t>
      </w:r>
      <w:proofErr w:type="spellEnd"/>
      <w:r w:rsidRPr="00B75647">
        <w:rPr>
          <w:sz w:val="18"/>
          <w:szCs w:val="20"/>
        </w:rPr>
        <w:t xml:space="preserve">, O. (2000). </w:t>
      </w:r>
      <w:r w:rsidRPr="00B75647">
        <w:rPr>
          <w:i/>
          <w:sz w:val="18"/>
          <w:szCs w:val="20"/>
        </w:rPr>
        <w:t xml:space="preserve">Israel's territorial policies and the Bedouin-Arabs: The predicament of the indigenous in settling </w:t>
      </w:r>
      <w:proofErr w:type="spellStart"/>
      <w:r w:rsidRPr="00B75647">
        <w:rPr>
          <w:i/>
          <w:sz w:val="18"/>
          <w:szCs w:val="20"/>
        </w:rPr>
        <w:t>ethnocracy</w:t>
      </w:r>
      <w:proofErr w:type="spellEnd"/>
      <w:r w:rsidRPr="00B75647">
        <w:rPr>
          <w:sz w:val="18"/>
          <w:szCs w:val="20"/>
        </w:rPr>
        <w:t xml:space="preserve">. </w:t>
      </w:r>
      <w:r w:rsidRPr="00B75647">
        <w:rPr>
          <w:iCs/>
          <w:sz w:val="18"/>
          <w:szCs w:val="20"/>
        </w:rPr>
        <w:t>Paper presented to the First International Conference on the Future of Indigenous Peoples: Strategies for survival and development. Ben-Gurion University, Beer-Sheva, Israel.</w:t>
      </w:r>
    </w:p>
    <w:p w14:paraId="4D0E0B8F" w14:textId="77777777" w:rsidR="00452401" w:rsidRPr="00B75647" w:rsidRDefault="00452401" w:rsidP="00B75647">
      <w:pPr>
        <w:bidi w:val="0"/>
        <w:spacing w:after="120"/>
        <w:ind w:left="397" w:hanging="397"/>
        <w:jc w:val="both"/>
        <w:rPr>
          <w:sz w:val="18"/>
          <w:szCs w:val="20"/>
        </w:rPr>
      </w:pPr>
      <w:proofErr w:type="spellStart"/>
      <w:r w:rsidRPr="00B75647">
        <w:rPr>
          <w:sz w:val="18"/>
          <w:szCs w:val="20"/>
        </w:rPr>
        <w:t>Yiftachel</w:t>
      </w:r>
      <w:proofErr w:type="spellEnd"/>
      <w:r w:rsidRPr="00B75647">
        <w:rPr>
          <w:sz w:val="18"/>
          <w:szCs w:val="20"/>
        </w:rPr>
        <w:t xml:space="preserve">, O. (2006). </w:t>
      </w:r>
      <w:proofErr w:type="spellStart"/>
      <w:r w:rsidRPr="00B75647">
        <w:rPr>
          <w:i/>
          <w:sz w:val="18"/>
          <w:szCs w:val="20"/>
        </w:rPr>
        <w:t>Ethnocracy</w:t>
      </w:r>
      <w:proofErr w:type="spellEnd"/>
      <w:r w:rsidRPr="00B75647">
        <w:rPr>
          <w:i/>
          <w:sz w:val="18"/>
          <w:szCs w:val="20"/>
        </w:rPr>
        <w:t>: Land and identity politics in Israel/Palestine</w:t>
      </w:r>
      <w:r w:rsidRPr="00B75647">
        <w:rPr>
          <w:sz w:val="18"/>
          <w:szCs w:val="20"/>
        </w:rPr>
        <w:t>.</w:t>
      </w:r>
      <w:r w:rsidRPr="00B75647">
        <w:rPr>
          <w:i/>
          <w:sz w:val="18"/>
          <w:szCs w:val="20"/>
        </w:rPr>
        <w:t xml:space="preserve"> </w:t>
      </w:r>
      <w:r w:rsidRPr="00B75647">
        <w:rPr>
          <w:sz w:val="18"/>
          <w:szCs w:val="20"/>
        </w:rPr>
        <w:t>Philadelphia, U.S.A.: University of Pennsylvania Press.</w:t>
      </w:r>
    </w:p>
    <w:p w14:paraId="2EDE4D3C" w14:textId="77777777" w:rsidR="00452401" w:rsidRPr="00B75647" w:rsidRDefault="00452401" w:rsidP="00B75647">
      <w:pPr>
        <w:bidi w:val="0"/>
        <w:spacing w:after="120"/>
        <w:ind w:left="397" w:hanging="397"/>
        <w:jc w:val="both"/>
        <w:rPr>
          <w:sz w:val="18"/>
          <w:szCs w:val="20"/>
        </w:rPr>
      </w:pPr>
      <w:r w:rsidRPr="00B75647">
        <w:rPr>
          <w:sz w:val="18"/>
          <w:szCs w:val="20"/>
        </w:rPr>
        <w:t xml:space="preserve">Zachariah, K. C., </w:t>
      </w:r>
      <w:proofErr w:type="spellStart"/>
      <w:r w:rsidRPr="00B75647">
        <w:rPr>
          <w:sz w:val="18"/>
          <w:szCs w:val="20"/>
        </w:rPr>
        <w:t>Irudaya</w:t>
      </w:r>
      <w:proofErr w:type="spellEnd"/>
      <w:r w:rsidRPr="00B75647">
        <w:rPr>
          <w:sz w:val="18"/>
          <w:szCs w:val="20"/>
        </w:rPr>
        <w:t xml:space="preserve"> R. S., </w:t>
      </w:r>
      <w:proofErr w:type="spellStart"/>
      <w:r w:rsidRPr="00B75647">
        <w:rPr>
          <w:sz w:val="18"/>
          <w:szCs w:val="20"/>
        </w:rPr>
        <w:t>Sarma</w:t>
      </w:r>
      <w:proofErr w:type="spellEnd"/>
      <w:r w:rsidRPr="00B75647">
        <w:rPr>
          <w:sz w:val="18"/>
          <w:szCs w:val="20"/>
        </w:rPr>
        <w:t xml:space="preserve">, P. S., </w:t>
      </w:r>
      <w:proofErr w:type="spellStart"/>
      <w:r w:rsidRPr="00B75647">
        <w:rPr>
          <w:sz w:val="18"/>
          <w:szCs w:val="20"/>
        </w:rPr>
        <w:t>Navaneetham</w:t>
      </w:r>
      <w:proofErr w:type="spellEnd"/>
      <w:r w:rsidRPr="00B75647">
        <w:rPr>
          <w:sz w:val="18"/>
          <w:szCs w:val="20"/>
        </w:rPr>
        <w:t xml:space="preserve">, K., Nair, P. S. G., &amp; Mishra, U. S. (1994). </w:t>
      </w:r>
      <w:r w:rsidRPr="00B75647">
        <w:rPr>
          <w:i/>
          <w:sz w:val="18"/>
          <w:szCs w:val="20"/>
        </w:rPr>
        <w:t>Demographic transition in Kerala in the 1980s</w:t>
      </w:r>
      <w:r w:rsidRPr="00B75647">
        <w:rPr>
          <w:sz w:val="18"/>
          <w:szCs w:val="20"/>
        </w:rPr>
        <w:t>.</w:t>
      </w:r>
      <w:r w:rsidRPr="00B75647">
        <w:rPr>
          <w:i/>
          <w:sz w:val="18"/>
          <w:szCs w:val="20"/>
        </w:rPr>
        <w:t xml:space="preserve"> </w:t>
      </w:r>
      <w:r w:rsidRPr="00B75647">
        <w:rPr>
          <w:sz w:val="18"/>
          <w:szCs w:val="20"/>
        </w:rPr>
        <w:t>Trivandrum, India: Centre for Development Studies.</w:t>
      </w:r>
    </w:p>
    <w:p w14:paraId="187202FF" w14:textId="77777777" w:rsidR="00B75647" w:rsidRDefault="00452401" w:rsidP="00B75647">
      <w:pPr>
        <w:bidi w:val="0"/>
        <w:ind w:left="397" w:hanging="397"/>
        <w:jc w:val="both"/>
        <w:rPr>
          <w:sz w:val="18"/>
          <w:szCs w:val="20"/>
        </w:rPr>
      </w:pPr>
      <w:r w:rsidRPr="00B75647">
        <w:rPr>
          <w:sz w:val="18"/>
          <w:szCs w:val="20"/>
        </w:rPr>
        <w:t xml:space="preserve">Zhu, C. (2019). </w:t>
      </w:r>
      <w:r w:rsidRPr="00B75647">
        <w:rPr>
          <w:i/>
          <w:sz w:val="18"/>
          <w:szCs w:val="20"/>
        </w:rPr>
        <w:t>The influence of household income, education, gender on fertility willingness in contemporary China</w:t>
      </w:r>
      <w:r w:rsidRPr="00B75647">
        <w:rPr>
          <w:sz w:val="18"/>
          <w:szCs w:val="20"/>
        </w:rPr>
        <w:t xml:space="preserve">. Sociology Senior Seminar Papers, 23. </w:t>
      </w:r>
    </w:p>
    <w:p w14:paraId="2145B9EF" w14:textId="3FED94CB" w:rsidR="00452401" w:rsidRPr="00B75647" w:rsidRDefault="00452401" w:rsidP="00B75647">
      <w:pPr>
        <w:bidi w:val="0"/>
        <w:spacing w:after="120"/>
        <w:rPr>
          <w:rStyle w:val="Hyperlink"/>
          <w:color w:val="auto"/>
          <w:sz w:val="16"/>
          <w:szCs w:val="18"/>
          <w:u w:val="none"/>
        </w:rPr>
      </w:pPr>
      <w:r w:rsidRPr="00B75647">
        <w:rPr>
          <w:rStyle w:val="Hyperlink"/>
          <w:color w:val="auto"/>
          <w:sz w:val="16"/>
          <w:szCs w:val="18"/>
          <w:u w:val="none"/>
        </w:rPr>
        <w:t>https://creativematter.skidmore.edu/socio_stu_stu_schol/2</w:t>
      </w:r>
    </w:p>
    <w:p w14:paraId="0AFAD613" w14:textId="0F6F7BEB" w:rsidR="00452401" w:rsidRDefault="00452401" w:rsidP="00B75647">
      <w:pPr>
        <w:bidi w:val="0"/>
        <w:spacing w:after="120"/>
        <w:ind w:left="397" w:hanging="397"/>
        <w:jc w:val="both"/>
        <w:rPr>
          <w:sz w:val="18"/>
          <w:szCs w:val="20"/>
          <w:rtl/>
        </w:rPr>
      </w:pPr>
      <w:proofErr w:type="spellStart"/>
      <w:r w:rsidRPr="00B75647">
        <w:rPr>
          <w:sz w:val="18"/>
          <w:szCs w:val="20"/>
        </w:rPr>
        <w:t>Zureik</w:t>
      </w:r>
      <w:proofErr w:type="spellEnd"/>
      <w:r w:rsidRPr="00B75647">
        <w:rPr>
          <w:sz w:val="18"/>
          <w:szCs w:val="20"/>
        </w:rPr>
        <w:t>, E. T. (1979).</w:t>
      </w:r>
      <w:r w:rsidRPr="00B75647">
        <w:rPr>
          <w:i/>
          <w:sz w:val="18"/>
          <w:szCs w:val="20"/>
        </w:rPr>
        <w:t xml:space="preserve"> The Palestinians in Israel: A study in internal colonialism. </w:t>
      </w:r>
      <w:r w:rsidRPr="00B75647">
        <w:rPr>
          <w:sz w:val="18"/>
          <w:szCs w:val="20"/>
        </w:rPr>
        <w:t>London, Boston and Henley: Routledge &amp; Kegan Paul.</w:t>
      </w:r>
    </w:p>
    <w:p w14:paraId="62988DC0" w14:textId="77777777" w:rsidR="00485555" w:rsidRDefault="00485555" w:rsidP="00485555">
      <w:pPr>
        <w:bidi w:val="0"/>
        <w:spacing w:after="120"/>
        <w:ind w:left="397" w:hanging="397"/>
        <w:jc w:val="both"/>
        <w:rPr>
          <w:sz w:val="18"/>
          <w:szCs w:val="20"/>
        </w:rPr>
        <w:sectPr w:rsidR="00485555" w:rsidSect="00C27260">
          <w:headerReference w:type="even" r:id="rId16"/>
          <w:headerReference w:type="default" r:id="rId17"/>
          <w:headerReference w:type="first" r:id="rId18"/>
          <w:footerReference w:type="first" r:id="rId19"/>
          <w:pgSz w:w="11906" w:h="16838" w:code="9"/>
          <w:pgMar w:top="3515" w:right="2722" w:bottom="2948" w:left="2722" w:header="2665" w:footer="2665" w:gutter="0"/>
          <w:pgNumType w:start="25"/>
          <w:cols w:space="708"/>
          <w:titlePg/>
          <w:docGrid w:linePitch="360"/>
        </w:sectPr>
      </w:pPr>
    </w:p>
    <w:p w14:paraId="42F1A5D6" w14:textId="6BCE40CB" w:rsidR="00485555" w:rsidRPr="00B75647" w:rsidRDefault="00485555" w:rsidP="00485555">
      <w:pPr>
        <w:bidi w:val="0"/>
        <w:spacing w:after="120"/>
        <w:ind w:left="397" w:hanging="397"/>
        <w:jc w:val="both"/>
        <w:rPr>
          <w:sz w:val="18"/>
          <w:szCs w:val="20"/>
        </w:rPr>
      </w:pPr>
    </w:p>
    <w:sectPr w:rsidR="00485555" w:rsidRPr="00B75647" w:rsidSect="00485555">
      <w:footerReference w:type="first" r:id="rId20"/>
      <w:pgSz w:w="11906" w:h="16838" w:code="9"/>
      <w:pgMar w:top="3515" w:right="2722" w:bottom="2948" w:left="2722" w:header="2665" w:footer="2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72E5D" w14:textId="77777777" w:rsidR="00690018" w:rsidRDefault="00690018">
      <w:pPr>
        <w:spacing w:line="240" w:lineRule="auto"/>
      </w:pPr>
      <w:r>
        <w:separator/>
      </w:r>
    </w:p>
  </w:endnote>
  <w:endnote w:type="continuationSeparator" w:id="0">
    <w:p w14:paraId="7501CEAA" w14:textId="77777777" w:rsidR="00690018" w:rsidRDefault="006900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FrankRuehl">
    <w:altName w:val="Times New Roman"/>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Ubuntu">
    <w:panose1 w:val="00000000000000000000"/>
    <w:charset w:val="00"/>
    <w:family w:val="roman"/>
    <w:notTrueType/>
    <w:pitch w:val="default"/>
  </w:font>
  <w:font w:name="Palatino">
    <w:altName w:val="MS Gothic"/>
    <w:charset w:val="00"/>
    <w:family w:val="roman"/>
    <w:pitch w:val="variable"/>
    <w:sig w:usb0="00000007" w:usb1="00000000" w:usb2="00000000" w:usb3="00000000" w:csb0="00000093" w:csb1="00000000"/>
  </w:font>
  <w:font w:name="Lohit Hindi">
    <w:panose1 w:val="00000000000000000000"/>
    <w:charset w:val="00"/>
    <w:family w:val="roman"/>
    <w:notTrueType/>
    <w:pitch w:val="default"/>
  </w:font>
  <w:font w:name="Code">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4ECC" w14:textId="4ED05F8F" w:rsidR="009D2943" w:rsidRDefault="009D2943" w:rsidP="00336EF9">
    <w:pPr>
      <w:pStyle w:val="Header"/>
      <w:tabs>
        <w:tab w:val="clear" w:pos="4153"/>
        <w:tab w:val="clear" w:pos="8306"/>
        <w:tab w:val="right" w:pos="6462"/>
      </w:tabs>
      <w:spacing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114</w:t>
    </w:r>
    <w:r w:rsidRPr="0090645A">
      <w:rPr>
        <w:rFonts w:hint="cs"/>
        <w:sz w:val="16"/>
        <w:szCs w:val="16"/>
        <w:rtl/>
      </w:rPr>
      <w:t xml:space="preserve">, </w:t>
    </w:r>
    <w:r>
      <w:rPr>
        <w:rFonts w:hint="cs"/>
        <w:sz w:val="16"/>
        <w:szCs w:val="16"/>
        <w:rtl/>
      </w:rPr>
      <w:t xml:space="preserve">ספטמבר </w:t>
    </w:r>
    <w:r w:rsidRPr="0090645A">
      <w:rPr>
        <w:rFonts w:hint="cs"/>
        <w:sz w:val="16"/>
        <w:szCs w:val="16"/>
        <w:rtl/>
      </w:rPr>
      <w:t>20</w:t>
    </w:r>
    <w:r>
      <w:rPr>
        <w:rFonts w:hint="cs"/>
        <w:sz w:val="16"/>
        <w:szCs w:val="16"/>
        <w:rtl/>
      </w:rPr>
      <w:t>21</w:t>
    </w:r>
    <w:r w:rsidR="00485555">
      <w:rPr>
        <w:rFonts w:hint="cs"/>
        <w:sz w:val="16"/>
        <w:szCs w:val="16"/>
        <w:rtl/>
      </w:rPr>
      <w:t xml:space="preserve">: </w:t>
    </w:r>
    <w:r w:rsidR="00A060A4">
      <w:rPr>
        <w:rFonts w:hint="cs"/>
        <w:sz w:val="16"/>
        <w:szCs w:val="16"/>
        <w:rtl/>
      </w:rPr>
      <w:t>60</w:t>
    </w:r>
    <w:r w:rsidR="00485555">
      <w:rPr>
        <w:rFonts w:hint="cs"/>
        <w:sz w:val="16"/>
        <w:szCs w:val="16"/>
        <w:rtl/>
      </w:rPr>
      <w:t>-2</w:t>
    </w:r>
    <w:r w:rsidR="00C27260">
      <w:rPr>
        <w:rFonts w:hint="cs"/>
        <w:sz w:val="16"/>
        <w:szCs w:val="16"/>
        <w:rtl/>
      </w:rPr>
      <w:t>5</w:t>
    </w:r>
    <w:r>
      <w:rPr>
        <w:sz w:val="16"/>
        <w:szCs w:val="16"/>
      </w:rPr>
      <w:tab/>
    </w:r>
    <w:r w:rsidRPr="00A17DA2">
      <w:rPr>
        <w:rFonts w:hint="eastAsia"/>
        <w:sz w:val="16"/>
        <w:szCs w:val="16"/>
        <w:rtl/>
      </w:rPr>
      <w:t>נשלח</w:t>
    </w:r>
    <w:r w:rsidRPr="00A17DA2">
      <w:rPr>
        <w:rFonts w:hint="cs"/>
        <w:sz w:val="16"/>
        <w:szCs w:val="16"/>
        <w:rtl/>
      </w:rPr>
      <w:t xml:space="preserve"> </w:t>
    </w:r>
    <w:r w:rsidRPr="00A17DA2">
      <w:rPr>
        <w:rFonts w:hint="eastAsia"/>
        <w:sz w:val="16"/>
        <w:szCs w:val="16"/>
        <w:rtl/>
      </w:rPr>
      <w:t>לפרסום</w:t>
    </w:r>
    <w:r w:rsidRPr="00A17DA2">
      <w:rPr>
        <w:rFonts w:hint="cs"/>
        <w:sz w:val="16"/>
        <w:szCs w:val="16"/>
        <w:rtl/>
      </w:rPr>
      <w:t xml:space="preserve"> </w:t>
    </w:r>
    <w:r w:rsidRPr="00A17DA2">
      <w:rPr>
        <w:rFonts w:hint="eastAsia"/>
        <w:sz w:val="16"/>
        <w:szCs w:val="16"/>
        <w:rtl/>
      </w:rPr>
      <w:t>ב</w:t>
    </w:r>
    <w:r w:rsidRPr="00A17DA2">
      <w:rPr>
        <w:rFonts w:hint="cs"/>
        <w:sz w:val="16"/>
        <w:szCs w:val="16"/>
        <w:rtl/>
      </w:rPr>
      <w:t>-</w:t>
    </w:r>
    <w:r w:rsidRPr="00452401">
      <w:rPr>
        <w:sz w:val="16"/>
        <w:szCs w:val="16"/>
        <w:rtl/>
      </w:rPr>
      <w:t>16.3.20</w:t>
    </w:r>
    <w:r w:rsidRPr="00A17DA2">
      <w:rPr>
        <w:sz w:val="16"/>
        <w:szCs w:val="16"/>
        <w:rtl/>
      </w:rPr>
      <w:t xml:space="preserve">, </w:t>
    </w:r>
    <w:r w:rsidRPr="00A17DA2">
      <w:rPr>
        <w:rFonts w:hint="eastAsia"/>
        <w:sz w:val="16"/>
        <w:szCs w:val="16"/>
        <w:rtl/>
      </w:rPr>
      <w:t>התקבל</w:t>
    </w:r>
    <w:r w:rsidRPr="00A17DA2">
      <w:rPr>
        <w:rFonts w:hint="cs"/>
        <w:sz w:val="16"/>
        <w:szCs w:val="16"/>
        <w:rtl/>
      </w:rPr>
      <w:t xml:space="preserve"> </w:t>
    </w:r>
    <w:r w:rsidRPr="00A17DA2">
      <w:rPr>
        <w:rFonts w:hint="eastAsia"/>
        <w:sz w:val="16"/>
        <w:szCs w:val="16"/>
        <w:rtl/>
      </w:rPr>
      <w:t>ב</w:t>
    </w:r>
    <w:r w:rsidRPr="00A17DA2">
      <w:rPr>
        <w:sz w:val="16"/>
        <w:szCs w:val="16"/>
        <w:rtl/>
      </w:rPr>
      <w:t>-</w:t>
    </w:r>
    <w:r w:rsidRPr="00452401">
      <w:rPr>
        <w:sz w:val="16"/>
        <w:szCs w:val="16"/>
        <w:rtl/>
      </w:rPr>
      <w:t>1.10.20</w:t>
    </w:r>
  </w:p>
  <w:p w14:paraId="151CA913" w14:textId="77777777" w:rsidR="009D2943" w:rsidRPr="003C255E" w:rsidRDefault="009D2943" w:rsidP="0090645A">
    <w:pPr>
      <w:pStyle w:val="Header"/>
      <w:tabs>
        <w:tab w:val="clear" w:pos="4153"/>
        <w:tab w:val="clear" w:pos="8306"/>
        <w:tab w:val="center" w:pos="3345"/>
        <w:tab w:val="right" w:pos="6691"/>
      </w:tabs>
      <w:spacing w:line="200" w:lineRule="exact"/>
      <w:rPr>
        <w:sz w:val="16"/>
        <w:szCs w:val="16"/>
      </w:rPr>
    </w:pPr>
  </w:p>
  <w:p w14:paraId="078F03E4" w14:textId="77777777" w:rsidR="009D2943" w:rsidRPr="00A17DA2" w:rsidRDefault="009D2943" w:rsidP="0090645A">
    <w:pPr>
      <w:pStyle w:val="Header"/>
      <w:tabs>
        <w:tab w:val="clear" w:pos="4153"/>
        <w:tab w:val="clear" w:pos="8306"/>
        <w:tab w:val="center" w:pos="3345"/>
        <w:tab w:val="right" w:pos="6691"/>
      </w:tabs>
      <w:spacing w:line="20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938B" w14:textId="77777777" w:rsidR="00485555" w:rsidRPr="00A17DA2" w:rsidRDefault="00485555"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E20CE" w14:textId="77777777" w:rsidR="00690018" w:rsidRDefault="00690018" w:rsidP="00A04D35">
      <w:pPr>
        <w:spacing w:before="120" w:after="80"/>
        <w:rPr>
          <w:rFonts w:cs="FrankRuehl"/>
          <w:sz w:val="18"/>
          <w:szCs w:val="18"/>
        </w:rPr>
      </w:pPr>
      <w:r>
        <w:rPr>
          <w:rFonts w:cs="FrankRuehl" w:hint="cs"/>
          <w:sz w:val="18"/>
          <w:szCs w:val="18"/>
          <w:rtl/>
        </w:rPr>
        <w:t>_____________</w:t>
      </w:r>
    </w:p>
  </w:footnote>
  <w:footnote w:type="continuationSeparator" w:id="0">
    <w:p w14:paraId="7363DD19" w14:textId="77777777" w:rsidR="00690018" w:rsidRDefault="00690018">
      <w:r>
        <w:continuationSeparator/>
      </w:r>
    </w:p>
  </w:footnote>
  <w:footnote w:type="continuationNotice" w:id="1">
    <w:p w14:paraId="20D9C422" w14:textId="77777777" w:rsidR="00690018" w:rsidRDefault="00690018">
      <w:pPr>
        <w:rPr>
          <w:rtl/>
        </w:rPr>
      </w:pPr>
    </w:p>
  </w:footnote>
  <w:footnote w:id="2">
    <w:p w14:paraId="0A46F50D" w14:textId="76FA26F4" w:rsidR="009D2943" w:rsidRPr="00DB508D" w:rsidRDefault="009D2943" w:rsidP="00DB508D">
      <w:pPr>
        <w:pBdr>
          <w:top w:val="nil"/>
          <w:left w:val="nil"/>
          <w:bottom w:val="nil"/>
          <w:right w:val="nil"/>
          <w:between w:val="nil"/>
        </w:pBdr>
        <w:tabs>
          <w:tab w:val="left" w:pos="720"/>
        </w:tabs>
        <w:ind w:left="397" w:hanging="397"/>
        <w:jc w:val="both"/>
        <w:rPr>
          <w:color w:val="000000"/>
          <w:sz w:val="14"/>
          <w:szCs w:val="16"/>
        </w:rPr>
      </w:pPr>
      <w:r w:rsidRPr="00282C1D">
        <w:rPr>
          <w:rFonts w:ascii="David" w:hAnsi="David"/>
          <w:sz w:val="16"/>
          <w:szCs w:val="16"/>
        </w:rPr>
        <w:footnoteRef/>
      </w:r>
      <w:r w:rsidRPr="00DB508D">
        <w:rPr>
          <w:color w:val="000000"/>
          <w:sz w:val="14"/>
          <w:szCs w:val="16"/>
          <w:rtl/>
        </w:rPr>
        <w:t xml:space="preserve"> </w:t>
      </w:r>
      <w:r w:rsidRPr="00DB508D">
        <w:rPr>
          <w:sz w:val="14"/>
          <w:szCs w:val="16"/>
          <w:rtl/>
        </w:rPr>
        <w:tab/>
      </w:r>
      <w:r w:rsidR="00E94D3B" w:rsidRPr="00E94D3B">
        <w:rPr>
          <w:b/>
          <w:sz w:val="14"/>
          <w:szCs w:val="16"/>
          <w:rtl/>
        </w:rPr>
        <w:t>דוקטור, המחלקה לעבודה סוציאלית, אוניברסיטת בן-גוריון בנגב</w:t>
      </w:r>
    </w:p>
  </w:footnote>
  <w:footnote w:id="3">
    <w:p w14:paraId="4CA8484B" w14:textId="31760CDD" w:rsidR="00492745" w:rsidRPr="00AF7CA3" w:rsidRDefault="00492745" w:rsidP="00DF7462">
      <w:pPr>
        <w:pBdr>
          <w:top w:val="nil"/>
          <w:left w:val="nil"/>
          <w:bottom w:val="nil"/>
          <w:right w:val="nil"/>
          <w:between w:val="nil"/>
        </w:pBdr>
        <w:tabs>
          <w:tab w:val="left" w:pos="720"/>
        </w:tabs>
        <w:ind w:left="397" w:hanging="397"/>
        <w:jc w:val="both"/>
        <w:rPr>
          <w:rFonts w:ascii="David" w:hAnsi="David"/>
          <w:sz w:val="16"/>
          <w:szCs w:val="16"/>
        </w:rPr>
      </w:pPr>
      <w:r w:rsidRPr="00AF7CA3">
        <w:rPr>
          <w:rFonts w:ascii="David" w:hAnsi="David"/>
          <w:sz w:val="16"/>
          <w:szCs w:val="16"/>
        </w:rPr>
        <w:footnoteRef/>
      </w:r>
      <w:r w:rsidRPr="001E1DDF">
        <w:rPr>
          <w:rFonts w:ascii="David" w:hAnsi="David"/>
          <w:sz w:val="16"/>
          <w:szCs w:val="16"/>
          <w:rtl/>
        </w:rPr>
        <w:t xml:space="preserve"> </w:t>
      </w:r>
      <w:r w:rsidR="001E1DDF">
        <w:rPr>
          <w:rFonts w:ascii="David" w:hAnsi="David"/>
          <w:sz w:val="16"/>
          <w:szCs w:val="16"/>
        </w:rPr>
        <w:tab/>
      </w:r>
      <w:r w:rsidR="00E94D3B" w:rsidRPr="00E94D3B">
        <w:rPr>
          <w:rFonts w:ascii="David" w:hAnsi="David"/>
          <w:sz w:val="16"/>
          <w:szCs w:val="16"/>
          <w:rtl/>
        </w:rPr>
        <w:t>פרופסור (אמריטוס), המחלקה לעבודה סוציאלית, אוניברסיטת בן-גוריון בנגב</w:t>
      </w:r>
    </w:p>
    <w:p w14:paraId="3FB066E6" w14:textId="5A5F5D7F" w:rsidR="00492745" w:rsidRPr="00492745" w:rsidRDefault="00492745">
      <w:pPr>
        <w:pStyle w:val="FootnoteText"/>
        <w:rPr>
          <w:rtl/>
        </w:rPr>
      </w:pPr>
    </w:p>
  </w:footnote>
  <w:footnote w:id="4">
    <w:p w14:paraId="59BF36ED" w14:textId="6D1454DF" w:rsidR="009D2943" w:rsidRPr="00DB508D" w:rsidRDefault="009D2943" w:rsidP="009D2943">
      <w:pPr>
        <w:keepLines/>
        <w:pBdr>
          <w:top w:val="nil"/>
          <w:left w:val="nil"/>
          <w:bottom w:val="nil"/>
          <w:right w:val="nil"/>
          <w:between w:val="nil"/>
        </w:pBdr>
        <w:tabs>
          <w:tab w:val="left" w:pos="720"/>
        </w:tabs>
        <w:spacing w:line="200" w:lineRule="exact"/>
        <w:ind w:left="397" w:hanging="397"/>
        <w:jc w:val="both"/>
        <w:rPr>
          <w:color w:val="000000"/>
          <w:sz w:val="14"/>
          <w:szCs w:val="16"/>
        </w:rPr>
      </w:pPr>
      <w:r w:rsidRPr="00282C1D">
        <w:rPr>
          <w:rFonts w:ascii="David" w:hAnsi="David"/>
          <w:sz w:val="16"/>
          <w:szCs w:val="16"/>
        </w:rPr>
        <w:footnoteRef/>
      </w:r>
      <w:r w:rsidRPr="00DB508D">
        <w:rPr>
          <w:color w:val="000000"/>
          <w:sz w:val="14"/>
          <w:szCs w:val="16"/>
          <w:rtl/>
        </w:rPr>
        <w:t xml:space="preserve"> </w:t>
      </w:r>
      <w:r w:rsidRPr="00DB508D">
        <w:rPr>
          <w:sz w:val="14"/>
          <w:szCs w:val="16"/>
          <w:rtl/>
        </w:rPr>
        <w:tab/>
      </w:r>
      <w:r w:rsidRPr="00DB508D">
        <w:rPr>
          <w:color w:val="000000"/>
          <w:sz w:val="14"/>
          <w:szCs w:val="16"/>
          <w:rtl/>
        </w:rPr>
        <w:t xml:space="preserve">השימוש במונח </w:t>
      </w:r>
      <w:r w:rsidRPr="00AF7CA3">
        <w:rPr>
          <w:b/>
          <w:bCs/>
          <w:color w:val="000000"/>
          <w:sz w:val="14"/>
          <w:szCs w:val="16"/>
          <w:rtl/>
        </w:rPr>
        <w:t>החברה הבדואית בנגב</w:t>
      </w:r>
      <w:r w:rsidRPr="00DB508D">
        <w:rPr>
          <w:color w:val="000000"/>
          <w:sz w:val="14"/>
          <w:szCs w:val="16"/>
          <w:rtl/>
        </w:rPr>
        <w:t xml:space="preserve"> הוא מטעמי נוחות, ומתייחס לחברה הערבית-הפלסטינית בדרום הארץ.</w:t>
      </w:r>
    </w:p>
  </w:footnote>
  <w:footnote w:id="5">
    <w:p w14:paraId="17AAFD4A" w14:textId="3FEE0639" w:rsidR="009D2943" w:rsidRPr="00DB508D" w:rsidRDefault="009D2943" w:rsidP="009D2943">
      <w:pPr>
        <w:keepLines/>
        <w:pBdr>
          <w:top w:val="nil"/>
          <w:left w:val="nil"/>
          <w:bottom w:val="nil"/>
          <w:right w:val="nil"/>
          <w:between w:val="nil"/>
        </w:pBdr>
        <w:tabs>
          <w:tab w:val="left" w:pos="720"/>
        </w:tabs>
        <w:spacing w:line="200" w:lineRule="exact"/>
        <w:ind w:left="397" w:hanging="397"/>
        <w:jc w:val="both"/>
        <w:rPr>
          <w:color w:val="000000"/>
          <w:sz w:val="14"/>
          <w:szCs w:val="16"/>
        </w:rPr>
      </w:pPr>
      <w:r w:rsidRPr="00282C1D">
        <w:rPr>
          <w:rFonts w:ascii="David" w:hAnsi="David"/>
          <w:sz w:val="16"/>
          <w:szCs w:val="16"/>
        </w:rPr>
        <w:footnoteRef/>
      </w:r>
      <w:r w:rsidRPr="00DB508D">
        <w:rPr>
          <w:color w:val="000000"/>
          <w:sz w:val="14"/>
          <w:szCs w:val="16"/>
          <w:rtl/>
        </w:rPr>
        <w:t xml:space="preserve"> </w:t>
      </w:r>
      <w:r w:rsidRPr="00DB508D">
        <w:rPr>
          <w:sz w:val="14"/>
          <w:szCs w:val="16"/>
          <w:rtl/>
        </w:rPr>
        <w:tab/>
      </w:r>
      <w:r w:rsidRPr="00DB508D">
        <w:rPr>
          <w:color w:val="000000"/>
          <w:sz w:val="14"/>
          <w:szCs w:val="16"/>
          <w:rtl/>
        </w:rPr>
        <w:t xml:space="preserve">כמקובל בספרות הדמוגרפית, אנו נוקטים את המונחים </w:t>
      </w:r>
      <w:r w:rsidRPr="00AF7CA3">
        <w:rPr>
          <w:b/>
          <w:bCs/>
          <w:color w:val="000000"/>
          <w:sz w:val="14"/>
          <w:szCs w:val="16"/>
          <w:rtl/>
        </w:rPr>
        <w:t>פריון</w:t>
      </w:r>
      <w:r w:rsidRPr="00DB508D">
        <w:rPr>
          <w:color w:val="000000"/>
          <w:sz w:val="14"/>
          <w:szCs w:val="16"/>
          <w:rtl/>
        </w:rPr>
        <w:t xml:space="preserve">, </w:t>
      </w:r>
      <w:r w:rsidRPr="00AF7CA3">
        <w:rPr>
          <w:b/>
          <w:bCs/>
          <w:color w:val="000000"/>
          <w:sz w:val="14"/>
          <w:szCs w:val="16"/>
          <w:rtl/>
        </w:rPr>
        <w:t>פריון כולל</w:t>
      </w:r>
      <w:r w:rsidRPr="00DB508D">
        <w:rPr>
          <w:color w:val="000000"/>
          <w:sz w:val="14"/>
          <w:szCs w:val="16"/>
          <w:rtl/>
        </w:rPr>
        <w:t xml:space="preserve">, </w:t>
      </w:r>
      <w:r w:rsidRPr="00AF7CA3">
        <w:rPr>
          <w:b/>
          <w:bCs/>
          <w:color w:val="000000"/>
          <w:sz w:val="14"/>
          <w:szCs w:val="16"/>
          <w:rtl/>
        </w:rPr>
        <w:t>שיעור פריון כללי</w:t>
      </w:r>
      <w:r w:rsidRPr="00DB508D">
        <w:rPr>
          <w:color w:val="000000"/>
          <w:sz w:val="14"/>
          <w:szCs w:val="16"/>
          <w:rtl/>
        </w:rPr>
        <w:t xml:space="preserve">, </w:t>
      </w:r>
      <w:r w:rsidRPr="00AF7CA3">
        <w:rPr>
          <w:b/>
          <w:bCs/>
          <w:color w:val="000000"/>
          <w:sz w:val="14"/>
          <w:szCs w:val="16"/>
          <w:rtl/>
        </w:rPr>
        <w:t>ילודה</w:t>
      </w:r>
      <w:r w:rsidRPr="00DB508D">
        <w:rPr>
          <w:color w:val="000000"/>
          <w:sz w:val="14"/>
          <w:szCs w:val="16"/>
          <w:rtl/>
        </w:rPr>
        <w:t xml:space="preserve"> </w:t>
      </w:r>
      <w:r w:rsidRPr="00AF7CA3">
        <w:rPr>
          <w:b/>
          <w:bCs/>
          <w:color w:val="000000"/>
          <w:sz w:val="14"/>
          <w:szCs w:val="16"/>
          <w:rtl/>
        </w:rPr>
        <w:t>ושיעור ילודה גולמי</w:t>
      </w:r>
      <w:r w:rsidRPr="00DB508D">
        <w:rPr>
          <w:color w:val="000000"/>
          <w:sz w:val="14"/>
          <w:szCs w:val="16"/>
          <w:rtl/>
        </w:rPr>
        <w:t xml:space="preserve"> כביטויים לרמת הילודה בחברה, כפי שהיא נמדדת במדדים שונים. הגדרת המדדים עצמם תצוין בהערות שוליים. הפריון הכולל</w:t>
      </w:r>
      <w:r w:rsidR="00AF7CA3">
        <w:rPr>
          <w:rFonts w:hint="cs"/>
          <w:color w:val="000000"/>
          <w:sz w:val="14"/>
          <w:szCs w:val="16"/>
          <w:rtl/>
        </w:rPr>
        <w:t xml:space="preserve"> (</w:t>
      </w:r>
      <w:r w:rsidR="00AF7CA3" w:rsidRPr="00DB508D">
        <w:rPr>
          <w:color w:val="000000"/>
          <w:sz w:val="14"/>
          <w:szCs w:val="16"/>
        </w:rPr>
        <w:t>Total Fertility, TF</w:t>
      </w:r>
      <w:r w:rsidR="00AF7CA3">
        <w:rPr>
          <w:rFonts w:hint="cs"/>
          <w:color w:val="000000"/>
          <w:sz w:val="14"/>
          <w:szCs w:val="16"/>
          <w:rtl/>
        </w:rPr>
        <w:t>)</w:t>
      </w:r>
      <w:r>
        <w:rPr>
          <w:rFonts w:hint="cs"/>
          <w:color w:val="000000"/>
          <w:sz w:val="14"/>
          <w:szCs w:val="16"/>
          <w:rtl/>
        </w:rPr>
        <w:t xml:space="preserve"> </w:t>
      </w:r>
      <w:r w:rsidRPr="00DB508D">
        <w:rPr>
          <w:color w:val="000000"/>
          <w:sz w:val="14"/>
          <w:szCs w:val="16"/>
          <w:rtl/>
        </w:rPr>
        <w:t xml:space="preserve">הוא מדד סינתטי המצביע על </w:t>
      </w:r>
      <w:bookmarkStart w:id="2" w:name="_Hlk78290750"/>
      <w:r w:rsidRPr="00DB508D">
        <w:rPr>
          <w:color w:val="000000"/>
          <w:sz w:val="14"/>
          <w:szCs w:val="16"/>
          <w:rtl/>
        </w:rPr>
        <w:t>מספר הילדים הממוצע אשר אישה צפויה ללדת בימי חייה, בהנחה שמספר ילדיה יהיה תואם לשיעורי הילודה הממוצעים באותה תקופה ולנשים באותו גיל.</w:t>
      </w:r>
    </w:p>
    <w:bookmarkEnd w:id="2"/>
  </w:footnote>
  <w:footnote w:id="6">
    <w:p w14:paraId="15C3B589" w14:textId="359A1D81" w:rsidR="009D2943" w:rsidRPr="00DB508D" w:rsidRDefault="009D2943" w:rsidP="00DB508D">
      <w:pPr>
        <w:keepLines/>
        <w:spacing w:line="200" w:lineRule="exact"/>
        <w:ind w:left="397" w:hanging="397"/>
        <w:jc w:val="both"/>
        <w:rPr>
          <w:sz w:val="14"/>
          <w:szCs w:val="16"/>
        </w:rPr>
      </w:pPr>
      <w:r w:rsidRPr="00282C1D">
        <w:rPr>
          <w:rFonts w:ascii="David" w:hAnsi="David"/>
          <w:sz w:val="16"/>
          <w:szCs w:val="16"/>
        </w:rPr>
        <w:footnoteRef/>
      </w:r>
      <w:r w:rsidRPr="00DB508D">
        <w:rPr>
          <w:sz w:val="14"/>
          <w:szCs w:val="16"/>
          <w:rtl/>
        </w:rPr>
        <w:t xml:space="preserve"> </w:t>
      </w:r>
      <w:r w:rsidRPr="00DB508D">
        <w:rPr>
          <w:sz w:val="14"/>
          <w:szCs w:val="16"/>
          <w:rtl/>
        </w:rPr>
        <w:tab/>
      </w:r>
      <w:r w:rsidRPr="00AD28D8">
        <w:rPr>
          <w:spacing w:val="-2"/>
          <w:sz w:val="14"/>
          <w:szCs w:val="16"/>
          <w:rtl/>
        </w:rPr>
        <w:t xml:space="preserve">שיעור התחלופה הוא </w:t>
      </w:r>
      <w:r w:rsidRPr="00AD28D8">
        <w:rPr>
          <w:spacing w:val="-2"/>
          <w:sz w:val="14"/>
          <w:szCs w:val="16"/>
          <w:highlight w:val="white"/>
          <w:rtl/>
        </w:rPr>
        <w:t>שיעור הפריון המאפשר שמירה על גודל קבוע של האוכלוסייה</w:t>
      </w:r>
      <w:r w:rsidR="00AD28D8" w:rsidRPr="00AD28D8">
        <w:rPr>
          <w:rFonts w:hint="cs"/>
          <w:spacing w:val="-2"/>
          <w:sz w:val="14"/>
          <w:szCs w:val="16"/>
          <w:rtl/>
        </w:rPr>
        <w:t xml:space="preserve"> (</w:t>
      </w:r>
      <w:r w:rsidR="00AD28D8" w:rsidRPr="00AD28D8">
        <w:rPr>
          <w:spacing w:val="-2"/>
          <w:sz w:val="14"/>
          <w:szCs w:val="16"/>
        </w:rPr>
        <w:t>Zero Population Growth</w:t>
      </w:r>
      <w:r w:rsidR="00AD28D8" w:rsidRPr="00AD28D8">
        <w:rPr>
          <w:rFonts w:hint="cs"/>
          <w:spacing w:val="-2"/>
          <w:sz w:val="14"/>
          <w:szCs w:val="16"/>
          <w:rtl/>
        </w:rPr>
        <w:t>)</w:t>
      </w:r>
      <w:r w:rsidRPr="00AD28D8">
        <w:rPr>
          <w:spacing w:val="-2"/>
          <w:sz w:val="14"/>
          <w:szCs w:val="16"/>
          <w:rtl/>
        </w:rPr>
        <w:t>.</w:t>
      </w:r>
    </w:p>
  </w:footnote>
  <w:footnote w:id="7">
    <w:p w14:paraId="1017FE59" w14:textId="2E8F282E" w:rsidR="009D2943" w:rsidRPr="00DB508D" w:rsidRDefault="009D2943" w:rsidP="00134C7C">
      <w:pPr>
        <w:keepLines/>
        <w:spacing w:line="200" w:lineRule="exact"/>
        <w:ind w:left="397" w:hanging="397"/>
        <w:jc w:val="both"/>
        <w:rPr>
          <w:sz w:val="14"/>
          <w:szCs w:val="16"/>
        </w:rPr>
      </w:pPr>
      <w:r w:rsidRPr="00282C1D">
        <w:rPr>
          <w:rFonts w:ascii="David" w:hAnsi="David"/>
          <w:sz w:val="16"/>
          <w:szCs w:val="16"/>
        </w:rPr>
        <w:footnoteRef/>
      </w:r>
      <w:r w:rsidRPr="00DB508D">
        <w:rPr>
          <w:sz w:val="14"/>
          <w:szCs w:val="16"/>
          <w:rtl/>
        </w:rPr>
        <w:t xml:space="preserve"> </w:t>
      </w:r>
      <w:r w:rsidRPr="00DB508D">
        <w:rPr>
          <w:sz w:val="14"/>
          <w:szCs w:val="16"/>
          <w:rtl/>
        </w:rPr>
        <w:tab/>
      </w:r>
      <w:r w:rsidRPr="00DB508D">
        <w:rPr>
          <w:sz w:val="14"/>
          <w:szCs w:val="16"/>
          <w:rtl/>
        </w:rPr>
        <w:t xml:space="preserve">החוקרים חלוקים בדעתם באשר לזמן הגעתם של הבדואים לנגב או לסיני. </w:t>
      </w:r>
      <w:proofErr w:type="spellStart"/>
      <w:r w:rsidRPr="00DB508D">
        <w:rPr>
          <w:sz w:val="14"/>
          <w:szCs w:val="16"/>
          <w:rtl/>
        </w:rPr>
        <w:t>אלעארף</w:t>
      </w:r>
      <w:proofErr w:type="spellEnd"/>
      <w:r w:rsidRPr="00DB508D">
        <w:rPr>
          <w:sz w:val="14"/>
          <w:szCs w:val="16"/>
          <w:rtl/>
        </w:rPr>
        <w:t xml:space="preserve"> (1934) </w:t>
      </w:r>
      <w:r w:rsidR="00134C7C">
        <w:rPr>
          <w:rFonts w:hint="cs"/>
          <w:sz w:val="14"/>
          <w:szCs w:val="16"/>
          <w:rtl/>
        </w:rPr>
        <w:t xml:space="preserve">סבור </w:t>
      </w:r>
      <w:r w:rsidRPr="00DB508D">
        <w:rPr>
          <w:sz w:val="14"/>
          <w:szCs w:val="16"/>
          <w:rtl/>
        </w:rPr>
        <w:t xml:space="preserve">שהם הגיעו לאזורנו באמצע המאה ה-7 לספירה עם צבאות המוסלמים, ולאחר מכן בגלי ההגירה של הערבים מחצי האי ערב אל האזורים החדשים. חוקרים אחרים מעריכים שהגירת הבדואים אל הנגב התרחשה הרבה לפני כן, במאה ה-5 לפני הספירה (אבו-סעד, 2013; </w:t>
      </w:r>
      <w:proofErr w:type="spellStart"/>
      <w:r w:rsidRPr="00DB508D">
        <w:rPr>
          <w:sz w:val="14"/>
          <w:szCs w:val="16"/>
        </w:rPr>
        <w:t>Muhsam</w:t>
      </w:r>
      <w:proofErr w:type="spellEnd"/>
      <w:r w:rsidRPr="00DB508D">
        <w:rPr>
          <w:sz w:val="14"/>
          <w:szCs w:val="16"/>
        </w:rPr>
        <w:t>, 1966</w:t>
      </w:r>
      <w:r w:rsidRPr="00DB508D">
        <w:rPr>
          <w:sz w:val="14"/>
          <w:szCs w:val="16"/>
          <w:rtl/>
        </w:rPr>
        <w:t xml:space="preserve">). יש הגורסים כי חלק מהבדואים הגיעו לנגב במאה ה-11 לספירה (שרון, 1975), ואחרים קובעים כי הם החלו להתיישב בנגב בין המאה ה-13 למאה ה-18. </w:t>
      </w:r>
    </w:p>
  </w:footnote>
  <w:footnote w:id="8">
    <w:p w14:paraId="03854AF1" w14:textId="35443A5E" w:rsidR="009D2943" w:rsidRPr="00DB508D" w:rsidRDefault="009D2943" w:rsidP="0096244D">
      <w:pPr>
        <w:keepLines/>
        <w:spacing w:line="200" w:lineRule="exact"/>
        <w:ind w:left="397" w:hanging="397"/>
        <w:jc w:val="both"/>
        <w:rPr>
          <w:sz w:val="14"/>
          <w:szCs w:val="16"/>
        </w:rPr>
      </w:pPr>
      <w:r w:rsidRPr="00282C1D">
        <w:rPr>
          <w:rFonts w:ascii="David" w:hAnsi="David"/>
          <w:sz w:val="16"/>
          <w:szCs w:val="16"/>
        </w:rPr>
        <w:footnoteRef/>
      </w:r>
      <w:r w:rsidRPr="00DB508D">
        <w:rPr>
          <w:sz w:val="14"/>
          <w:szCs w:val="16"/>
          <w:rtl/>
        </w:rPr>
        <w:t xml:space="preserve"> </w:t>
      </w:r>
      <w:r w:rsidRPr="00DB508D">
        <w:rPr>
          <w:sz w:val="14"/>
          <w:szCs w:val="16"/>
          <w:rtl/>
        </w:rPr>
        <w:tab/>
      </w:r>
      <w:proofErr w:type="spellStart"/>
      <w:r w:rsidRPr="00DB508D">
        <w:rPr>
          <w:sz w:val="14"/>
          <w:szCs w:val="16"/>
          <w:rtl/>
        </w:rPr>
        <w:t>סבירסקי</w:t>
      </w:r>
      <w:proofErr w:type="spellEnd"/>
      <w:r w:rsidRPr="00DB508D">
        <w:rPr>
          <w:sz w:val="14"/>
          <w:szCs w:val="16"/>
          <w:rtl/>
        </w:rPr>
        <w:t xml:space="preserve"> וחסון ציינו כי בתקופה זו "הבדואים מצאו עצמם סגורים בתוך אזור מתוחם ומסוגר, מנותקים משאר חלקי החברה, בתנאים המזכירים את שמורות הילידים במקומות כדוגמת ארצות הברית" (</w:t>
      </w:r>
      <w:proofErr w:type="spellStart"/>
      <w:r w:rsidRPr="00DB508D">
        <w:rPr>
          <w:sz w:val="14"/>
          <w:szCs w:val="16"/>
          <w:rtl/>
        </w:rPr>
        <w:t>סבירסקי</w:t>
      </w:r>
      <w:proofErr w:type="spellEnd"/>
      <w:r w:rsidRPr="00DB508D">
        <w:rPr>
          <w:sz w:val="14"/>
          <w:szCs w:val="16"/>
          <w:rtl/>
        </w:rPr>
        <w:t xml:space="preserve"> וחסון, 2005, עמ' 4). </w:t>
      </w:r>
      <w:r w:rsidRPr="00DB508D">
        <w:rPr>
          <w:sz w:val="14"/>
          <w:szCs w:val="16"/>
          <w:shd w:val="clear" w:color="auto" w:fill="FFFFFF"/>
          <w:rtl/>
        </w:rPr>
        <w:t xml:space="preserve">הבדואים שהועברו לאזור הסייג לא הורשו לעבד את קרקעותיהם שבנגב המערבי או לרעות בהן. היו </w:t>
      </w:r>
      <w:proofErr w:type="spellStart"/>
      <w:r w:rsidRPr="00DB508D">
        <w:rPr>
          <w:sz w:val="14"/>
          <w:szCs w:val="16"/>
          <w:shd w:val="clear" w:color="auto" w:fill="FFFFFF"/>
          <w:rtl/>
        </w:rPr>
        <w:t>שייח'ים</w:t>
      </w:r>
      <w:proofErr w:type="spellEnd"/>
      <w:r w:rsidRPr="00DB508D">
        <w:rPr>
          <w:sz w:val="14"/>
          <w:szCs w:val="16"/>
          <w:shd w:val="clear" w:color="auto" w:fill="FFFFFF"/>
          <w:rtl/>
        </w:rPr>
        <w:t xml:space="preserve"> שביקשו מהמושל הצבאי לאפשר להם לחזור לאדמותיהם כדי לאסוף יבולים חקלאיים </w:t>
      </w:r>
      <w:r w:rsidRPr="00DB508D">
        <w:rPr>
          <w:sz w:val="14"/>
          <w:szCs w:val="16"/>
          <w:rtl/>
        </w:rPr>
        <w:t xml:space="preserve">שלא הספיקו לאסוף. מריות (2011) הציג מכתב שכתב </w:t>
      </w:r>
      <w:r w:rsidR="0096244D">
        <w:rPr>
          <w:rFonts w:hint="cs"/>
          <w:sz w:val="14"/>
          <w:szCs w:val="16"/>
          <w:rtl/>
        </w:rPr>
        <w:t xml:space="preserve">ב-1951 </w:t>
      </w:r>
      <w:r w:rsidRPr="00DB508D">
        <w:rPr>
          <w:sz w:val="14"/>
          <w:szCs w:val="16"/>
          <w:rtl/>
        </w:rPr>
        <w:t>שייח' ג'בר אבו-</w:t>
      </w:r>
      <w:proofErr w:type="spellStart"/>
      <w:r w:rsidRPr="00DB508D">
        <w:rPr>
          <w:sz w:val="14"/>
          <w:szCs w:val="16"/>
          <w:rtl/>
        </w:rPr>
        <w:t>סריחאן</w:t>
      </w:r>
      <w:proofErr w:type="spellEnd"/>
      <w:r w:rsidRPr="00DB508D">
        <w:rPr>
          <w:sz w:val="14"/>
          <w:szCs w:val="16"/>
          <w:rtl/>
        </w:rPr>
        <w:t xml:space="preserve"> למושל הצבאי בבקשה לאפשר ל</w:t>
      </w:r>
      <w:r w:rsidR="0096244D">
        <w:rPr>
          <w:rFonts w:hint="cs"/>
          <w:sz w:val="14"/>
          <w:szCs w:val="16"/>
          <w:rtl/>
        </w:rPr>
        <w:t xml:space="preserve">בני שבטו לאסוף </w:t>
      </w:r>
      <w:r w:rsidRPr="00DB508D">
        <w:rPr>
          <w:sz w:val="14"/>
          <w:szCs w:val="16"/>
          <w:rtl/>
        </w:rPr>
        <w:t>תבן ממקום מגוריהם בנגב המערבי כדי להאכיל את בהמותיהם.</w:t>
      </w:r>
    </w:p>
  </w:footnote>
  <w:footnote w:id="9">
    <w:p w14:paraId="2B98B247" w14:textId="57BB0285" w:rsidR="009D2943" w:rsidRPr="00DB508D" w:rsidRDefault="009D2943" w:rsidP="00DB508D">
      <w:pPr>
        <w:keepLines/>
        <w:pBdr>
          <w:top w:val="nil"/>
          <w:left w:val="nil"/>
          <w:bottom w:val="nil"/>
          <w:right w:val="nil"/>
          <w:between w:val="nil"/>
        </w:pBdr>
        <w:tabs>
          <w:tab w:val="left" w:pos="720"/>
        </w:tabs>
        <w:spacing w:line="200" w:lineRule="exact"/>
        <w:ind w:left="397" w:hanging="397"/>
        <w:jc w:val="both"/>
        <w:rPr>
          <w:color w:val="000000"/>
          <w:sz w:val="14"/>
          <w:szCs w:val="16"/>
        </w:rPr>
      </w:pPr>
      <w:r w:rsidRPr="00282C1D">
        <w:rPr>
          <w:rFonts w:ascii="David" w:hAnsi="David"/>
          <w:sz w:val="16"/>
          <w:szCs w:val="16"/>
        </w:rPr>
        <w:footnoteRef/>
      </w:r>
      <w:r w:rsidRPr="00DB508D">
        <w:rPr>
          <w:color w:val="000000"/>
          <w:sz w:val="14"/>
          <w:szCs w:val="16"/>
          <w:rtl/>
        </w:rPr>
        <w:t xml:space="preserve"> </w:t>
      </w:r>
      <w:r w:rsidRPr="00DB508D">
        <w:rPr>
          <w:sz w:val="14"/>
          <w:szCs w:val="16"/>
          <w:rtl/>
        </w:rPr>
        <w:tab/>
      </w:r>
      <w:r w:rsidRPr="00DB508D">
        <w:rPr>
          <w:color w:val="000000"/>
          <w:sz w:val="14"/>
          <w:szCs w:val="16"/>
          <w:rtl/>
        </w:rPr>
        <w:t>בידול, בידוד ופיצול של המיעוט הערבי; ביסוס התלות הכלכלית והפוליטית של הערבים ברוב היהודי; ושבייתן של האליטות הערביות באמצעות פיתויים חומריים בתמורה לשיתוף פעולה עם השלטונות (</w:t>
      </w:r>
      <w:proofErr w:type="spellStart"/>
      <w:r w:rsidRPr="00DB508D">
        <w:rPr>
          <w:color w:val="000000"/>
          <w:sz w:val="14"/>
          <w:szCs w:val="16"/>
          <w:rtl/>
        </w:rPr>
        <w:t>לוסטיק</w:t>
      </w:r>
      <w:proofErr w:type="spellEnd"/>
      <w:r w:rsidRPr="00DB508D">
        <w:rPr>
          <w:color w:val="000000"/>
          <w:sz w:val="14"/>
          <w:szCs w:val="16"/>
          <w:rtl/>
        </w:rPr>
        <w:t>, 1985).</w:t>
      </w:r>
    </w:p>
  </w:footnote>
  <w:footnote w:id="10">
    <w:p w14:paraId="1BFC2683" w14:textId="25DE8C4A" w:rsidR="009D2943" w:rsidRPr="00DB508D" w:rsidRDefault="009D2943" w:rsidP="0096244D">
      <w:pPr>
        <w:keepLines/>
        <w:pBdr>
          <w:top w:val="nil"/>
          <w:left w:val="nil"/>
          <w:bottom w:val="nil"/>
          <w:right w:val="nil"/>
          <w:between w:val="nil"/>
        </w:pBdr>
        <w:tabs>
          <w:tab w:val="left" w:pos="720"/>
        </w:tabs>
        <w:spacing w:line="200" w:lineRule="exact"/>
        <w:ind w:left="397" w:hanging="397"/>
        <w:jc w:val="both"/>
        <w:rPr>
          <w:color w:val="000000"/>
          <w:sz w:val="14"/>
          <w:szCs w:val="16"/>
        </w:rPr>
      </w:pPr>
      <w:r w:rsidRPr="00282C1D">
        <w:rPr>
          <w:rFonts w:ascii="David" w:hAnsi="David"/>
          <w:sz w:val="16"/>
          <w:szCs w:val="16"/>
        </w:rPr>
        <w:footnoteRef/>
      </w:r>
      <w:r w:rsidRPr="00DB508D">
        <w:rPr>
          <w:color w:val="000000"/>
          <w:sz w:val="14"/>
          <w:szCs w:val="16"/>
          <w:rtl/>
        </w:rPr>
        <w:t xml:space="preserve"> </w:t>
      </w:r>
      <w:r w:rsidRPr="00DB508D">
        <w:rPr>
          <w:sz w:val="14"/>
          <w:szCs w:val="16"/>
          <w:rtl/>
        </w:rPr>
        <w:tab/>
      </w:r>
      <w:r w:rsidRPr="00DB508D">
        <w:rPr>
          <w:color w:val="000000"/>
          <w:sz w:val="14"/>
          <w:szCs w:val="16"/>
          <w:rtl/>
        </w:rPr>
        <w:t xml:space="preserve">הבסיס החוקי לעמדת המדינה השוללת בעלות של הבדואים על קרקעותיהם גובש החל משנת 1950, עם חקיקתם של כמה חוקים בנושא הקרקעות: החוק לנכסי נפקדים, תש"י-1950, אשר העביר את נכסיהם וקרקעותיהם של ערבים רבים למדינה; חוק תפיסת מקרקעין, תש"י-1950, אשר לפיו הופקעו אדמות הבדואים, בין שהיו נפקדים בין שנוכחים; חוק רכישת מקרקעין (אישור פעולות ופיצויים), תשי"ג-1953, שנועד לתת תוקף חוקי להפקעות קרקע לצרכים ציבוריים; חוק המקרקעין, תשכ"ט-1969, אשר החליף את חוקי הקרקעות העות'מאניים משנת 1858 ואת פקודת הקרקעות המנדטורית משנת 1921, והגדיר את האופן שבו נרכשות זכויות בקרקע. לפי חוק זה אין לבדואים זכויות בעלות על קרקעותיהם, אלא לכל היותר זכויות חזקה בלבד; פקודת הסדר זכויות במקרקעין (נוסח חדש), תשכ"ט-1969, אשר באה להסדיר את רישום המקרקעין וזכויות הקניין המבוססות על מדידות מדויקות; חוק רכישת מקרקעין בנגב (הסכם השלום עם מצרים), תש"מ-1980, אשר קבע למפונים הבדואים סל </w:t>
      </w:r>
      <w:r w:rsidR="0096244D">
        <w:rPr>
          <w:rFonts w:hint="cs"/>
          <w:color w:val="000000"/>
          <w:sz w:val="14"/>
          <w:szCs w:val="16"/>
          <w:rtl/>
        </w:rPr>
        <w:t>ש</w:t>
      </w:r>
      <w:r w:rsidRPr="00DB508D">
        <w:rPr>
          <w:color w:val="000000"/>
          <w:sz w:val="14"/>
          <w:szCs w:val="16"/>
          <w:rtl/>
        </w:rPr>
        <w:t>כלל חלופת קרקע, פיצוי על בתים, מתקני חקלא</w:t>
      </w:r>
      <w:r w:rsidR="0096244D">
        <w:rPr>
          <w:rFonts w:hint="cs"/>
          <w:color w:val="000000"/>
          <w:sz w:val="14"/>
          <w:szCs w:val="16"/>
          <w:rtl/>
        </w:rPr>
        <w:t xml:space="preserve">ות </w:t>
      </w:r>
      <w:r w:rsidRPr="00DB508D">
        <w:rPr>
          <w:color w:val="000000"/>
          <w:sz w:val="14"/>
          <w:szCs w:val="16"/>
          <w:rtl/>
        </w:rPr>
        <w:t xml:space="preserve"> ומטעים. בכך הכירה המדינה למעשה בזכותם של הבדואים על הקרקע, גם אם לא הכירה בזכויות הבעלות; המלצות של ועדה בראשות עו"ד פליאה </w:t>
      </w:r>
      <w:proofErr w:type="spellStart"/>
      <w:r w:rsidRPr="00DB508D">
        <w:rPr>
          <w:color w:val="000000"/>
          <w:sz w:val="14"/>
          <w:szCs w:val="16"/>
          <w:rtl/>
        </w:rPr>
        <w:t>אלבק</w:t>
      </w:r>
      <w:proofErr w:type="spellEnd"/>
      <w:r w:rsidRPr="00DB508D">
        <w:rPr>
          <w:color w:val="000000"/>
          <w:sz w:val="14"/>
          <w:szCs w:val="16"/>
          <w:rtl/>
        </w:rPr>
        <w:t xml:space="preserve"> ממשרד המשפטים משנת 1976, אשר קבעה שאדמות הנגב הן מסוג </w:t>
      </w:r>
      <w:proofErr w:type="spellStart"/>
      <w:r w:rsidRPr="00DB508D">
        <w:rPr>
          <w:color w:val="000000"/>
          <w:sz w:val="14"/>
          <w:szCs w:val="16"/>
          <w:rtl/>
        </w:rPr>
        <w:t>מוואת</w:t>
      </w:r>
      <w:proofErr w:type="spellEnd"/>
      <w:r w:rsidRPr="00DB508D">
        <w:rPr>
          <w:color w:val="000000"/>
          <w:sz w:val="14"/>
          <w:szCs w:val="16"/>
          <w:rtl/>
        </w:rPr>
        <w:t xml:space="preserve">, ואישרה פיצוי חלקי של 20% בקרקע ופיצוי כספי "לפנים משורת הדין"; ההחלטה התקדימית של שופט בית המשפט העליון אברהם חלימה משנת 1984, אשר פסק חד-משמעית כי המדינה היא הבעלים על כל אדמות </w:t>
      </w:r>
      <w:proofErr w:type="spellStart"/>
      <w:r w:rsidRPr="00DB508D">
        <w:rPr>
          <w:color w:val="000000"/>
          <w:sz w:val="14"/>
          <w:szCs w:val="16"/>
          <w:rtl/>
        </w:rPr>
        <w:t>המוואת</w:t>
      </w:r>
      <w:proofErr w:type="spellEnd"/>
      <w:r w:rsidRPr="00DB508D">
        <w:rPr>
          <w:color w:val="000000"/>
          <w:sz w:val="14"/>
          <w:szCs w:val="16"/>
          <w:rtl/>
        </w:rPr>
        <w:t xml:space="preserve"> בנגב, לפי הגדרתן בפקודת הקרקעות העות'מאנית משנת 1858 ובפקודת הקרקעות המנדטורית משנת 1921 (בית המשפט</w:t>
      </w:r>
      <w:r w:rsidRPr="00DB508D">
        <w:rPr>
          <w:color w:val="000000"/>
          <w:sz w:val="14"/>
          <w:szCs w:val="16"/>
        </w:rPr>
        <w:t xml:space="preserve"> </w:t>
      </w:r>
      <w:r w:rsidRPr="00DB508D">
        <w:rPr>
          <w:color w:val="000000"/>
          <w:sz w:val="14"/>
          <w:szCs w:val="16"/>
          <w:rtl/>
        </w:rPr>
        <w:t xml:space="preserve">העליון, 1984; בן-דוד, 1996; מאיר, 1999; </w:t>
      </w:r>
      <w:proofErr w:type="spellStart"/>
      <w:r w:rsidRPr="00DB508D">
        <w:rPr>
          <w:color w:val="000000"/>
          <w:sz w:val="14"/>
          <w:szCs w:val="16"/>
          <w:rtl/>
        </w:rPr>
        <w:t>סבירסקי</w:t>
      </w:r>
      <w:proofErr w:type="spellEnd"/>
      <w:r w:rsidRPr="00DB508D">
        <w:rPr>
          <w:color w:val="000000"/>
          <w:sz w:val="14"/>
          <w:szCs w:val="16"/>
          <w:rtl/>
        </w:rPr>
        <w:t xml:space="preserve"> וחסון, 2005; פורת, 2009).</w:t>
      </w:r>
    </w:p>
  </w:footnote>
  <w:footnote w:id="11">
    <w:p w14:paraId="335E2577" w14:textId="6E0FBE62" w:rsidR="009D2943" w:rsidRPr="00DB508D" w:rsidRDefault="009D2943" w:rsidP="00DB508D">
      <w:pPr>
        <w:keepLines/>
        <w:spacing w:line="200" w:lineRule="exact"/>
        <w:ind w:left="397" w:hanging="397"/>
        <w:jc w:val="both"/>
        <w:rPr>
          <w:sz w:val="14"/>
          <w:szCs w:val="16"/>
          <w:rtl/>
        </w:rPr>
      </w:pPr>
      <w:r w:rsidRPr="00282C1D">
        <w:rPr>
          <w:rFonts w:ascii="David" w:hAnsi="David"/>
          <w:sz w:val="16"/>
          <w:szCs w:val="16"/>
        </w:rPr>
        <w:footnoteRef/>
      </w:r>
      <w:r w:rsidRPr="00DB508D">
        <w:rPr>
          <w:sz w:val="14"/>
          <w:szCs w:val="16"/>
          <w:rtl/>
        </w:rPr>
        <w:t xml:space="preserve"> </w:t>
      </w:r>
      <w:r w:rsidRPr="00DB508D">
        <w:rPr>
          <w:sz w:val="14"/>
          <w:szCs w:val="16"/>
          <w:rtl/>
        </w:rPr>
        <w:tab/>
      </w:r>
      <w:r w:rsidRPr="00AF7CA3">
        <w:rPr>
          <w:b/>
          <w:bCs/>
          <w:sz w:val="14"/>
          <w:szCs w:val="16"/>
          <w:rtl/>
        </w:rPr>
        <w:t>דוקטרינת הנגב המת</w:t>
      </w:r>
      <w:r w:rsidRPr="00DB508D">
        <w:rPr>
          <w:sz w:val="14"/>
          <w:szCs w:val="16"/>
          <w:rtl/>
        </w:rPr>
        <w:t xml:space="preserve"> הציגה את הבדואים כנוודים, חסרי שורשים שמעולם לא עסקו בחקלאות, ולכן הם נעדרי זכויות קניין. היא גם התעלמה מן העובדה שקרקעות אשר נרכשו מהבדואים, בעיקר על ידי יהודים או ארגונים יהודיים, אבל גם על ידי ערבים, אכן נרשמו ללא קושי במשרדי הטאבו בתקופת המנדט הבריטי. לגישה ביקורתית ומנומקת כלפי עמדת המדינה ראו: </w:t>
      </w:r>
      <w:proofErr w:type="spellStart"/>
      <w:r w:rsidRPr="00DB508D">
        <w:rPr>
          <w:sz w:val="14"/>
          <w:szCs w:val="16"/>
          <w:rtl/>
        </w:rPr>
        <w:t>יפתחאל</w:t>
      </w:r>
      <w:proofErr w:type="spellEnd"/>
      <w:r w:rsidRPr="00DB508D">
        <w:rPr>
          <w:sz w:val="14"/>
          <w:szCs w:val="16"/>
          <w:rtl/>
        </w:rPr>
        <w:t xml:space="preserve">, 2013; </w:t>
      </w:r>
      <w:proofErr w:type="spellStart"/>
      <w:r w:rsidRPr="00DB508D">
        <w:rPr>
          <w:sz w:val="14"/>
          <w:szCs w:val="16"/>
          <w:rtl/>
        </w:rPr>
        <w:t>יפתחאל</w:t>
      </w:r>
      <w:proofErr w:type="spellEnd"/>
      <w:r w:rsidRPr="00DB508D">
        <w:rPr>
          <w:sz w:val="14"/>
          <w:szCs w:val="16"/>
          <w:rtl/>
        </w:rPr>
        <w:t xml:space="preserve">, קדר </w:t>
      </w:r>
      <w:proofErr w:type="spellStart"/>
      <w:r w:rsidRPr="00DB508D">
        <w:rPr>
          <w:sz w:val="14"/>
          <w:szCs w:val="16"/>
          <w:rtl/>
        </w:rPr>
        <w:t>ואמארה</w:t>
      </w:r>
      <w:proofErr w:type="spellEnd"/>
      <w:r w:rsidRPr="00DB508D">
        <w:rPr>
          <w:sz w:val="14"/>
          <w:szCs w:val="16"/>
          <w:rtl/>
        </w:rPr>
        <w:t xml:space="preserve">, 2012; מאיר, 2006; שמיר, 1999; </w:t>
      </w:r>
      <w:proofErr w:type="spellStart"/>
      <w:r w:rsidRPr="00DB508D">
        <w:rPr>
          <w:sz w:val="14"/>
          <w:szCs w:val="16"/>
        </w:rPr>
        <w:t>Kedar</w:t>
      </w:r>
      <w:proofErr w:type="spellEnd"/>
      <w:r w:rsidRPr="00DB508D">
        <w:rPr>
          <w:sz w:val="14"/>
          <w:szCs w:val="16"/>
        </w:rPr>
        <w:t xml:space="preserve"> et al., 2018; Meir, 2009; Shamir, 1996</w:t>
      </w:r>
      <w:r w:rsidRPr="00DB508D">
        <w:rPr>
          <w:sz w:val="14"/>
          <w:szCs w:val="16"/>
          <w:rtl/>
        </w:rPr>
        <w:t>).</w:t>
      </w:r>
    </w:p>
  </w:footnote>
  <w:footnote w:id="12">
    <w:p w14:paraId="3DD010B6" w14:textId="65B8C0BC" w:rsidR="009D2943" w:rsidRPr="00DB508D" w:rsidRDefault="009D2943" w:rsidP="0096244D">
      <w:pPr>
        <w:keepLines/>
        <w:pBdr>
          <w:top w:val="nil"/>
          <w:left w:val="nil"/>
          <w:bottom w:val="nil"/>
          <w:right w:val="nil"/>
          <w:between w:val="nil"/>
        </w:pBdr>
        <w:tabs>
          <w:tab w:val="left" w:pos="720"/>
        </w:tabs>
        <w:spacing w:line="200" w:lineRule="exact"/>
        <w:ind w:left="397" w:hanging="397"/>
        <w:jc w:val="both"/>
        <w:rPr>
          <w:color w:val="000000"/>
          <w:sz w:val="14"/>
          <w:szCs w:val="16"/>
        </w:rPr>
      </w:pPr>
      <w:r w:rsidRPr="00282C1D">
        <w:rPr>
          <w:rFonts w:ascii="David" w:hAnsi="David"/>
          <w:sz w:val="16"/>
          <w:szCs w:val="16"/>
        </w:rPr>
        <w:footnoteRef/>
      </w:r>
      <w:r w:rsidRPr="00DB508D">
        <w:rPr>
          <w:color w:val="000000"/>
          <w:sz w:val="14"/>
          <w:szCs w:val="16"/>
          <w:rtl/>
        </w:rPr>
        <w:t xml:space="preserve"> </w:t>
      </w:r>
      <w:r w:rsidRPr="00DB508D">
        <w:rPr>
          <w:sz w:val="14"/>
          <w:szCs w:val="16"/>
          <w:rtl/>
        </w:rPr>
        <w:tab/>
      </w:r>
      <w:r w:rsidRPr="00DB508D">
        <w:rPr>
          <w:color w:val="000000"/>
          <w:sz w:val="14"/>
          <w:szCs w:val="16"/>
          <w:rtl/>
        </w:rPr>
        <w:t xml:space="preserve">המועצה לכפרים הבלתי מוכרים (גוף </w:t>
      </w:r>
      <w:r w:rsidRPr="00DB508D">
        <w:rPr>
          <w:sz w:val="14"/>
          <w:szCs w:val="16"/>
          <w:rtl/>
        </w:rPr>
        <w:t>וולונטרי</w:t>
      </w:r>
      <w:r w:rsidRPr="00DB508D">
        <w:rPr>
          <w:color w:val="000000"/>
          <w:sz w:val="14"/>
          <w:szCs w:val="16"/>
          <w:rtl/>
        </w:rPr>
        <w:t>, עמותה</w:t>
      </w:r>
      <w:r w:rsidR="0096244D">
        <w:rPr>
          <w:rFonts w:hint="cs"/>
          <w:color w:val="000000"/>
          <w:sz w:val="14"/>
          <w:szCs w:val="16"/>
          <w:rtl/>
        </w:rPr>
        <w:t xml:space="preserve"> שאינה מוכרת </w:t>
      </w:r>
      <w:r w:rsidRPr="00DB508D">
        <w:rPr>
          <w:color w:val="000000"/>
          <w:sz w:val="14"/>
          <w:szCs w:val="16"/>
          <w:rtl/>
        </w:rPr>
        <w:t>על ידי משרד הפנים) מעריכה כי בנגב יש 45 כפרים בלתי מוכרים. עם ההכרה ב-11 כפרים בראשית שנות ה-2000 הצטמצם מספרם ל-34 כפרים, אולם מצבם של הכפרים שהוכרו אינו שונה מהותית מזה של הכפרים הבלתי מוכרים, משום שעדיין יש</w:t>
      </w:r>
      <w:r w:rsidRPr="00DB508D">
        <w:rPr>
          <w:sz w:val="14"/>
          <w:szCs w:val="16"/>
          <w:rtl/>
        </w:rPr>
        <w:t xml:space="preserve"> משפחות רבות </w:t>
      </w:r>
      <w:r w:rsidRPr="00DB508D">
        <w:rPr>
          <w:color w:val="000000"/>
          <w:sz w:val="14"/>
          <w:szCs w:val="16"/>
          <w:rtl/>
        </w:rPr>
        <w:t xml:space="preserve">שלא הצליחו להוציא היתרי בנייה, לבנות כחוק ולהתחבר לחשמל, למים ולביוב. </w:t>
      </w:r>
    </w:p>
  </w:footnote>
  <w:footnote w:id="13">
    <w:p w14:paraId="721DDEB8" w14:textId="0B8A9AAD" w:rsidR="009D2943" w:rsidRPr="00DB508D" w:rsidRDefault="009D2943" w:rsidP="00DB508D">
      <w:pPr>
        <w:keepLines/>
        <w:pBdr>
          <w:top w:val="nil"/>
          <w:left w:val="nil"/>
          <w:bottom w:val="nil"/>
          <w:right w:val="nil"/>
          <w:between w:val="nil"/>
        </w:pBdr>
        <w:tabs>
          <w:tab w:val="left" w:pos="720"/>
        </w:tabs>
        <w:spacing w:line="200" w:lineRule="exact"/>
        <w:ind w:left="397" w:hanging="397"/>
        <w:jc w:val="both"/>
        <w:rPr>
          <w:color w:val="000000"/>
          <w:sz w:val="14"/>
          <w:szCs w:val="16"/>
        </w:rPr>
      </w:pPr>
      <w:r w:rsidRPr="00282C1D">
        <w:rPr>
          <w:rFonts w:ascii="David" w:hAnsi="David"/>
          <w:sz w:val="16"/>
          <w:szCs w:val="16"/>
        </w:rPr>
        <w:footnoteRef/>
      </w:r>
      <w:r w:rsidRPr="00DB508D">
        <w:rPr>
          <w:color w:val="000000"/>
          <w:sz w:val="14"/>
          <w:szCs w:val="16"/>
          <w:rtl/>
        </w:rPr>
        <w:t xml:space="preserve"> </w:t>
      </w:r>
      <w:r w:rsidRPr="00DB508D">
        <w:rPr>
          <w:sz w:val="14"/>
          <w:szCs w:val="16"/>
          <w:rtl/>
        </w:rPr>
        <w:tab/>
      </w:r>
      <w:r w:rsidRPr="00DB508D">
        <w:rPr>
          <w:color w:val="000000"/>
          <w:sz w:val="14"/>
          <w:szCs w:val="16"/>
          <w:rtl/>
        </w:rPr>
        <w:t xml:space="preserve">"היישובים </w:t>
      </w:r>
      <w:r w:rsidRPr="00DB508D">
        <w:rPr>
          <w:sz w:val="14"/>
          <w:szCs w:val="16"/>
          <w:rtl/>
        </w:rPr>
        <w:t>הבדואים</w:t>
      </w:r>
      <w:r w:rsidRPr="00DB508D">
        <w:rPr>
          <w:color w:val="000000"/>
          <w:sz w:val="14"/>
          <w:szCs w:val="16"/>
          <w:rtl/>
        </w:rPr>
        <w:t xml:space="preserve"> הלא מוכרים אינם מופיעים על מפות רשמיות של מדינת ישראל,</w:t>
      </w:r>
      <w:r w:rsidRPr="00DB508D">
        <w:rPr>
          <w:sz w:val="14"/>
          <w:szCs w:val="16"/>
        </w:rPr>
        <w:t xml:space="preserve"> </w:t>
      </w:r>
      <w:r w:rsidRPr="00DB508D">
        <w:rPr>
          <w:color w:val="000000"/>
          <w:sz w:val="14"/>
          <w:szCs w:val="16"/>
          <w:rtl/>
        </w:rPr>
        <w:t>תושביהם</w:t>
      </w:r>
      <w:r w:rsidRPr="00DB508D">
        <w:rPr>
          <w:sz w:val="14"/>
          <w:szCs w:val="16"/>
        </w:rPr>
        <w:t xml:space="preserve"> </w:t>
      </w:r>
      <w:r w:rsidRPr="00DB508D">
        <w:rPr>
          <w:color w:val="000000"/>
          <w:sz w:val="14"/>
          <w:szCs w:val="16"/>
          <w:rtl/>
        </w:rPr>
        <w:t>הם בבחינת אזרחים שקופים: המדינה אינה מבחינה בהם בבואה לקבוע מדיניות, לבנות תקציב, לספק שירותים או להעניק הגנה חוקתית, ושכניהם היהודים אינם רואים אותם אלא כמטרד שאת ממדיו יש לצמצם ככל האפשר" (</w:t>
      </w:r>
      <w:proofErr w:type="spellStart"/>
      <w:r w:rsidRPr="00DB508D">
        <w:rPr>
          <w:color w:val="000000"/>
          <w:sz w:val="14"/>
          <w:szCs w:val="16"/>
          <w:rtl/>
        </w:rPr>
        <w:t>סבירסקי</w:t>
      </w:r>
      <w:proofErr w:type="spellEnd"/>
      <w:r w:rsidRPr="00DB508D">
        <w:rPr>
          <w:color w:val="000000"/>
          <w:sz w:val="14"/>
          <w:szCs w:val="16"/>
          <w:rtl/>
        </w:rPr>
        <w:t xml:space="preserve"> וחסון, 2005, עמ' 26).</w:t>
      </w:r>
    </w:p>
  </w:footnote>
  <w:footnote w:id="14">
    <w:p w14:paraId="7EF6396B" w14:textId="7BC6C712" w:rsidR="009D2943" w:rsidRPr="00DB508D" w:rsidRDefault="009D2943" w:rsidP="00856912">
      <w:pPr>
        <w:keepLines/>
        <w:pBdr>
          <w:top w:val="nil"/>
          <w:left w:val="nil"/>
          <w:bottom w:val="nil"/>
          <w:right w:val="nil"/>
          <w:between w:val="nil"/>
        </w:pBdr>
        <w:tabs>
          <w:tab w:val="left" w:pos="720"/>
        </w:tabs>
        <w:spacing w:line="200" w:lineRule="exact"/>
        <w:ind w:left="397" w:hanging="397"/>
        <w:jc w:val="both"/>
        <w:rPr>
          <w:color w:val="000000"/>
          <w:sz w:val="14"/>
          <w:szCs w:val="16"/>
        </w:rPr>
      </w:pPr>
      <w:r w:rsidRPr="00282C1D">
        <w:rPr>
          <w:rFonts w:ascii="David" w:hAnsi="David"/>
          <w:sz w:val="16"/>
          <w:szCs w:val="16"/>
        </w:rPr>
        <w:footnoteRef/>
      </w:r>
      <w:r w:rsidRPr="00DB508D">
        <w:rPr>
          <w:color w:val="000000"/>
          <w:sz w:val="14"/>
          <w:szCs w:val="16"/>
          <w:rtl/>
        </w:rPr>
        <w:t xml:space="preserve"> </w:t>
      </w:r>
      <w:r w:rsidRPr="00DB508D">
        <w:rPr>
          <w:sz w:val="14"/>
          <w:szCs w:val="16"/>
          <w:rtl/>
        </w:rPr>
        <w:tab/>
      </w:r>
      <w:r w:rsidRPr="00DB508D">
        <w:rPr>
          <w:color w:val="000000"/>
          <w:sz w:val="14"/>
          <w:szCs w:val="16"/>
          <w:rtl/>
        </w:rPr>
        <w:t>ב</w:t>
      </w:r>
      <w:r w:rsidR="00856912">
        <w:rPr>
          <w:rFonts w:hint="cs"/>
          <w:color w:val="000000"/>
          <w:sz w:val="14"/>
          <w:szCs w:val="16"/>
          <w:rtl/>
        </w:rPr>
        <w:t>מהלך</w:t>
      </w:r>
      <w:r w:rsidRPr="00DB508D">
        <w:rPr>
          <w:color w:val="000000"/>
          <w:sz w:val="14"/>
          <w:szCs w:val="16"/>
          <w:rtl/>
        </w:rPr>
        <w:t xml:space="preserve"> 12 שנים ניתנו אך ורק שלושה היתרי בנייה, בעשרה יישובים בדואיים שהוכרו. לעומת זאת, בשנה אחת (2015) אושרו 606 צווי הריסה בשל בנייה בלתי חוקית</w:t>
      </w:r>
      <w:r w:rsidRPr="00DB508D">
        <w:rPr>
          <w:sz w:val="14"/>
          <w:szCs w:val="16"/>
        </w:rPr>
        <w:t xml:space="preserve"> </w:t>
      </w:r>
      <w:r w:rsidRPr="00DB508D">
        <w:rPr>
          <w:color w:val="000000"/>
          <w:sz w:val="14"/>
          <w:szCs w:val="16"/>
          <w:rtl/>
        </w:rPr>
        <w:t>(ידיעות הנגב, 1845, 1.4.2016).</w:t>
      </w:r>
    </w:p>
  </w:footnote>
  <w:footnote w:id="15">
    <w:p w14:paraId="4705B262" w14:textId="4BD5B85A" w:rsidR="009D2943" w:rsidRPr="00DB508D" w:rsidRDefault="009D2943" w:rsidP="00DB508D">
      <w:pPr>
        <w:keepLines/>
        <w:pBdr>
          <w:top w:val="nil"/>
          <w:left w:val="nil"/>
          <w:bottom w:val="nil"/>
          <w:right w:val="nil"/>
          <w:between w:val="nil"/>
        </w:pBdr>
        <w:tabs>
          <w:tab w:val="left" w:pos="720"/>
        </w:tabs>
        <w:spacing w:line="200" w:lineRule="exact"/>
        <w:ind w:left="397" w:hanging="397"/>
        <w:jc w:val="both"/>
        <w:rPr>
          <w:color w:val="000000"/>
          <w:sz w:val="14"/>
          <w:szCs w:val="16"/>
          <w:rtl/>
        </w:rPr>
      </w:pPr>
      <w:r w:rsidRPr="00282C1D">
        <w:rPr>
          <w:rFonts w:ascii="David" w:hAnsi="David"/>
          <w:sz w:val="16"/>
          <w:szCs w:val="16"/>
        </w:rPr>
        <w:footnoteRef/>
      </w:r>
      <w:r w:rsidRPr="00DB508D">
        <w:rPr>
          <w:color w:val="000000"/>
          <w:sz w:val="14"/>
          <w:szCs w:val="16"/>
          <w:rtl/>
        </w:rPr>
        <w:t xml:space="preserve"> </w:t>
      </w:r>
      <w:r w:rsidRPr="00DB508D">
        <w:rPr>
          <w:sz w:val="14"/>
          <w:szCs w:val="16"/>
          <w:rtl/>
        </w:rPr>
        <w:tab/>
      </w:r>
      <w:r w:rsidRPr="00DB508D">
        <w:rPr>
          <w:color w:val="000000"/>
          <w:sz w:val="14"/>
          <w:szCs w:val="16"/>
          <w:rtl/>
        </w:rPr>
        <w:t xml:space="preserve">סוציולוגים ודמוגרפים רבים שותפים לדעה כי אין מדובר בתיאוריה מדעית, אלא בתיאור של תהליכים דמוגרפיים בעולם, וכי התיאוריה אינה יכולה לחזות מגמות דמוגרפיות עתידיות או לתת הסבר לירידת הפריון בחלק מהמדינות – למשל בדרום-מזרח אסיה, ולעיכוב הירידה בפריון באחרות – למשל במזרח התיכון </w:t>
      </w:r>
      <w:r w:rsidRPr="00AF7CA3">
        <w:rPr>
          <w:rFonts w:ascii="David" w:hAnsi="David"/>
          <w:color w:val="000000"/>
          <w:sz w:val="16"/>
          <w:szCs w:val="16"/>
        </w:rPr>
        <w:t>(</w:t>
      </w:r>
      <w:proofErr w:type="spellStart"/>
      <w:r w:rsidRPr="00DB508D">
        <w:rPr>
          <w:color w:val="000000"/>
          <w:sz w:val="14"/>
          <w:szCs w:val="16"/>
        </w:rPr>
        <w:t>Szreter</w:t>
      </w:r>
      <w:proofErr w:type="spellEnd"/>
      <w:r w:rsidRPr="00DB508D">
        <w:rPr>
          <w:color w:val="000000"/>
          <w:sz w:val="14"/>
          <w:szCs w:val="16"/>
        </w:rPr>
        <w:t>, 1993</w:t>
      </w:r>
      <w:r w:rsidRPr="00AF7CA3">
        <w:rPr>
          <w:rFonts w:ascii="David" w:hAnsi="David"/>
          <w:color w:val="000000"/>
          <w:sz w:val="16"/>
          <w:szCs w:val="16"/>
        </w:rPr>
        <w:t>)</w:t>
      </w:r>
      <w:r w:rsidRPr="00DB508D">
        <w:rPr>
          <w:color w:val="000000"/>
          <w:sz w:val="14"/>
          <w:szCs w:val="16"/>
          <w:rtl/>
        </w:rPr>
        <w:t>.</w:t>
      </w:r>
    </w:p>
  </w:footnote>
  <w:footnote w:id="16">
    <w:p w14:paraId="409944D3" w14:textId="5DDD6855" w:rsidR="009D2943" w:rsidRPr="00DB508D" w:rsidRDefault="009D2943" w:rsidP="00DB508D">
      <w:pPr>
        <w:keepLines/>
        <w:spacing w:line="200" w:lineRule="exact"/>
        <w:ind w:left="397" w:hanging="397"/>
        <w:jc w:val="both"/>
        <w:rPr>
          <w:sz w:val="14"/>
          <w:szCs w:val="16"/>
        </w:rPr>
      </w:pPr>
      <w:r w:rsidRPr="00282C1D">
        <w:rPr>
          <w:rFonts w:ascii="David" w:hAnsi="David"/>
          <w:sz w:val="16"/>
          <w:szCs w:val="16"/>
        </w:rPr>
        <w:footnoteRef/>
      </w:r>
      <w:r w:rsidRPr="00DB508D">
        <w:rPr>
          <w:sz w:val="14"/>
          <w:szCs w:val="16"/>
          <w:rtl/>
        </w:rPr>
        <w:t xml:space="preserve"> </w:t>
      </w:r>
      <w:r w:rsidRPr="00DB508D">
        <w:rPr>
          <w:sz w:val="14"/>
          <w:szCs w:val="16"/>
          <w:rtl/>
        </w:rPr>
        <w:tab/>
      </w:r>
      <w:r w:rsidRPr="00DB508D">
        <w:rPr>
          <w:sz w:val="14"/>
          <w:szCs w:val="16"/>
          <w:rtl/>
        </w:rPr>
        <w:t>אף שהדעה הרווחת בקרב רוב אנשי הדת המוסלמים היא כי האסלאם מתיר שימוש באמצעי מניעה, המצדדים בעידוד הילודה מסתמכים על אמרתו של הנביא מוחמד (</w:t>
      </w:r>
      <w:proofErr w:type="spellStart"/>
      <w:r w:rsidRPr="00DB508D">
        <w:rPr>
          <w:sz w:val="14"/>
          <w:szCs w:val="16"/>
          <w:rtl/>
        </w:rPr>
        <w:t>חדית</w:t>
      </w:r>
      <w:proofErr w:type="spellEnd"/>
      <w:r w:rsidRPr="00DB508D">
        <w:rPr>
          <w:sz w:val="14"/>
          <w:szCs w:val="16"/>
          <w:rtl/>
        </w:rPr>
        <w:t>'): "</w:t>
      </w:r>
      <w:r w:rsidRPr="00DB508D">
        <w:rPr>
          <w:rFonts w:ascii="Arial" w:hAnsi="Arial" w:cs="Arial" w:hint="cs"/>
          <w:sz w:val="14"/>
          <w:szCs w:val="16"/>
          <w:rtl/>
          <w:lang w:bidi="ar-SA"/>
        </w:rPr>
        <w:t>تناكحوا،</w:t>
      </w:r>
      <w:r w:rsidRPr="00DB508D">
        <w:rPr>
          <w:sz w:val="14"/>
          <w:szCs w:val="16"/>
          <w:rtl/>
          <w:lang w:bidi="ar-SA"/>
        </w:rPr>
        <w:t xml:space="preserve"> </w:t>
      </w:r>
      <w:r w:rsidRPr="00DB508D">
        <w:rPr>
          <w:rFonts w:ascii="Arial" w:hAnsi="Arial" w:cs="Arial" w:hint="cs"/>
          <w:sz w:val="14"/>
          <w:szCs w:val="16"/>
          <w:rtl/>
          <w:lang w:bidi="ar-SA"/>
        </w:rPr>
        <w:t>تكاثروا،</w:t>
      </w:r>
      <w:r w:rsidRPr="00DB508D">
        <w:rPr>
          <w:sz w:val="14"/>
          <w:szCs w:val="16"/>
          <w:rtl/>
          <w:lang w:bidi="ar-SA"/>
        </w:rPr>
        <w:t xml:space="preserve"> </w:t>
      </w:r>
      <w:r w:rsidRPr="00DB508D">
        <w:rPr>
          <w:rFonts w:ascii="Arial" w:hAnsi="Arial" w:cs="Arial" w:hint="cs"/>
          <w:sz w:val="14"/>
          <w:szCs w:val="16"/>
          <w:rtl/>
          <w:lang w:bidi="ar-SA"/>
        </w:rPr>
        <w:t>تناسلوا،</w:t>
      </w:r>
      <w:r w:rsidRPr="00DB508D">
        <w:rPr>
          <w:sz w:val="14"/>
          <w:szCs w:val="16"/>
          <w:rtl/>
          <w:lang w:bidi="ar-SA"/>
        </w:rPr>
        <w:t xml:space="preserve"> </w:t>
      </w:r>
      <w:r w:rsidRPr="00DB508D">
        <w:rPr>
          <w:rFonts w:ascii="Arial" w:hAnsi="Arial" w:cs="Arial" w:hint="cs"/>
          <w:sz w:val="14"/>
          <w:szCs w:val="16"/>
          <w:rtl/>
          <w:lang w:bidi="ar-SA"/>
        </w:rPr>
        <w:t>فإني</w:t>
      </w:r>
      <w:r w:rsidRPr="00DB508D">
        <w:rPr>
          <w:sz w:val="14"/>
          <w:szCs w:val="16"/>
          <w:rtl/>
          <w:lang w:bidi="ar-SA"/>
        </w:rPr>
        <w:t xml:space="preserve"> </w:t>
      </w:r>
      <w:r w:rsidRPr="00DB508D">
        <w:rPr>
          <w:rFonts w:ascii="Arial" w:hAnsi="Arial" w:cs="Arial" w:hint="cs"/>
          <w:sz w:val="14"/>
          <w:szCs w:val="16"/>
          <w:rtl/>
          <w:lang w:bidi="ar-SA"/>
        </w:rPr>
        <w:t>مباهٍ</w:t>
      </w:r>
      <w:r w:rsidRPr="00DB508D">
        <w:rPr>
          <w:sz w:val="14"/>
          <w:szCs w:val="16"/>
          <w:rtl/>
          <w:lang w:bidi="ar-SA"/>
        </w:rPr>
        <w:t xml:space="preserve"> </w:t>
      </w:r>
      <w:r w:rsidRPr="00DB508D">
        <w:rPr>
          <w:rFonts w:ascii="Arial" w:hAnsi="Arial" w:cs="Arial" w:hint="cs"/>
          <w:sz w:val="14"/>
          <w:szCs w:val="16"/>
          <w:rtl/>
          <w:lang w:bidi="ar-SA"/>
        </w:rPr>
        <w:t>بكم</w:t>
      </w:r>
      <w:r w:rsidRPr="00DB508D">
        <w:rPr>
          <w:sz w:val="14"/>
          <w:szCs w:val="16"/>
          <w:rtl/>
          <w:lang w:bidi="ar-SA"/>
        </w:rPr>
        <w:t xml:space="preserve"> </w:t>
      </w:r>
      <w:r w:rsidRPr="00DB508D">
        <w:rPr>
          <w:rFonts w:ascii="Arial" w:hAnsi="Arial" w:cs="Arial" w:hint="cs"/>
          <w:sz w:val="14"/>
          <w:szCs w:val="16"/>
          <w:rtl/>
          <w:lang w:bidi="ar-SA"/>
        </w:rPr>
        <w:t>الأمم</w:t>
      </w:r>
      <w:r w:rsidRPr="00DB508D">
        <w:rPr>
          <w:sz w:val="14"/>
          <w:szCs w:val="16"/>
          <w:rtl/>
          <w:lang w:bidi="ar-SA"/>
        </w:rPr>
        <w:t xml:space="preserve"> </w:t>
      </w:r>
      <w:r w:rsidRPr="00DB508D">
        <w:rPr>
          <w:rFonts w:ascii="Arial" w:hAnsi="Arial" w:cs="Arial" w:hint="cs"/>
          <w:sz w:val="14"/>
          <w:szCs w:val="16"/>
          <w:rtl/>
          <w:lang w:bidi="ar-SA"/>
        </w:rPr>
        <w:t>يوم</w:t>
      </w:r>
      <w:r w:rsidRPr="00DB508D">
        <w:rPr>
          <w:sz w:val="14"/>
          <w:szCs w:val="16"/>
          <w:rtl/>
          <w:lang w:bidi="ar-SA"/>
        </w:rPr>
        <w:t xml:space="preserve"> </w:t>
      </w:r>
      <w:r w:rsidRPr="00DB508D">
        <w:rPr>
          <w:rFonts w:ascii="Arial" w:hAnsi="Arial" w:cs="Arial" w:hint="cs"/>
          <w:sz w:val="14"/>
          <w:szCs w:val="16"/>
          <w:rtl/>
          <w:lang w:bidi="ar-SA"/>
        </w:rPr>
        <w:t>القيامة</w:t>
      </w:r>
      <w:r w:rsidRPr="00DB508D">
        <w:rPr>
          <w:sz w:val="14"/>
          <w:szCs w:val="16"/>
          <w:rtl/>
        </w:rPr>
        <w:t xml:space="preserve">", שפירושה: "הינשאו, פרו ורבו, אני אתגאה בכם בפני כל אומות העולם ביום הדין" (תרגום חופשי). </w:t>
      </w:r>
    </w:p>
  </w:footnote>
  <w:footnote w:id="17">
    <w:p w14:paraId="52F229B8" w14:textId="13CFECBC" w:rsidR="009D2943" w:rsidRPr="00DB508D" w:rsidRDefault="009D2943" w:rsidP="00464B0E">
      <w:pPr>
        <w:keepLines/>
        <w:pBdr>
          <w:top w:val="nil"/>
          <w:left w:val="nil"/>
          <w:bottom w:val="nil"/>
          <w:right w:val="nil"/>
          <w:between w:val="nil"/>
        </w:pBdr>
        <w:tabs>
          <w:tab w:val="left" w:pos="720"/>
        </w:tabs>
        <w:spacing w:line="200" w:lineRule="exact"/>
        <w:ind w:left="397" w:hanging="397"/>
        <w:jc w:val="both"/>
        <w:rPr>
          <w:color w:val="000000"/>
          <w:sz w:val="14"/>
          <w:szCs w:val="16"/>
        </w:rPr>
      </w:pPr>
      <w:r w:rsidRPr="00282C1D">
        <w:rPr>
          <w:rFonts w:ascii="David" w:hAnsi="David"/>
          <w:sz w:val="16"/>
          <w:szCs w:val="16"/>
        </w:rPr>
        <w:footnoteRef/>
      </w:r>
      <w:r w:rsidRPr="00DB508D">
        <w:rPr>
          <w:color w:val="000000"/>
          <w:sz w:val="14"/>
          <w:szCs w:val="16"/>
          <w:rtl/>
        </w:rPr>
        <w:t xml:space="preserve"> </w:t>
      </w:r>
      <w:r w:rsidRPr="00DB508D">
        <w:rPr>
          <w:sz w:val="14"/>
          <w:szCs w:val="16"/>
          <w:rtl/>
        </w:rPr>
        <w:tab/>
      </w:r>
      <w:r w:rsidRPr="00DB508D">
        <w:rPr>
          <w:color w:val="000000"/>
          <w:sz w:val="14"/>
          <w:szCs w:val="16"/>
          <w:rtl/>
        </w:rPr>
        <w:t xml:space="preserve">שיעור הילודה </w:t>
      </w:r>
      <w:r w:rsidRPr="00464B0E">
        <w:rPr>
          <w:color w:val="000000"/>
          <w:sz w:val="14"/>
          <w:szCs w:val="16"/>
          <w:rtl/>
        </w:rPr>
        <w:t xml:space="preserve">הגולמי </w:t>
      </w:r>
      <w:r w:rsidRPr="00AF7CA3">
        <w:rPr>
          <w:rFonts w:ascii="David" w:hAnsi="David"/>
          <w:color w:val="000000"/>
          <w:sz w:val="16"/>
          <w:szCs w:val="16"/>
        </w:rPr>
        <w:t>(</w:t>
      </w:r>
      <w:r w:rsidRPr="00464B0E">
        <w:rPr>
          <w:color w:val="000000"/>
          <w:sz w:val="14"/>
          <w:szCs w:val="16"/>
        </w:rPr>
        <w:t>CBR</w:t>
      </w:r>
      <w:r w:rsidRPr="00AF7CA3">
        <w:rPr>
          <w:rFonts w:ascii="David" w:hAnsi="David"/>
          <w:color w:val="000000"/>
          <w:sz w:val="16"/>
          <w:szCs w:val="16"/>
        </w:rPr>
        <w:t>)</w:t>
      </w:r>
      <w:r w:rsidRPr="00464B0E">
        <w:rPr>
          <w:color w:val="000000"/>
          <w:sz w:val="14"/>
          <w:szCs w:val="16"/>
          <w:rtl/>
        </w:rPr>
        <w:t xml:space="preserve"> – סך כל לידות החי מחולק באוכלוסייה הממוצעת – ממוצע לתקופה (שיעור ל-1,000 נפש). עד לשנת 1996</w:t>
      </w:r>
      <w:r w:rsidRPr="00DB508D">
        <w:rPr>
          <w:color w:val="000000"/>
          <w:sz w:val="14"/>
          <w:szCs w:val="16"/>
          <w:rtl/>
        </w:rPr>
        <w:t xml:space="preserve"> הציגה הלשכה המרכזית לסטטיסטיקה את שיעור הילודה הגולמי ואת שיעור הפריון הכללי – </w:t>
      </w:r>
      <w:r w:rsidRPr="00DB508D">
        <w:rPr>
          <w:color w:val="000000"/>
          <w:sz w:val="14"/>
          <w:szCs w:val="16"/>
        </w:rPr>
        <w:t>GFR</w:t>
      </w:r>
      <w:r w:rsidRPr="00DB508D">
        <w:rPr>
          <w:color w:val="000000"/>
          <w:sz w:val="14"/>
          <w:szCs w:val="16"/>
          <w:rtl/>
        </w:rPr>
        <w:t xml:space="preserve"> (מספר לידות חי לכל 1,000 נשים בגיל הפריון, 15–49), ולא את הפריון הכולל. באופן גס ניתן לומר כי שיעור הפריון הכללי הוא פי 4 משיעור הילודה הגולמי. </w:t>
      </w:r>
    </w:p>
  </w:footnote>
  <w:footnote w:id="18">
    <w:p w14:paraId="2F37543B" w14:textId="42BE52C1" w:rsidR="009D2943" w:rsidRPr="00DB508D" w:rsidRDefault="009D2943" w:rsidP="00DB508D">
      <w:pPr>
        <w:keepLines/>
        <w:pBdr>
          <w:top w:val="nil"/>
          <w:left w:val="nil"/>
          <w:bottom w:val="nil"/>
          <w:right w:val="nil"/>
          <w:between w:val="nil"/>
        </w:pBdr>
        <w:tabs>
          <w:tab w:val="left" w:pos="720"/>
        </w:tabs>
        <w:spacing w:line="200" w:lineRule="exact"/>
        <w:ind w:left="397" w:hanging="397"/>
        <w:jc w:val="both"/>
        <w:rPr>
          <w:color w:val="000000"/>
          <w:sz w:val="14"/>
          <w:szCs w:val="16"/>
        </w:rPr>
      </w:pPr>
      <w:r w:rsidRPr="00282C1D">
        <w:rPr>
          <w:rFonts w:ascii="David" w:hAnsi="David"/>
          <w:sz w:val="16"/>
          <w:szCs w:val="16"/>
        </w:rPr>
        <w:footnoteRef/>
      </w:r>
      <w:r w:rsidRPr="00DB508D">
        <w:rPr>
          <w:color w:val="000000"/>
          <w:sz w:val="14"/>
          <w:szCs w:val="16"/>
          <w:rtl/>
        </w:rPr>
        <w:t xml:space="preserve"> </w:t>
      </w:r>
      <w:r w:rsidRPr="00DB508D">
        <w:rPr>
          <w:sz w:val="14"/>
          <w:szCs w:val="16"/>
          <w:rtl/>
        </w:rPr>
        <w:tab/>
      </w:r>
      <w:r w:rsidRPr="00DB508D">
        <w:rPr>
          <w:color w:val="000000"/>
          <w:sz w:val="14"/>
          <w:szCs w:val="16"/>
          <w:rtl/>
        </w:rPr>
        <w:t>בלי להיכנס לדיון מורכב בדבר משמעות המסורתיות והמודרניות, מדובר במשתנים המצביעים על הרצף שבין החיים הבדואיים המסורתיים לבין החיים העירוניים בני זמננו.</w:t>
      </w:r>
    </w:p>
  </w:footnote>
  <w:footnote w:id="19">
    <w:p w14:paraId="78A733D9" w14:textId="3EB497FA" w:rsidR="009D2943" w:rsidRPr="00DB508D" w:rsidRDefault="009D2943" w:rsidP="00DB508D">
      <w:pPr>
        <w:keepLines/>
        <w:pBdr>
          <w:top w:val="nil"/>
          <w:left w:val="nil"/>
          <w:bottom w:val="nil"/>
          <w:right w:val="nil"/>
          <w:between w:val="nil"/>
        </w:pBdr>
        <w:tabs>
          <w:tab w:val="left" w:pos="720"/>
        </w:tabs>
        <w:spacing w:line="200" w:lineRule="exact"/>
        <w:ind w:left="397" w:hanging="397"/>
        <w:jc w:val="both"/>
        <w:rPr>
          <w:color w:val="000000"/>
          <w:sz w:val="14"/>
          <w:szCs w:val="16"/>
        </w:rPr>
      </w:pPr>
      <w:r w:rsidRPr="00282C1D">
        <w:rPr>
          <w:rFonts w:ascii="David" w:hAnsi="David"/>
          <w:sz w:val="16"/>
          <w:szCs w:val="16"/>
        </w:rPr>
        <w:footnoteRef/>
      </w:r>
      <w:r w:rsidRPr="00DB508D">
        <w:rPr>
          <w:color w:val="000000"/>
          <w:sz w:val="14"/>
          <w:szCs w:val="16"/>
          <w:rtl/>
        </w:rPr>
        <w:t xml:space="preserve"> </w:t>
      </w:r>
      <w:r w:rsidRPr="00DB508D">
        <w:rPr>
          <w:sz w:val="14"/>
          <w:szCs w:val="16"/>
          <w:rtl/>
        </w:rPr>
        <w:tab/>
      </w:r>
      <w:r w:rsidRPr="00DB508D">
        <w:rPr>
          <w:color w:val="000000"/>
          <w:sz w:val="14"/>
          <w:szCs w:val="16"/>
          <w:rtl/>
        </w:rPr>
        <w:t xml:space="preserve">על אף החריגה </w:t>
      </w:r>
      <w:proofErr w:type="spellStart"/>
      <w:r w:rsidRPr="00DB508D">
        <w:rPr>
          <w:color w:val="000000"/>
          <w:sz w:val="14"/>
          <w:szCs w:val="16"/>
          <w:rtl/>
        </w:rPr>
        <w:t>מהחמישונים</w:t>
      </w:r>
      <w:proofErr w:type="spellEnd"/>
      <w:r w:rsidRPr="00DB508D">
        <w:rPr>
          <w:color w:val="000000"/>
          <w:sz w:val="14"/>
          <w:szCs w:val="16"/>
          <w:rtl/>
        </w:rPr>
        <w:t xml:space="preserve"> המקובלים, העדפנו לשמור על אחידות </w:t>
      </w:r>
      <w:proofErr w:type="spellStart"/>
      <w:r w:rsidRPr="00DB508D">
        <w:rPr>
          <w:color w:val="000000"/>
          <w:sz w:val="14"/>
          <w:szCs w:val="16"/>
          <w:rtl/>
        </w:rPr>
        <w:t>החמישונים</w:t>
      </w:r>
      <w:proofErr w:type="spellEnd"/>
      <w:r w:rsidRPr="00DB508D">
        <w:rPr>
          <w:color w:val="000000"/>
          <w:sz w:val="14"/>
          <w:szCs w:val="16"/>
          <w:rtl/>
        </w:rPr>
        <w:t xml:space="preserve"> מאשר ליצור קבוצה ראשונה</w:t>
      </w:r>
      <w:r w:rsidRPr="00DB508D">
        <w:rPr>
          <w:sz w:val="14"/>
          <w:szCs w:val="16"/>
        </w:rPr>
        <w:t xml:space="preserve"> </w:t>
      </w:r>
      <w:r w:rsidRPr="00DB508D">
        <w:rPr>
          <w:color w:val="000000"/>
          <w:sz w:val="14"/>
          <w:szCs w:val="16"/>
          <w:rtl/>
        </w:rPr>
        <w:t xml:space="preserve">המתייחסת לשנתיים. למעשה, כל </w:t>
      </w:r>
      <w:proofErr w:type="spellStart"/>
      <w:r w:rsidRPr="00DB508D">
        <w:rPr>
          <w:color w:val="000000"/>
          <w:sz w:val="14"/>
          <w:szCs w:val="16"/>
          <w:rtl/>
        </w:rPr>
        <w:t>חמישון</w:t>
      </w:r>
      <w:proofErr w:type="spellEnd"/>
      <w:r w:rsidRPr="00DB508D">
        <w:rPr>
          <w:color w:val="000000"/>
          <w:sz w:val="14"/>
          <w:szCs w:val="16"/>
          <w:rtl/>
        </w:rPr>
        <w:t xml:space="preserve"> מרוכז סביב הגילים העגולים: 20, 25, וכך הלאה.</w:t>
      </w:r>
    </w:p>
  </w:footnote>
  <w:footnote w:id="20">
    <w:p w14:paraId="417CF28F" w14:textId="6B8FE552" w:rsidR="009D2943" w:rsidRPr="00DB508D" w:rsidRDefault="009D2943" w:rsidP="00DB508D">
      <w:pPr>
        <w:keepLines/>
        <w:pBdr>
          <w:top w:val="nil"/>
          <w:left w:val="nil"/>
          <w:bottom w:val="nil"/>
          <w:right w:val="nil"/>
          <w:between w:val="nil"/>
        </w:pBdr>
        <w:tabs>
          <w:tab w:val="left" w:pos="720"/>
        </w:tabs>
        <w:spacing w:line="200" w:lineRule="exact"/>
        <w:ind w:left="397" w:hanging="397"/>
        <w:jc w:val="both"/>
        <w:rPr>
          <w:color w:val="000000"/>
          <w:sz w:val="14"/>
          <w:szCs w:val="16"/>
        </w:rPr>
      </w:pPr>
      <w:r w:rsidRPr="00282C1D">
        <w:rPr>
          <w:rFonts w:ascii="David" w:hAnsi="David"/>
          <w:sz w:val="16"/>
          <w:szCs w:val="16"/>
        </w:rPr>
        <w:footnoteRef/>
      </w:r>
      <w:r w:rsidRPr="00DB508D">
        <w:rPr>
          <w:color w:val="000000"/>
          <w:sz w:val="14"/>
          <w:szCs w:val="16"/>
          <w:rtl/>
        </w:rPr>
        <w:t xml:space="preserve"> </w:t>
      </w:r>
      <w:r w:rsidRPr="00DB508D">
        <w:rPr>
          <w:sz w:val="14"/>
          <w:szCs w:val="16"/>
          <w:rtl/>
        </w:rPr>
        <w:tab/>
      </w:r>
      <w:r w:rsidRPr="00DB508D">
        <w:rPr>
          <w:color w:val="000000"/>
          <w:sz w:val="14"/>
          <w:szCs w:val="16"/>
          <w:rtl/>
        </w:rPr>
        <w:t xml:space="preserve">מתוך רגרסיית </w:t>
      </w:r>
      <w:proofErr w:type="spellStart"/>
      <w:r w:rsidRPr="00DB508D">
        <w:rPr>
          <w:color w:val="000000"/>
          <w:sz w:val="14"/>
          <w:szCs w:val="16"/>
          <w:rtl/>
        </w:rPr>
        <w:t>פואסון</w:t>
      </w:r>
      <w:proofErr w:type="spellEnd"/>
      <w:r w:rsidRPr="00DB508D">
        <w:rPr>
          <w:color w:val="000000"/>
          <w:sz w:val="14"/>
          <w:szCs w:val="16"/>
          <w:rtl/>
        </w:rPr>
        <w:t xml:space="preserve"> המפקחת על קבוצת הגיל.</w:t>
      </w:r>
    </w:p>
  </w:footnote>
  <w:footnote w:id="21">
    <w:p w14:paraId="717232FC" w14:textId="0F3129C3" w:rsidR="009D2943" w:rsidRPr="00DB508D" w:rsidRDefault="009D2943" w:rsidP="00DB508D">
      <w:pPr>
        <w:keepLines/>
        <w:pBdr>
          <w:top w:val="nil"/>
          <w:left w:val="nil"/>
          <w:bottom w:val="nil"/>
          <w:right w:val="nil"/>
          <w:between w:val="nil"/>
        </w:pBdr>
        <w:tabs>
          <w:tab w:val="left" w:pos="720"/>
        </w:tabs>
        <w:spacing w:line="200" w:lineRule="exact"/>
        <w:ind w:left="397" w:hanging="397"/>
        <w:jc w:val="both"/>
        <w:rPr>
          <w:color w:val="000000"/>
          <w:sz w:val="14"/>
          <w:szCs w:val="16"/>
        </w:rPr>
      </w:pPr>
      <w:r w:rsidRPr="00282C1D">
        <w:rPr>
          <w:rFonts w:ascii="David" w:hAnsi="David"/>
          <w:sz w:val="16"/>
          <w:szCs w:val="16"/>
        </w:rPr>
        <w:footnoteRef/>
      </w:r>
      <w:r w:rsidRPr="00DB508D">
        <w:rPr>
          <w:color w:val="000000"/>
          <w:sz w:val="14"/>
          <w:szCs w:val="16"/>
          <w:rtl/>
        </w:rPr>
        <w:t xml:space="preserve"> </w:t>
      </w:r>
      <w:r w:rsidRPr="00DB508D">
        <w:rPr>
          <w:sz w:val="14"/>
          <w:szCs w:val="16"/>
          <w:rtl/>
        </w:rPr>
        <w:tab/>
      </w:r>
      <w:r w:rsidRPr="00DB508D">
        <w:rPr>
          <w:color w:val="000000"/>
          <w:sz w:val="14"/>
          <w:szCs w:val="16"/>
          <w:rtl/>
        </w:rPr>
        <w:t>מבחני ה-</w:t>
      </w:r>
      <w:r w:rsidRPr="00DB508D">
        <w:rPr>
          <w:color w:val="000000"/>
          <w:sz w:val="14"/>
          <w:szCs w:val="16"/>
        </w:rPr>
        <w:t>t</w:t>
      </w:r>
      <w:r w:rsidRPr="00DB508D">
        <w:rPr>
          <w:color w:val="000000"/>
          <w:sz w:val="14"/>
          <w:szCs w:val="16"/>
          <w:rtl/>
        </w:rPr>
        <w:t xml:space="preserve"> מחושבים כולם בהנחה של </w:t>
      </w:r>
      <w:proofErr w:type="spellStart"/>
      <w:r w:rsidRPr="00DB508D">
        <w:rPr>
          <w:color w:val="000000"/>
          <w:sz w:val="14"/>
          <w:szCs w:val="16"/>
          <w:rtl/>
        </w:rPr>
        <w:t>שונויות</w:t>
      </w:r>
      <w:proofErr w:type="spellEnd"/>
      <w:r w:rsidRPr="00DB508D">
        <w:rPr>
          <w:color w:val="000000"/>
          <w:sz w:val="14"/>
          <w:szCs w:val="16"/>
          <w:rtl/>
        </w:rPr>
        <w:t xml:space="preserve"> לא שוות </w:t>
      </w:r>
      <w:r w:rsidRPr="00AF7CA3">
        <w:rPr>
          <w:rFonts w:ascii="David" w:hAnsi="David"/>
          <w:color w:val="000000"/>
          <w:sz w:val="16"/>
          <w:szCs w:val="16"/>
        </w:rPr>
        <w:t>(</w:t>
      </w:r>
      <w:r w:rsidRPr="00DB508D">
        <w:rPr>
          <w:color w:val="000000"/>
          <w:sz w:val="14"/>
          <w:szCs w:val="16"/>
        </w:rPr>
        <w:t>unequal variances</w:t>
      </w:r>
      <w:r w:rsidRPr="00AF7CA3">
        <w:rPr>
          <w:rFonts w:ascii="David" w:hAnsi="David"/>
          <w:color w:val="000000"/>
          <w:sz w:val="16"/>
          <w:szCs w:val="16"/>
        </w:rPr>
        <w:t>)</w:t>
      </w:r>
      <w:r w:rsidRPr="00DB508D">
        <w:rPr>
          <w:color w:val="000000"/>
          <w:sz w:val="14"/>
          <w:szCs w:val="16"/>
          <w:rtl/>
        </w:rPr>
        <w:t>, ומכאן שדרגות החופש תלויות לא רק בגודל המדגם הכולל אלא גם בגודליהן של שתי הקבוצות המושוות.</w:t>
      </w:r>
    </w:p>
  </w:footnote>
  <w:footnote w:id="22">
    <w:p w14:paraId="0908D360" w14:textId="77777777" w:rsidR="00C27260" w:rsidRPr="00DB508D" w:rsidRDefault="00C27260" w:rsidP="00C27260">
      <w:pPr>
        <w:keepLines/>
        <w:pBdr>
          <w:top w:val="nil"/>
          <w:left w:val="nil"/>
          <w:bottom w:val="nil"/>
          <w:right w:val="nil"/>
          <w:between w:val="nil"/>
        </w:pBdr>
        <w:tabs>
          <w:tab w:val="left" w:pos="720"/>
        </w:tabs>
        <w:spacing w:line="200" w:lineRule="exact"/>
        <w:ind w:left="397" w:hanging="397"/>
        <w:jc w:val="both"/>
        <w:rPr>
          <w:color w:val="000000"/>
          <w:sz w:val="14"/>
          <w:szCs w:val="16"/>
        </w:rPr>
      </w:pPr>
      <w:r w:rsidRPr="00282C1D">
        <w:rPr>
          <w:rFonts w:ascii="David" w:hAnsi="David"/>
          <w:sz w:val="16"/>
          <w:szCs w:val="16"/>
        </w:rPr>
        <w:footnoteRef/>
      </w:r>
      <w:r w:rsidRPr="00DB508D">
        <w:rPr>
          <w:color w:val="000000"/>
          <w:sz w:val="14"/>
          <w:szCs w:val="16"/>
          <w:rtl/>
        </w:rPr>
        <w:t xml:space="preserve"> </w:t>
      </w:r>
      <w:r w:rsidRPr="00DB508D">
        <w:rPr>
          <w:sz w:val="14"/>
          <w:szCs w:val="16"/>
          <w:rtl/>
        </w:rPr>
        <w:tab/>
      </w:r>
      <w:r w:rsidRPr="00DB508D">
        <w:rPr>
          <w:color w:val="000000"/>
          <w:sz w:val="14"/>
          <w:szCs w:val="16"/>
          <w:rtl/>
        </w:rPr>
        <w:t>היקף הציוד בבית נמדד אומנם בזמן העברת השאלון, ולא בזמן הלידה, אך אנו משערים שהפערים היחסיים נשמרים, במידה ניכרת, לאורך החיים.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718B72AD" w:rsidR="009D2943" w:rsidRPr="00A6479A" w:rsidRDefault="009D2943" w:rsidP="00DA1730">
    <w:pPr>
      <w:pStyle w:val="Heading1"/>
      <w:tabs>
        <w:tab w:val="center" w:pos="4536"/>
        <w:tab w:val="right" w:pos="9072"/>
      </w:tabs>
      <w:rPr>
        <w:rFonts w:ascii="Calibri" w:hAnsi="Calibri"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DF7462">
      <w:rPr>
        <w:rFonts w:ascii="David" w:hAnsi="David" w:cs="David"/>
        <w:noProof/>
        <w:sz w:val="24"/>
        <w:szCs w:val="24"/>
        <w:rtl/>
      </w:rPr>
      <w:t>20</w:t>
    </w:r>
    <w:r w:rsidRPr="00A17DA2">
      <w:rPr>
        <w:rFonts w:ascii="David" w:hAnsi="David" w:cs="David"/>
        <w:noProof/>
        <w:sz w:val="24"/>
        <w:szCs w:val="24"/>
      </w:rPr>
      <w:fldChar w:fldCharType="end"/>
    </w:r>
    <w:r w:rsidRPr="001403E5">
      <w:rPr>
        <w:rFonts w:ascii="David" w:hAnsi="David" w:cs="David"/>
        <w:b w:val="0"/>
        <w:bCs w:val="0"/>
        <w:sz w:val="18"/>
        <w:szCs w:val="18"/>
        <w:rtl/>
      </w:rPr>
      <w:t xml:space="preserve">  |  ביטחון סוציאלי </w:t>
    </w:r>
    <w:r w:rsidRPr="001403E5">
      <w:rPr>
        <w:rFonts w:ascii="David" w:hAnsi="David" w:cs="David" w:hint="cs"/>
        <w:b w:val="0"/>
        <w:bCs w:val="0"/>
        <w:sz w:val="18"/>
        <w:szCs w:val="18"/>
        <w:rtl/>
      </w:rPr>
      <w:t>11</w:t>
    </w:r>
    <w:r>
      <w:rPr>
        <w:rFonts w:ascii="David" w:hAnsi="David" w:cs="David" w:hint="cs"/>
        <w:b w:val="0"/>
        <w:bCs w:val="0"/>
        <w:sz w:val="18"/>
        <w:szCs w:val="18"/>
        <w:rt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622ABEE6" w:rsidR="009D2943" w:rsidRPr="00CA633F" w:rsidRDefault="009D2943" w:rsidP="00446E1E">
    <w:pPr>
      <w:pStyle w:val="Heading1"/>
      <w:tabs>
        <w:tab w:val="center" w:pos="4536"/>
        <w:tab w:val="right" w:pos="9072"/>
      </w:tabs>
      <w:jc w:val="right"/>
      <w:rPr>
        <w:rFonts w:ascii="David" w:hAnsi="David" w:cs="David"/>
        <w:b w:val="0"/>
        <w:bCs w:val="0"/>
        <w:noProof/>
        <w:color w:val="A6A6A6"/>
        <w:sz w:val="20"/>
        <w:szCs w:val="20"/>
      </w:rPr>
    </w:pPr>
    <w:r w:rsidRPr="00452401">
      <w:rPr>
        <w:rFonts w:ascii="David" w:hAnsi="David" w:cs="David"/>
        <w:b w:val="0"/>
        <w:bCs w:val="0"/>
        <w:noProof/>
        <w:sz w:val="18"/>
        <w:szCs w:val="18"/>
        <w:rtl/>
      </w:rPr>
      <w:t>ירידת הפריון בחברה הבדואית בנגב במאה ה-21</w:t>
    </w:r>
    <w:r w:rsidR="00AD28D8">
      <w:rPr>
        <w:rFonts w:ascii="David" w:hAnsi="David" w:cs="David" w:hint="cs"/>
        <w:b w:val="0"/>
        <w:bCs w:val="0"/>
        <w:noProof/>
        <w:sz w:val="18"/>
        <w:szCs w:val="18"/>
        <w:rtl/>
      </w:rPr>
      <w:t xml:space="preserve"> </w:t>
    </w:r>
    <w:r w:rsidRPr="001403E5">
      <w:rPr>
        <w:rFonts w:ascii="David" w:hAnsi="David" w:cs="David"/>
        <w:b w:val="0"/>
        <w:bCs w:val="0"/>
        <w:noProof/>
        <w:sz w:val="18"/>
        <w:szCs w:val="18"/>
        <w:rtl/>
      </w:rPr>
      <w:t xml:space="preserve"> |  </w:t>
    </w: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DF7462">
      <w:rPr>
        <w:rFonts w:ascii="David" w:hAnsi="David" w:cs="David"/>
        <w:noProof/>
        <w:sz w:val="24"/>
        <w:szCs w:val="24"/>
        <w:rtl/>
      </w:rPr>
      <w:t>21</w:t>
    </w:r>
    <w:r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5646B49B" w:rsidR="009D2943" w:rsidRPr="00CA633F" w:rsidRDefault="009D2943"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742792"/>
    <w:multiLevelType w:val="multilevel"/>
    <w:tmpl w:val="A1F6E29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7"/>
  </w:num>
  <w:num w:numId="3">
    <w:abstractNumId w:val="24"/>
  </w:num>
  <w:num w:numId="4">
    <w:abstractNumId w:val="21"/>
  </w:num>
  <w:num w:numId="5">
    <w:abstractNumId w:val="8"/>
  </w:num>
  <w:num w:numId="6">
    <w:abstractNumId w:val="20"/>
  </w:num>
  <w:num w:numId="7">
    <w:abstractNumId w:val="14"/>
  </w:num>
  <w:num w:numId="8">
    <w:abstractNumId w:val="0"/>
  </w:num>
  <w:num w:numId="9">
    <w:abstractNumId w:val="7"/>
  </w:num>
  <w:num w:numId="10">
    <w:abstractNumId w:val="23"/>
  </w:num>
  <w:num w:numId="11">
    <w:abstractNumId w:val="22"/>
  </w:num>
  <w:num w:numId="12">
    <w:abstractNumId w:val="18"/>
  </w:num>
  <w:num w:numId="13">
    <w:abstractNumId w:val="11"/>
  </w:num>
  <w:num w:numId="14">
    <w:abstractNumId w:val="5"/>
  </w:num>
  <w:num w:numId="15">
    <w:abstractNumId w:val="10"/>
  </w:num>
  <w:num w:numId="16">
    <w:abstractNumId w:val="3"/>
  </w:num>
  <w:num w:numId="17">
    <w:abstractNumId w:val="25"/>
  </w:num>
  <w:num w:numId="18">
    <w:abstractNumId w:val="19"/>
  </w:num>
  <w:num w:numId="19">
    <w:abstractNumId w:val="9"/>
  </w:num>
  <w:num w:numId="20">
    <w:abstractNumId w:val="2"/>
  </w:num>
  <w:num w:numId="21">
    <w:abstractNumId w:val="1"/>
  </w:num>
  <w:num w:numId="22">
    <w:abstractNumId w:val="4"/>
  </w:num>
  <w:num w:numId="23">
    <w:abstractNumId w:val="16"/>
  </w:num>
  <w:num w:numId="24">
    <w:abstractNumId w:val="12"/>
  </w:num>
  <w:num w:numId="25">
    <w:abstractNumId w:val="1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397"/>
  <w:evenAndOddHeaders/>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09F4"/>
    <w:rsid w:val="0000281B"/>
    <w:rsid w:val="00042A45"/>
    <w:rsid w:val="00053FEE"/>
    <w:rsid w:val="000552ED"/>
    <w:rsid w:val="000660A4"/>
    <w:rsid w:val="0008207C"/>
    <w:rsid w:val="000A3731"/>
    <w:rsid w:val="000C13C4"/>
    <w:rsid w:val="000C236E"/>
    <w:rsid w:val="000C32F6"/>
    <w:rsid w:val="000E38FA"/>
    <w:rsid w:val="000E730A"/>
    <w:rsid w:val="000F1382"/>
    <w:rsid w:val="000F7FCC"/>
    <w:rsid w:val="00111FEC"/>
    <w:rsid w:val="001244F6"/>
    <w:rsid w:val="00126BBB"/>
    <w:rsid w:val="00134C7C"/>
    <w:rsid w:val="001403E5"/>
    <w:rsid w:val="00152DDF"/>
    <w:rsid w:val="00156EEE"/>
    <w:rsid w:val="00160BCD"/>
    <w:rsid w:val="00164AB3"/>
    <w:rsid w:val="0018721E"/>
    <w:rsid w:val="001903D4"/>
    <w:rsid w:val="00192386"/>
    <w:rsid w:val="001A0002"/>
    <w:rsid w:val="001A1693"/>
    <w:rsid w:val="001A717F"/>
    <w:rsid w:val="001D2C96"/>
    <w:rsid w:val="001D6260"/>
    <w:rsid w:val="001E1DDF"/>
    <w:rsid w:val="002044C6"/>
    <w:rsid w:val="00224C6A"/>
    <w:rsid w:val="00227591"/>
    <w:rsid w:val="00234C6B"/>
    <w:rsid w:val="002519BC"/>
    <w:rsid w:val="00272B00"/>
    <w:rsid w:val="002829CB"/>
    <w:rsid w:val="00282C1D"/>
    <w:rsid w:val="002A50C5"/>
    <w:rsid w:val="002C45DF"/>
    <w:rsid w:val="002D0C07"/>
    <w:rsid w:val="002D1E69"/>
    <w:rsid w:val="002F0EE3"/>
    <w:rsid w:val="00303665"/>
    <w:rsid w:val="003151B1"/>
    <w:rsid w:val="0031724D"/>
    <w:rsid w:val="00317DCD"/>
    <w:rsid w:val="00336EF9"/>
    <w:rsid w:val="00337076"/>
    <w:rsid w:val="00360874"/>
    <w:rsid w:val="00360F01"/>
    <w:rsid w:val="0036409A"/>
    <w:rsid w:val="00374196"/>
    <w:rsid w:val="00395EC5"/>
    <w:rsid w:val="003B537C"/>
    <w:rsid w:val="003C255E"/>
    <w:rsid w:val="003C3C55"/>
    <w:rsid w:val="003D1152"/>
    <w:rsid w:val="003D16D1"/>
    <w:rsid w:val="003D4AF9"/>
    <w:rsid w:val="00401641"/>
    <w:rsid w:val="00405788"/>
    <w:rsid w:val="004112B2"/>
    <w:rsid w:val="00416142"/>
    <w:rsid w:val="0042181C"/>
    <w:rsid w:val="00424C06"/>
    <w:rsid w:val="00433DFB"/>
    <w:rsid w:val="00437DDA"/>
    <w:rsid w:val="00446E1E"/>
    <w:rsid w:val="004476C7"/>
    <w:rsid w:val="00452401"/>
    <w:rsid w:val="004543DB"/>
    <w:rsid w:val="00455EF9"/>
    <w:rsid w:val="0045651F"/>
    <w:rsid w:val="00464B0E"/>
    <w:rsid w:val="0046547D"/>
    <w:rsid w:val="00466666"/>
    <w:rsid w:val="00471658"/>
    <w:rsid w:val="004735F5"/>
    <w:rsid w:val="00485555"/>
    <w:rsid w:val="00492745"/>
    <w:rsid w:val="004A71EC"/>
    <w:rsid w:val="004B3169"/>
    <w:rsid w:val="004C47F0"/>
    <w:rsid w:val="004D3B31"/>
    <w:rsid w:val="004D6A00"/>
    <w:rsid w:val="00512B59"/>
    <w:rsid w:val="00514F6D"/>
    <w:rsid w:val="00527001"/>
    <w:rsid w:val="005368B8"/>
    <w:rsid w:val="005416E9"/>
    <w:rsid w:val="005432F7"/>
    <w:rsid w:val="005579CB"/>
    <w:rsid w:val="005619D8"/>
    <w:rsid w:val="00591903"/>
    <w:rsid w:val="0059386B"/>
    <w:rsid w:val="005B6002"/>
    <w:rsid w:val="005C3C07"/>
    <w:rsid w:val="005D5F14"/>
    <w:rsid w:val="005F635C"/>
    <w:rsid w:val="00606992"/>
    <w:rsid w:val="006119D5"/>
    <w:rsid w:val="006131D1"/>
    <w:rsid w:val="006154FA"/>
    <w:rsid w:val="0062321C"/>
    <w:rsid w:val="00633657"/>
    <w:rsid w:val="006358E3"/>
    <w:rsid w:val="0065160D"/>
    <w:rsid w:val="00652D7C"/>
    <w:rsid w:val="0065797B"/>
    <w:rsid w:val="00657997"/>
    <w:rsid w:val="00671EDF"/>
    <w:rsid w:val="006824DB"/>
    <w:rsid w:val="00683B19"/>
    <w:rsid w:val="00690018"/>
    <w:rsid w:val="006A07E8"/>
    <w:rsid w:val="006A5C0E"/>
    <w:rsid w:val="006B39AB"/>
    <w:rsid w:val="006C5BE6"/>
    <w:rsid w:val="006D0F89"/>
    <w:rsid w:val="006D270A"/>
    <w:rsid w:val="006E0F39"/>
    <w:rsid w:val="006F062C"/>
    <w:rsid w:val="006F434C"/>
    <w:rsid w:val="00707EC7"/>
    <w:rsid w:val="007178F3"/>
    <w:rsid w:val="00721527"/>
    <w:rsid w:val="007240DD"/>
    <w:rsid w:val="00731656"/>
    <w:rsid w:val="00733272"/>
    <w:rsid w:val="007362B4"/>
    <w:rsid w:val="007377A3"/>
    <w:rsid w:val="007667D8"/>
    <w:rsid w:val="00767BA7"/>
    <w:rsid w:val="00776EE2"/>
    <w:rsid w:val="00782E0D"/>
    <w:rsid w:val="00796021"/>
    <w:rsid w:val="007A6CDA"/>
    <w:rsid w:val="007B7399"/>
    <w:rsid w:val="007C2BB1"/>
    <w:rsid w:val="007C7168"/>
    <w:rsid w:val="007C726C"/>
    <w:rsid w:val="007D59DF"/>
    <w:rsid w:val="007F29C9"/>
    <w:rsid w:val="0080576F"/>
    <w:rsid w:val="008243A6"/>
    <w:rsid w:val="00827A5F"/>
    <w:rsid w:val="00837F2F"/>
    <w:rsid w:val="00840D01"/>
    <w:rsid w:val="0084161C"/>
    <w:rsid w:val="00856912"/>
    <w:rsid w:val="00881261"/>
    <w:rsid w:val="008A4FAD"/>
    <w:rsid w:val="008C53A7"/>
    <w:rsid w:val="008D4156"/>
    <w:rsid w:val="008F7821"/>
    <w:rsid w:val="009023FC"/>
    <w:rsid w:val="009041F4"/>
    <w:rsid w:val="0090645A"/>
    <w:rsid w:val="00913099"/>
    <w:rsid w:val="00916371"/>
    <w:rsid w:val="00921795"/>
    <w:rsid w:val="009465AD"/>
    <w:rsid w:val="009522CA"/>
    <w:rsid w:val="009533A1"/>
    <w:rsid w:val="00956C10"/>
    <w:rsid w:val="00957DA2"/>
    <w:rsid w:val="0096244D"/>
    <w:rsid w:val="009B0512"/>
    <w:rsid w:val="009B53E8"/>
    <w:rsid w:val="009C2E9D"/>
    <w:rsid w:val="009C5E89"/>
    <w:rsid w:val="009D1452"/>
    <w:rsid w:val="009D2943"/>
    <w:rsid w:val="009D7325"/>
    <w:rsid w:val="009E30A1"/>
    <w:rsid w:val="009E4D59"/>
    <w:rsid w:val="009F4BFB"/>
    <w:rsid w:val="00A04D35"/>
    <w:rsid w:val="00A060A4"/>
    <w:rsid w:val="00A17DA2"/>
    <w:rsid w:val="00A24B12"/>
    <w:rsid w:val="00A27C04"/>
    <w:rsid w:val="00A33D12"/>
    <w:rsid w:val="00A35DCA"/>
    <w:rsid w:val="00A36D7F"/>
    <w:rsid w:val="00A41FB6"/>
    <w:rsid w:val="00A6479A"/>
    <w:rsid w:val="00A73CF4"/>
    <w:rsid w:val="00A910EE"/>
    <w:rsid w:val="00A953FC"/>
    <w:rsid w:val="00A95F73"/>
    <w:rsid w:val="00AA7F56"/>
    <w:rsid w:val="00AC3F0C"/>
    <w:rsid w:val="00AC6E96"/>
    <w:rsid w:val="00AD28D8"/>
    <w:rsid w:val="00AE03A0"/>
    <w:rsid w:val="00AE0A3D"/>
    <w:rsid w:val="00AE31E1"/>
    <w:rsid w:val="00AF7379"/>
    <w:rsid w:val="00AF7CA3"/>
    <w:rsid w:val="00B045C9"/>
    <w:rsid w:val="00B10644"/>
    <w:rsid w:val="00B23956"/>
    <w:rsid w:val="00B41A73"/>
    <w:rsid w:val="00B468E5"/>
    <w:rsid w:val="00B75647"/>
    <w:rsid w:val="00B81818"/>
    <w:rsid w:val="00B86148"/>
    <w:rsid w:val="00BC1FB3"/>
    <w:rsid w:val="00C16050"/>
    <w:rsid w:val="00C2342E"/>
    <w:rsid w:val="00C27260"/>
    <w:rsid w:val="00C3061B"/>
    <w:rsid w:val="00C36CE5"/>
    <w:rsid w:val="00C41488"/>
    <w:rsid w:val="00C44CE1"/>
    <w:rsid w:val="00C456EB"/>
    <w:rsid w:val="00C517A2"/>
    <w:rsid w:val="00C754FE"/>
    <w:rsid w:val="00C93533"/>
    <w:rsid w:val="00C93D60"/>
    <w:rsid w:val="00CA18C1"/>
    <w:rsid w:val="00CA56D2"/>
    <w:rsid w:val="00CA5B5A"/>
    <w:rsid w:val="00CA633F"/>
    <w:rsid w:val="00CA7399"/>
    <w:rsid w:val="00CA7495"/>
    <w:rsid w:val="00CB60AE"/>
    <w:rsid w:val="00CC0B1D"/>
    <w:rsid w:val="00CD3BC1"/>
    <w:rsid w:val="00CD4ECC"/>
    <w:rsid w:val="00CD593B"/>
    <w:rsid w:val="00CE73D5"/>
    <w:rsid w:val="00CF5FCA"/>
    <w:rsid w:val="00CF7A4A"/>
    <w:rsid w:val="00D05CFB"/>
    <w:rsid w:val="00D1621E"/>
    <w:rsid w:val="00D20154"/>
    <w:rsid w:val="00D20DE5"/>
    <w:rsid w:val="00D21D40"/>
    <w:rsid w:val="00D5374E"/>
    <w:rsid w:val="00D614D3"/>
    <w:rsid w:val="00D73C8D"/>
    <w:rsid w:val="00D87447"/>
    <w:rsid w:val="00D92080"/>
    <w:rsid w:val="00D9338F"/>
    <w:rsid w:val="00D94E6C"/>
    <w:rsid w:val="00DA1730"/>
    <w:rsid w:val="00DA26AC"/>
    <w:rsid w:val="00DB2F51"/>
    <w:rsid w:val="00DB508D"/>
    <w:rsid w:val="00DD08CB"/>
    <w:rsid w:val="00DF30C9"/>
    <w:rsid w:val="00DF330D"/>
    <w:rsid w:val="00DF7462"/>
    <w:rsid w:val="00E0393E"/>
    <w:rsid w:val="00E14513"/>
    <w:rsid w:val="00E53F92"/>
    <w:rsid w:val="00E61D38"/>
    <w:rsid w:val="00E63B78"/>
    <w:rsid w:val="00E94167"/>
    <w:rsid w:val="00E94D3B"/>
    <w:rsid w:val="00E95DB4"/>
    <w:rsid w:val="00EC0AF6"/>
    <w:rsid w:val="00ED3C01"/>
    <w:rsid w:val="00ED6F02"/>
    <w:rsid w:val="00EF07B4"/>
    <w:rsid w:val="00F0418C"/>
    <w:rsid w:val="00F0554A"/>
    <w:rsid w:val="00F20863"/>
    <w:rsid w:val="00F20E96"/>
    <w:rsid w:val="00F216E0"/>
    <w:rsid w:val="00F22E88"/>
    <w:rsid w:val="00F243ED"/>
    <w:rsid w:val="00F3107D"/>
    <w:rsid w:val="00F32B2F"/>
    <w:rsid w:val="00F70364"/>
    <w:rsid w:val="00F76D90"/>
    <w:rsid w:val="00F76E57"/>
    <w:rsid w:val="00F84B24"/>
    <w:rsid w:val="00F91E54"/>
    <w:rsid w:val="00F9310C"/>
    <w:rsid w:val="00FA0917"/>
    <w:rsid w:val="00FB4B8A"/>
    <w:rsid w:val="00FD1A0B"/>
    <w:rsid w:val="00FE23FD"/>
    <w:rsid w:val="00FE7079"/>
    <w:rsid w:val="00FF29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link w:val="BodyTextChar1"/>
    <w:uiPriority w:val="99"/>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link w:val="BodyTextIndentChar1"/>
    <w:uiPriority w:val="99"/>
    <w:semiHidden/>
    <w:pPr>
      <w:bidi w:val="0"/>
      <w:spacing w:line="280" w:lineRule="exact"/>
      <w:ind w:left="397" w:hanging="397"/>
      <w:jc w:val="both"/>
    </w:pPr>
    <w:rPr>
      <w:rFonts w:cs="Times New Roman"/>
      <w:sz w:val="22"/>
      <w:szCs w:val="22"/>
    </w:rPr>
  </w:style>
  <w:style w:type="paragraph" w:styleId="EndnoteText">
    <w:name w:val="endnote text"/>
    <w:basedOn w:val="Normal"/>
    <w:link w:val="EndnoteTextChar"/>
    <w:uiPriority w:val="99"/>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link w:val="NoSpacingChar"/>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table" w:customStyle="1" w:styleId="TableNormal1">
    <w:name w:val="Table Normal1"/>
    <w:rsid w:val="00452401"/>
    <w:pPr>
      <w:bidi/>
    </w:pPr>
    <w:rPr>
      <w:sz w:val="24"/>
      <w:szCs w:val="24"/>
      <w:lang w:val="en-US" w:eastAsia="en-US"/>
    </w:rPr>
    <w:tblPr>
      <w:tblCellMar>
        <w:top w:w="0" w:type="dxa"/>
        <w:left w:w="0" w:type="dxa"/>
        <w:bottom w:w="0" w:type="dxa"/>
        <w:right w:w="0" w:type="dxa"/>
      </w:tblCellMar>
    </w:tblPr>
  </w:style>
  <w:style w:type="character" w:customStyle="1" w:styleId="NoSpacingChar">
    <w:name w:val="No Spacing Char"/>
    <w:link w:val="NoSpacing"/>
    <w:uiPriority w:val="1"/>
    <w:rsid w:val="00452401"/>
    <w:rPr>
      <w:rFonts w:ascii="Arial" w:eastAsia="Calibri" w:hAnsi="Arial" w:cs="Arial"/>
      <w:sz w:val="22"/>
      <w:szCs w:val="22"/>
      <w:lang w:val="en-US" w:eastAsia="en-US"/>
    </w:rPr>
  </w:style>
  <w:style w:type="paragraph" w:styleId="TOCHeading">
    <w:name w:val="TOC Heading"/>
    <w:basedOn w:val="Heading1"/>
    <w:next w:val="Normal"/>
    <w:uiPriority w:val="39"/>
    <w:semiHidden/>
    <w:unhideWhenUsed/>
    <w:qFormat/>
    <w:rsid w:val="00452401"/>
    <w:pPr>
      <w:keepLines/>
      <w:spacing w:after="0" w:line="240" w:lineRule="auto"/>
      <w:jc w:val="left"/>
    </w:pPr>
    <w:rPr>
      <w:rFonts w:ascii="Cambria" w:eastAsia="Cambria" w:hAnsi="Cambria" w:cs="Times New Roman"/>
      <w:bCs w:val="0"/>
      <w:color w:val="365F91"/>
    </w:rPr>
  </w:style>
  <w:style w:type="paragraph" w:customStyle="1" w:styleId="11">
    <w:name w:val="פיסקת רשימה1"/>
    <w:basedOn w:val="Normal"/>
    <w:qFormat/>
    <w:rsid w:val="00452401"/>
    <w:pPr>
      <w:spacing w:line="240" w:lineRule="auto"/>
      <w:ind w:left="720"/>
    </w:pPr>
    <w:rPr>
      <w:rFonts w:eastAsia="David" w:cs="Times New Roman"/>
    </w:rPr>
  </w:style>
  <w:style w:type="character" w:customStyle="1" w:styleId="hps">
    <w:name w:val="hps"/>
    <w:basedOn w:val="DefaultParagraphFont"/>
    <w:rsid w:val="00452401"/>
  </w:style>
  <w:style w:type="character" w:customStyle="1" w:styleId="NumberingSymbols">
    <w:name w:val="Numbering Symbols"/>
    <w:rsid w:val="00452401"/>
  </w:style>
  <w:style w:type="paragraph" w:customStyle="1" w:styleId="Heading">
    <w:name w:val="Heading"/>
    <w:basedOn w:val="Normal"/>
    <w:rsid w:val="00452401"/>
    <w:pPr>
      <w:keepNext/>
      <w:tabs>
        <w:tab w:val="left" w:pos="720"/>
      </w:tabs>
      <w:spacing w:line="240" w:lineRule="auto"/>
      <w:jc w:val="right"/>
    </w:pPr>
    <w:rPr>
      <w:rFonts w:ascii="Arial" w:eastAsia="Ubuntu" w:hAnsi="Arial" w:cs="Times New Roman"/>
      <w:sz w:val="28"/>
      <w:szCs w:val="28"/>
    </w:rPr>
  </w:style>
  <w:style w:type="paragraph" w:customStyle="1" w:styleId="Textbody">
    <w:name w:val="Text body"/>
    <w:basedOn w:val="Normal"/>
    <w:rsid w:val="00452401"/>
    <w:pPr>
      <w:tabs>
        <w:tab w:val="left" w:pos="720"/>
      </w:tabs>
      <w:spacing w:line="240" w:lineRule="auto"/>
      <w:jc w:val="right"/>
    </w:pPr>
    <w:rPr>
      <w:rFonts w:ascii="Calibri" w:eastAsia="Calibri" w:hAnsi="Calibri" w:cs="Times New Roman"/>
      <w:sz w:val="22"/>
      <w:szCs w:val="22"/>
    </w:rPr>
  </w:style>
  <w:style w:type="paragraph" w:styleId="List">
    <w:name w:val="List"/>
    <w:basedOn w:val="Textbody"/>
    <w:rsid w:val="00452401"/>
    <w:rPr>
      <w:rFonts w:ascii="Palatino" w:eastAsia="Lohit Hindi" w:hAnsi="Palatino"/>
      <w:sz w:val="24"/>
      <w:szCs w:val="24"/>
    </w:rPr>
  </w:style>
  <w:style w:type="paragraph" w:customStyle="1" w:styleId="Caption1">
    <w:name w:val="Caption1"/>
    <w:basedOn w:val="Normal"/>
    <w:rsid w:val="00452401"/>
    <w:pPr>
      <w:tabs>
        <w:tab w:val="left" w:pos="720"/>
      </w:tabs>
      <w:spacing w:line="240" w:lineRule="auto"/>
      <w:jc w:val="right"/>
    </w:pPr>
    <w:rPr>
      <w:rFonts w:ascii="Palatino" w:eastAsia="Lohit Hindi" w:hAnsi="Palatino" w:cs="Times New Roman"/>
      <w:i/>
      <w:sz w:val="20"/>
      <w:szCs w:val="20"/>
    </w:rPr>
  </w:style>
  <w:style w:type="paragraph" w:customStyle="1" w:styleId="Index">
    <w:name w:val="Index"/>
    <w:basedOn w:val="Normal"/>
    <w:rsid w:val="00452401"/>
    <w:pPr>
      <w:tabs>
        <w:tab w:val="left" w:pos="720"/>
      </w:tabs>
      <w:spacing w:line="240" w:lineRule="auto"/>
      <w:jc w:val="right"/>
    </w:pPr>
    <w:rPr>
      <w:rFonts w:ascii="Palatino" w:eastAsia="Lohit Hindi" w:hAnsi="Palatino" w:cs="Times New Roman"/>
      <w:sz w:val="20"/>
      <w:szCs w:val="20"/>
    </w:rPr>
  </w:style>
  <w:style w:type="character" w:customStyle="1" w:styleId="EndnoteTextChar">
    <w:name w:val="Endnote Text Char"/>
    <w:link w:val="EndnoteText"/>
    <w:uiPriority w:val="99"/>
    <w:rsid w:val="00452401"/>
    <w:rPr>
      <w:rFonts w:ascii="Calibri" w:eastAsia="Calibri" w:hAnsi="Calibri" w:cs="Arial"/>
      <w:lang w:val="en-GB" w:eastAsia="en-US"/>
    </w:rPr>
  </w:style>
  <w:style w:type="character" w:customStyle="1" w:styleId="12">
    <w:name w:val="טקסט הערת סיום תו1"/>
    <w:uiPriority w:val="99"/>
    <w:semiHidden/>
    <w:rsid w:val="00452401"/>
    <w:rPr>
      <w:rFonts w:ascii="Times New Roman" w:eastAsia="David" w:hAnsi="Times New Roman" w:cs="Times New Roman"/>
      <w:sz w:val="20"/>
      <w:szCs w:val="20"/>
    </w:rPr>
  </w:style>
  <w:style w:type="character" w:customStyle="1" w:styleId="13">
    <w:name w:val="טקסט הערה תו1"/>
    <w:uiPriority w:val="99"/>
    <w:semiHidden/>
    <w:rsid w:val="00452401"/>
    <w:rPr>
      <w:rFonts w:ascii="Times New Roman" w:eastAsia="David" w:hAnsi="Times New Roman" w:cs="Times New Roman"/>
      <w:sz w:val="20"/>
      <w:szCs w:val="20"/>
    </w:rPr>
  </w:style>
  <w:style w:type="character" w:customStyle="1" w:styleId="14">
    <w:name w:val="נושא הערה תו1"/>
    <w:uiPriority w:val="99"/>
    <w:semiHidden/>
    <w:rsid w:val="00452401"/>
    <w:rPr>
      <w:rFonts w:ascii="Times New Roman" w:eastAsia="David" w:hAnsi="Times New Roman" w:cs="Times New Roman"/>
      <w:b/>
      <w:bCs/>
      <w:sz w:val="20"/>
      <w:szCs w:val="20"/>
    </w:rPr>
  </w:style>
  <w:style w:type="character" w:customStyle="1" w:styleId="text">
    <w:name w:val="text"/>
    <w:basedOn w:val="DefaultParagraphFont"/>
    <w:rsid w:val="00452401"/>
  </w:style>
  <w:style w:type="paragraph" w:styleId="HTMLPreformatted">
    <w:name w:val="HTML Preformatted"/>
    <w:basedOn w:val="Normal"/>
    <w:link w:val="HTMLPreformattedChar"/>
    <w:uiPriority w:val="99"/>
    <w:unhideWhenUsed/>
    <w:rsid w:val="00452401"/>
    <w:pPr>
      <w:tabs>
        <w:tab w:val="left" w:pos="916"/>
        <w:tab w:val="left" w:pos="1832"/>
        <w:tab w:val="left" w:pos="2748"/>
        <w:tab w:val="left" w:pos="3664"/>
        <w:tab w:val="left" w:pos="4580"/>
        <w:tab w:val="left" w:pos="5496"/>
        <w:tab w:val="left" w:pos="6412"/>
        <w:tab w:val="left" w:pos="7328"/>
        <w:tab w:val="left" w:pos="8244"/>
        <w:tab w:val="left" w:pos="9160"/>
      </w:tabs>
      <w:spacing w:line="240" w:lineRule="auto"/>
    </w:pPr>
    <w:rPr>
      <w:rFonts w:ascii="Courier New" w:eastAsia="Courier New" w:hAnsi="Courier New" w:cs="Times New Roman"/>
      <w:sz w:val="20"/>
      <w:szCs w:val="20"/>
    </w:rPr>
  </w:style>
  <w:style w:type="character" w:customStyle="1" w:styleId="HTMLPreformattedChar">
    <w:name w:val="HTML Preformatted Char"/>
    <w:link w:val="HTMLPreformatted"/>
    <w:uiPriority w:val="99"/>
    <w:rsid w:val="00452401"/>
    <w:rPr>
      <w:rFonts w:ascii="Courier New" w:eastAsia="Courier New" w:hAnsi="Courier New"/>
      <w:lang w:val="en-US" w:eastAsia="en-US"/>
    </w:rPr>
  </w:style>
  <w:style w:type="character" w:customStyle="1" w:styleId="gewyw5ybmdb">
    <w:name w:val="gewyw5ybmdb"/>
    <w:basedOn w:val="DefaultParagraphFont"/>
    <w:rsid w:val="00452401"/>
  </w:style>
  <w:style w:type="character" w:customStyle="1" w:styleId="gewyw5ybjeb">
    <w:name w:val="gewyw5ybjeb"/>
    <w:basedOn w:val="DefaultParagraphFont"/>
    <w:rsid w:val="00452401"/>
  </w:style>
  <w:style w:type="character" w:customStyle="1" w:styleId="gewyw5ybaeb">
    <w:name w:val="gewyw5ybaeb"/>
    <w:basedOn w:val="DefaultParagraphFont"/>
    <w:rsid w:val="00452401"/>
  </w:style>
  <w:style w:type="character" w:customStyle="1" w:styleId="shorttext">
    <w:name w:val="short_text"/>
    <w:basedOn w:val="DefaultParagraphFont"/>
    <w:rsid w:val="00452401"/>
  </w:style>
  <w:style w:type="character" w:customStyle="1" w:styleId="gnvmtomchab">
    <w:name w:val="gnvmtomchab"/>
    <w:basedOn w:val="DefaultParagraphFont"/>
    <w:rsid w:val="00452401"/>
  </w:style>
  <w:style w:type="paragraph" w:styleId="Caption">
    <w:name w:val="caption"/>
    <w:basedOn w:val="Normal"/>
    <w:next w:val="Normal"/>
    <w:uiPriority w:val="35"/>
    <w:unhideWhenUsed/>
    <w:qFormat/>
    <w:rsid w:val="00452401"/>
    <w:pPr>
      <w:spacing w:line="240" w:lineRule="auto"/>
    </w:pPr>
    <w:rPr>
      <w:rFonts w:ascii="Calibri" w:eastAsia="Calibri" w:hAnsi="Calibri" w:cs="Times New Roman"/>
      <w:b/>
      <w:color w:val="4F81BD"/>
      <w:sz w:val="18"/>
      <w:szCs w:val="18"/>
    </w:rPr>
  </w:style>
  <w:style w:type="character" w:customStyle="1" w:styleId="HebrewChar">
    <w:name w:val="Hebrew_Char"/>
    <w:rsid w:val="00452401"/>
  </w:style>
  <w:style w:type="paragraph" w:customStyle="1" w:styleId="Default0">
    <w:name w:val="Default"/>
    <w:rsid w:val="00452401"/>
    <w:pPr>
      <w:autoSpaceDE w:val="0"/>
      <w:autoSpaceDN w:val="0"/>
      <w:bidi/>
    </w:pPr>
    <w:rPr>
      <w:rFonts w:ascii="Code" w:eastAsia="Code" w:hAnsi="Code"/>
      <w:color w:val="000000"/>
      <w:sz w:val="24"/>
      <w:szCs w:val="24"/>
      <w:lang w:val="en-US" w:eastAsia="en-US"/>
    </w:rPr>
  </w:style>
  <w:style w:type="character" w:customStyle="1" w:styleId="alt-edited1">
    <w:name w:val="alt-edited1"/>
    <w:rsid w:val="00452401"/>
    <w:rPr>
      <w:color w:val="4D90F0"/>
      <w:w w:val="100"/>
      <w:sz w:val="20"/>
      <w:szCs w:val="20"/>
      <w:shd w:val="clear" w:color="auto" w:fill="auto"/>
    </w:rPr>
  </w:style>
  <w:style w:type="character" w:styleId="EndnoteReference">
    <w:name w:val="endnote reference"/>
    <w:uiPriority w:val="99"/>
    <w:semiHidden/>
    <w:unhideWhenUsed/>
    <w:rsid w:val="00452401"/>
    <w:rPr>
      <w:vertAlign w:val="superscript"/>
    </w:rPr>
  </w:style>
  <w:style w:type="character" w:customStyle="1" w:styleId="Heading4Char">
    <w:name w:val="Heading 4 Char"/>
    <w:link w:val="Heading4"/>
    <w:uiPriority w:val="9"/>
    <w:rsid w:val="00452401"/>
    <w:rPr>
      <w:rFonts w:ascii="Arial" w:hAnsi="Arial" w:cs="David"/>
      <w:b/>
      <w:bCs/>
      <w:sz w:val="24"/>
      <w:szCs w:val="24"/>
      <w:lang w:val="en-US" w:eastAsia="en-US"/>
    </w:rPr>
  </w:style>
  <w:style w:type="paragraph" w:styleId="List2">
    <w:name w:val="List 2"/>
    <w:basedOn w:val="Normal"/>
    <w:uiPriority w:val="99"/>
    <w:unhideWhenUsed/>
    <w:rsid w:val="00452401"/>
    <w:pPr>
      <w:spacing w:line="240" w:lineRule="auto"/>
      <w:ind w:left="566" w:hanging="283"/>
      <w:contextualSpacing/>
    </w:pPr>
    <w:rPr>
      <w:rFonts w:eastAsia="David" w:cs="Times New Roman"/>
    </w:rPr>
  </w:style>
  <w:style w:type="paragraph" w:styleId="List3">
    <w:name w:val="List 3"/>
    <w:basedOn w:val="Normal"/>
    <w:uiPriority w:val="99"/>
    <w:unhideWhenUsed/>
    <w:rsid w:val="00452401"/>
    <w:pPr>
      <w:spacing w:line="240" w:lineRule="auto"/>
      <w:ind w:left="849" w:hanging="283"/>
      <w:contextualSpacing/>
    </w:pPr>
    <w:rPr>
      <w:rFonts w:eastAsia="David" w:cs="Times New Roman"/>
    </w:rPr>
  </w:style>
  <w:style w:type="paragraph" w:styleId="ListBullet">
    <w:name w:val="List Bullet"/>
    <w:basedOn w:val="Normal"/>
    <w:uiPriority w:val="99"/>
    <w:unhideWhenUsed/>
    <w:rsid w:val="00452401"/>
    <w:pPr>
      <w:numPr>
        <w:numId w:val="26"/>
      </w:numPr>
      <w:spacing w:line="240" w:lineRule="auto"/>
      <w:contextualSpacing/>
    </w:pPr>
    <w:rPr>
      <w:rFonts w:eastAsia="David" w:cs="Times New Roman"/>
    </w:rPr>
  </w:style>
  <w:style w:type="paragraph" w:styleId="ListContinue2">
    <w:name w:val="List Continue 2"/>
    <w:basedOn w:val="Normal"/>
    <w:uiPriority w:val="99"/>
    <w:unhideWhenUsed/>
    <w:rsid w:val="00452401"/>
    <w:pPr>
      <w:spacing w:after="120" w:line="240" w:lineRule="auto"/>
      <w:ind w:left="566"/>
      <w:contextualSpacing/>
    </w:pPr>
    <w:rPr>
      <w:rFonts w:eastAsia="David" w:cs="Times New Roman"/>
    </w:rPr>
  </w:style>
  <w:style w:type="character" w:customStyle="1" w:styleId="BodyTextChar">
    <w:name w:val="Body Text Char"/>
    <w:uiPriority w:val="99"/>
    <w:rsid w:val="00452401"/>
    <w:rPr>
      <w:rFonts w:ascii="Times New Roman" w:eastAsia="David" w:hAnsi="Times New Roman" w:cs="Times New Roman"/>
      <w:sz w:val="24"/>
      <w:szCs w:val="24"/>
    </w:rPr>
  </w:style>
  <w:style w:type="paragraph" w:styleId="BodyTextFirstIndent">
    <w:name w:val="Body Text First Indent"/>
    <w:basedOn w:val="BodyText"/>
    <w:link w:val="BodyTextFirstIndentChar"/>
    <w:uiPriority w:val="99"/>
    <w:unhideWhenUsed/>
    <w:rsid w:val="00452401"/>
    <w:pPr>
      <w:spacing w:after="0" w:line="240" w:lineRule="auto"/>
      <w:ind w:firstLine="360"/>
      <w:jc w:val="left"/>
    </w:pPr>
    <w:rPr>
      <w:rFonts w:eastAsia="David" w:cs="Times New Roman"/>
      <w:b w:val="0"/>
      <w:bCs w:val="0"/>
      <w:sz w:val="24"/>
      <w:szCs w:val="24"/>
    </w:rPr>
  </w:style>
  <w:style w:type="character" w:customStyle="1" w:styleId="BodyTextChar1">
    <w:name w:val="Body Text Char1"/>
    <w:link w:val="BodyText"/>
    <w:uiPriority w:val="99"/>
    <w:rsid w:val="00452401"/>
    <w:rPr>
      <w:rFonts w:cs="FrankRuehl"/>
      <w:b/>
      <w:bCs/>
      <w:sz w:val="26"/>
      <w:szCs w:val="26"/>
      <w:lang w:val="en-US" w:eastAsia="en-US"/>
    </w:rPr>
  </w:style>
  <w:style w:type="character" w:customStyle="1" w:styleId="BodyTextFirstIndentChar">
    <w:name w:val="Body Text First Indent Char"/>
    <w:link w:val="BodyTextFirstIndent"/>
    <w:uiPriority w:val="99"/>
    <w:rsid w:val="00452401"/>
    <w:rPr>
      <w:rFonts w:eastAsia="David" w:cs="FrankRuehl"/>
      <w:b w:val="0"/>
      <w:bCs w:val="0"/>
      <w:sz w:val="24"/>
      <w:szCs w:val="24"/>
      <w:lang w:val="en-US" w:eastAsia="en-US"/>
    </w:rPr>
  </w:style>
  <w:style w:type="character" w:customStyle="1" w:styleId="BodyTextIndentChar">
    <w:name w:val="Body Text Indent Char"/>
    <w:uiPriority w:val="99"/>
    <w:semiHidden/>
    <w:rsid w:val="00452401"/>
    <w:rPr>
      <w:rFonts w:ascii="Times New Roman" w:eastAsia="David" w:hAnsi="Times New Roman" w:cs="Times New Roman"/>
      <w:sz w:val="24"/>
      <w:szCs w:val="24"/>
    </w:rPr>
  </w:style>
  <w:style w:type="paragraph" w:styleId="BodyTextFirstIndent2">
    <w:name w:val="Body Text First Indent 2"/>
    <w:basedOn w:val="BodyTextIndent"/>
    <w:link w:val="BodyTextFirstIndent2Char"/>
    <w:uiPriority w:val="99"/>
    <w:unhideWhenUsed/>
    <w:rsid w:val="00452401"/>
    <w:pPr>
      <w:bidi/>
      <w:spacing w:line="240" w:lineRule="auto"/>
      <w:ind w:left="360" w:firstLine="360"/>
      <w:jc w:val="left"/>
    </w:pPr>
    <w:rPr>
      <w:rFonts w:eastAsia="David"/>
      <w:sz w:val="24"/>
      <w:szCs w:val="24"/>
    </w:rPr>
  </w:style>
  <w:style w:type="character" w:customStyle="1" w:styleId="BodyTextIndentChar1">
    <w:name w:val="Body Text Indent Char1"/>
    <w:link w:val="BodyTextIndent"/>
    <w:uiPriority w:val="99"/>
    <w:semiHidden/>
    <w:rsid w:val="00452401"/>
    <w:rPr>
      <w:sz w:val="22"/>
      <w:szCs w:val="22"/>
      <w:lang w:val="en-US" w:eastAsia="en-US"/>
    </w:rPr>
  </w:style>
  <w:style w:type="character" w:customStyle="1" w:styleId="BodyTextFirstIndent2Char">
    <w:name w:val="Body Text First Indent 2 Char"/>
    <w:link w:val="BodyTextFirstIndent2"/>
    <w:uiPriority w:val="99"/>
    <w:rsid w:val="00452401"/>
    <w:rPr>
      <w:rFonts w:eastAsia="David"/>
      <w:sz w:val="24"/>
      <w:szCs w:val="24"/>
      <w:lang w:val="en-US" w:eastAsia="en-US"/>
    </w:rPr>
  </w:style>
  <w:style w:type="character" w:customStyle="1" w:styleId="15">
    <w:name w:val="אזכור לא מזוהה1"/>
    <w:uiPriority w:val="99"/>
    <w:semiHidden/>
    <w:unhideWhenUsed/>
    <w:rsid w:val="00452401"/>
    <w:rPr>
      <w:color w:val="605E5C"/>
      <w:shd w:val="clear" w:color="auto" w:fill="E1DFDD"/>
    </w:rPr>
  </w:style>
  <w:style w:type="character" w:customStyle="1" w:styleId="20">
    <w:name w:val="אזכור לא מזוהה2"/>
    <w:uiPriority w:val="99"/>
    <w:semiHidden/>
    <w:unhideWhenUsed/>
    <w:rsid w:val="00452401"/>
    <w:rPr>
      <w:color w:val="605E5C"/>
      <w:shd w:val="clear" w:color="auto" w:fill="E1DFDD"/>
    </w:rPr>
  </w:style>
  <w:style w:type="character" w:customStyle="1" w:styleId="3">
    <w:name w:val="אזכור לא מזוהה3"/>
    <w:uiPriority w:val="99"/>
    <w:semiHidden/>
    <w:unhideWhenUsed/>
    <w:rsid w:val="00452401"/>
    <w:rPr>
      <w:color w:val="605E5C"/>
      <w:shd w:val="clear" w:color="auto" w:fill="E1DFDD"/>
    </w:rPr>
  </w:style>
  <w:style w:type="paragraph" w:styleId="Revision">
    <w:name w:val="Revision"/>
    <w:hidden/>
    <w:uiPriority w:val="99"/>
    <w:semiHidden/>
    <w:rsid w:val="00452401"/>
    <w:pPr>
      <w:bidi/>
    </w:pPr>
    <w:rPr>
      <w:rFonts w:eastAsia="David"/>
      <w:sz w:val="24"/>
      <w:szCs w:val="24"/>
      <w:lang w:val="en-US" w:eastAsia="en-US"/>
    </w:rPr>
  </w:style>
  <w:style w:type="paragraph" w:styleId="Subtitle">
    <w:name w:val="Subtitle"/>
    <w:basedOn w:val="Normal"/>
    <w:next w:val="Normal"/>
    <w:link w:val="SubtitleChar"/>
    <w:rsid w:val="00452401"/>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link w:val="Subtitle"/>
    <w:rsid w:val="00452401"/>
    <w:rPr>
      <w:rFonts w:ascii="Georgia" w:eastAsia="Georgia" w:hAnsi="Georgia" w:cs="Georgia"/>
      <w:i/>
      <w:color w:val="666666"/>
      <w:sz w:val="48"/>
      <w:szCs w:val="48"/>
      <w:lang w:val="en-US" w:eastAsia="en-US"/>
    </w:rPr>
  </w:style>
  <w:style w:type="table" w:customStyle="1" w:styleId="21">
    <w:name w:val="2"/>
    <w:basedOn w:val="TableNormal1"/>
    <w:rsid w:val="00452401"/>
    <w:tblPr>
      <w:tblStyleRowBandSize w:val="1"/>
      <w:tblStyleColBandSize w:val="1"/>
      <w:tblCellMar>
        <w:left w:w="108" w:type="dxa"/>
        <w:right w:w="108" w:type="dxa"/>
      </w:tblCellMar>
    </w:tblPr>
  </w:style>
  <w:style w:type="table" w:customStyle="1" w:styleId="16">
    <w:name w:val="1"/>
    <w:basedOn w:val="TableNormal1"/>
    <w:rsid w:val="00452401"/>
    <w:tblPr>
      <w:tblStyleRowBandSize w:val="1"/>
      <w:tblStyleColBandSize w:val="1"/>
      <w:tblCellMar>
        <w:left w:w="108" w:type="dxa"/>
        <w:right w:w="108" w:type="dxa"/>
      </w:tblCellMar>
    </w:tblPr>
  </w:style>
  <w:style w:type="character" w:customStyle="1" w:styleId="UnresolvedMention1">
    <w:name w:val="Unresolved Mention1"/>
    <w:uiPriority w:val="99"/>
    <w:semiHidden/>
    <w:unhideWhenUsed/>
    <w:rsid w:val="00B75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 TargetMode="External"/><Relationship Id="rId17" Type="http://schemas.openxmlformats.org/officeDocument/2006/relationships/header" Target="header2.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 TargetMode="External"/><Relationship Id="rId23" Type="http://schemas.openxmlformats.org/officeDocument/2006/relationships/customXml" Target="../customXml/item2.xml"/><Relationship Id="rId10" Type="http://schemas.openxmlformats.org/officeDocument/2006/relationships/hyperlink" Targe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B9E3483CB7A0484EBFAAF160C2AAC6DA" ma:contentTypeVersion="1" ma:contentTypeDescription="צור מסמך חדש." ma:contentTypeScope="" ma:versionID="f404ee671278b1abbb26cbc471351842">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1B1BD2-B185-42A1-BE74-91572D9CBFAB}">
  <ds:schemaRefs>
    <ds:schemaRef ds:uri="http://schemas.openxmlformats.org/officeDocument/2006/bibliography"/>
  </ds:schemaRefs>
</ds:datastoreItem>
</file>

<file path=customXml/itemProps2.xml><?xml version="1.0" encoding="utf-8"?>
<ds:datastoreItem xmlns:ds="http://schemas.openxmlformats.org/officeDocument/2006/customXml" ds:itemID="{2FAA1DB3-DE53-4D3C-8A38-CDFA10D4280A}"/>
</file>

<file path=customXml/itemProps3.xml><?xml version="1.0" encoding="utf-8"?>
<ds:datastoreItem xmlns:ds="http://schemas.openxmlformats.org/officeDocument/2006/customXml" ds:itemID="{EC910DDB-6BCE-46A6-B1CB-CE9538F1EB25}"/>
</file>

<file path=customXml/itemProps4.xml><?xml version="1.0" encoding="utf-8"?>
<ds:datastoreItem xmlns:ds="http://schemas.openxmlformats.org/officeDocument/2006/customXml" ds:itemID="{4DA8686A-D2A2-452F-B6DC-D43962F7E3A5}"/>
</file>

<file path=docProps/app.xml><?xml version="1.0" encoding="utf-8"?>
<Properties xmlns="http://schemas.openxmlformats.org/officeDocument/2006/extended-properties" xmlns:vt="http://schemas.openxmlformats.org/officeDocument/2006/docPropsVTypes">
  <Template>Normal</Template>
  <TotalTime>3</TotalTime>
  <Pages>36</Pages>
  <Words>10626</Words>
  <Characters>60572</Characters>
  <Application>Microsoft Office Word</Application>
  <DocSecurity>0</DocSecurity>
  <Lines>504</Lines>
  <Paragraphs>142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Onit Computer Services Ltd</Company>
  <LinksUpToDate>false</LinksUpToDate>
  <CharactersWithSpaces>71056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Mordechai Frankel</dc:creator>
  <cp:lastModifiedBy>onit.mf@gmail.com</cp:lastModifiedBy>
  <cp:revision>3</cp:revision>
  <cp:lastPrinted>2020-01-02T10:11:00Z</cp:lastPrinted>
  <dcterms:created xsi:type="dcterms:W3CDTF">2021-09-02T10:10:00Z</dcterms:created>
  <dcterms:modified xsi:type="dcterms:W3CDTF">2021-09-02T10:14:00Z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0x010100B9E3483CB7A0484EBFAAF160C2AAC6DA</vt:lpwstr>
  </property>
  <property fmtid="{D5CDD505-2E9C-101B-9397-08002B2CF9AE}" pid="3" name="Order">
    <vt:r8>2200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