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3E2B" w14:textId="77777777" w:rsidR="00926914" w:rsidRPr="00E14CB1" w:rsidRDefault="00926914" w:rsidP="00EA3DC8">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Toc76380476"/>
      <w:r w:rsidRPr="00E14CB1">
        <w:rPr>
          <w:rFonts w:ascii="Tahoma" w:hAnsi="Tahoma" w:cs="Guttman Aharoni"/>
          <w:b/>
          <w:bCs/>
          <w:color w:val="00B0F0"/>
          <w:sz w:val="36"/>
          <w:szCs w:val="36"/>
          <w:rtl/>
        </w:rPr>
        <w:t>עוני ותעסוקה: דפוסי תעסוקה בקרב מקבלי שירותים החיים בעוני במחלקות לשירותים חברתיים</w:t>
      </w:r>
      <w:bookmarkEnd w:id="0"/>
      <w:r w:rsidRPr="00E14CB1">
        <w:rPr>
          <w:rFonts w:ascii="Tahoma" w:hAnsi="Tahoma" w:cs="Guttman Aharoni"/>
          <w:b/>
          <w:bCs/>
          <w:color w:val="00B0F0"/>
          <w:sz w:val="36"/>
          <w:szCs w:val="36"/>
          <w:rtl/>
        </w:rPr>
        <w:t xml:space="preserve"> </w:t>
      </w:r>
    </w:p>
    <w:p w14:paraId="3274D67B" w14:textId="4B49FEBF" w:rsidR="00926914" w:rsidRPr="00E14CB1" w:rsidRDefault="00926914" w:rsidP="00EA3DC8">
      <w:pPr>
        <w:pStyle w:val="KOT5T"/>
        <w:spacing w:after="540" w:line="360" w:lineRule="exact"/>
        <w:ind w:right="0"/>
        <w:jc w:val="left"/>
        <w:rPr>
          <w:rFonts w:cs="Guttman Aharoni"/>
          <w:color w:val="00B0F0"/>
        </w:rPr>
      </w:pPr>
      <w:bookmarkStart w:id="1" w:name="_Toc76380477"/>
      <w:r w:rsidRPr="00E14CB1">
        <w:rPr>
          <w:rFonts w:cs="Guttman Aharoni" w:hint="cs"/>
          <w:color w:val="00B0F0"/>
          <w:rtl/>
        </w:rPr>
        <w:t>אלה ברנד</w:t>
      </w:r>
      <w:r w:rsidRPr="00E14CB1">
        <w:rPr>
          <w:rFonts w:ascii="David" w:hAnsi="David" w:cs="David"/>
          <w:color w:val="00B0F0"/>
          <w:rtl/>
        </w:rPr>
        <w:t>-</w:t>
      </w:r>
      <w:r w:rsidRPr="00E14CB1">
        <w:rPr>
          <w:rFonts w:cs="Guttman Aharoni" w:hint="cs"/>
          <w:color w:val="00B0F0"/>
          <w:rtl/>
        </w:rPr>
        <w:t>לוי</w:t>
      </w:r>
      <w:r w:rsidRPr="00E14CB1">
        <w:rPr>
          <w:rFonts w:cs="Guttman Aharoni"/>
          <w:color w:val="00B0F0"/>
          <w:vertAlign w:val="superscript"/>
          <w:rtl/>
        </w:rPr>
        <w:footnoteReference w:id="2"/>
      </w:r>
      <w:r w:rsidR="000C3CFA" w:rsidRPr="00E14CB1">
        <w:rPr>
          <w:rFonts w:cs="Guttman Aharoni" w:hint="cs"/>
          <w:color w:val="00B0F0"/>
          <w:rtl/>
        </w:rPr>
        <w:t>,</w:t>
      </w:r>
      <w:r w:rsidRPr="00E14CB1">
        <w:rPr>
          <w:rFonts w:cs="Guttman Aharoni"/>
          <w:color w:val="00B0F0"/>
        </w:rPr>
        <w:t xml:space="preserve"> </w:t>
      </w:r>
      <w:r w:rsidRPr="00E14CB1">
        <w:rPr>
          <w:rFonts w:cs="Guttman Aharoni" w:hint="cs"/>
          <w:color w:val="00B0F0"/>
          <w:rtl/>
        </w:rPr>
        <w:t>מיקי מלול</w:t>
      </w:r>
      <w:r w:rsidRPr="00E14CB1">
        <w:rPr>
          <w:rFonts w:cs="Guttman Aharoni"/>
          <w:color w:val="00B0F0"/>
          <w:vertAlign w:val="superscript"/>
          <w:rtl/>
        </w:rPr>
        <w:footnoteReference w:id="3"/>
      </w:r>
      <w:r w:rsidR="000C3CFA" w:rsidRPr="00E14CB1">
        <w:rPr>
          <w:rFonts w:cs="Guttman Aharoni" w:hint="cs"/>
          <w:color w:val="00B0F0"/>
          <w:rtl/>
        </w:rPr>
        <w:t>,</w:t>
      </w:r>
      <w:r w:rsidRPr="00E14CB1">
        <w:rPr>
          <w:rFonts w:cs="Guttman Aharoni"/>
          <w:color w:val="00B0F0"/>
        </w:rPr>
        <w:t xml:space="preserve"> </w:t>
      </w:r>
      <w:r w:rsidRPr="00E14CB1">
        <w:rPr>
          <w:rFonts w:cs="Guttman Aharoni" w:hint="cs"/>
          <w:color w:val="00B0F0"/>
          <w:rtl/>
        </w:rPr>
        <w:t>נטע אחדות שדה</w:t>
      </w:r>
      <w:r w:rsidRPr="00E14CB1">
        <w:rPr>
          <w:rFonts w:cs="Guttman Aharoni"/>
          <w:color w:val="00B0F0"/>
          <w:vertAlign w:val="superscript"/>
          <w:rtl/>
        </w:rPr>
        <w:footnoteReference w:id="4"/>
      </w:r>
      <w:r w:rsidRPr="00E14CB1">
        <w:rPr>
          <w:rFonts w:cs="Guttman Aharoni" w:hint="cs"/>
          <w:color w:val="00B0F0"/>
          <w:rtl/>
        </w:rPr>
        <w:t xml:space="preserve"> ו</w:t>
      </w:r>
      <w:r w:rsidRPr="00E14CB1">
        <w:rPr>
          <w:rFonts w:cs="Guttman Aharoni"/>
          <w:color w:val="00B0F0"/>
          <w:rtl/>
        </w:rPr>
        <w:t xml:space="preserve">מיכל </w:t>
      </w:r>
      <w:proofErr w:type="spellStart"/>
      <w:r w:rsidRPr="00E14CB1">
        <w:rPr>
          <w:rFonts w:cs="Guttman Aharoni"/>
          <w:color w:val="00B0F0"/>
          <w:rtl/>
        </w:rPr>
        <w:t>קרומר</w:t>
      </w:r>
      <w:proofErr w:type="spellEnd"/>
      <w:r w:rsidRPr="00E14CB1">
        <w:rPr>
          <w:rFonts w:ascii="David" w:hAnsi="David" w:cs="David"/>
          <w:color w:val="00B0F0"/>
          <w:rtl/>
        </w:rPr>
        <w:t>-</w:t>
      </w:r>
      <w:r w:rsidRPr="00E14CB1">
        <w:rPr>
          <w:rFonts w:cs="Guttman Aharoni"/>
          <w:color w:val="00B0F0"/>
          <w:rtl/>
        </w:rPr>
        <w:t>נבו</w:t>
      </w:r>
      <w:bookmarkEnd w:id="1"/>
      <w:r w:rsidR="00041A57">
        <w:rPr>
          <w:rStyle w:val="FootnoteReference"/>
          <w:rFonts w:cs="Guttman Aharoni"/>
          <w:color w:val="00B0F0"/>
          <w:rtl/>
        </w:rPr>
        <w:footnoteReference w:id="5"/>
      </w:r>
    </w:p>
    <w:p w14:paraId="23A8D733" w14:textId="77777777" w:rsidR="00926914" w:rsidRPr="00EA3DC8" w:rsidRDefault="00926914" w:rsidP="00EA3DC8">
      <w:pPr>
        <w:pStyle w:val="takzir-text"/>
        <w:pBdr>
          <w:top w:val="none" w:sz="0" w:space="0" w:color="auto"/>
          <w:left w:val="none" w:sz="0" w:space="0" w:color="auto"/>
          <w:bottom w:val="none" w:sz="0" w:space="0" w:color="auto"/>
          <w:right w:val="none" w:sz="0" w:space="0" w:color="auto"/>
        </w:pBdr>
        <w:bidi/>
        <w:spacing w:after="180" w:line="280" w:lineRule="exact"/>
        <w:ind w:left="0" w:right="0"/>
        <w:rPr>
          <w:rFonts w:ascii="Times New Roman" w:hAnsi="Times New Roman" w:cs="David"/>
          <w:sz w:val="18"/>
          <w:szCs w:val="20"/>
          <w:rtl/>
        </w:rPr>
      </w:pPr>
      <w:r w:rsidRPr="00EA3DC8">
        <w:rPr>
          <w:rFonts w:ascii="Times New Roman" w:hAnsi="Times New Roman" w:cs="David"/>
          <w:sz w:val="18"/>
          <w:szCs w:val="20"/>
          <w:rtl/>
        </w:rPr>
        <w:t xml:space="preserve">מאמר זה </w:t>
      </w:r>
      <w:r w:rsidRPr="00EA3DC8">
        <w:rPr>
          <w:rFonts w:ascii="Times New Roman" w:hAnsi="Times New Roman" w:cs="David"/>
          <w:sz w:val="18"/>
          <w:szCs w:val="20"/>
          <w:rtl/>
          <w:lang w:val="en-GB"/>
        </w:rPr>
        <w:t>בוחן</w:t>
      </w:r>
      <w:r w:rsidRPr="00EA3DC8">
        <w:rPr>
          <w:rFonts w:ascii="Times New Roman" w:hAnsi="Times New Roman" w:cs="David"/>
          <w:sz w:val="18"/>
          <w:szCs w:val="20"/>
          <w:rtl/>
        </w:rPr>
        <w:t xml:space="preserve"> את מצבם התעסוקתי של אנשים החיים בעוני ומשתמשים בשירות המחלקות לשירותים חברתיים. כן בוחן המאמר את תפקידם של מאפייני הרקע, מאפייני ההון האנושי ומצב הבריאות בהסבר מצב התעסוקה, ומציג את תפיסתם הסובייקטיבית של משתתפי המחקר באשר למצבם התעסוקתי. מדגם המחקר כולל 166 מקבלי שירות של המחלקות לשירותים חברתיים החיים בעוני. ניתוח הנתונים בוצע באמצעות שיטת מחקר משולבת, כמותנית ואיכותנית, ובמסגרתה בחנו את מצבם התעסוקתי של המשתתפים בשתי נקודות זמן: בחודשים יוני–אוקטובר 2016 וכשנה לאחר מכן, בחודשים יוני–נובמבר</w:t>
      </w:r>
      <w:r w:rsidRPr="00EA3DC8" w:rsidDel="009424E0">
        <w:rPr>
          <w:rFonts w:ascii="Times New Roman" w:hAnsi="Times New Roman" w:cs="David"/>
          <w:sz w:val="18"/>
          <w:szCs w:val="20"/>
          <w:rtl/>
        </w:rPr>
        <w:t xml:space="preserve"> </w:t>
      </w:r>
      <w:r w:rsidRPr="00EA3DC8">
        <w:rPr>
          <w:rFonts w:ascii="Times New Roman" w:hAnsi="Times New Roman" w:cs="David"/>
          <w:sz w:val="18"/>
          <w:szCs w:val="20"/>
          <w:rtl/>
        </w:rPr>
        <w:t xml:space="preserve">2017. המרואיינים רואינו בטלפון, והראיונות כללו שאלות סגורות ופתוחות. הממצאים </w:t>
      </w:r>
      <w:proofErr w:type="spellStart"/>
      <w:r w:rsidRPr="00EA3DC8">
        <w:rPr>
          <w:rFonts w:ascii="Times New Roman" w:hAnsi="Times New Roman" w:cs="David"/>
          <w:sz w:val="18"/>
          <w:szCs w:val="20"/>
          <w:rtl/>
        </w:rPr>
        <w:t>הכמותניים</w:t>
      </w:r>
      <w:proofErr w:type="spellEnd"/>
      <w:r w:rsidRPr="00EA3DC8">
        <w:rPr>
          <w:rFonts w:ascii="Times New Roman" w:hAnsi="Times New Roman" w:cs="David"/>
          <w:sz w:val="18"/>
          <w:szCs w:val="20"/>
          <w:rtl/>
        </w:rPr>
        <w:t xml:space="preserve"> הראו כי יותר מ-40% ממשתתפי המחקר עבדו בשתי נקודות הזמן, כ-33% לא עבדו כלל, ו-25% נעו בין </w:t>
      </w:r>
      <w:r w:rsidRPr="00EA3DC8">
        <w:rPr>
          <w:rFonts w:ascii="Times New Roman" w:hAnsi="Times New Roman" w:cs="David"/>
          <w:sz w:val="18"/>
          <w:szCs w:val="20"/>
          <w:rtl/>
          <w:lang w:val="en-GB"/>
        </w:rPr>
        <w:t>תעסוקה לאבטלה</w:t>
      </w:r>
      <w:r w:rsidRPr="00EA3DC8">
        <w:rPr>
          <w:rFonts w:ascii="Times New Roman" w:hAnsi="Times New Roman" w:cs="David"/>
          <w:sz w:val="18"/>
          <w:szCs w:val="20"/>
          <w:rtl/>
        </w:rPr>
        <w:t xml:space="preserve">. נמצא כי הגורמים שניבאו תעסוקה היו מאפיינים אישיים דוגמת מספר ילדים נמוך יותר, גיל מבוגר יותר, הכשרה מקצועית, היעדר מצוקה בין-דורית, ומצב בריאות טוב יותר. בשתי נקודות המדידה שיעור גבוה ממשתתפי המחקר היו מועסקים במשרות חלקיות, ונמצא קשר בין מאפייניהם האישיים של המשתתפים לבין היקף התעסוקה. הממצאים האיכותניים הצביעו על כך שהשיקולים </w:t>
      </w:r>
      <w:r w:rsidRPr="00EA3DC8">
        <w:rPr>
          <w:rFonts w:ascii="Times New Roman" w:hAnsi="Times New Roman" w:cs="David"/>
          <w:sz w:val="18"/>
          <w:szCs w:val="20"/>
          <w:rtl/>
        </w:rPr>
        <w:lastRenderedPageBreak/>
        <w:t>הממלאים תפקיד בהחלטה בדבר תעסוקה אינם רק כלכליים, וכי ההעדפה התעסוקתית של המשתתפים היא תוצר של מערכת שיקולים רחבה. כן הם מלמדים כי משתתפים רבים חשו לכודים בעבודות במשרה חלקית, באין חלופה טובה יותר. בסיום המאמר מוצגות מגבלותיו והמלצות למדיניות ולמחקרי המשך.</w:t>
      </w:r>
    </w:p>
    <w:p w14:paraId="1F54807E" w14:textId="77777777" w:rsidR="00926914" w:rsidRPr="00EA3DC8" w:rsidRDefault="00926914" w:rsidP="00EA3DC8">
      <w:pPr>
        <w:spacing w:after="180" w:line="280" w:lineRule="exact"/>
        <w:jc w:val="both"/>
        <w:rPr>
          <w:b/>
          <w:bCs/>
          <w:sz w:val="18"/>
          <w:szCs w:val="20"/>
          <w:rtl/>
        </w:rPr>
      </w:pPr>
    </w:p>
    <w:p w14:paraId="07D227C3" w14:textId="77777777" w:rsidR="00926914" w:rsidRPr="00EA3DC8" w:rsidRDefault="00926914" w:rsidP="00EA3DC8">
      <w:pPr>
        <w:spacing w:after="180" w:line="280" w:lineRule="exact"/>
        <w:jc w:val="both"/>
        <w:rPr>
          <w:sz w:val="18"/>
          <w:szCs w:val="20"/>
          <w:rtl/>
        </w:rPr>
      </w:pPr>
      <w:r w:rsidRPr="00EA3DC8">
        <w:rPr>
          <w:b/>
          <w:bCs/>
          <w:sz w:val="18"/>
          <w:szCs w:val="20"/>
          <w:rtl/>
        </w:rPr>
        <w:t>מילות מפתח:</w:t>
      </w:r>
      <w:r w:rsidRPr="00EA3DC8">
        <w:rPr>
          <w:sz w:val="18"/>
          <w:szCs w:val="20"/>
          <w:rtl/>
        </w:rPr>
        <w:t xml:space="preserve"> עוני, דפוסי תעסוקה, מחלקות לשירותים חברתיים, גישת היכולות, חסמים לתעסוקה, עבודה סוציאלית</w:t>
      </w:r>
    </w:p>
    <w:p w14:paraId="244C09FB" w14:textId="24782DDC" w:rsidR="00926914" w:rsidRDefault="00926914" w:rsidP="00EA3DC8">
      <w:pPr>
        <w:spacing w:after="180" w:line="280" w:lineRule="exact"/>
        <w:jc w:val="both"/>
        <w:rPr>
          <w:sz w:val="18"/>
          <w:szCs w:val="20"/>
          <w:rtl/>
        </w:rPr>
      </w:pPr>
    </w:p>
    <w:p w14:paraId="31840D04" w14:textId="77777777" w:rsidR="00F4272C" w:rsidRPr="00EA3DC8" w:rsidRDefault="00F4272C" w:rsidP="00EA3DC8">
      <w:pPr>
        <w:spacing w:after="180" w:line="280" w:lineRule="exact"/>
        <w:jc w:val="both"/>
        <w:rPr>
          <w:sz w:val="18"/>
          <w:szCs w:val="20"/>
          <w:rtl/>
        </w:rPr>
      </w:pPr>
    </w:p>
    <w:p w14:paraId="1427A71F" w14:textId="5CA80587" w:rsidR="00926914" w:rsidRPr="00EA3DC8" w:rsidRDefault="00926914" w:rsidP="00EA3DC8">
      <w:pPr>
        <w:pStyle w:val="KOT4"/>
        <w:spacing w:after="0"/>
        <w:ind w:right="0"/>
        <w:rPr>
          <w:rFonts w:cs="Guttman Aharoni"/>
          <w:color w:val="00B0F0"/>
          <w:sz w:val="32"/>
          <w:szCs w:val="32"/>
          <w:rtl/>
        </w:rPr>
      </w:pPr>
      <w:bookmarkStart w:id="2" w:name="_Toc76380478"/>
      <w:r w:rsidRPr="00EA3DC8">
        <w:rPr>
          <w:rFonts w:cs="Guttman Aharoni" w:hint="cs"/>
          <w:color w:val="00B0F0"/>
          <w:sz w:val="32"/>
          <w:szCs w:val="32"/>
          <w:rtl/>
        </w:rPr>
        <w:t>1.</w:t>
      </w:r>
      <w:r w:rsidRPr="00EA3DC8">
        <w:rPr>
          <w:rFonts w:cs="Guttman Aharoni"/>
          <w:color w:val="00B0F0"/>
          <w:sz w:val="32"/>
          <w:szCs w:val="32"/>
          <w:rtl/>
        </w:rPr>
        <w:t xml:space="preserve"> </w:t>
      </w:r>
      <w:r w:rsidRPr="00EA3DC8">
        <w:rPr>
          <w:rFonts w:cs="Guttman Aharoni"/>
          <w:color w:val="00B0F0"/>
          <w:sz w:val="32"/>
          <w:szCs w:val="32"/>
          <w:rtl/>
        </w:rPr>
        <w:tab/>
        <w:t>מבוא</w:t>
      </w:r>
      <w:bookmarkEnd w:id="2"/>
    </w:p>
    <w:p w14:paraId="504307EF" w14:textId="77777777" w:rsidR="00926914" w:rsidRPr="00EA3DC8" w:rsidRDefault="00926914" w:rsidP="00EA3DC8">
      <w:pPr>
        <w:spacing w:after="180" w:line="280" w:lineRule="exact"/>
        <w:jc w:val="both"/>
        <w:rPr>
          <w:sz w:val="18"/>
          <w:szCs w:val="20"/>
          <w:rtl/>
        </w:rPr>
      </w:pPr>
      <w:r w:rsidRPr="00EA3DC8">
        <w:rPr>
          <w:sz w:val="18"/>
          <w:szCs w:val="20"/>
          <w:rtl/>
        </w:rPr>
        <w:t xml:space="preserve">עוני וקשיים הקשורים לתעסוקה הם הסיבה השנייה בשכיחותה </w:t>
      </w:r>
      <w:r w:rsidRPr="00EA3DC8">
        <w:rPr>
          <w:rFonts w:hint="cs"/>
          <w:sz w:val="18"/>
          <w:szCs w:val="20"/>
          <w:rtl/>
        </w:rPr>
        <w:t>ש</w:t>
      </w:r>
      <w:r w:rsidRPr="00EA3DC8">
        <w:rPr>
          <w:sz w:val="18"/>
          <w:szCs w:val="20"/>
          <w:rtl/>
        </w:rPr>
        <w:t xml:space="preserve">בגינה אנשים פונים לסיוע המחלקות לשירותים חברתיים (משרד העבודה, הרווחה והשירותים החברתיים, 2017). עם זאת, רק בשנים האחרונות החל תחום התעסוקה להתפתח כתחום ייחודי בעבודתם של עובדים סוציאליים, נוצרו הכשרות ייעודיות, ומשרד הרווחה החל לעודד את עובדי המחלקות לשירותים חברתיים לעסוק גם בקידום התעסוקה של </w:t>
      </w:r>
      <w:r w:rsidRPr="00EA3DC8">
        <w:rPr>
          <w:rFonts w:hint="cs"/>
          <w:sz w:val="18"/>
          <w:szCs w:val="20"/>
          <w:rtl/>
        </w:rPr>
        <w:t>מקבלי השירות</w:t>
      </w:r>
      <w:r w:rsidRPr="00EA3DC8">
        <w:rPr>
          <w:sz w:val="18"/>
          <w:szCs w:val="20"/>
          <w:rtl/>
        </w:rPr>
        <w:t xml:space="preserve"> (</w:t>
      </w:r>
      <w:proofErr w:type="spellStart"/>
      <w:r w:rsidRPr="00EA3DC8">
        <w:rPr>
          <w:sz w:val="18"/>
          <w:szCs w:val="20"/>
          <w:rtl/>
        </w:rPr>
        <w:t>ברששת</w:t>
      </w:r>
      <w:proofErr w:type="spellEnd"/>
      <w:r w:rsidRPr="00EA3DC8">
        <w:rPr>
          <w:sz w:val="18"/>
          <w:szCs w:val="20"/>
          <w:rtl/>
        </w:rPr>
        <w:t xml:space="preserve">, 2018; </w:t>
      </w:r>
      <w:r w:rsidRPr="00EA3DC8">
        <w:rPr>
          <w:sz w:val="18"/>
          <w:szCs w:val="20"/>
        </w:rPr>
        <w:t xml:space="preserve">Levin &amp; </w:t>
      </w:r>
      <w:proofErr w:type="spellStart"/>
      <w:r w:rsidRPr="00EA3DC8">
        <w:rPr>
          <w:sz w:val="18"/>
          <w:szCs w:val="20"/>
        </w:rPr>
        <w:t>Sefati</w:t>
      </w:r>
      <w:proofErr w:type="spellEnd"/>
      <w:r w:rsidRPr="00EA3DC8">
        <w:rPr>
          <w:sz w:val="18"/>
          <w:szCs w:val="20"/>
        </w:rPr>
        <w:t>, 2018</w:t>
      </w:r>
      <w:r w:rsidRPr="00EA3DC8">
        <w:rPr>
          <w:sz w:val="18"/>
          <w:szCs w:val="20"/>
          <w:rtl/>
        </w:rPr>
        <w:t xml:space="preserve">). התפתחות זו מצריכה הרחבה של גוף הידע בנוגע לדפוסי התעסוקה של מקבלי השירות במחלקות לשירותים חברתיים. </w:t>
      </w:r>
    </w:p>
    <w:p w14:paraId="36943417" w14:textId="77777777" w:rsidR="00926914" w:rsidRPr="00EA3DC8" w:rsidRDefault="00926914" w:rsidP="00EA3DC8">
      <w:pPr>
        <w:spacing w:after="180" w:line="280" w:lineRule="exact"/>
        <w:jc w:val="both"/>
        <w:rPr>
          <w:sz w:val="18"/>
          <w:szCs w:val="20"/>
          <w:rtl/>
        </w:rPr>
      </w:pPr>
      <w:r w:rsidRPr="00EA3DC8">
        <w:rPr>
          <w:sz w:val="18"/>
          <w:szCs w:val="20"/>
          <w:rtl/>
        </w:rPr>
        <w:t xml:space="preserve">מאמר זה </w:t>
      </w:r>
      <w:r w:rsidRPr="00EA3DC8">
        <w:rPr>
          <w:rFonts w:hint="cs"/>
          <w:sz w:val="18"/>
          <w:szCs w:val="20"/>
          <w:rtl/>
        </w:rPr>
        <w:t>בוחן לראשונה את</w:t>
      </w:r>
      <w:r w:rsidRPr="00EA3DC8">
        <w:rPr>
          <w:sz w:val="18"/>
          <w:szCs w:val="20"/>
          <w:rtl/>
        </w:rPr>
        <w:t xml:space="preserve"> מצבם התעסוקתי של אנשים </w:t>
      </w:r>
      <w:r w:rsidRPr="00EA3DC8">
        <w:rPr>
          <w:rFonts w:hint="cs"/>
          <w:sz w:val="18"/>
          <w:szCs w:val="20"/>
          <w:rtl/>
        </w:rPr>
        <w:t xml:space="preserve">החיים </w:t>
      </w:r>
      <w:r w:rsidRPr="00EA3DC8">
        <w:rPr>
          <w:sz w:val="18"/>
          <w:szCs w:val="20"/>
          <w:rtl/>
        </w:rPr>
        <w:t xml:space="preserve">בעוני </w:t>
      </w:r>
      <w:r w:rsidRPr="00EA3DC8">
        <w:rPr>
          <w:rFonts w:hint="cs"/>
          <w:sz w:val="18"/>
          <w:szCs w:val="20"/>
          <w:rtl/>
        </w:rPr>
        <w:t>ו</w:t>
      </w:r>
      <w:r w:rsidRPr="00EA3DC8">
        <w:rPr>
          <w:sz w:val="18"/>
          <w:szCs w:val="20"/>
          <w:rtl/>
        </w:rPr>
        <w:t>משתמשים בשירות המחלקות לשירותים חברתיים</w:t>
      </w:r>
      <w:r w:rsidRPr="00EA3DC8">
        <w:rPr>
          <w:rFonts w:hint="cs"/>
          <w:sz w:val="18"/>
          <w:szCs w:val="20"/>
          <w:rtl/>
        </w:rPr>
        <w:t>.</w:t>
      </w:r>
      <w:r w:rsidRPr="00EA3DC8">
        <w:rPr>
          <w:sz w:val="18"/>
          <w:szCs w:val="20"/>
          <w:rtl/>
        </w:rPr>
        <w:t xml:space="preserve"> </w:t>
      </w:r>
      <w:r w:rsidRPr="00EA3DC8">
        <w:rPr>
          <w:rFonts w:hint="cs"/>
          <w:sz w:val="18"/>
          <w:szCs w:val="20"/>
          <w:rtl/>
        </w:rPr>
        <w:t>עוד בוחן המאמר</w:t>
      </w:r>
      <w:r w:rsidRPr="00EA3DC8">
        <w:rPr>
          <w:sz w:val="18"/>
          <w:szCs w:val="20"/>
          <w:rtl/>
        </w:rPr>
        <w:t xml:space="preserve"> את המאפיינים המסבירים את מצב התעסוקה</w:t>
      </w:r>
      <w:r w:rsidRPr="00EA3DC8">
        <w:rPr>
          <w:rFonts w:hint="cs"/>
          <w:sz w:val="18"/>
          <w:szCs w:val="20"/>
          <w:rtl/>
        </w:rPr>
        <w:t>,</w:t>
      </w:r>
      <w:r w:rsidRPr="00EA3DC8">
        <w:rPr>
          <w:sz w:val="18"/>
          <w:szCs w:val="20"/>
          <w:rtl/>
        </w:rPr>
        <w:t xml:space="preserve"> </w:t>
      </w:r>
      <w:r w:rsidRPr="00EA3DC8">
        <w:rPr>
          <w:rFonts w:hint="cs"/>
          <w:sz w:val="18"/>
          <w:szCs w:val="20"/>
          <w:rtl/>
        </w:rPr>
        <w:t>ומציג</w:t>
      </w:r>
      <w:r w:rsidRPr="00EA3DC8">
        <w:rPr>
          <w:sz w:val="18"/>
          <w:szCs w:val="20"/>
          <w:rtl/>
        </w:rPr>
        <w:t xml:space="preserve"> את תפיסתם של משתתפי המחקר </w:t>
      </w:r>
      <w:r w:rsidRPr="00EA3DC8">
        <w:rPr>
          <w:rFonts w:hint="cs"/>
          <w:sz w:val="18"/>
          <w:szCs w:val="20"/>
          <w:rtl/>
        </w:rPr>
        <w:t>באשר ל</w:t>
      </w:r>
      <w:r w:rsidRPr="00EA3DC8">
        <w:rPr>
          <w:sz w:val="18"/>
          <w:szCs w:val="20"/>
          <w:rtl/>
        </w:rPr>
        <w:t>מצבם התעסוקתי. המאמר נפתח בסקירה של הספרות ה</w:t>
      </w:r>
      <w:r w:rsidRPr="00EA3DC8">
        <w:rPr>
          <w:rFonts w:hint="cs"/>
          <w:sz w:val="18"/>
          <w:szCs w:val="20"/>
          <w:rtl/>
        </w:rPr>
        <w:t xml:space="preserve">דנה </w:t>
      </w:r>
      <w:r w:rsidRPr="00EA3DC8">
        <w:rPr>
          <w:sz w:val="18"/>
          <w:szCs w:val="20"/>
          <w:rtl/>
        </w:rPr>
        <w:t xml:space="preserve">בדפוסי התעסוקה של אנשים שחיים בעוני, בחסמים לתעסוקה ובהשלכות היציאה לעבודה על חייהם של אנשים </w:t>
      </w:r>
      <w:r w:rsidRPr="00EA3DC8">
        <w:rPr>
          <w:rFonts w:hint="cs"/>
          <w:sz w:val="18"/>
          <w:szCs w:val="20"/>
          <w:rtl/>
        </w:rPr>
        <w:t>ה</w:t>
      </w:r>
      <w:r w:rsidRPr="00EA3DC8">
        <w:rPr>
          <w:sz w:val="18"/>
          <w:szCs w:val="20"/>
          <w:rtl/>
        </w:rPr>
        <w:t xml:space="preserve">חיים בעוני. בחלק הבא מוצגת שיטת המחקר, ולאחריו ממצאים כמותניים </w:t>
      </w:r>
      <w:r w:rsidRPr="00EA3DC8">
        <w:rPr>
          <w:rFonts w:hint="cs"/>
          <w:sz w:val="18"/>
          <w:szCs w:val="20"/>
          <w:rtl/>
        </w:rPr>
        <w:t xml:space="preserve">על </w:t>
      </w:r>
      <w:r w:rsidRPr="00EA3DC8">
        <w:rPr>
          <w:sz w:val="18"/>
          <w:szCs w:val="20"/>
          <w:rtl/>
        </w:rPr>
        <w:t>דפוסי התעסוקה</w:t>
      </w:r>
      <w:r w:rsidRPr="00EA3DC8">
        <w:rPr>
          <w:rFonts w:hint="cs"/>
          <w:sz w:val="18"/>
          <w:szCs w:val="20"/>
          <w:rtl/>
        </w:rPr>
        <w:t xml:space="preserve"> ו</w:t>
      </w:r>
      <w:r w:rsidRPr="00EA3DC8">
        <w:rPr>
          <w:sz w:val="18"/>
          <w:szCs w:val="20"/>
          <w:rtl/>
        </w:rPr>
        <w:t xml:space="preserve">הגורמים המנבאים את מצב התעסוקה ואת היקף התעסוקה. כן מוצגים ממצאים איכותניים </w:t>
      </w:r>
      <w:r w:rsidRPr="00EA3DC8">
        <w:rPr>
          <w:rFonts w:hint="cs"/>
          <w:sz w:val="18"/>
          <w:szCs w:val="20"/>
          <w:rtl/>
        </w:rPr>
        <w:t xml:space="preserve">בנוגע </w:t>
      </w:r>
      <w:r w:rsidRPr="00EA3DC8">
        <w:rPr>
          <w:sz w:val="18"/>
          <w:szCs w:val="20"/>
          <w:rtl/>
        </w:rPr>
        <w:t>לסיבות לאי-תעסוקה ולעבודה במשרה חלקית. לבסוף</w:t>
      </w:r>
      <w:r w:rsidRPr="00EA3DC8">
        <w:rPr>
          <w:rFonts w:hint="cs"/>
          <w:sz w:val="18"/>
          <w:szCs w:val="20"/>
          <w:rtl/>
        </w:rPr>
        <w:t>, בפרק הדיון,</w:t>
      </w:r>
      <w:r w:rsidRPr="00EA3DC8">
        <w:rPr>
          <w:sz w:val="18"/>
          <w:szCs w:val="20"/>
          <w:rtl/>
        </w:rPr>
        <w:t xml:space="preserve"> נדונים הממצאים ה</w:t>
      </w:r>
      <w:r w:rsidRPr="00EA3DC8">
        <w:rPr>
          <w:rFonts w:hint="cs"/>
          <w:sz w:val="18"/>
          <w:szCs w:val="20"/>
          <w:rtl/>
        </w:rPr>
        <w:t>עיקריים ומוצגות המלצות למדיניות</w:t>
      </w:r>
      <w:r w:rsidRPr="00EA3DC8">
        <w:rPr>
          <w:sz w:val="18"/>
          <w:szCs w:val="20"/>
          <w:rtl/>
        </w:rPr>
        <w:t xml:space="preserve">. </w:t>
      </w:r>
    </w:p>
    <w:p w14:paraId="6E9F2F25" w14:textId="77777777" w:rsidR="00926914" w:rsidRPr="00EA3DC8" w:rsidRDefault="00926914" w:rsidP="00CC3DB0">
      <w:pPr>
        <w:spacing w:after="180" w:line="280" w:lineRule="exact"/>
        <w:jc w:val="both"/>
        <w:rPr>
          <w:sz w:val="18"/>
          <w:szCs w:val="20"/>
          <w:rtl/>
        </w:rPr>
      </w:pPr>
    </w:p>
    <w:p w14:paraId="6BE081A5" w14:textId="69CF0722" w:rsidR="00926914" w:rsidRPr="00926914" w:rsidRDefault="00926914" w:rsidP="00EA3DC8">
      <w:pPr>
        <w:pStyle w:val="KOT4"/>
        <w:spacing w:after="0"/>
        <w:ind w:right="0"/>
        <w:rPr>
          <w:rFonts w:cs="Guttman Aharoni"/>
          <w:color w:val="00B0F0"/>
          <w:sz w:val="32"/>
          <w:szCs w:val="32"/>
          <w:rtl/>
        </w:rPr>
      </w:pPr>
      <w:bookmarkStart w:id="3" w:name="_Toc76380479"/>
      <w:r w:rsidRPr="00926914">
        <w:rPr>
          <w:rFonts w:cs="Guttman Aharoni" w:hint="cs"/>
          <w:color w:val="00B0F0"/>
          <w:sz w:val="32"/>
          <w:szCs w:val="32"/>
          <w:rtl/>
        </w:rPr>
        <w:lastRenderedPageBreak/>
        <w:t>2. סקירת ספרות</w:t>
      </w:r>
      <w:bookmarkEnd w:id="3"/>
    </w:p>
    <w:p w14:paraId="64051D88" w14:textId="77777777" w:rsidR="009F4991" w:rsidRPr="00D73C8D" w:rsidRDefault="009F4991" w:rsidP="009F4991">
      <w:pPr>
        <w:keepNext/>
        <w:keepLines/>
        <w:spacing w:after="180" w:line="280" w:lineRule="exact"/>
        <w:jc w:val="both"/>
        <w:rPr>
          <w:sz w:val="18"/>
          <w:szCs w:val="20"/>
        </w:rPr>
      </w:pPr>
      <w:bookmarkStart w:id="4" w:name="_Toc76380480"/>
    </w:p>
    <w:p w14:paraId="1EDA83AA" w14:textId="3A6835E2" w:rsidR="00926914" w:rsidRPr="00926914" w:rsidRDefault="00926914" w:rsidP="00EA3DC8">
      <w:pPr>
        <w:pStyle w:val="KOT5"/>
        <w:spacing w:after="0"/>
        <w:ind w:right="0"/>
        <w:rPr>
          <w:rFonts w:cs="Guttman Aharoni"/>
          <w:color w:val="00B0F0"/>
          <w:rtl/>
        </w:rPr>
      </w:pPr>
      <w:r w:rsidRPr="00926914">
        <w:rPr>
          <w:rFonts w:cs="Guttman Aharoni"/>
          <w:color w:val="00B0F0"/>
          <w:rtl/>
        </w:rPr>
        <w:t xml:space="preserve">דפוסי תעסוקה של אנשים </w:t>
      </w:r>
      <w:r w:rsidRPr="00926914">
        <w:rPr>
          <w:rFonts w:cs="Guttman Aharoni" w:hint="cs"/>
          <w:color w:val="00B0F0"/>
          <w:rtl/>
        </w:rPr>
        <w:t>ה</w:t>
      </w:r>
      <w:r w:rsidRPr="00926914">
        <w:rPr>
          <w:rFonts w:cs="Guttman Aharoni"/>
          <w:color w:val="00B0F0"/>
          <w:rtl/>
        </w:rPr>
        <w:t>חיים בעוני</w:t>
      </w:r>
      <w:bookmarkEnd w:id="4"/>
    </w:p>
    <w:p w14:paraId="3FF9D9D0" w14:textId="77777777" w:rsidR="00926914" w:rsidRPr="00EA3DC8" w:rsidRDefault="00926914" w:rsidP="00EA3DC8">
      <w:pPr>
        <w:spacing w:after="180" w:line="280" w:lineRule="exact"/>
        <w:jc w:val="both"/>
        <w:rPr>
          <w:sz w:val="18"/>
          <w:szCs w:val="20"/>
          <w:rtl/>
        </w:rPr>
      </w:pPr>
      <w:r w:rsidRPr="00EA3DC8">
        <w:rPr>
          <w:sz w:val="18"/>
          <w:szCs w:val="20"/>
          <w:rtl/>
        </w:rPr>
        <w:t>באופן מסורתי</w:t>
      </w:r>
      <w:r w:rsidRPr="00EA3DC8">
        <w:rPr>
          <w:rFonts w:hint="cs"/>
          <w:sz w:val="18"/>
          <w:szCs w:val="20"/>
          <w:rtl/>
        </w:rPr>
        <w:t>,</w:t>
      </w:r>
      <w:r w:rsidRPr="00EA3DC8">
        <w:rPr>
          <w:sz w:val="18"/>
          <w:szCs w:val="20"/>
          <w:rtl/>
        </w:rPr>
        <w:t xml:space="preserve"> חוקרים וקובעי מדיניות תפסו את התעסוקה כדרך המרכזית להיחלץ מעוני</w:t>
      </w:r>
      <w:r w:rsidRPr="00EA3DC8">
        <w:rPr>
          <w:rFonts w:hint="cs"/>
          <w:sz w:val="18"/>
          <w:szCs w:val="20"/>
          <w:rtl/>
        </w:rPr>
        <w:t>.</w:t>
      </w:r>
      <w:r w:rsidRPr="00EA3DC8">
        <w:rPr>
          <w:sz w:val="18"/>
          <w:szCs w:val="20"/>
          <w:rtl/>
        </w:rPr>
        <w:t xml:space="preserve"> </w:t>
      </w:r>
      <w:r w:rsidRPr="00EA3DC8">
        <w:rPr>
          <w:rFonts w:hint="cs"/>
          <w:sz w:val="18"/>
          <w:szCs w:val="20"/>
          <w:rtl/>
        </w:rPr>
        <w:t>ב</w:t>
      </w:r>
      <w:r w:rsidRPr="00EA3DC8">
        <w:rPr>
          <w:sz w:val="18"/>
          <w:szCs w:val="20"/>
          <w:rtl/>
        </w:rPr>
        <w:t>שנים האחרונות התעצמה תפיסה זו בהשפעת תפיסות נ</w:t>
      </w:r>
      <w:r w:rsidRPr="00EA3DC8">
        <w:rPr>
          <w:rFonts w:hint="cs"/>
          <w:sz w:val="18"/>
          <w:szCs w:val="20"/>
          <w:rtl/>
        </w:rPr>
        <w:t>י</w:t>
      </w:r>
      <w:r w:rsidRPr="00EA3DC8">
        <w:rPr>
          <w:sz w:val="18"/>
          <w:szCs w:val="20"/>
          <w:rtl/>
        </w:rPr>
        <w:t>או-ליברליות, המדגישות את אחריות הפרט למצבו. בהתאם לכך, במרבית המדינות המפותחות, ובכללן ישראל, נהוגה מדיניות אקטיבית המעודדת השתלבות בעבודה</w:t>
      </w:r>
      <w:r w:rsidRPr="00EA3DC8">
        <w:rPr>
          <w:rFonts w:hint="cs"/>
          <w:sz w:val="18"/>
          <w:szCs w:val="20"/>
          <w:rtl/>
        </w:rPr>
        <w:t xml:space="preserve"> ומעדיפה אותה</w:t>
      </w:r>
      <w:r w:rsidRPr="00EA3DC8">
        <w:rPr>
          <w:sz w:val="18"/>
          <w:szCs w:val="20"/>
          <w:rtl/>
        </w:rPr>
        <w:t xml:space="preserve"> על פני הסתמכות על קבל</w:t>
      </w:r>
      <w:r w:rsidRPr="00EA3DC8">
        <w:rPr>
          <w:rFonts w:hint="cs"/>
          <w:sz w:val="18"/>
          <w:szCs w:val="20"/>
          <w:rtl/>
        </w:rPr>
        <w:t xml:space="preserve">ה של </w:t>
      </w:r>
      <w:r w:rsidRPr="00EA3DC8">
        <w:rPr>
          <w:sz w:val="18"/>
          <w:szCs w:val="20"/>
          <w:rtl/>
        </w:rPr>
        <w:t>גמלאות רשת הביטחון, שהן הת</w:t>
      </w:r>
      <w:r w:rsidRPr="00EA3DC8">
        <w:rPr>
          <w:rFonts w:hint="cs"/>
          <w:sz w:val="18"/>
          <w:szCs w:val="20"/>
          <w:rtl/>
        </w:rPr>
        <w:t>ו</w:t>
      </w:r>
      <w:r w:rsidRPr="00EA3DC8">
        <w:rPr>
          <w:sz w:val="18"/>
          <w:szCs w:val="20"/>
          <w:rtl/>
        </w:rPr>
        <w:t>כניות להבטחת הכנסה (</w:t>
      </w:r>
      <w:proofErr w:type="spellStart"/>
      <w:r w:rsidRPr="00EA3DC8">
        <w:rPr>
          <w:sz w:val="18"/>
          <w:szCs w:val="20"/>
        </w:rPr>
        <w:t>Achdut</w:t>
      </w:r>
      <w:proofErr w:type="spellEnd"/>
      <w:r w:rsidRPr="00EA3DC8">
        <w:rPr>
          <w:sz w:val="18"/>
          <w:szCs w:val="20"/>
        </w:rPr>
        <w:t xml:space="preserve"> &amp; Stier, 2018</w:t>
      </w:r>
      <w:r w:rsidRPr="00EA3DC8">
        <w:rPr>
          <w:sz w:val="18"/>
          <w:szCs w:val="20"/>
          <w:rtl/>
        </w:rPr>
        <w:t>).</w:t>
      </w:r>
      <w:r w:rsidRPr="00EA3DC8">
        <w:rPr>
          <w:rFonts w:eastAsia="Calibri"/>
          <w:sz w:val="18"/>
          <w:szCs w:val="20"/>
          <w:rtl/>
        </w:rPr>
        <w:t xml:space="preserve"> </w:t>
      </w:r>
      <w:r w:rsidRPr="00EA3DC8">
        <w:rPr>
          <w:rFonts w:eastAsia="Calibri" w:hint="cs"/>
          <w:sz w:val="18"/>
          <w:szCs w:val="20"/>
          <w:rtl/>
        </w:rPr>
        <w:t>ה</w:t>
      </w:r>
      <w:r w:rsidRPr="00EA3DC8">
        <w:rPr>
          <w:rFonts w:eastAsia="Calibri"/>
          <w:sz w:val="18"/>
          <w:szCs w:val="20"/>
          <w:rtl/>
        </w:rPr>
        <w:t>מדינ</w:t>
      </w:r>
      <w:r w:rsidRPr="00EA3DC8">
        <w:rPr>
          <w:rFonts w:eastAsia="Calibri" w:hint="cs"/>
          <w:sz w:val="18"/>
          <w:szCs w:val="20"/>
          <w:rtl/>
        </w:rPr>
        <w:t xml:space="preserve">יות הננקטת לקידום ההשתלבות בשוק העבודה משתנה ממדינה למדינה, וכוללת </w:t>
      </w:r>
      <w:r w:rsidRPr="00EA3DC8">
        <w:rPr>
          <w:rFonts w:eastAsia="Calibri"/>
          <w:sz w:val="18"/>
          <w:szCs w:val="20"/>
          <w:rtl/>
        </w:rPr>
        <w:t>תמהיל שונה של תמריצים ואמצעים מנדטור</w:t>
      </w:r>
      <w:r w:rsidRPr="00EA3DC8">
        <w:rPr>
          <w:rFonts w:eastAsia="Calibri" w:hint="cs"/>
          <w:sz w:val="18"/>
          <w:szCs w:val="20"/>
          <w:rtl/>
        </w:rPr>
        <w:t>י</w:t>
      </w:r>
      <w:r w:rsidRPr="00EA3DC8">
        <w:rPr>
          <w:rFonts w:eastAsia="Calibri"/>
          <w:sz w:val="18"/>
          <w:szCs w:val="20"/>
          <w:rtl/>
        </w:rPr>
        <w:t xml:space="preserve">ים </w:t>
      </w:r>
      <w:r w:rsidRPr="00EA3DC8">
        <w:rPr>
          <w:rFonts w:eastAsia="Calibri"/>
          <w:sz w:val="18"/>
          <w:szCs w:val="20"/>
          <w:rtl/>
          <w:lang w:val="en-GB"/>
        </w:rPr>
        <w:t xml:space="preserve">הנהוגים במסגרת מערכת התמיכה </w:t>
      </w:r>
      <w:r w:rsidRPr="00EA3DC8">
        <w:rPr>
          <w:rFonts w:eastAsia="Calibri"/>
          <w:sz w:val="18"/>
          <w:szCs w:val="20"/>
          <w:rtl/>
        </w:rPr>
        <w:t>(</w:t>
      </w:r>
      <w:proofErr w:type="spellStart"/>
      <w:r w:rsidRPr="00EA3DC8">
        <w:rPr>
          <w:rFonts w:eastAsia="Calibri"/>
          <w:sz w:val="18"/>
          <w:szCs w:val="20"/>
        </w:rPr>
        <w:t>Achdut</w:t>
      </w:r>
      <w:proofErr w:type="spellEnd"/>
      <w:r w:rsidRPr="00EA3DC8">
        <w:rPr>
          <w:rFonts w:eastAsia="Calibri"/>
          <w:sz w:val="18"/>
          <w:szCs w:val="20"/>
        </w:rPr>
        <w:t xml:space="preserve"> &amp; </w:t>
      </w:r>
      <w:proofErr w:type="spellStart"/>
      <w:r w:rsidRPr="00EA3DC8">
        <w:rPr>
          <w:rFonts w:eastAsia="Calibri"/>
          <w:sz w:val="18"/>
          <w:szCs w:val="20"/>
        </w:rPr>
        <w:t>Endveld</w:t>
      </w:r>
      <w:proofErr w:type="spellEnd"/>
      <w:r w:rsidRPr="00EA3DC8">
        <w:rPr>
          <w:rFonts w:eastAsia="Calibri"/>
          <w:sz w:val="18"/>
          <w:szCs w:val="20"/>
        </w:rPr>
        <w:t>, In press</w:t>
      </w:r>
      <w:r w:rsidRPr="00EA3DC8">
        <w:rPr>
          <w:rFonts w:eastAsia="Calibri"/>
          <w:sz w:val="18"/>
          <w:szCs w:val="20"/>
          <w:rtl/>
        </w:rPr>
        <w:t>)</w:t>
      </w:r>
      <w:r w:rsidRPr="00EA3DC8">
        <w:rPr>
          <w:rFonts w:eastAsia="Calibri" w:hint="cs"/>
          <w:sz w:val="18"/>
          <w:szCs w:val="20"/>
          <w:rtl/>
        </w:rPr>
        <w:t>.</w:t>
      </w:r>
    </w:p>
    <w:p w14:paraId="6F25DE38" w14:textId="77777777" w:rsidR="00926914" w:rsidRPr="00EA3DC8" w:rsidRDefault="00926914" w:rsidP="00EA3DC8">
      <w:pPr>
        <w:spacing w:after="180" w:line="280" w:lineRule="exact"/>
        <w:jc w:val="both"/>
        <w:rPr>
          <w:sz w:val="18"/>
          <w:szCs w:val="20"/>
          <w:rtl/>
        </w:rPr>
      </w:pPr>
      <w:r w:rsidRPr="00EA3DC8">
        <w:rPr>
          <w:sz w:val="18"/>
          <w:szCs w:val="20"/>
          <w:rtl/>
        </w:rPr>
        <w:t>מחקרים שבחנו את דפוסי התעסוקה של אנשים החיים בעוני מצביעים על טווח השתתפות אשר נע מהכללה מלאה בשוק העבודה ועד להדרה מלאה ממנו, כשבתווך מצויים אנשים אשר עוברים בין עבודה לאי-עבודה ברמות שונות של אינטנסיביות (</w:t>
      </w:r>
      <w:proofErr w:type="spellStart"/>
      <w:r w:rsidRPr="00EA3DC8">
        <w:rPr>
          <w:sz w:val="18"/>
          <w:szCs w:val="20"/>
          <w:shd w:val="clear" w:color="auto" w:fill="FFFFFF"/>
        </w:rPr>
        <w:t>Halleröd</w:t>
      </w:r>
      <w:proofErr w:type="spellEnd"/>
      <w:r w:rsidRPr="00EA3DC8">
        <w:rPr>
          <w:sz w:val="18"/>
          <w:szCs w:val="20"/>
          <w:shd w:val="clear" w:color="auto" w:fill="FFFFFF"/>
        </w:rPr>
        <w:t xml:space="preserve">, </w:t>
      </w:r>
      <w:proofErr w:type="spellStart"/>
      <w:r w:rsidRPr="00EA3DC8">
        <w:rPr>
          <w:sz w:val="18"/>
          <w:szCs w:val="20"/>
          <w:shd w:val="clear" w:color="auto" w:fill="FFFFFF"/>
        </w:rPr>
        <w:t>Ekbrand</w:t>
      </w:r>
      <w:proofErr w:type="spellEnd"/>
      <w:r w:rsidRPr="00EA3DC8">
        <w:rPr>
          <w:sz w:val="18"/>
          <w:szCs w:val="20"/>
          <w:shd w:val="clear" w:color="auto" w:fill="FFFFFF"/>
        </w:rPr>
        <w:t>, &amp; Bengtsson, 2015</w:t>
      </w:r>
      <w:r w:rsidRPr="00EA3DC8">
        <w:rPr>
          <w:sz w:val="18"/>
          <w:szCs w:val="20"/>
          <w:rtl/>
        </w:rPr>
        <w:t>). מחקרים רבים בתחום זה נערכו בקרב אנשים (או משקי בית) המקבלים קצבאות קיום, והם מצביעים על אי</w:t>
      </w:r>
      <w:r w:rsidRPr="00EA3DC8">
        <w:rPr>
          <w:rFonts w:hint="cs"/>
          <w:sz w:val="18"/>
          <w:szCs w:val="20"/>
          <w:rtl/>
        </w:rPr>
        <w:t>-</w:t>
      </w:r>
      <w:r w:rsidRPr="00EA3DC8">
        <w:rPr>
          <w:sz w:val="18"/>
          <w:szCs w:val="20"/>
          <w:rtl/>
        </w:rPr>
        <w:t xml:space="preserve">היציבות </w:t>
      </w:r>
      <w:r w:rsidRPr="00EA3DC8">
        <w:rPr>
          <w:rFonts w:hint="cs"/>
          <w:sz w:val="18"/>
          <w:szCs w:val="20"/>
          <w:rtl/>
        </w:rPr>
        <w:t>התעסוקתי</w:t>
      </w:r>
      <w:r w:rsidRPr="00EA3DC8">
        <w:rPr>
          <w:rFonts w:hint="eastAsia"/>
          <w:sz w:val="18"/>
          <w:szCs w:val="20"/>
          <w:rtl/>
        </w:rPr>
        <w:t>ת</w:t>
      </w:r>
      <w:r w:rsidRPr="00EA3DC8">
        <w:rPr>
          <w:sz w:val="18"/>
          <w:szCs w:val="20"/>
          <w:rtl/>
        </w:rPr>
        <w:t xml:space="preserve"> של מקבלי גמלאות</w:t>
      </w:r>
      <w:r w:rsidRPr="00EA3DC8">
        <w:rPr>
          <w:rFonts w:hint="cs"/>
          <w:sz w:val="18"/>
          <w:szCs w:val="20"/>
          <w:rtl/>
        </w:rPr>
        <w:t>,</w:t>
      </w:r>
      <w:r w:rsidRPr="00EA3DC8">
        <w:rPr>
          <w:sz w:val="18"/>
          <w:szCs w:val="20"/>
          <w:rtl/>
        </w:rPr>
        <w:t xml:space="preserve"> ועל כך </w:t>
      </w:r>
      <w:r w:rsidRPr="00EA3DC8">
        <w:rPr>
          <w:rFonts w:hint="cs"/>
          <w:sz w:val="18"/>
          <w:szCs w:val="20"/>
          <w:rtl/>
        </w:rPr>
        <w:t>ש</w:t>
      </w:r>
      <w:r w:rsidRPr="00EA3DC8">
        <w:rPr>
          <w:sz w:val="18"/>
          <w:szCs w:val="20"/>
          <w:rtl/>
        </w:rPr>
        <w:t xml:space="preserve">הדפוס השכיח בקרבם הוא של תעסוקה לא יציבה </w:t>
      </w:r>
      <w:r w:rsidRPr="00EA3DC8">
        <w:rPr>
          <w:rFonts w:hint="cs"/>
          <w:sz w:val="18"/>
          <w:szCs w:val="20"/>
          <w:rtl/>
        </w:rPr>
        <w:t>ו</w:t>
      </w:r>
      <w:r w:rsidRPr="00EA3DC8">
        <w:rPr>
          <w:sz w:val="18"/>
          <w:szCs w:val="20"/>
          <w:rtl/>
        </w:rPr>
        <w:t xml:space="preserve">תקופות </w:t>
      </w:r>
      <w:r w:rsidRPr="00EA3DC8">
        <w:rPr>
          <w:rFonts w:hint="cs"/>
          <w:sz w:val="18"/>
          <w:szCs w:val="20"/>
          <w:rtl/>
        </w:rPr>
        <w:t xml:space="preserve">חוזרות </w:t>
      </w:r>
      <w:r w:rsidRPr="00EA3DC8">
        <w:rPr>
          <w:sz w:val="18"/>
          <w:szCs w:val="20"/>
          <w:rtl/>
        </w:rPr>
        <w:t>של אבטלה (</w:t>
      </w:r>
      <w:proofErr w:type="spellStart"/>
      <w:r w:rsidRPr="00EA3DC8">
        <w:rPr>
          <w:sz w:val="18"/>
          <w:szCs w:val="20"/>
        </w:rPr>
        <w:t>Achdut</w:t>
      </w:r>
      <w:proofErr w:type="spellEnd"/>
      <w:r w:rsidRPr="00EA3DC8">
        <w:rPr>
          <w:sz w:val="18"/>
          <w:szCs w:val="20"/>
        </w:rPr>
        <w:t xml:space="preserve"> &amp; Stier, 2016; Collins &amp; Mayer, 2010</w:t>
      </w:r>
      <w:r w:rsidRPr="00EA3DC8">
        <w:rPr>
          <w:sz w:val="18"/>
          <w:szCs w:val="20"/>
          <w:shd w:val="clear" w:color="auto" w:fill="FFFFFF"/>
        </w:rPr>
        <w:t xml:space="preserve">; Danziger, Danziger, </w:t>
      </w:r>
      <w:proofErr w:type="spellStart"/>
      <w:r w:rsidRPr="00EA3DC8">
        <w:rPr>
          <w:sz w:val="18"/>
          <w:szCs w:val="20"/>
          <w:shd w:val="clear" w:color="auto" w:fill="FFFFFF"/>
        </w:rPr>
        <w:t>Seefeldt</w:t>
      </w:r>
      <w:proofErr w:type="spellEnd"/>
      <w:r w:rsidRPr="00EA3DC8">
        <w:rPr>
          <w:sz w:val="18"/>
          <w:szCs w:val="20"/>
          <w:shd w:val="clear" w:color="auto" w:fill="FFFFFF"/>
        </w:rPr>
        <w:t>, &amp; Shaefer, 2016</w:t>
      </w:r>
      <w:r w:rsidRPr="00EA3DC8">
        <w:rPr>
          <w:sz w:val="18"/>
          <w:szCs w:val="20"/>
        </w:rPr>
        <w:t xml:space="preserve">; </w:t>
      </w:r>
      <w:r w:rsidRPr="00EA3DC8">
        <w:rPr>
          <w:sz w:val="18"/>
          <w:szCs w:val="20"/>
          <w:shd w:val="clear" w:color="auto" w:fill="FFFFFF"/>
        </w:rPr>
        <w:t xml:space="preserve">Wood, Moore, &amp; Rangarajan, </w:t>
      </w:r>
      <w:r w:rsidRPr="00EA3DC8">
        <w:rPr>
          <w:sz w:val="18"/>
          <w:szCs w:val="20"/>
        </w:rPr>
        <w:t xml:space="preserve">2008; </w:t>
      </w:r>
      <w:r w:rsidRPr="00EA3DC8">
        <w:rPr>
          <w:sz w:val="18"/>
          <w:szCs w:val="20"/>
          <w:shd w:val="clear" w:color="auto" w:fill="FFFFFF"/>
        </w:rPr>
        <w:t xml:space="preserve">Wu, </w:t>
      </w:r>
      <w:proofErr w:type="spellStart"/>
      <w:r w:rsidRPr="00EA3DC8">
        <w:rPr>
          <w:sz w:val="18"/>
          <w:szCs w:val="20"/>
          <w:shd w:val="clear" w:color="auto" w:fill="FFFFFF"/>
        </w:rPr>
        <w:t>Cancian</w:t>
      </w:r>
      <w:proofErr w:type="spellEnd"/>
      <w:r w:rsidRPr="00EA3DC8">
        <w:rPr>
          <w:sz w:val="18"/>
          <w:szCs w:val="20"/>
          <w:shd w:val="clear" w:color="auto" w:fill="FFFFFF"/>
        </w:rPr>
        <w:t xml:space="preserve"> &amp; Meyer,</w:t>
      </w:r>
      <w:r w:rsidRPr="00EA3DC8">
        <w:rPr>
          <w:sz w:val="18"/>
          <w:szCs w:val="20"/>
        </w:rPr>
        <w:t xml:space="preserve"> 2008</w:t>
      </w:r>
      <w:r w:rsidRPr="00EA3DC8">
        <w:rPr>
          <w:sz w:val="18"/>
          <w:szCs w:val="20"/>
          <w:rtl/>
        </w:rPr>
        <w:t>). למשל, במחקר שעקב במשך שלוש שנים אחר דפוסי העבודה של אנשים בגרמניה שהחלו לקבל קצבת הבטחת הכנסה זוהו שני קצוות</w:t>
      </w:r>
      <w:r w:rsidRPr="00EA3DC8">
        <w:rPr>
          <w:rFonts w:hint="cs"/>
          <w:sz w:val="18"/>
          <w:szCs w:val="20"/>
          <w:rtl/>
        </w:rPr>
        <w:t>:</w:t>
      </w:r>
      <w:r w:rsidRPr="00EA3DC8">
        <w:rPr>
          <w:sz w:val="18"/>
          <w:szCs w:val="20"/>
          <w:rtl/>
        </w:rPr>
        <w:t xml:space="preserve"> בקצה האחד</w:t>
      </w:r>
      <w:r w:rsidRPr="00EA3DC8">
        <w:rPr>
          <w:rFonts w:hint="cs"/>
          <w:sz w:val="18"/>
          <w:szCs w:val="20"/>
          <w:rtl/>
        </w:rPr>
        <w:t xml:space="preserve"> </w:t>
      </w:r>
      <w:r w:rsidRPr="00EA3DC8">
        <w:rPr>
          <w:sz w:val="18"/>
          <w:szCs w:val="20"/>
          <w:rtl/>
        </w:rPr>
        <w:t>– כשליש מהנבדקים, שעבדו ברמת אינטנסיביות נמוכה מאוד ונתמכו במערכת הגמלה לאורך כל התקופה</w:t>
      </w:r>
      <w:r w:rsidRPr="00EA3DC8">
        <w:rPr>
          <w:rFonts w:hint="cs"/>
          <w:sz w:val="18"/>
          <w:szCs w:val="20"/>
          <w:rtl/>
        </w:rPr>
        <w:t>;</w:t>
      </w:r>
      <w:r w:rsidRPr="00EA3DC8">
        <w:rPr>
          <w:sz w:val="18"/>
          <w:szCs w:val="20"/>
          <w:rtl/>
        </w:rPr>
        <w:t xml:space="preserve"> בקצה ה</w:t>
      </w:r>
      <w:r w:rsidRPr="00EA3DC8">
        <w:rPr>
          <w:rFonts w:hint="cs"/>
          <w:sz w:val="18"/>
          <w:szCs w:val="20"/>
          <w:rtl/>
        </w:rPr>
        <w:t xml:space="preserve">אחר </w:t>
      </w:r>
      <w:r w:rsidRPr="00EA3DC8">
        <w:rPr>
          <w:sz w:val="18"/>
          <w:szCs w:val="20"/>
          <w:rtl/>
        </w:rPr>
        <w:t>–</w:t>
      </w:r>
      <w:r w:rsidRPr="00EA3DC8">
        <w:rPr>
          <w:rFonts w:hint="cs"/>
          <w:sz w:val="18"/>
          <w:szCs w:val="20"/>
          <w:rtl/>
        </w:rPr>
        <w:t xml:space="preserve"> </w:t>
      </w:r>
      <w:r w:rsidRPr="00EA3DC8">
        <w:rPr>
          <w:sz w:val="18"/>
          <w:szCs w:val="20"/>
          <w:rtl/>
        </w:rPr>
        <w:t xml:space="preserve">כרבע מהנבדקים, שנעזרו בגמלה </w:t>
      </w:r>
      <w:r w:rsidRPr="00EA3DC8">
        <w:rPr>
          <w:rFonts w:hint="cs"/>
          <w:sz w:val="18"/>
          <w:szCs w:val="20"/>
          <w:rtl/>
        </w:rPr>
        <w:t>ל</w:t>
      </w:r>
      <w:r w:rsidRPr="00EA3DC8">
        <w:rPr>
          <w:sz w:val="18"/>
          <w:szCs w:val="20"/>
          <w:rtl/>
        </w:rPr>
        <w:t xml:space="preserve">תקופה קצרה ולאחריה השתלבו </w:t>
      </w:r>
      <w:r w:rsidRPr="00EA3DC8">
        <w:rPr>
          <w:rFonts w:hint="cs"/>
          <w:sz w:val="18"/>
          <w:szCs w:val="20"/>
          <w:rtl/>
        </w:rPr>
        <w:t>בתעסוקה.</w:t>
      </w:r>
      <w:r w:rsidRPr="00EA3DC8">
        <w:rPr>
          <w:sz w:val="18"/>
          <w:szCs w:val="20"/>
          <w:rtl/>
        </w:rPr>
        <w:t xml:space="preserve"> </w:t>
      </w:r>
      <w:r w:rsidRPr="00EA3DC8">
        <w:rPr>
          <w:rFonts w:hint="cs"/>
          <w:sz w:val="18"/>
          <w:szCs w:val="20"/>
          <w:rtl/>
        </w:rPr>
        <w:t>שאר מ</w:t>
      </w:r>
      <w:r w:rsidRPr="00EA3DC8">
        <w:rPr>
          <w:sz w:val="18"/>
          <w:szCs w:val="20"/>
          <w:rtl/>
        </w:rPr>
        <w:t>קבלי הגמלה נעו בין תעסוקה לאבטלה (</w:t>
      </w:r>
      <w:proofErr w:type="spellStart"/>
      <w:r w:rsidRPr="00EA3DC8">
        <w:rPr>
          <w:sz w:val="18"/>
          <w:szCs w:val="20"/>
          <w:shd w:val="clear" w:color="auto" w:fill="FFFFFF"/>
        </w:rPr>
        <w:t>Bruckmeier</w:t>
      </w:r>
      <w:proofErr w:type="spellEnd"/>
      <w:r w:rsidRPr="00EA3DC8">
        <w:rPr>
          <w:sz w:val="18"/>
          <w:szCs w:val="20"/>
          <w:shd w:val="clear" w:color="auto" w:fill="FFFFFF"/>
        </w:rPr>
        <w:t xml:space="preserve">, </w:t>
      </w:r>
      <w:proofErr w:type="spellStart"/>
      <w:r w:rsidRPr="00EA3DC8">
        <w:rPr>
          <w:sz w:val="18"/>
          <w:szCs w:val="20"/>
          <w:shd w:val="clear" w:color="auto" w:fill="FFFFFF"/>
        </w:rPr>
        <w:t>Lietzmann</w:t>
      </w:r>
      <w:proofErr w:type="spellEnd"/>
      <w:r w:rsidRPr="00EA3DC8">
        <w:rPr>
          <w:sz w:val="18"/>
          <w:szCs w:val="20"/>
          <w:shd w:val="clear" w:color="auto" w:fill="FFFFFF"/>
        </w:rPr>
        <w:t xml:space="preserve"> &amp; </w:t>
      </w:r>
      <w:proofErr w:type="spellStart"/>
      <w:r w:rsidRPr="00EA3DC8">
        <w:rPr>
          <w:sz w:val="18"/>
          <w:szCs w:val="20"/>
          <w:shd w:val="clear" w:color="auto" w:fill="FFFFFF"/>
        </w:rPr>
        <w:t>Saile</w:t>
      </w:r>
      <w:proofErr w:type="spellEnd"/>
      <w:r w:rsidRPr="00EA3DC8">
        <w:rPr>
          <w:sz w:val="18"/>
          <w:szCs w:val="20"/>
          <w:shd w:val="clear" w:color="auto" w:fill="FFFFFF"/>
        </w:rPr>
        <w:t>,</w:t>
      </w:r>
      <w:r w:rsidRPr="00EA3DC8">
        <w:rPr>
          <w:sz w:val="18"/>
          <w:szCs w:val="20"/>
        </w:rPr>
        <w:t xml:space="preserve"> 2019</w:t>
      </w:r>
      <w:r w:rsidRPr="00EA3DC8">
        <w:rPr>
          <w:sz w:val="18"/>
          <w:szCs w:val="20"/>
          <w:rtl/>
        </w:rPr>
        <w:t xml:space="preserve">). ממצאים דומים </w:t>
      </w:r>
      <w:r w:rsidRPr="00EA3DC8">
        <w:rPr>
          <w:rFonts w:hint="cs"/>
          <w:sz w:val="18"/>
          <w:szCs w:val="20"/>
          <w:rtl/>
        </w:rPr>
        <w:t xml:space="preserve">עלו </w:t>
      </w:r>
      <w:r w:rsidRPr="00EA3DC8">
        <w:rPr>
          <w:sz w:val="18"/>
          <w:szCs w:val="20"/>
          <w:rtl/>
        </w:rPr>
        <w:t>במחקר בוויסקונסין, שבחן את דפוסי התעסוקה של אימהות חד</w:t>
      </w:r>
      <w:r w:rsidRPr="00EA3DC8">
        <w:rPr>
          <w:rFonts w:hint="cs"/>
          <w:sz w:val="18"/>
          <w:szCs w:val="20"/>
          <w:rtl/>
        </w:rPr>
        <w:t>-</w:t>
      </w:r>
      <w:r w:rsidRPr="00EA3DC8">
        <w:rPr>
          <w:sz w:val="18"/>
          <w:szCs w:val="20"/>
          <w:rtl/>
        </w:rPr>
        <w:t>הוריות שקיבלו גמלה כספית במסגרת ת</w:t>
      </w:r>
      <w:r w:rsidRPr="00EA3DC8">
        <w:rPr>
          <w:rFonts w:hint="cs"/>
          <w:sz w:val="18"/>
          <w:szCs w:val="20"/>
          <w:rtl/>
        </w:rPr>
        <w:t>ו</w:t>
      </w:r>
      <w:r w:rsidRPr="00EA3DC8">
        <w:rPr>
          <w:sz w:val="18"/>
          <w:szCs w:val="20"/>
          <w:rtl/>
        </w:rPr>
        <w:t>כנית רשת הביטחון באר</w:t>
      </w:r>
      <w:r w:rsidRPr="00EA3DC8">
        <w:rPr>
          <w:rFonts w:hint="cs"/>
          <w:sz w:val="18"/>
          <w:szCs w:val="20"/>
          <w:rtl/>
        </w:rPr>
        <w:t>צות הברית</w:t>
      </w:r>
      <w:r w:rsidRPr="00EA3DC8">
        <w:rPr>
          <w:sz w:val="18"/>
          <w:szCs w:val="20"/>
          <w:rtl/>
        </w:rPr>
        <w:t xml:space="preserve"> (</w:t>
      </w:r>
      <w:r w:rsidRPr="00EA3DC8">
        <w:rPr>
          <w:sz w:val="18"/>
          <w:szCs w:val="20"/>
        </w:rPr>
        <w:t>Temporary Assistance for Needy Families</w:t>
      </w:r>
      <w:r w:rsidRPr="00EA3DC8">
        <w:rPr>
          <w:sz w:val="18"/>
          <w:szCs w:val="20"/>
          <w:rtl/>
        </w:rPr>
        <w:t xml:space="preserve">). במחקר זה נמצא כי במהלך </w:t>
      </w:r>
      <w:r w:rsidRPr="00EA3DC8">
        <w:rPr>
          <w:sz w:val="18"/>
          <w:szCs w:val="20"/>
          <w:rtl/>
          <w:lang w:val="en-GB"/>
        </w:rPr>
        <w:t>שש שנות המעקב</w:t>
      </w:r>
      <w:r w:rsidRPr="00EA3DC8">
        <w:rPr>
          <w:sz w:val="18"/>
          <w:szCs w:val="20"/>
          <w:rtl/>
        </w:rPr>
        <w:t xml:space="preserve"> כ-20% מהאימהות עבדו באופן יציב, כ-10% מהן לא עבדו כלל</w:t>
      </w:r>
      <w:r w:rsidRPr="00EA3DC8">
        <w:rPr>
          <w:rFonts w:hint="cs"/>
          <w:sz w:val="18"/>
          <w:szCs w:val="20"/>
          <w:rtl/>
        </w:rPr>
        <w:t>,</w:t>
      </w:r>
      <w:r w:rsidRPr="00EA3DC8">
        <w:rPr>
          <w:sz w:val="18"/>
          <w:szCs w:val="20"/>
          <w:rtl/>
        </w:rPr>
        <w:t xml:space="preserve"> וה</w:t>
      </w:r>
      <w:r w:rsidRPr="00EA3DC8">
        <w:rPr>
          <w:rFonts w:hint="cs"/>
          <w:sz w:val="18"/>
          <w:szCs w:val="20"/>
          <w:rtl/>
        </w:rPr>
        <w:t>אחרות התאפיינו</w:t>
      </w:r>
      <w:r w:rsidRPr="00EA3DC8">
        <w:rPr>
          <w:sz w:val="18"/>
          <w:szCs w:val="20"/>
          <w:rtl/>
        </w:rPr>
        <w:t xml:space="preserve"> באי</w:t>
      </w:r>
      <w:r w:rsidRPr="00EA3DC8">
        <w:rPr>
          <w:rFonts w:hint="cs"/>
          <w:sz w:val="18"/>
          <w:szCs w:val="20"/>
          <w:rtl/>
        </w:rPr>
        <w:t>-</w:t>
      </w:r>
      <w:r w:rsidRPr="00EA3DC8">
        <w:rPr>
          <w:sz w:val="18"/>
          <w:szCs w:val="20"/>
          <w:rtl/>
        </w:rPr>
        <w:t>יציבות תעסוקתי</w:t>
      </w:r>
      <w:r w:rsidRPr="00EA3DC8">
        <w:rPr>
          <w:rFonts w:hint="cs"/>
          <w:sz w:val="18"/>
          <w:szCs w:val="20"/>
          <w:rtl/>
        </w:rPr>
        <w:t>ת</w:t>
      </w:r>
      <w:r w:rsidRPr="00EA3DC8">
        <w:rPr>
          <w:sz w:val="18"/>
          <w:szCs w:val="20"/>
          <w:rtl/>
        </w:rPr>
        <w:t xml:space="preserve"> רבה ועברו לסירוגין בין </w:t>
      </w:r>
      <w:r w:rsidRPr="00EA3DC8">
        <w:rPr>
          <w:rFonts w:hint="cs"/>
          <w:sz w:val="18"/>
          <w:szCs w:val="20"/>
          <w:rtl/>
        </w:rPr>
        <w:t>תעסוקה לאבטלה</w:t>
      </w:r>
      <w:r w:rsidRPr="00EA3DC8">
        <w:rPr>
          <w:sz w:val="18"/>
          <w:szCs w:val="20"/>
          <w:rtl/>
        </w:rPr>
        <w:t xml:space="preserve"> (</w:t>
      </w:r>
      <w:r w:rsidRPr="00EA3DC8">
        <w:rPr>
          <w:sz w:val="18"/>
          <w:szCs w:val="20"/>
          <w:shd w:val="clear" w:color="auto" w:fill="FFFFFF"/>
        </w:rPr>
        <w:t>Wu et al., 2008</w:t>
      </w:r>
      <w:r w:rsidRPr="00EA3DC8">
        <w:rPr>
          <w:sz w:val="18"/>
          <w:szCs w:val="20"/>
          <w:rtl/>
        </w:rPr>
        <w:t>).</w:t>
      </w:r>
    </w:p>
    <w:p w14:paraId="1ACB0C7F" w14:textId="6A3521E1" w:rsidR="00926914" w:rsidRPr="00EA3DC8" w:rsidRDefault="00926914" w:rsidP="00AA443E">
      <w:pPr>
        <w:spacing w:after="180" w:line="280" w:lineRule="exact"/>
        <w:jc w:val="both"/>
        <w:rPr>
          <w:sz w:val="18"/>
          <w:szCs w:val="20"/>
          <w:rtl/>
        </w:rPr>
      </w:pPr>
      <w:r w:rsidRPr="00EA3DC8">
        <w:rPr>
          <w:rFonts w:hint="cs"/>
          <w:sz w:val="18"/>
          <w:szCs w:val="20"/>
          <w:rtl/>
        </w:rPr>
        <w:t>מדיניות התמיכה הנהוגה כלפי אוכלוסייה בגיל העבודה</w:t>
      </w:r>
      <w:r w:rsidRPr="00EA3DC8">
        <w:rPr>
          <w:sz w:val="18"/>
          <w:szCs w:val="20"/>
          <w:rtl/>
        </w:rPr>
        <w:t xml:space="preserve"> </w:t>
      </w:r>
      <w:r w:rsidRPr="00EA3DC8">
        <w:rPr>
          <w:rFonts w:hint="cs"/>
          <w:sz w:val="18"/>
          <w:szCs w:val="20"/>
          <w:rtl/>
        </w:rPr>
        <w:t xml:space="preserve">שאינה עובדת או משתכרת שכר נמוך ממלאת תפקיד מרכזי בהגנה על רווחתם הכלכלית של פרטים ומשפחות, ובצמצום העוני והמצוקה הכלכלית. </w:t>
      </w:r>
      <w:r w:rsidRPr="00EA3DC8">
        <w:rPr>
          <w:sz w:val="18"/>
          <w:szCs w:val="20"/>
          <w:rtl/>
        </w:rPr>
        <w:t xml:space="preserve">במדינות רבות </w:t>
      </w:r>
      <w:r w:rsidRPr="00EA3DC8">
        <w:rPr>
          <w:rFonts w:hint="cs"/>
          <w:sz w:val="18"/>
          <w:szCs w:val="20"/>
          <w:rtl/>
        </w:rPr>
        <w:t xml:space="preserve">חלו </w:t>
      </w:r>
      <w:r w:rsidRPr="00EA3DC8">
        <w:rPr>
          <w:sz w:val="18"/>
          <w:szCs w:val="20"/>
          <w:rtl/>
        </w:rPr>
        <w:t>מראשית שנות האלפיים</w:t>
      </w:r>
      <w:r w:rsidRPr="00EA3DC8">
        <w:rPr>
          <w:rFonts w:hint="cs"/>
          <w:sz w:val="18"/>
          <w:szCs w:val="20"/>
          <w:rtl/>
        </w:rPr>
        <w:t xml:space="preserve"> </w:t>
      </w:r>
      <w:r w:rsidRPr="00EA3DC8">
        <w:rPr>
          <w:sz w:val="18"/>
          <w:szCs w:val="20"/>
          <w:rtl/>
        </w:rPr>
        <w:t xml:space="preserve">שינויים </w:t>
      </w:r>
      <w:r w:rsidRPr="00EA3DC8">
        <w:rPr>
          <w:rFonts w:hint="cs"/>
          <w:sz w:val="18"/>
          <w:szCs w:val="20"/>
          <w:rtl/>
        </w:rPr>
        <w:t xml:space="preserve">דוגמת </w:t>
      </w:r>
      <w:r w:rsidRPr="00EA3DC8">
        <w:rPr>
          <w:sz w:val="18"/>
          <w:szCs w:val="20"/>
          <w:rtl/>
        </w:rPr>
        <w:t xml:space="preserve">קיצוצים בגובה </w:t>
      </w:r>
      <w:r w:rsidRPr="00EA3DC8">
        <w:rPr>
          <w:rFonts w:hint="cs"/>
          <w:sz w:val="18"/>
          <w:szCs w:val="20"/>
          <w:rtl/>
        </w:rPr>
        <w:t xml:space="preserve">הגמלאות המשולמות </w:t>
      </w:r>
      <w:r w:rsidRPr="00EA3DC8">
        <w:rPr>
          <w:sz w:val="18"/>
          <w:szCs w:val="20"/>
          <w:rtl/>
        </w:rPr>
        <w:t>–</w:t>
      </w:r>
      <w:r w:rsidRPr="00EA3DC8">
        <w:rPr>
          <w:rFonts w:hint="cs"/>
          <w:sz w:val="18"/>
          <w:szCs w:val="20"/>
          <w:rtl/>
        </w:rPr>
        <w:t xml:space="preserve"> בעיקר גמלאות רשת הביטחון אך לא רק </w:t>
      </w:r>
      <w:r w:rsidRPr="00EA3DC8">
        <w:rPr>
          <w:sz w:val="18"/>
          <w:szCs w:val="20"/>
          <w:rtl/>
        </w:rPr>
        <w:t>–</w:t>
      </w:r>
      <w:r w:rsidRPr="00EA3DC8">
        <w:rPr>
          <w:rFonts w:hint="cs"/>
          <w:sz w:val="18"/>
          <w:szCs w:val="20"/>
          <w:rtl/>
        </w:rPr>
        <w:t xml:space="preserve"> </w:t>
      </w:r>
      <w:r w:rsidRPr="00EA3DC8">
        <w:rPr>
          <w:sz w:val="18"/>
          <w:szCs w:val="20"/>
          <w:rtl/>
        </w:rPr>
        <w:t>ובמערכת הרווחה</w:t>
      </w:r>
      <w:r w:rsidRPr="00EA3DC8">
        <w:rPr>
          <w:rFonts w:hint="cs"/>
          <w:sz w:val="18"/>
          <w:szCs w:val="20"/>
          <w:rtl/>
        </w:rPr>
        <w:t>,</w:t>
      </w:r>
      <w:r w:rsidRPr="00EA3DC8">
        <w:rPr>
          <w:sz w:val="18"/>
          <w:szCs w:val="20"/>
          <w:rtl/>
        </w:rPr>
        <w:t xml:space="preserve"> והקשחת תנאי הזכאות </w:t>
      </w:r>
      <w:r w:rsidRPr="00EA3DC8">
        <w:rPr>
          <w:rFonts w:hint="cs"/>
          <w:sz w:val="18"/>
          <w:szCs w:val="20"/>
          <w:rtl/>
        </w:rPr>
        <w:t>לקבלתן. אלה תרמו להעלאה של</w:t>
      </w:r>
      <w:r w:rsidRPr="00EA3DC8">
        <w:rPr>
          <w:sz w:val="18"/>
          <w:szCs w:val="20"/>
          <w:rtl/>
        </w:rPr>
        <w:t xml:space="preserve"> שיעור </w:t>
      </w:r>
      <w:r w:rsidRPr="00EA3DC8">
        <w:rPr>
          <w:rFonts w:hint="cs"/>
          <w:sz w:val="18"/>
          <w:szCs w:val="20"/>
          <w:rtl/>
        </w:rPr>
        <w:t xml:space="preserve">התעסוקה בקרב </w:t>
      </w:r>
      <w:r w:rsidRPr="00EA3DC8">
        <w:rPr>
          <w:rFonts w:hint="cs"/>
          <w:sz w:val="18"/>
          <w:szCs w:val="20"/>
          <w:rtl/>
        </w:rPr>
        <w:lastRenderedPageBreak/>
        <w:t>נתמכים רבים</w:t>
      </w:r>
      <w:r w:rsidRPr="00EA3DC8">
        <w:rPr>
          <w:sz w:val="18"/>
          <w:szCs w:val="20"/>
          <w:rtl/>
        </w:rPr>
        <w:t xml:space="preserve">, </w:t>
      </w:r>
      <w:r w:rsidRPr="00EA3DC8">
        <w:rPr>
          <w:rFonts w:hint="cs"/>
          <w:sz w:val="18"/>
          <w:szCs w:val="20"/>
          <w:rtl/>
        </w:rPr>
        <w:t>ו</w:t>
      </w:r>
      <w:r w:rsidRPr="00EA3DC8">
        <w:rPr>
          <w:sz w:val="18"/>
          <w:szCs w:val="20"/>
          <w:rtl/>
        </w:rPr>
        <w:t xml:space="preserve">במיוחד </w:t>
      </w:r>
      <w:r w:rsidRPr="00EA3DC8">
        <w:rPr>
          <w:rFonts w:hint="cs"/>
          <w:sz w:val="18"/>
          <w:szCs w:val="20"/>
          <w:rtl/>
        </w:rPr>
        <w:t>בקרב</w:t>
      </w:r>
      <w:r w:rsidRPr="00EA3DC8">
        <w:rPr>
          <w:sz w:val="18"/>
          <w:szCs w:val="20"/>
          <w:rtl/>
        </w:rPr>
        <w:t xml:space="preserve"> אימהות חד-הוריות (</w:t>
      </w:r>
      <w:proofErr w:type="spellStart"/>
      <w:r w:rsidRPr="00EA3DC8">
        <w:rPr>
          <w:sz w:val="18"/>
          <w:szCs w:val="20"/>
          <w:shd w:val="clear" w:color="auto" w:fill="FFFFFF"/>
        </w:rPr>
        <w:t>Cancian</w:t>
      </w:r>
      <w:proofErr w:type="spellEnd"/>
      <w:r w:rsidRPr="00EA3DC8">
        <w:rPr>
          <w:sz w:val="18"/>
          <w:szCs w:val="20"/>
          <w:shd w:val="clear" w:color="auto" w:fill="FFFFFF"/>
        </w:rPr>
        <w:t xml:space="preserve">, </w:t>
      </w:r>
      <w:proofErr w:type="spellStart"/>
      <w:r w:rsidRPr="00EA3DC8">
        <w:rPr>
          <w:sz w:val="18"/>
          <w:szCs w:val="20"/>
          <w:shd w:val="clear" w:color="auto" w:fill="FFFFFF"/>
        </w:rPr>
        <w:t>Haveman</w:t>
      </w:r>
      <w:proofErr w:type="spellEnd"/>
      <w:r w:rsidRPr="00EA3DC8">
        <w:rPr>
          <w:sz w:val="18"/>
          <w:szCs w:val="20"/>
          <w:shd w:val="clear" w:color="auto" w:fill="FFFFFF"/>
        </w:rPr>
        <w:t>, Meyer, &amp; Wolfe</w:t>
      </w:r>
      <w:r w:rsidRPr="00EA3DC8">
        <w:rPr>
          <w:sz w:val="18"/>
          <w:szCs w:val="20"/>
        </w:rPr>
        <w:t>, 2003; Shannon, 2009</w:t>
      </w:r>
      <w:r w:rsidRPr="00EA3DC8">
        <w:rPr>
          <w:sz w:val="18"/>
          <w:szCs w:val="20"/>
          <w:rtl/>
        </w:rPr>
        <w:t>). עם זאת, נמצא כי מרבית</w:t>
      </w:r>
      <w:r w:rsidRPr="00EA3DC8">
        <w:rPr>
          <w:rFonts w:hint="cs"/>
          <w:sz w:val="18"/>
          <w:szCs w:val="20"/>
          <w:rtl/>
        </w:rPr>
        <w:t xml:space="preserve"> מקבלי הגמלה</w:t>
      </w:r>
      <w:r w:rsidRPr="00EA3DC8">
        <w:rPr>
          <w:sz w:val="18"/>
          <w:szCs w:val="20"/>
          <w:rtl/>
        </w:rPr>
        <w:t xml:space="preserve"> התקשו למצוא עבודה יציבה, חוו פרקי זמן ארוכים של אבטלה (</w:t>
      </w:r>
      <w:proofErr w:type="spellStart"/>
      <w:r w:rsidRPr="00EA3DC8">
        <w:rPr>
          <w:sz w:val="18"/>
          <w:szCs w:val="20"/>
        </w:rPr>
        <w:t>Achdut</w:t>
      </w:r>
      <w:proofErr w:type="spellEnd"/>
      <w:r w:rsidRPr="00EA3DC8">
        <w:rPr>
          <w:sz w:val="18"/>
          <w:szCs w:val="20"/>
        </w:rPr>
        <w:t xml:space="preserve"> &amp; Stier, 2016; Wood et al., 2008; Wu et al., 2008</w:t>
      </w:r>
      <w:r w:rsidRPr="00EA3DC8">
        <w:rPr>
          <w:sz w:val="18"/>
          <w:szCs w:val="20"/>
          <w:rtl/>
        </w:rPr>
        <w:t>), נעו בין קבלת גמלה ל</w:t>
      </w:r>
      <w:r w:rsidRPr="00EA3DC8">
        <w:rPr>
          <w:rFonts w:hint="cs"/>
          <w:sz w:val="18"/>
          <w:szCs w:val="20"/>
          <w:rtl/>
        </w:rPr>
        <w:t xml:space="preserve">בין </w:t>
      </w:r>
      <w:r w:rsidRPr="00EA3DC8">
        <w:rPr>
          <w:sz w:val="18"/>
          <w:szCs w:val="20"/>
          <w:rtl/>
        </w:rPr>
        <w:t>עבודה בשכר נמוך (</w:t>
      </w:r>
      <w:r w:rsidRPr="00EA3DC8">
        <w:rPr>
          <w:sz w:val="18"/>
          <w:szCs w:val="20"/>
        </w:rPr>
        <w:t xml:space="preserve">Cooke, 2009; Nam, 2005; </w:t>
      </w:r>
      <w:proofErr w:type="spellStart"/>
      <w:r w:rsidRPr="00EA3DC8">
        <w:rPr>
          <w:sz w:val="18"/>
          <w:szCs w:val="20"/>
        </w:rPr>
        <w:t>Seefeldt</w:t>
      </w:r>
      <w:proofErr w:type="spellEnd"/>
      <w:r w:rsidRPr="00EA3DC8">
        <w:rPr>
          <w:sz w:val="18"/>
          <w:szCs w:val="20"/>
        </w:rPr>
        <w:t xml:space="preserve"> &amp; </w:t>
      </w:r>
      <w:proofErr w:type="spellStart"/>
      <w:r w:rsidRPr="00EA3DC8">
        <w:rPr>
          <w:sz w:val="18"/>
          <w:szCs w:val="20"/>
        </w:rPr>
        <w:t>Orzol</w:t>
      </w:r>
      <w:proofErr w:type="spellEnd"/>
      <w:r w:rsidRPr="00EA3DC8">
        <w:rPr>
          <w:sz w:val="18"/>
          <w:szCs w:val="20"/>
        </w:rPr>
        <w:t>, 2005; Wood et al., 2008</w:t>
      </w:r>
      <w:r w:rsidRPr="00EA3DC8">
        <w:rPr>
          <w:sz w:val="18"/>
          <w:szCs w:val="20"/>
          <w:rtl/>
        </w:rPr>
        <w:t>), וכי חלה עלי</w:t>
      </w:r>
      <w:r w:rsidRPr="00EA3DC8">
        <w:rPr>
          <w:rFonts w:hint="cs"/>
          <w:sz w:val="18"/>
          <w:szCs w:val="20"/>
          <w:rtl/>
        </w:rPr>
        <w:t>י</w:t>
      </w:r>
      <w:r w:rsidRPr="00EA3DC8">
        <w:rPr>
          <w:sz w:val="18"/>
          <w:szCs w:val="20"/>
          <w:rtl/>
        </w:rPr>
        <w:t>ה בשיעור המשפחות המנותקות מכל מקור הכנסה</w:t>
      </w:r>
      <w:r w:rsidR="00AA443E">
        <w:rPr>
          <w:rFonts w:hint="cs"/>
          <w:sz w:val="18"/>
          <w:szCs w:val="20"/>
          <w:rtl/>
        </w:rPr>
        <w:t xml:space="preserve"> </w:t>
      </w:r>
      <w:r w:rsidR="00AA443E" w:rsidRPr="00AA443E">
        <w:rPr>
          <w:rFonts w:ascii="David" w:hAnsi="David"/>
          <w:sz w:val="18"/>
          <w:szCs w:val="20"/>
          <w:rtl/>
        </w:rPr>
        <w:t>–</w:t>
      </w:r>
      <w:r w:rsidRPr="00EA3DC8">
        <w:rPr>
          <w:sz w:val="18"/>
          <w:szCs w:val="20"/>
          <w:rtl/>
        </w:rPr>
        <w:t xml:space="preserve"> </w:t>
      </w:r>
      <w:r w:rsidRPr="00EA3DC8">
        <w:rPr>
          <w:rFonts w:hint="cs"/>
          <w:sz w:val="18"/>
          <w:szCs w:val="20"/>
          <w:rtl/>
        </w:rPr>
        <w:t xml:space="preserve">אינן </w:t>
      </w:r>
      <w:r w:rsidRPr="00EA3DC8">
        <w:rPr>
          <w:sz w:val="18"/>
          <w:szCs w:val="20"/>
          <w:rtl/>
        </w:rPr>
        <w:t>מקבלות גמלה ו</w:t>
      </w:r>
      <w:r w:rsidRPr="00EA3DC8">
        <w:rPr>
          <w:rFonts w:hint="cs"/>
          <w:sz w:val="18"/>
          <w:szCs w:val="20"/>
          <w:rtl/>
        </w:rPr>
        <w:t xml:space="preserve">אינן </w:t>
      </w:r>
      <w:r w:rsidRPr="00EA3DC8">
        <w:rPr>
          <w:sz w:val="18"/>
          <w:szCs w:val="20"/>
          <w:rtl/>
        </w:rPr>
        <w:t>עובדות (</w:t>
      </w:r>
      <w:r w:rsidRPr="00EA3DC8">
        <w:rPr>
          <w:sz w:val="18"/>
          <w:szCs w:val="20"/>
          <w:shd w:val="clear" w:color="auto" w:fill="FFFFFF"/>
        </w:rPr>
        <w:t xml:space="preserve">Kwon &amp; </w:t>
      </w:r>
      <w:proofErr w:type="spellStart"/>
      <w:r w:rsidRPr="00EA3DC8">
        <w:rPr>
          <w:sz w:val="18"/>
          <w:szCs w:val="20"/>
          <w:shd w:val="clear" w:color="auto" w:fill="FFFFFF"/>
        </w:rPr>
        <w:t>Hetling</w:t>
      </w:r>
      <w:proofErr w:type="spellEnd"/>
      <w:r w:rsidRPr="00EA3DC8">
        <w:rPr>
          <w:sz w:val="18"/>
          <w:szCs w:val="20"/>
          <w:shd w:val="clear" w:color="auto" w:fill="FFFFFF"/>
        </w:rPr>
        <w:t xml:space="preserve">, 2017; </w:t>
      </w:r>
      <w:proofErr w:type="spellStart"/>
      <w:r w:rsidRPr="00EA3DC8">
        <w:rPr>
          <w:sz w:val="18"/>
          <w:szCs w:val="20"/>
          <w:shd w:val="clear" w:color="auto" w:fill="FFFFFF"/>
        </w:rPr>
        <w:t>Loprest</w:t>
      </w:r>
      <w:proofErr w:type="spellEnd"/>
      <w:r w:rsidRPr="00EA3DC8">
        <w:rPr>
          <w:sz w:val="18"/>
          <w:szCs w:val="20"/>
          <w:shd w:val="clear" w:color="auto" w:fill="FFFFFF"/>
        </w:rPr>
        <w:t xml:space="preserve"> &amp; Nichols, 2011; Moore, Wood, &amp; Rangarajan, 2012</w:t>
      </w:r>
      <w:r w:rsidRPr="00EA3DC8">
        <w:rPr>
          <w:sz w:val="18"/>
          <w:szCs w:val="20"/>
          <w:rtl/>
        </w:rPr>
        <w:t>).</w:t>
      </w:r>
    </w:p>
    <w:p w14:paraId="7AAB2B3E" w14:textId="46B13242" w:rsidR="00926914" w:rsidRPr="00EA3DC8" w:rsidRDefault="00926914" w:rsidP="00542D72">
      <w:pPr>
        <w:spacing w:after="180" w:line="280" w:lineRule="exact"/>
        <w:jc w:val="both"/>
        <w:rPr>
          <w:sz w:val="18"/>
          <w:szCs w:val="20"/>
          <w:rtl/>
        </w:rPr>
      </w:pPr>
      <w:r w:rsidRPr="00EA3DC8">
        <w:rPr>
          <w:sz w:val="18"/>
          <w:szCs w:val="20"/>
          <w:rtl/>
        </w:rPr>
        <w:t>מחקר שעקב אחר</w:t>
      </w:r>
      <w:r w:rsidRPr="00EA3DC8">
        <w:rPr>
          <w:sz w:val="18"/>
          <w:szCs w:val="20"/>
          <w:rtl/>
          <w:lang w:val="en-GB"/>
        </w:rPr>
        <w:t xml:space="preserve"> נתיב היציאה של</w:t>
      </w:r>
      <w:r w:rsidRPr="00EA3DC8">
        <w:rPr>
          <w:sz w:val="18"/>
          <w:szCs w:val="20"/>
          <w:rtl/>
        </w:rPr>
        <w:t xml:space="preserve"> אימהות חד-הוריות בישראל </w:t>
      </w:r>
      <w:r w:rsidRPr="00EA3DC8">
        <w:rPr>
          <w:sz w:val="18"/>
          <w:szCs w:val="20"/>
          <w:rtl/>
          <w:lang w:val="en-GB"/>
        </w:rPr>
        <w:t xml:space="preserve">ממערכת הבטחת ההכנסה </w:t>
      </w:r>
      <w:r w:rsidRPr="00EA3DC8">
        <w:rPr>
          <w:sz w:val="18"/>
          <w:szCs w:val="20"/>
          <w:rtl/>
        </w:rPr>
        <w:t>בשנים</w:t>
      </w:r>
      <w:r w:rsidRPr="00EA3DC8">
        <w:rPr>
          <w:rFonts w:hint="cs"/>
          <w:sz w:val="18"/>
          <w:szCs w:val="20"/>
          <w:rtl/>
        </w:rPr>
        <w:t xml:space="preserve"> 2003</w:t>
      </w:r>
      <w:r w:rsidRPr="00EA3DC8">
        <w:rPr>
          <w:sz w:val="18"/>
          <w:szCs w:val="20"/>
          <w:rtl/>
        </w:rPr>
        <w:t>–</w:t>
      </w:r>
      <w:r w:rsidRPr="00EA3DC8">
        <w:rPr>
          <w:rFonts w:hint="cs"/>
          <w:sz w:val="18"/>
          <w:szCs w:val="20"/>
          <w:rtl/>
        </w:rPr>
        <w:t xml:space="preserve">2007 </w:t>
      </w:r>
      <w:r w:rsidRPr="00EA3DC8">
        <w:rPr>
          <w:sz w:val="18"/>
          <w:szCs w:val="20"/>
          <w:rtl/>
        </w:rPr>
        <w:t>ה</w:t>
      </w:r>
      <w:r w:rsidRPr="00EA3DC8">
        <w:rPr>
          <w:rFonts w:hint="cs"/>
          <w:sz w:val="18"/>
          <w:szCs w:val="20"/>
          <w:rtl/>
        </w:rPr>
        <w:t xml:space="preserve">ראה </w:t>
      </w:r>
      <w:r w:rsidRPr="00EA3DC8">
        <w:rPr>
          <w:sz w:val="18"/>
          <w:szCs w:val="20"/>
          <w:rtl/>
        </w:rPr>
        <w:t xml:space="preserve">כי כעבור ארבע שנים יצאו </w:t>
      </w:r>
      <w:r w:rsidRPr="00EA3DC8">
        <w:rPr>
          <w:rFonts w:hint="cs"/>
          <w:sz w:val="18"/>
          <w:szCs w:val="20"/>
          <w:rtl/>
        </w:rPr>
        <w:t>כ-50%</w:t>
      </w:r>
      <w:r w:rsidRPr="00EA3DC8">
        <w:rPr>
          <w:sz w:val="18"/>
          <w:szCs w:val="20"/>
          <w:rtl/>
        </w:rPr>
        <w:t xml:space="preserve"> מהאימהות ממערכת הגמלה באמצעות תעסוקה, כ</w:t>
      </w:r>
      <w:r w:rsidR="00542D72">
        <w:rPr>
          <w:rFonts w:hint="cs"/>
          <w:sz w:val="18"/>
          <w:szCs w:val="20"/>
          <w:rtl/>
        </w:rPr>
        <w:t>-</w:t>
      </w:r>
      <w:r w:rsidRPr="00EA3DC8">
        <w:rPr>
          <w:sz w:val="18"/>
          <w:szCs w:val="20"/>
          <w:rtl/>
        </w:rPr>
        <w:t>25%</w:t>
      </w:r>
      <w:r w:rsidR="00542D72">
        <w:rPr>
          <w:rFonts w:hint="cs"/>
          <w:sz w:val="18"/>
          <w:szCs w:val="20"/>
          <w:rtl/>
        </w:rPr>
        <w:t xml:space="preserve"> </w:t>
      </w:r>
      <w:r w:rsidRPr="00EA3DC8">
        <w:rPr>
          <w:sz w:val="18"/>
          <w:szCs w:val="20"/>
          <w:rtl/>
        </w:rPr>
        <w:t xml:space="preserve">מהן שילבו גמלה ותעסוקה, 17% מהן קיבלו גמלה </w:t>
      </w:r>
      <w:r w:rsidRPr="00EA3DC8">
        <w:rPr>
          <w:rFonts w:hint="cs"/>
          <w:sz w:val="18"/>
          <w:szCs w:val="20"/>
          <w:rtl/>
        </w:rPr>
        <w:t>ולא עבדו</w:t>
      </w:r>
      <w:r w:rsidRPr="00EA3DC8">
        <w:rPr>
          <w:sz w:val="18"/>
          <w:szCs w:val="20"/>
          <w:rtl/>
        </w:rPr>
        <w:t xml:space="preserve">, </w:t>
      </w:r>
      <w:r w:rsidR="003B6BFE">
        <w:rPr>
          <w:sz w:val="18"/>
          <w:szCs w:val="20"/>
        </w:rPr>
        <w:br/>
      </w:r>
      <w:r w:rsidRPr="00EA3DC8">
        <w:rPr>
          <w:sz w:val="18"/>
          <w:szCs w:val="20"/>
          <w:rtl/>
        </w:rPr>
        <w:t>וכ</w:t>
      </w:r>
      <w:r w:rsidRPr="00EA3DC8">
        <w:rPr>
          <w:rFonts w:hint="cs"/>
          <w:sz w:val="18"/>
          <w:szCs w:val="20"/>
          <w:rtl/>
        </w:rPr>
        <w:t>-</w:t>
      </w:r>
      <w:r w:rsidRPr="00EA3DC8">
        <w:rPr>
          <w:sz w:val="18"/>
          <w:szCs w:val="20"/>
          <w:rtl/>
        </w:rPr>
        <w:t>11% לא קיבלו גמלה ולא עבדו בסיום המעקב (</w:t>
      </w:r>
      <w:proofErr w:type="spellStart"/>
      <w:r w:rsidRPr="00EA3DC8">
        <w:rPr>
          <w:sz w:val="18"/>
          <w:szCs w:val="20"/>
        </w:rPr>
        <w:t>Achdut</w:t>
      </w:r>
      <w:proofErr w:type="spellEnd"/>
      <w:r w:rsidRPr="00EA3DC8">
        <w:rPr>
          <w:sz w:val="18"/>
          <w:szCs w:val="20"/>
        </w:rPr>
        <w:t>, 2016</w:t>
      </w:r>
      <w:r w:rsidRPr="00EA3DC8">
        <w:rPr>
          <w:sz w:val="18"/>
          <w:szCs w:val="20"/>
          <w:rtl/>
        </w:rPr>
        <w:t xml:space="preserve">). כן נמצא </w:t>
      </w:r>
      <w:r w:rsidRPr="00EA3DC8">
        <w:rPr>
          <w:rFonts w:hint="cs"/>
          <w:sz w:val="18"/>
          <w:szCs w:val="20"/>
          <w:rtl/>
        </w:rPr>
        <w:t xml:space="preserve">כי </w:t>
      </w:r>
      <w:r w:rsidRPr="00EA3DC8">
        <w:rPr>
          <w:sz w:val="18"/>
          <w:szCs w:val="20"/>
          <w:rtl/>
        </w:rPr>
        <w:t xml:space="preserve">למרות השיעור הגבוה של מי שיצאו ממערכת </w:t>
      </w:r>
      <w:r w:rsidRPr="00EA3DC8">
        <w:rPr>
          <w:rFonts w:hint="cs"/>
          <w:sz w:val="18"/>
          <w:szCs w:val="20"/>
          <w:rtl/>
        </w:rPr>
        <w:t>הבטחת הכנסה</w:t>
      </w:r>
      <w:r w:rsidRPr="00EA3DC8">
        <w:rPr>
          <w:sz w:val="18"/>
          <w:szCs w:val="20"/>
          <w:rtl/>
        </w:rPr>
        <w:t>, מרביתן עבדו במשרות באיכות נמוכה, קרי משרות חלקיות שאינן דורשות הכשרה מקצועית</w:t>
      </w:r>
      <w:r w:rsidRPr="00EA3DC8">
        <w:rPr>
          <w:rFonts w:hint="cs"/>
          <w:sz w:val="18"/>
          <w:szCs w:val="20"/>
          <w:rtl/>
        </w:rPr>
        <w:t xml:space="preserve"> (אחדות, 2011). </w:t>
      </w:r>
      <w:r w:rsidRPr="00EA3DC8">
        <w:rPr>
          <w:sz w:val="18"/>
          <w:szCs w:val="20"/>
          <w:rtl/>
        </w:rPr>
        <w:t>מחקר אחר בחן את דפוסי התעסוקה של 45,097 אימהות חד-הוריות בישראל (</w:t>
      </w:r>
      <w:r w:rsidRPr="00EA3DC8">
        <w:rPr>
          <w:rFonts w:hint="cs"/>
          <w:sz w:val="18"/>
          <w:szCs w:val="20"/>
          <w:rtl/>
        </w:rPr>
        <w:t>2002</w:t>
      </w:r>
      <w:r w:rsidRPr="00EA3DC8">
        <w:rPr>
          <w:sz w:val="18"/>
          <w:szCs w:val="20"/>
          <w:rtl/>
        </w:rPr>
        <w:t>–</w:t>
      </w:r>
      <w:r w:rsidRPr="00EA3DC8">
        <w:rPr>
          <w:rFonts w:hint="cs"/>
          <w:sz w:val="18"/>
          <w:szCs w:val="20"/>
          <w:rtl/>
        </w:rPr>
        <w:t>2008</w:t>
      </w:r>
      <w:r w:rsidRPr="00EA3DC8">
        <w:rPr>
          <w:sz w:val="18"/>
          <w:szCs w:val="20"/>
          <w:rtl/>
        </w:rPr>
        <w:t xml:space="preserve">), </w:t>
      </w:r>
      <w:r w:rsidRPr="00EA3DC8">
        <w:rPr>
          <w:rFonts w:hint="cs"/>
          <w:sz w:val="18"/>
          <w:szCs w:val="20"/>
          <w:rtl/>
        </w:rPr>
        <w:t>ו</w:t>
      </w:r>
      <w:r w:rsidRPr="00EA3DC8">
        <w:rPr>
          <w:sz w:val="18"/>
          <w:szCs w:val="20"/>
          <w:rtl/>
        </w:rPr>
        <w:t>מצא כי הדפוס השכיח היה אי-יציבות תעסוקתית</w:t>
      </w:r>
      <w:r w:rsidRPr="00EA3DC8">
        <w:rPr>
          <w:rFonts w:hint="cs"/>
          <w:sz w:val="18"/>
          <w:szCs w:val="20"/>
          <w:rtl/>
        </w:rPr>
        <w:t>:</w:t>
      </w:r>
      <w:r w:rsidRPr="00EA3DC8">
        <w:rPr>
          <w:sz w:val="18"/>
          <w:szCs w:val="20"/>
          <w:rtl/>
        </w:rPr>
        <w:t xml:space="preserve"> רק 14% </w:t>
      </w:r>
      <w:r w:rsidRPr="00EA3DC8">
        <w:rPr>
          <w:rFonts w:hint="cs"/>
          <w:sz w:val="18"/>
          <w:szCs w:val="20"/>
          <w:rtl/>
        </w:rPr>
        <w:t>מהאימהות</w:t>
      </w:r>
      <w:r w:rsidRPr="00EA3DC8">
        <w:rPr>
          <w:sz w:val="18"/>
          <w:szCs w:val="20"/>
          <w:rtl/>
        </w:rPr>
        <w:t xml:space="preserve"> עבדו לאורך כל התקופה, 22% עבדו שלושה חודשים או פחות בכל אחת משנות המעקב, ו</w:t>
      </w:r>
      <w:r w:rsidRPr="00EA3DC8">
        <w:rPr>
          <w:rFonts w:hint="cs"/>
          <w:sz w:val="18"/>
          <w:szCs w:val="20"/>
          <w:rtl/>
        </w:rPr>
        <w:t>האחרות התאפיינו</w:t>
      </w:r>
      <w:r w:rsidRPr="00EA3DC8">
        <w:rPr>
          <w:sz w:val="18"/>
          <w:szCs w:val="20"/>
          <w:rtl/>
        </w:rPr>
        <w:t xml:space="preserve"> בדפוס תעסוקה </w:t>
      </w:r>
      <w:r w:rsidRPr="00EA3DC8">
        <w:rPr>
          <w:rFonts w:hint="cs"/>
          <w:sz w:val="18"/>
          <w:szCs w:val="20"/>
          <w:rtl/>
        </w:rPr>
        <w:t>ח</w:t>
      </w:r>
      <w:r w:rsidRPr="00EA3DC8">
        <w:rPr>
          <w:sz w:val="18"/>
          <w:szCs w:val="20"/>
          <w:rtl/>
        </w:rPr>
        <w:t>לקי ולא יציב (</w:t>
      </w:r>
      <w:proofErr w:type="spellStart"/>
      <w:r w:rsidRPr="00EA3DC8">
        <w:rPr>
          <w:sz w:val="18"/>
          <w:szCs w:val="20"/>
        </w:rPr>
        <w:t>Achdut</w:t>
      </w:r>
      <w:proofErr w:type="spellEnd"/>
      <w:r w:rsidRPr="00EA3DC8">
        <w:rPr>
          <w:sz w:val="18"/>
          <w:szCs w:val="20"/>
        </w:rPr>
        <w:t xml:space="preserve"> &amp; Stier, 2016</w:t>
      </w:r>
      <w:r w:rsidRPr="00EA3DC8">
        <w:rPr>
          <w:sz w:val="18"/>
          <w:szCs w:val="20"/>
          <w:rtl/>
        </w:rPr>
        <w:t>).</w:t>
      </w:r>
      <w:r w:rsidRPr="00EA3DC8">
        <w:rPr>
          <w:rFonts w:hint="cs"/>
          <w:sz w:val="18"/>
          <w:szCs w:val="20"/>
          <w:rtl/>
        </w:rPr>
        <w:t xml:space="preserve"> </w:t>
      </w:r>
      <w:r w:rsidRPr="00EA3DC8">
        <w:rPr>
          <w:sz w:val="18"/>
          <w:szCs w:val="20"/>
          <w:rtl/>
        </w:rPr>
        <w:t>זאת ועוד</w:t>
      </w:r>
      <w:r w:rsidRPr="00EA3DC8">
        <w:rPr>
          <w:rFonts w:hint="cs"/>
          <w:sz w:val="18"/>
          <w:szCs w:val="20"/>
          <w:rtl/>
        </w:rPr>
        <w:t>.</w:t>
      </w:r>
      <w:r w:rsidRPr="00EA3DC8">
        <w:rPr>
          <w:sz w:val="18"/>
          <w:szCs w:val="20"/>
          <w:rtl/>
        </w:rPr>
        <w:t xml:space="preserve"> אנשים החיים בעוני</w:t>
      </w:r>
      <w:r w:rsidRPr="00EA3DC8">
        <w:rPr>
          <w:rFonts w:hint="cs"/>
          <w:sz w:val="18"/>
          <w:szCs w:val="20"/>
          <w:rtl/>
        </w:rPr>
        <w:t>,</w:t>
      </w:r>
      <w:r w:rsidRPr="00EA3DC8">
        <w:rPr>
          <w:sz w:val="18"/>
          <w:szCs w:val="20"/>
          <w:rtl/>
        </w:rPr>
        <w:t xml:space="preserve"> וכך גם מקבלי גמלאות קיום, מועסקים לרוב במשרות חלקיות (רא</w:t>
      </w:r>
      <w:r w:rsidRPr="00EA3DC8">
        <w:rPr>
          <w:rFonts w:hint="cs"/>
          <w:sz w:val="18"/>
          <w:szCs w:val="20"/>
          <w:rtl/>
        </w:rPr>
        <w:t>ו</w:t>
      </w:r>
      <w:r w:rsidRPr="00EA3DC8">
        <w:rPr>
          <w:sz w:val="18"/>
          <w:szCs w:val="20"/>
          <w:rtl/>
        </w:rPr>
        <w:t xml:space="preserve"> למשל</w:t>
      </w:r>
      <w:r w:rsidR="008A582C">
        <w:rPr>
          <w:rFonts w:hint="cs"/>
          <w:sz w:val="18"/>
          <w:szCs w:val="20"/>
          <w:rtl/>
        </w:rPr>
        <w:t xml:space="preserve"> </w:t>
      </w:r>
      <w:proofErr w:type="spellStart"/>
      <w:r w:rsidRPr="00EA3DC8">
        <w:rPr>
          <w:sz w:val="18"/>
          <w:szCs w:val="20"/>
          <w:lang w:val="en-GB"/>
        </w:rPr>
        <w:t>Achdut</w:t>
      </w:r>
      <w:proofErr w:type="spellEnd"/>
      <w:r w:rsidRPr="00EA3DC8">
        <w:rPr>
          <w:sz w:val="18"/>
          <w:szCs w:val="20"/>
          <w:lang w:val="en-GB"/>
        </w:rPr>
        <w:t xml:space="preserve">, </w:t>
      </w:r>
      <w:r w:rsidR="008A582C" w:rsidRPr="00EA3DC8">
        <w:rPr>
          <w:sz w:val="18"/>
          <w:szCs w:val="20"/>
          <w:lang w:val="en-GB"/>
        </w:rPr>
        <w:t>2016</w:t>
      </w:r>
      <w:r w:rsidR="008A582C">
        <w:rPr>
          <w:rFonts w:hint="cs"/>
          <w:sz w:val="18"/>
          <w:szCs w:val="20"/>
          <w:rtl/>
          <w:lang w:val="en-GB"/>
        </w:rPr>
        <w:t>)</w:t>
      </w:r>
      <w:r w:rsidRPr="00EA3DC8">
        <w:rPr>
          <w:sz w:val="18"/>
          <w:szCs w:val="20"/>
          <w:rtl/>
          <w:lang w:val="en-GB"/>
        </w:rPr>
        <w:t xml:space="preserve">. מחקרים מצביעים על כך </w:t>
      </w:r>
      <w:r w:rsidRPr="00EA3DC8">
        <w:rPr>
          <w:rFonts w:hint="cs"/>
          <w:sz w:val="18"/>
          <w:szCs w:val="20"/>
          <w:rtl/>
          <w:lang w:val="en-GB"/>
        </w:rPr>
        <w:t>ש</w:t>
      </w:r>
      <w:r w:rsidRPr="00EA3DC8">
        <w:rPr>
          <w:sz w:val="18"/>
          <w:szCs w:val="20"/>
          <w:rtl/>
          <w:lang w:val="en-GB"/>
        </w:rPr>
        <w:t xml:space="preserve">עבודה בהיקף חלקי </w:t>
      </w:r>
      <w:r w:rsidRPr="00EA3DC8">
        <w:rPr>
          <w:rFonts w:hint="cs"/>
          <w:sz w:val="18"/>
          <w:szCs w:val="20"/>
          <w:rtl/>
          <w:lang w:val="en-GB"/>
        </w:rPr>
        <w:t>היא</w:t>
      </w:r>
      <w:r w:rsidRPr="00EA3DC8">
        <w:rPr>
          <w:sz w:val="18"/>
          <w:szCs w:val="20"/>
          <w:rtl/>
          <w:lang w:val="en-GB"/>
        </w:rPr>
        <w:t xml:space="preserve"> גורם סיכון לא רק לעוני, אלא גם לעומקו</w:t>
      </w:r>
      <w:r w:rsidRPr="00EA3DC8">
        <w:rPr>
          <w:sz w:val="18"/>
          <w:szCs w:val="20"/>
          <w:rtl/>
        </w:rPr>
        <w:t xml:space="preserve"> (</w:t>
      </w:r>
      <w:proofErr w:type="spellStart"/>
      <w:r w:rsidRPr="00EA3DC8">
        <w:rPr>
          <w:sz w:val="18"/>
          <w:szCs w:val="20"/>
          <w:shd w:val="clear" w:color="auto" w:fill="FFFFFF"/>
        </w:rPr>
        <w:t>Horemans</w:t>
      </w:r>
      <w:proofErr w:type="spellEnd"/>
      <w:r w:rsidRPr="00EA3DC8">
        <w:rPr>
          <w:sz w:val="18"/>
          <w:szCs w:val="20"/>
          <w:shd w:val="clear" w:color="auto" w:fill="FFFFFF"/>
        </w:rPr>
        <w:t>, Marx, &amp; Nolan, 2016</w:t>
      </w:r>
      <w:r w:rsidRPr="00EA3DC8">
        <w:rPr>
          <w:sz w:val="18"/>
          <w:szCs w:val="20"/>
          <w:rtl/>
        </w:rPr>
        <w:t>). גם בישראל נמצא כי תעסוקה בהיקף מלא מגינה מפני עוני, אם כי לא בכל מקרים (להרחבה רא</w:t>
      </w:r>
      <w:r w:rsidRPr="00EA3DC8">
        <w:rPr>
          <w:rFonts w:hint="cs"/>
          <w:sz w:val="18"/>
          <w:szCs w:val="20"/>
          <w:rtl/>
        </w:rPr>
        <w:t>ו</w:t>
      </w:r>
      <w:r w:rsidRPr="00EA3DC8">
        <w:rPr>
          <w:sz w:val="18"/>
          <w:szCs w:val="20"/>
          <w:rtl/>
        </w:rPr>
        <w:t xml:space="preserve"> </w:t>
      </w:r>
      <w:proofErr w:type="spellStart"/>
      <w:r w:rsidRPr="00EA3DC8">
        <w:rPr>
          <w:rFonts w:eastAsia="Calibri"/>
          <w:sz w:val="18"/>
          <w:szCs w:val="20"/>
          <w:rtl/>
        </w:rPr>
        <w:t>אנדלבד</w:t>
      </w:r>
      <w:proofErr w:type="spellEnd"/>
      <w:r w:rsidRPr="00EA3DC8">
        <w:rPr>
          <w:rFonts w:eastAsia="Calibri"/>
          <w:sz w:val="18"/>
          <w:szCs w:val="20"/>
          <w:rtl/>
        </w:rPr>
        <w:t xml:space="preserve">, גוטליב, הלר </w:t>
      </w:r>
      <w:proofErr w:type="spellStart"/>
      <w:r w:rsidRPr="00EA3DC8">
        <w:rPr>
          <w:rFonts w:eastAsia="Calibri"/>
          <w:sz w:val="18"/>
          <w:szCs w:val="20"/>
          <w:rtl/>
        </w:rPr>
        <w:t>וכראדי</w:t>
      </w:r>
      <w:proofErr w:type="spellEnd"/>
      <w:r w:rsidRPr="00EA3DC8">
        <w:rPr>
          <w:sz w:val="18"/>
          <w:szCs w:val="20"/>
          <w:rtl/>
        </w:rPr>
        <w:t>,</w:t>
      </w:r>
      <w:r w:rsidRPr="00EA3DC8">
        <w:rPr>
          <w:rFonts w:hint="cs"/>
          <w:sz w:val="18"/>
          <w:szCs w:val="20"/>
          <w:rtl/>
        </w:rPr>
        <w:t xml:space="preserve"> 2019</w:t>
      </w:r>
      <w:r w:rsidRPr="00EA3DC8">
        <w:rPr>
          <w:sz w:val="18"/>
          <w:szCs w:val="20"/>
          <w:rtl/>
        </w:rPr>
        <w:t xml:space="preserve">). </w:t>
      </w:r>
    </w:p>
    <w:p w14:paraId="13A6D1D4" w14:textId="77777777" w:rsidR="00926914" w:rsidRDefault="00926914" w:rsidP="00EA3DC8">
      <w:pPr>
        <w:spacing w:after="180" w:line="280" w:lineRule="exact"/>
        <w:jc w:val="both"/>
        <w:rPr>
          <w:rtl/>
        </w:rPr>
      </w:pPr>
    </w:p>
    <w:p w14:paraId="01CC5F80" w14:textId="2368C3D7" w:rsidR="00926914" w:rsidRPr="00926914" w:rsidRDefault="00926914" w:rsidP="00EA3DC8">
      <w:pPr>
        <w:pStyle w:val="KOT5"/>
        <w:spacing w:after="0"/>
        <w:ind w:right="0"/>
        <w:rPr>
          <w:rFonts w:cs="Guttman Aharoni"/>
          <w:color w:val="00B0F0"/>
          <w:rtl/>
        </w:rPr>
      </w:pPr>
      <w:bookmarkStart w:id="5" w:name="_Toc76380481"/>
      <w:r w:rsidRPr="00926914">
        <w:rPr>
          <w:rFonts w:cs="Guttman Aharoni"/>
          <w:color w:val="00B0F0"/>
          <w:rtl/>
        </w:rPr>
        <w:t>חסמים לתעסוקה</w:t>
      </w:r>
      <w:bookmarkEnd w:id="5"/>
      <w:r w:rsidRPr="00926914">
        <w:rPr>
          <w:rFonts w:cs="Guttman Aharoni"/>
          <w:color w:val="00B0F0"/>
          <w:rtl/>
        </w:rPr>
        <w:t xml:space="preserve"> </w:t>
      </w:r>
    </w:p>
    <w:p w14:paraId="18786ECB" w14:textId="77777777" w:rsidR="00926914" w:rsidRPr="00EA3DC8" w:rsidRDefault="00926914" w:rsidP="00EA3DC8">
      <w:pPr>
        <w:spacing w:after="180" w:line="280" w:lineRule="exact"/>
        <w:jc w:val="both"/>
        <w:rPr>
          <w:sz w:val="18"/>
          <w:szCs w:val="20"/>
          <w:rtl/>
        </w:rPr>
      </w:pPr>
      <w:r w:rsidRPr="00EA3DC8">
        <w:rPr>
          <w:sz w:val="18"/>
          <w:szCs w:val="20"/>
          <w:rtl/>
        </w:rPr>
        <w:t>חסמים לתעסוקה נחלקים לרוב ל</w:t>
      </w:r>
      <w:r w:rsidRPr="00EA3DC8">
        <w:rPr>
          <w:rFonts w:hint="cs"/>
          <w:sz w:val="18"/>
          <w:szCs w:val="20"/>
          <w:rtl/>
        </w:rPr>
        <w:t xml:space="preserve">שני סוגים: </w:t>
      </w:r>
      <w:r w:rsidRPr="00EA3DC8">
        <w:rPr>
          <w:sz w:val="18"/>
          <w:szCs w:val="20"/>
          <w:rtl/>
        </w:rPr>
        <w:t>חסמים מצד ההיצע</w:t>
      </w:r>
      <w:r w:rsidRPr="00EA3DC8">
        <w:rPr>
          <w:rFonts w:hint="cs"/>
          <w:sz w:val="18"/>
          <w:szCs w:val="20"/>
          <w:rtl/>
        </w:rPr>
        <w:t>, כלומר כאלה הקשורים למאפייניו של הפרט,</w:t>
      </w:r>
      <w:r w:rsidRPr="00EA3DC8">
        <w:rPr>
          <w:sz w:val="18"/>
          <w:szCs w:val="20"/>
          <w:rtl/>
        </w:rPr>
        <w:t xml:space="preserve"> וחסמים מצד הביקוש, </w:t>
      </w:r>
      <w:r w:rsidRPr="00EA3DC8">
        <w:rPr>
          <w:rFonts w:hint="cs"/>
          <w:sz w:val="18"/>
          <w:szCs w:val="20"/>
          <w:rtl/>
        </w:rPr>
        <w:t xml:space="preserve">כלומר כאלה </w:t>
      </w:r>
      <w:r w:rsidRPr="00EA3DC8">
        <w:rPr>
          <w:sz w:val="18"/>
          <w:szCs w:val="20"/>
          <w:rtl/>
        </w:rPr>
        <w:t>הקשורים למאפיינים המבניים של שוק העבודה הכללי או המקומי</w:t>
      </w:r>
      <w:r w:rsidRPr="00EA3DC8">
        <w:rPr>
          <w:rFonts w:hint="cs"/>
          <w:sz w:val="18"/>
          <w:szCs w:val="20"/>
          <w:rtl/>
        </w:rPr>
        <w:t xml:space="preserve"> </w:t>
      </w:r>
      <w:r w:rsidRPr="00EA3DC8">
        <w:rPr>
          <w:sz w:val="18"/>
          <w:szCs w:val="20"/>
          <w:rtl/>
        </w:rPr>
        <w:t>(</w:t>
      </w:r>
      <w:proofErr w:type="spellStart"/>
      <w:r w:rsidRPr="00EA3DC8">
        <w:rPr>
          <w:sz w:val="18"/>
          <w:szCs w:val="20"/>
          <w:lang w:val="en-GB"/>
        </w:rPr>
        <w:t>Achdut</w:t>
      </w:r>
      <w:proofErr w:type="spellEnd"/>
      <w:r w:rsidRPr="00EA3DC8">
        <w:rPr>
          <w:sz w:val="18"/>
          <w:szCs w:val="20"/>
          <w:lang w:val="en-GB"/>
        </w:rPr>
        <w:t xml:space="preserve"> &amp; Stier, 2018; </w:t>
      </w:r>
      <w:proofErr w:type="spellStart"/>
      <w:r w:rsidRPr="00EA3DC8">
        <w:rPr>
          <w:sz w:val="18"/>
          <w:szCs w:val="20"/>
        </w:rPr>
        <w:t>Dworsky</w:t>
      </w:r>
      <w:proofErr w:type="spellEnd"/>
      <w:r w:rsidRPr="00EA3DC8">
        <w:rPr>
          <w:sz w:val="18"/>
          <w:szCs w:val="20"/>
        </w:rPr>
        <w:t xml:space="preserve"> &amp; Courtney, 2007; </w:t>
      </w:r>
      <w:proofErr w:type="spellStart"/>
      <w:r w:rsidRPr="00EA3DC8">
        <w:rPr>
          <w:sz w:val="18"/>
          <w:szCs w:val="20"/>
        </w:rPr>
        <w:t>Zedlewski</w:t>
      </w:r>
      <w:proofErr w:type="spellEnd"/>
      <w:r w:rsidRPr="00EA3DC8">
        <w:rPr>
          <w:sz w:val="18"/>
          <w:szCs w:val="20"/>
        </w:rPr>
        <w:t>, 1999</w:t>
      </w:r>
      <w:r w:rsidRPr="00EA3DC8">
        <w:rPr>
          <w:sz w:val="18"/>
          <w:szCs w:val="20"/>
          <w:rtl/>
        </w:rPr>
        <w:t xml:space="preserve">). </w:t>
      </w:r>
    </w:p>
    <w:p w14:paraId="5F3F2B8D" w14:textId="77777777" w:rsidR="00926914" w:rsidRPr="00EA3DC8" w:rsidRDefault="00926914" w:rsidP="00EA3DC8">
      <w:pPr>
        <w:spacing w:after="180" w:line="280" w:lineRule="exact"/>
        <w:jc w:val="both"/>
        <w:rPr>
          <w:b/>
          <w:bCs/>
          <w:sz w:val="18"/>
          <w:szCs w:val="20"/>
          <w:rtl/>
        </w:rPr>
      </w:pPr>
    </w:p>
    <w:p w14:paraId="1576ADD8" w14:textId="4AC1DAF1" w:rsidR="00926914" w:rsidRPr="00304F18" w:rsidRDefault="00926914" w:rsidP="00304F18">
      <w:pPr>
        <w:keepNext/>
        <w:keepLines/>
        <w:spacing w:line="280" w:lineRule="exact"/>
        <w:jc w:val="both"/>
        <w:rPr>
          <w:b/>
          <w:bCs/>
          <w:color w:val="00B0F0"/>
          <w:sz w:val="20"/>
          <w:szCs w:val="22"/>
          <w:rtl/>
        </w:rPr>
      </w:pPr>
      <w:bookmarkStart w:id="6" w:name="_Toc76380482"/>
      <w:r w:rsidRPr="00304F18">
        <w:rPr>
          <w:b/>
          <w:bCs/>
          <w:color w:val="00B0F0"/>
          <w:sz w:val="20"/>
          <w:szCs w:val="22"/>
          <w:rtl/>
        </w:rPr>
        <w:t>חסמים אישיים</w:t>
      </w:r>
      <w:bookmarkEnd w:id="6"/>
    </w:p>
    <w:p w14:paraId="04F80759" w14:textId="77777777" w:rsidR="00926914" w:rsidRPr="00EA3DC8" w:rsidRDefault="00926914" w:rsidP="00EA3DC8">
      <w:pPr>
        <w:spacing w:after="180" w:line="280" w:lineRule="exact"/>
        <w:jc w:val="both"/>
        <w:rPr>
          <w:sz w:val="18"/>
          <w:szCs w:val="20"/>
          <w:rtl/>
        </w:rPr>
      </w:pPr>
      <w:r w:rsidRPr="00EA3DC8">
        <w:rPr>
          <w:rFonts w:hint="cs"/>
          <w:sz w:val="18"/>
          <w:szCs w:val="20"/>
          <w:rtl/>
        </w:rPr>
        <w:t xml:space="preserve">החסמים האישיים </w:t>
      </w:r>
      <w:r w:rsidRPr="00EA3DC8">
        <w:rPr>
          <w:sz w:val="18"/>
          <w:szCs w:val="20"/>
          <w:rtl/>
        </w:rPr>
        <w:t>כוללים הון אנושי נמוך, ליקויי בריאות גופניים ונפשיים ומאפיינים סוציו-דמוגרפיים אחרים, ובהם גיל מבוגר או צעיר מא</w:t>
      </w:r>
      <w:r w:rsidRPr="00EA3DC8">
        <w:rPr>
          <w:rFonts w:hint="cs"/>
          <w:sz w:val="18"/>
          <w:szCs w:val="20"/>
          <w:rtl/>
        </w:rPr>
        <w:t>ו</w:t>
      </w:r>
      <w:r w:rsidRPr="00EA3DC8">
        <w:rPr>
          <w:sz w:val="18"/>
          <w:szCs w:val="20"/>
          <w:rtl/>
        </w:rPr>
        <w:t>ד, מצב משפחתי, מספר הילדים וגילם, הגירה (אחדות, 2007) ומצוקה בין-דורית (</w:t>
      </w:r>
      <w:proofErr w:type="spellStart"/>
      <w:r w:rsidRPr="00EA3DC8">
        <w:rPr>
          <w:sz w:val="18"/>
          <w:szCs w:val="20"/>
          <w:shd w:val="clear" w:color="auto" w:fill="FFFFFF"/>
        </w:rPr>
        <w:t>Berloffa</w:t>
      </w:r>
      <w:proofErr w:type="spellEnd"/>
      <w:r w:rsidRPr="00EA3DC8">
        <w:rPr>
          <w:sz w:val="18"/>
          <w:szCs w:val="20"/>
          <w:shd w:val="clear" w:color="auto" w:fill="FFFFFF"/>
        </w:rPr>
        <w:t xml:space="preserve">, </w:t>
      </w:r>
      <w:proofErr w:type="spellStart"/>
      <w:r w:rsidRPr="00EA3DC8">
        <w:rPr>
          <w:sz w:val="18"/>
          <w:szCs w:val="20"/>
          <w:shd w:val="clear" w:color="auto" w:fill="FFFFFF"/>
        </w:rPr>
        <w:t>Matteazzi</w:t>
      </w:r>
      <w:proofErr w:type="spellEnd"/>
      <w:r w:rsidRPr="00EA3DC8">
        <w:rPr>
          <w:sz w:val="18"/>
          <w:szCs w:val="20"/>
          <w:shd w:val="clear" w:color="auto" w:fill="FFFFFF"/>
        </w:rPr>
        <w:t xml:space="preserve">, &amp; Villa, 2016; </w:t>
      </w:r>
      <w:r w:rsidRPr="00EA3DC8">
        <w:rPr>
          <w:sz w:val="18"/>
          <w:szCs w:val="20"/>
        </w:rPr>
        <w:t xml:space="preserve">O'Neill &amp; Sweetman, 1998; </w:t>
      </w:r>
      <w:r w:rsidRPr="00EA3DC8">
        <w:rPr>
          <w:sz w:val="18"/>
          <w:szCs w:val="20"/>
          <w:shd w:val="clear" w:color="auto" w:fill="FFFFFF"/>
        </w:rPr>
        <w:t>Wood et al</w:t>
      </w:r>
      <w:r w:rsidRPr="00EA3DC8">
        <w:rPr>
          <w:sz w:val="18"/>
          <w:szCs w:val="20"/>
        </w:rPr>
        <w:t>., 2008</w:t>
      </w:r>
      <w:r w:rsidRPr="00EA3DC8">
        <w:rPr>
          <w:sz w:val="18"/>
          <w:szCs w:val="20"/>
          <w:rtl/>
        </w:rPr>
        <w:t xml:space="preserve">). </w:t>
      </w:r>
    </w:p>
    <w:p w14:paraId="3A3E8692" w14:textId="77777777" w:rsidR="00926914" w:rsidRPr="00EA3DC8" w:rsidRDefault="00926914" w:rsidP="00EA3DC8">
      <w:pPr>
        <w:spacing w:after="180" w:line="280" w:lineRule="exact"/>
        <w:jc w:val="both"/>
        <w:rPr>
          <w:sz w:val="18"/>
          <w:szCs w:val="20"/>
          <w:rtl/>
        </w:rPr>
      </w:pPr>
      <w:r w:rsidRPr="00EA3DC8">
        <w:rPr>
          <w:sz w:val="18"/>
          <w:szCs w:val="20"/>
          <w:rtl/>
        </w:rPr>
        <w:lastRenderedPageBreak/>
        <w:t>הון אנושי נמוך כולל רמת השכלה נמוכה, היעדר הכשרה מקצועית, קשר רופף עם שוק העבודה</w:t>
      </w:r>
      <w:r w:rsidRPr="00EA3DC8">
        <w:rPr>
          <w:rFonts w:hint="cs"/>
          <w:sz w:val="18"/>
          <w:szCs w:val="20"/>
          <w:rtl/>
        </w:rPr>
        <w:t xml:space="preserve"> </w:t>
      </w:r>
      <w:r w:rsidRPr="00EA3DC8">
        <w:rPr>
          <w:sz w:val="18"/>
          <w:szCs w:val="20"/>
          <w:rtl/>
        </w:rPr>
        <w:t xml:space="preserve">וניסיון תעסוקתי דל. מחקרים רבים בקרב אנשים </w:t>
      </w:r>
      <w:r w:rsidRPr="00EA3DC8">
        <w:rPr>
          <w:rFonts w:hint="cs"/>
          <w:sz w:val="18"/>
          <w:szCs w:val="20"/>
          <w:rtl/>
        </w:rPr>
        <w:t xml:space="preserve">החיים </w:t>
      </w:r>
      <w:r w:rsidRPr="00EA3DC8">
        <w:rPr>
          <w:sz w:val="18"/>
          <w:szCs w:val="20"/>
          <w:rtl/>
        </w:rPr>
        <w:t xml:space="preserve">בעוני ומקבלי גמלאות הצביעו על הקשר בין מאפייני ההון האנושי של הפרט, </w:t>
      </w:r>
      <w:r w:rsidRPr="00EA3DC8">
        <w:rPr>
          <w:rFonts w:hint="cs"/>
          <w:sz w:val="18"/>
          <w:szCs w:val="20"/>
          <w:rtl/>
        </w:rPr>
        <w:t xml:space="preserve">ובהם </w:t>
      </w:r>
      <w:r w:rsidRPr="00EA3DC8">
        <w:rPr>
          <w:sz w:val="18"/>
          <w:szCs w:val="20"/>
          <w:rtl/>
        </w:rPr>
        <w:t>גם מחסור במיומנויות תעסוקתיות רכות</w:t>
      </w:r>
      <w:r w:rsidRPr="00EA3DC8">
        <w:rPr>
          <w:rFonts w:hint="cs"/>
          <w:sz w:val="18"/>
          <w:szCs w:val="20"/>
          <w:rtl/>
        </w:rPr>
        <w:t xml:space="preserve"> דוגמת </w:t>
      </w:r>
      <w:r w:rsidRPr="00EA3DC8">
        <w:rPr>
          <w:sz w:val="18"/>
          <w:szCs w:val="20"/>
          <w:rtl/>
        </w:rPr>
        <w:t>מיומנויות בין-אישיות וארגוניות</w:t>
      </w:r>
      <w:r w:rsidRPr="00EA3DC8">
        <w:rPr>
          <w:rFonts w:hint="cs"/>
          <w:sz w:val="18"/>
          <w:szCs w:val="20"/>
          <w:rtl/>
        </w:rPr>
        <w:t>,</w:t>
      </w:r>
      <w:r w:rsidRPr="00EA3DC8">
        <w:rPr>
          <w:sz w:val="18"/>
          <w:szCs w:val="20"/>
          <w:rtl/>
        </w:rPr>
        <w:t xml:space="preserve"> לבין סיכוייו </w:t>
      </w:r>
      <w:r w:rsidRPr="00EA3DC8">
        <w:rPr>
          <w:rFonts w:hint="cs"/>
          <w:sz w:val="18"/>
          <w:szCs w:val="20"/>
          <w:rtl/>
        </w:rPr>
        <w:t>להשתלב</w:t>
      </w:r>
      <w:r w:rsidRPr="00EA3DC8">
        <w:rPr>
          <w:sz w:val="18"/>
          <w:szCs w:val="20"/>
          <w:rtl/>
        </w:rPr>
        <w:t xml:space="preserve"> בתעסוקה יציבה ובהיקף מלא, להרוויח שכר גבוה יותר ולהיחלץ מעוני (אחדות, 2007; </w:t>
      </w:r>
      <w:r w:rsidRPr="00EA3DC8">
        <w:rPr>
          <w:sz w:val="18"/>
          <w:szCs w:val="20"/>
        </w:rPr>
        <w:t>Alfred, 2005; Alfred &amp; Martin, 2007; Lee &amp; Yoon, 2009; Nam, 2005; Wavelet &amp; Anderson, 2002</w:t>
      </w:r>
      <w:r w:rsidRPr="00EA3DC8">
        <w:rPr>
          <w:sz w:val="18"/>
          <w:szCs w:val="20"/>
          <w:rtl/>
        </w:rPr>
        <w:t>). עם זאת, אחדות (</w:t>
      </w:r>
      <w:proofErr w:type="spellStart"/>
      <w:r w:rsidRPr="00EA3DC8">
        <w:rPr>
          <w:sz w:val="18"/>
          <w:szCs w:val="20"/>
        </w:rPr>
        <w:t>Achdut</w:t>
      </w:r>
      <w:proofErr w:type="spellEnd"/>
      <w:r w:rsidRPr="00EA3DC8">
        <w:rPr>
          <w:sz w:val="18"/>
          <w:szCs w:val="20"/>
        </w:rPr>
        <w:t>, 2016</w:t>
      </w:r>
      <w:r w:rsidRPr="00EA3DC8">
        <w:rPr>
          <w:sz w:val="18"/>
          <w:szCs w:val="20"/>
          <w:rtl/>
        </w:rPr>
        <w:t xml:space="preserve">) מצאה כי תרומתם של רכיבים שונים של ההון האנושי להסבר ההסתברות לצאת ממערכת הבטחת הכנסה באמצעות עבודה אינה אחידה. למשל, </w:t>
      </w:r>
      <w:r w:rsidRPr="00EA3DC8">
        <w:rPr>
          <w:sz w:val="18"/>
          <w:szCs w:val="20"/>
          <w:rtl/>
          <w:lang w:val="en-GB"/>
        </w:rPr>
        <w:t xml:space="preserve">לקיומם של מקצוע או הכשרה בתחום כלשהו </w:t>
      </w:r>
      <w:r w:rsidRPr="00EA3DC8">
        <w:rPr>
          <w:sz w:val="18"/>
          <w:szCs w:val="20"/>
          <w:rtl/>
        </w:rPr>
        <w:t xml:space="preserve">ולניסיון תעסוקתי חשיבות רבה בניבוי התעסוקה והיציאה ממערכת הבטחת ההכנסה, ואילו </w:t>
      </w:r>
      <w:r w:rsidRPr="00EA3DC8">
        <w:rPr>
          <w:rFonts w:hint="cs"/>
          <w:sz w:val="18"/>
          <w:szCs w:val="20"/>
          <w:rtl/>
        </w:rPr>
        <w:t>ל</w:t>
      </w:r>
      <w:r w:rsidRPr="00EA3DC8">
        <w:rPr>
          <w:sz w:val="18"/>
          <w:szCs w:val="20"/>
          <w:rtl/>
        </w:rPr>
        <w:t>השכלה תיכונית פורמלית (תעודת בגרות מלאה) לא נמצאה תרומה</w:t>
      </w:r>
      <w:r w:rsidRPr="00EA3DC8">
        <w:rPr>
          <w:rFonts w:hint="cs"/>
          <w:sz w:val="18"/>
          <w:szCs w:val="20"/>
          <w:rtl/>
        </w:rPr>
        <w:t xml:space="preserve"> לכך</w:t>
      </w:r>
      <w:r w:rsidRPr="00EA3DC8">
        <w:rPr>
          <w:sz w:val="18"/>
          <w:szCs w:val="20"/>
          <w:rtl/>
        </w:rPr>
        <w:t xml:space="preserve">. </w:t>
      </w:r>
      <w:r w:rsidRPr="00EA3DC8">
        <w:rPr>
          <w:rFonts w:hint="cs"/>
          <w:sz w:val="18"/>
          <w:szCs w:val="20"/>
          <w:rtl/>
        </w:rPr>
        <w:t xml:space="preserve">אולם </w:t>
      </w:r>
      <w:r w:rsidRPr="00EA3DC8">
        <w:rPr>
          <w:sz w:val="18"/>
          <w:szCs w:val="20"/>
          <w:rtl/>
        </w:rPr>
        <w:t xml:space="preserve">חשוב להדגיש כי לקיומה של השכלה פורמלית חשיבות רבה בניבוי גובה השכר ומספר שעות העבודה. </w:t>
      </w:r>
    </w:p>
    <w:p w14:paraId="0BBD7372" w14:textId="1361B2FF" w:rsidR="00926914" w:rsidRPr="00EA3DC8" w:rsidRDefault="00926914" w:rsidP="00956340">
      <w:pPr>
        <w:spacing w:after="180" w:line="280" w:lineRule="exact"/>
        <w:jc w:val="both"/>
        <w:rPr>
          <w:sz w:val="18"/>
          <w:szCs w:val="20"/>
          <w:rtl/>
        </w:rPr>
      </w:pPr>
      <w:r w:rsidRPr="00EA3DC8">
        <w:rPr>
          <w:sz w:val="18"/>
          <w:szCs w:val="20"/>
          <w:rtl/>
        </w:rPr>
        <w:t>גם ליקויי בריאות גופניים ונפשיים של האדם או של אחד מבני משפחתו הם חסם מרכזי להשתלבות בעבודה (</w:t>
      </w:r>
      <w:proofErr w:type="spellStart"/>
      <w:r w:rsidRPr="00EA3DC8">
        <w:rPr>
          <w:sz w:val="18"/>
          <w:szCs w:val="20"/>
        </w:rPr>
        <w:t>Achdut</w:t>
      </w:r>
      <w:proofErr w:type="spellEnd"/>
      <w:r w:rsidRPr="00EA3DC8">
        <w:rPr>
          <w:sz w:val="18"/>
          <w:szCs w:val="20"/>
        </w:rPr>
        <w:t xml:space="preserve">, 2016; </w:t>
      </w:r>
      <w:proofErr w:type="spellStart"/>
      <w:r w:rsidRPr="00EA3DC8">
        <w:rPr>
          <w:sz w:val="18"/>
          <w:szCs w:val="20"/>
        </w:rPr>
        <w:t>Achdut</w:t>
      </w:r>
      <w:proofErr w:type="spellEnd"/>
      <w:r w:rsidRPr="00EA3DC8">
        <w:rPr>
          <w:sz w:val="18"/>
          <w:szCs w:val="20"/>
        </w:rPr>
        <w:t xml:space="preserve"> &amp; Stier, 2018; Moore et al., 2012; Nam, 2005; </w:t>
      </w:r>
      <w:proofErr w:type="spellStart"/>
      <w:r w:rsidRPr="00EA3DC8">
        <w:rPr>
          <w:sz w:val="18"/>
          <w:szCs w:val="20"/>
        </w:rPr>
        <w:t>Seefeldt</w:t>
      </w:r>
      <w:proofErr w:type="spellEnd"/>
      <w:r w:rsidRPr="00EA3DC8">
        <w:rPr>
          <w:sz w:val="18"/>
          <w:szCs w:val="20"/>
        </w:rPr>
        <w:t xml:space="preserve"> &amp; </w:t>
      </w:r>
      <w:proofErr w:type="spellStart"/>
      <w:r w:rsidRPr="00EA3DC8">
        <w:rPr>
          <w:sz w:val="18"/>
          <w:szCs w:val="20"/>
        </w:rPr>
        <w:t>Orzol</w:t>
      </w:r>
      <w:proofErr w:type="spellEnd"/>
      <w:r w:rsidRPr="00EA3DC8">
        <w:rPr>
          <w:sz w:val="18"/>
          <w:szCs w:val="20"/>
        </w:rPr>
        <w:t>, 2005; Wood et al., 2008</w:t>
      </w:r>
      <w:r w:rsidRPr="00EA3DC8">
        <w:rPr>
          <w:sz w:val="18"/>
          <w:szCs w:val="20"/>
          <w:rtl/>
        </w:rPr>
        <w:t>). ניקל (</w:t>
      </w:r>
      <w:r w:rsidRPr="00EA3DC8">
        <w:rPr>
          <w:sz w:val="18"/>
          <w:szCs w:val="20"/>
        </w:rPr>
        <w:t>Nickell, 2004</w:t>
      </w:r>
      <w:r w:rsidRPr="00EA3DC8">
        <w:rPr>
          <w:sz w:val="18"/>
          <w:szCs w:val="20"/>
          <w:rtl/>
        </w:rPr>
        <w:t>) מצא כי השילוב של בעיות בריאות והשכלה נמוכה ה</w:t>
      </w:r>
      <w:r w:rsidRPr="00EA3DC8">
        <w:rPr>
          <w:rFonts w:hint="cs"/>
          <w:sz w:val="18"/>
          <w:szCs w:val="20"/>
          <w:rtl/>
        </w:rPr>
        <w:t>וא</w:t>
      </w:r>
      <w:r w:rsidRPr="00EA3DC8">
        <w:rPr>
          <w:sz w:val="18"/>
          <w:szCs w:val="20"/>
          <w:rtl/>
        </w:rPr>
        <w:t xml:space="preserve"> חסם מרכזי לתעסוקה בקרב גברים, ואחדות (</w:t>
      </w:r>
      <w:proofErr w:type="spellStart"/>
      <w:r w:rsidRPr="00EA3DC8">
        <w:rPr>
          <w:sz w:val="18"/>
          <w:szCs w:val="20"/>
        </w:rPr>
        <w:t>Achdut</w:t>
      </w:r>
      <w:proofErr w:type="spellEnd"/>
      <w:r w:rsidRPr="00EA3DC8">
        <w:rPr>
          <w:sz w:val="18"/>
          <w:szCs w:val="20"/>
        </w:rPr>
        <w:t>, 2016</w:t>
      </w:r>
      <w:r w:rsidRPr="00EA3DC8">
        <w:rPr>
          <w:sz w:val="18"/>
          <w:szCs w:val="20"/>
          <w:rtl/>
        </w:rPr>
        <w:t>) מצאה כי מצב בריאות לקוי – גופני או נפשי</w:t>
      </w:r>
      <w:r w:rsidRPr="00EA3DC8">
        <w:rPr>
          <w:rFonts w:hint="cs"/>
          <w:sz w:val="18"/>
          <w:szCs w:val="20"/>
          <w:rtl/>
        </w:rPr>
        <w:t xml:space="preserve"> </w:t>
      </w:r>
      <w:r w:rsidRPr="00EA3DC8">
        <w:rPr>
          <w:sz w:val="18"/>
          <w:szCs w:val="20"/>
          <w:rtl/>
        </w:rPr>
        <w:t>– מפחית את הסיכוי לצאת ממערכת הבטחת הכנסה באמצעות תעסוקה</w:t>
      </w:r>
      <w:r w:rsidRPr="00EA3DC8">
        <w:rPr>
          <w:rFonts w:hint="cs"/>
          <w:sz w:val="18"/>
          <w:szCs w:val="20"/>
          <w:rtl/>
        </w:rPr>
        <w:t>,</w:t>
      </w:r>
      <w:r w:rsidRPr="00EA3DC8">
        <w:rPr>
          <w:sz w:val="18"/>
          <w:szCs w:val="20"/>
          <w:rtl/>
        </w:rPr>
        <w:t xml:space="preserve"> וכי קשר זה אחיד בקרב מקבלי גמלה </w:t>
      </w:r>
      <w:r w:rsidRPr="00EA3DC8">
        <w:rPr>
          <w:rFonts w:hint="cs"/>
          <w:sz w:val="18"/>
          <w:szCs w:val="20"/>
          <w:rtl/>
        </w:rPr>
        <w:t xml:space="preserve">בעלי </w:t>
      </w:r>
      <w:r w:rsidRPr="00EA3DC8">
        <w:rPr>
          <w:sz w:val="18"/>
          <w:szCs w:val="20"/>
          <w:rtl/>
        </w:rPr>
        <w:t xml:space="preserve">מאפייני הון אנושי שונים. כלומר, הון אנושי רב יותר אינו ממתן את הקשר שבין מצב בריאות לקוי לבין עזיבת מערכת הגמלאות דרך נתיב התעסוקה. </w:t>
      </w:r>
    </w:p>
    <w:p w14:paraId="7E029F2C" w14:textId="77777777" w:rsidR="00926914" w:rsidRPr="00EA3DC8" w:rsidRDefault="00926914" w:rsidP="00EA3DC8">
      <w:pPr>
        <w:spacing w:after="180" w:line="280" w:lineRule="exact"/>
        <w:jc w:val="both"/>
        <w:rPr>
          <w:sz w:val="18"/>
          <w:szCs w:val="20"/>
          <w:rtl/>
        </w:rPr>
      </w:pPr>
      <w:r w:rsidRPr="00EA3DC8">
        <w:rPr>
          <w:sz w:val="18"/>
          <w:szCs w:val="20"/>
          <w:rtl/>
        </w:rPr>
        <w:t xml:space="preserve">לבסוף, גם למאפייני הרקע של הפרט ושל משק הבית נודעת חשיבות בהסבר </w:t>
      </w:r>
      <w:r w:rsidRPr="00EA3DC8">
        <w:rPr>
          <w:rFonts w:hint="cs"/>
          <w:sz w:val="18"/>
          <w:szCs w:val="20"/>
          <w:rtl/>
        </w:rPr>
        <w:t xml:space="preserve">של </w:t>
      </w:r>
      <w:r w:rsidRPr="00EA3DC8">
        <w:rPr>
          <w:sz w:val="18"/>
          <w:szCs w:val="20"/>
          <w:rtl/>
        </w:rPr>
        <w:t>מצב התעסוקה ורמת השכר. כך למשל, גיל צעיר או מבוגר (</w:t>
      </w:r>
      <w:r w:rsidRPr="00EA3DC8">
        <w:rPr>
          <w:sz w:val="18"/>
          <w:szCs w:val="20"/>
          <w:shd w:val="clear" w:color="auto" w:fill="FFFFFF"/>
        </w:rPr>
        <w:t xml:space="preserve">Harris, </w:t>
      </w:r>
      <w:proofErr w:type="spellStart"/>
      <w:r w:rsidRPr="00EA3DC8">
        <w:rPr>
          <w:sz w:val="18"/>
          <w:szCs w:val="20"/>
          <w:shd w:val="clear" w:color="auto" w:fill="FFFFFF"/>
        </w:rPr>
        <w:t>Krygsman</w:t>
      </w:r>
      <w:proofErr w:type="spellEnd"/>
      <w:r w:rsidRPr="00EA3DC8">
        <w:rPr>
          <w:sz w:val="18"/>
          <w:szCs w:val="20"/>
          <w:shd w:val="clear" w:color="auto" w:fill="FFFFFF"/>
        </w:rPr>
        <w:t xml:space="preserve">, </w:t>
      </w:r>
      <w:proofErr w:type="spellStart"/>
      <w:r w:rsidRPr="00EA3DC8">
        <w:rPr>
          <w:sz w:val="18"/>
          <w:szCs w:val="20"/>
          <w:shd w:val="clear" w:color="auto" w:fill="FFFFFF"/>
        </w:rPr>
        <w:t>Waschenko</w:t>
      </w:r>
      <w:proofErr w:type="spellEnd"/>
      <w:r w:rsidRPr="00EA3DC8">
        <w:rPr>
          <w:sz w:val="18"/>
          <w:szCs w:val="20"/>
          <w:shd w:val="clear" w:color="auto" w:fill="FFFFFF"/>
        </w:rPr>
        <w:t xml:space="preserve">, &amp; </w:t>
      </w:r>
      <w:proofErr w:type="spellStart"/>
      <w:r w:rsidRPr="00EA3DC8">
        <w:rPr>
          <w:sz w:val="18"/>
          <w:szCs w:val="20"/>
          <w:shd w:val="clear" w:color="auto" w:fill="FFFFFF"/>
        </w:rPr>
        <w:t>Laliberte</w:t>
      </w:r>
      <w:proofErr w:type="spellEnd"/>
      <w:r w:rsidRPr="00EA3DC8">
        <w:rPr>
          <w:sz w:val="18"/>
          <w:szCs w:val="20"/>
          <w:shd w:val="clear" w:color="auto" w:fill="FFFFFF"/>
        </w:rPr>
        <w:t xml:space="preserve"> Rudman, 2017</w:t>
      </w:r>
      <w:r w:rsidRPr="00EA3DC8">
        <w:rPr>
          <w:sz w:val="18"/>
          <w:szCs w:val="20"/>
          <w:rtl/>
        </w:rPr>
        <w:t xml:space="preserve">), </w:t>
      </w:r>
      <w:r w:rsidRPr="00EA3DC8">
        <w:rPr>
          <w:rFonts w:eastAsia="Calibri"/>
          <w:sz w:val="18"/>
          <w:szCs w:val="20"/>
          <w:rtl/>
        </w:rPr>
        <w:t>סטטוס משפחתי של חד-הוריות, מספר רב של ילדים (</w:t>
      </w:r>
      <w:r w:rsidRPr="00EA3DC8">
        <w:rPr>
          <w:sz w:val="18"/>
          <w:szCs w:val="20"/>
        </w:rPr>
        <w:t>Nam, 2005; Wood et al., 2008</w:t>
      </w:r>
      <w:r w:rsidRPr="00EA3DC8">
        <w:rPr>
          <w:rFonts w:eastAsia="Calibri"/>
          <w:sz w:val="18"/>
          <w:szCs w:val="20"/>
          <w:rtl/>
        </w:rPr>
        <w:t>) וגיל צעיר של הילדים (</w:t>
      </w:r>
      <w:proofErr w:type="spellStart"/>
      <w:r w:rsidRPr="00EA3DC8">
        <w:rPr>
          <w:rFonts w:eastAsia="Calibri"/>
          <w:sz w:val="18"/>
          <w:szCs w:val="20"/>
        </w:rPr>
        <w:t>Achdut</w:t>
      </w:r>
      <w:proofErr w:type="spellEnd"/>
      <w:r w:rsidRPr="00EA3DC8">
        <w:rPr>
          <w:rFonts w:eastAsia="Calibri"/>
          <w:sz w:val="18"/>
          <w:szCs w:val="20"/>
        </w:rPr>
        <w:t xml:space="preserve">, 2016; </w:t>
      </w:r>
      <w:proofErr w:type="spellStart"/>
      <w:r w:rsidRPr="00EA3DC8">
        <w:rPr>
          <w:sz w:val="18"/>
          <w:szCs w:val="20"/>
        </w:rPr>
        <w:t>Barusch</w:t>
      </w:r>
      <w:proofErr w:type="spellEnd"/>
      <w:r w:rsidRPr="00EA3DC8">
        <w:rPr>
          <w:sz w:val="18"/>
          <w:szCs w:val="20"/>
        </w:rPr>
        <w:t xml:space="preserve">, </w:t>
      </w:r>
      <w:proofErr w:type="spellStart"/>
      <w:r w:rsidRPr="00EA3DC8">
        <w:rPr>
          <w:sz w:val="18"/>
          <w:szCs w:val="20"/>
        </w:rPr>
        <w:t>Luptak</w:t>
      </w:r>
      <w:proofErr w:type="spellEnd"/>
      <w:r w:rsidRPr="00EA3DC8">
        <w:rPr>
          <w:sz w:val="18"/>
          <w:szCs w:val="20"/>
        </w:rPr>
        <w:t xml:space="preserve">, &amp; Hurtado, 2009; </w:t>
      </w:r>
      <w:r w:rsidRPr="00EA3DC8">
        <w:rPr>
          <w:sz w:val="18"/>
          <w:szCs w:val="20"/>
          <w:shd w:val="clear" w:color="auto" w:fill="FFFFFF"/>
        </w:rPr>
        <w:t>Wood et al</w:t>
      </w:r>
      <w:r w:rsidRPr="00EA3DC8">
        <w:rPr>
          <w:sz w:val="18"/>
          <w:szCs w:val="20"/>
        </w:rPr>
        <w:t>., 2008</w:t>
      </w:r>
      <w:r w:rsidRPr="00EA3DC8">
        <w:rPr>
          <w:sz w:val="18"/>
          <w:szCs w:val="20"/>
          <w:rtl/>
        </w:rPr>
        <w:t xml:space="preserve">) מפחיתים את סיכוייהם של אנשים החיים בעוני ומקבלי גמלאות </w:t>
      </w:r>
      <w:r w:rsidRPr="00EA3DC8">
        <w:rPr>
          <w:rFonts w:hint="cs"/>
          <w:sz w:val="18"/>
          <w:szCs w:val="20"/>
          <w:rtl/>
        </w:rPr>
        <w:t>להשתלב בשוק העבודה</w:t>
      </w:r>
      <w:r w:rsidRPr="00EA3DC8">
        <w:rPr>
          <w:sz w:val="18"/>
          <w:szCs w:val="20"/>
          <w:rtl/>
        </w:rPr>
        <w:t xml:space="preserve">. הסיבות לכך הן מגוונות, </w:t>
      </w:r>
      <w:r w:rsidRPr="00EA3DC8">
        <w:rPr>
          <w:rFonts w:hint="cs"/>
          <w:sz w:val="18"/>
          <w:szCs w:val="20"/>
          <w:rtl/>
        </w:rPr>
        <w:t xml:space="preserve">ובהן </w:t>
      </w:r>
      <w:r w:rsidRPr="00EA3DC8">
        <w:rPr>
          <w:sz w:val="18"/>
          <w:szCs w:val="20"/>
          <w:rtl/>
        </w:rPr>
        <w:t xml:space="preserve">עלותן הגבוהה של מסגרות </w:t>
      </w:r>
      <w:r w:rsidRPr="00EA3DC8">
        <w:rPr>
          <w:rFonts w:hint="cs"/>
          <w:sz w:val="18"/>
          <w:szCs w:val="20"/>
          <w:rtl/>
        </w:rPr>
        <w:t>ל</w:t>
      </w:r>
      <w:r w:rsidRPr="00EA3DC8">
        <w:rPr>
          <w:sz w:val="18"/>
          <w:szCs w:val="20"/>
          <w:rtl/>
        </w:rPr>
        <w:t>ילדים, ש</w:t>
      </w:r>
      <w:r w:rsidRPr="00EA3DC8">
        <w:rPr>
          <w:rFonts w:hint="cs"/>
          <w:sz w:val="18"/>
          <w:szCs w:val="20"/>
          <w:rtl/>
        </w:rPr>
        <w:t xml:space="preserve">עושה </w:t>
      </w:r>
      <w:r w:rsidRPr="00EA3DC8">
        <w:rPr>
          <w:sz w:val="18"/>
          <w:szCs w:val="20"/>
          <w:rtl/>
        </w:rPr>
        <w:t>את היציאה לעבודה כדאית</w:t>
      </w:r>
      <w:r w:rsidRPr="00EA3DC8">
        <w:rPr>
          <w:rFonts w:hint="cs"/>
          <w:sz w:val="18"/>
          <w:szCs w:val="20"/>
          <w:rtl/>
        </w:rPr>
        <w:t xml:space="preserve"> </w:t>
      </w:r>
      <w:r w:rsidRPr="00EA3DC8">
        <w:rPr>
          <w:sz w:val="18"/>
          <w:szCs w:val="20"/>
          <w:rtl/>
        </w:rPr>
        <w:t xml:space="preserve">פחות </w:t>
      </w:r>
      <w:r w:rsidRPr="00EA3DC8">
        <w:rPr>
          <w:rFonts w:hint="cs"/>
          <w:sz w:val="18"/>
          <w:szCs w:val="20"/>
          <w:rtl/>
        </w:rPr>
        <w:t>בהיבט הכלכלי</w:t>
      </w:r>
      <w:r w:rsidRPr="00EA3DC8">
        <w:rPr>
          <w:sz w:val="18"/>
          <w:szCs w:val="20"/>
          <w:rtl/>
        </w:rPr>
        <w:t xml:space="preserve"> (</w:t>
      </w:r>
      <w:proofErr w:type="spellStart"/>
      <w:r w:rsidRPr="00EA3DC8">
        <w:rPr>
          <w:sz w:val="18"/>
          <w:szCs w:val="20"/>
          <w:shd w:val="clear" w:color="auto" w:fill="FFFFFF"/>
        </w:rPr>
        <w:t>Juon</w:t>
      </w:r>
      <w:proofErr w:type="spellEnd"/>
      <w:r w:rsidRPr="00EA3DC8">
        <w:rPr>
          <w:sz w:val="18"/>
          <w:szCs w:val="20"/>
        </w:rPr>
        <w:t xml:space="preserve"> et al., 2010; Nam, 2005; Wood et al., 2008</w:t>
      </w:r>
      <w:r w:rsidRPr="00EA3DC8">
        <w:rPr>
          <w:sz w:val="18"/>
          <w:szCs w:val="20"/>
          <w:rtl/>
        </w:rPr>
        <w:t>)</w:t>
      </w:r>
      <w:r w:rsidRPr="00EA3DC8">
        <w:rPr>
          <w:rFonts w:hint="cs"/>
          <w:sz w:val="18"/>
          <w:szCs w:val="20"/>
          <w:rtl/>
        </w:rPr>
        <w:t>,</w:t>
      </w:r>
      <w:r w:rsidRPr="00EA3DC8">
        <w:rPr>
          <w:sz w:val="18"/>
          <w:szCs w:val="20"/>
          <w:rtl/>
        </w:rPr>
        <w:t xml:space="preserve"> והקושי לתמרן בין צורכי הבית והילדים ל</w:t>
      </w:r>
      <w:r w:rsidRPr="00EA3DC8">
        <w:rPr>
          <w:rFonts w:hint="cs"/>
          <w:sz w:val="18"/>
          <w:szCs w:val="20"/>
          <w:rtl/>
        </w:rPr>
        <w:t xml:space="preserve">בין </w:t>
      </w:r>
      <w:r w:rsidRPr="00EA3DC8">
        <w:rPr>
          <w:sz w:val="18"/>
          <w:szCs w:val="20"/>
          <w:rtl/>
        </w:rPr>
        <w:t>דרישות העבודה –</w:t>
      </w:r>
      <w:r w:rsidRPr="00EA3DC8">
        <w:rPr>
          <w:rFonts w:hint="cs"/>
          <w:sz w:val="18"/>
          <w:szCs w:val="20"/>
          <w:rtl/>
        </w:rPr>
        <w:t xml:space="preserve"> </w:t>
      </w:r>
      <w:r w:rsidRPr="00EA3DC8">
        <w:rPr>
          <w:sz w:val="18"/>
          <w:szCs w:val="20"/>
          <w:rtl/>
        </w:rPr>
        <w:t>בעיקר בקרב אימהות ואימהות חד</w:t>
      </w:r>
      <w:r w:rsidRPr="00EA3DC8">
        <w:rPr>
          <w:rFonts w:hint="cs"/>
          <w:sz w:val="18"/>
          <w:szCs w:val="20"/>
          <w:rtl/>
        </w:rPr>
        <w:t>-</w:t>
      </w:r>
      <w:r w:rsidRPr="00EA3DC8">
        <w:rPr>
          <w:sz w:val="18"/>
          <w:szCs w:val="20"/>
          <w:rtl/>
        </w:rPr>
        <w:t>הוריות (</w:t>
      </w:r>
      <w:proofErr w:type="spellStart"/>
      <w:r w:rsidRPr="00EA3DC8">
        <w:rPr>
          <w:sz w:val="18"/>
          <w:szCs w:val="20"/>
          <w:shd w:val="clear" w:color="auto" w:fill="FFFFFF"/>
        </w:rPr>
        <w:t>Albelda</w:t>
      </w:r>
      <w:proofErr w:type="spellEnd"/>
      <w:r w:rsidRPr="00EA3DC8">
        <w:rPr>
          <w:sz w:val="18"/>
          <w:szCs w:val="20"/>
          <w:shd w:val="clear" w:color="auto" w:fill="FFFFFF"/>
        </w:rPr>
        <w:t xml:space="preserve"> &amp; Shea, 2010</w:t>
      </w:r>
      <w:r w:rsidRPr="00EA3DC8">
        <w:rPr>
          <w:sz w:val="18"/>
          <w:szCs w:val="20"/>
          <w:rtl/>
        </w:rPr>
        <w:t xml:space="preserve">). </w:t>
      </w:r>
      <w:r w:rsidRPr="00EA3DC8">
        <w:rPr>
          <w:rFonts w:hint="cs"/>
          <w:sz w:val="18"/>
          <w:szCs w:val="20"/>
          <w:rtl/>
        </w:rPr>
        <w:t xml:space="preserve">נמצא כי </w:t>
      </w:r>
      <w:r w:rsidRPr="00EA3DC8">
        <w:rPr>
          <w:sz w:val="18"/>
          <w:szCs w:val="20"/>
          <w:rtl/>
        </w:rPr>
        <w:t xml:space="preserve">גם היסטוריה משפחתית של עוני ואי-תעסוקה </w:t>
      </w:r>
      <w:r w:rsidRPr="00EA3DC8">
        <w:rPr>
          <w:rFonts w:hint="cs"/>
          <w:sz w:val="18"/>
          <w:szCs w:val="20"/>
          <w:rtl/>
        </w:rPr>
        <w:t xml:space="preserve">מגדילה </w:t>
      </w:r>
      <w:r w:rsidRPr="00EA3DC8">
        <w:rPr>
          <w:sz w:val="18"/>
          <w:szCs w:val="20"/>
          <w:rtl/>
        </w:rPr>
        <w:t>את הסיכוי לקשיי תעסוקה של הדור הבא (</w:t>
      </w:r>
      <w:proofErr w:type="spellStart"/>
      <w:r w:rsidRPr="00EA3DC8">
        <w:rPr>
          <w:sz w:val="18"/>
          <w:szCs w:val="20"/>
          <w:shd w:val="clear" w:color="auto" w:fill="FFFFFF"/>
        </w:rPr>
        <w:t>Berloffa</w:t>
      </w:r>
      <w:proofErr w:type="spellEnd"/>
      <w:r w:rsidRPr="00EA3DC8">
        <w:rPr>
          <w:sz w:val="18"/>
          <w:szCs w:val="20"/>
          <w:shd w:val="clear" w:color="auto" w:fill="FFFFFF"/>
        </w:rPr>
        <w:t xml:space="preserve"> et al., 2016; </w:t>
      </w:r>
      <w:r w:rsidRPr="00EA3DC8">
        <w:rPr>
          <w:sz w:val="18"/>
          <w:szCs w:val="20"/>
        </w:rPr>
        <w:t xml:space="preserve">O'Neill &amp; Sweetman, 1998; </w:t>
      </w:r>
      <w:r w:rsidRPr="00EA3DC8">
        <w:rPr>
          <w:sz w:val="18"/>
          <w:szCs w:val="20"/>
          <w:shd w:val="clear" w:color="auto" w:fill="FFFFFF"/>
        </w:rPr>
        <w:t>Wood et al</w:t>
      </w:r>
      <w:r w:rsidRPr="00EA3DC8">
        <w:rPr>
          <w:sz w:val="18"/>
          <w:szCs w:val="20"/>
        </w:rPr>
        <w:t>., 2008</w:t>
      </w:r>
      <w:r w:rsidRPr="00EA3DC8">
        <w:rPr>
          <w:sz w:val="18"/>
          <w:szCs w:val="20"/>
          <w:rtl/>
        </w:rPr>
        <w:t xml:space="preserve">). כך גם </w:t>
      </w:r>
      <w:r w:rsidRPr="00EA3DC8">
        <w:rPr>
          <w:rFonts w:hint="cs"/>
          <w:sz w:val="18"/>
          <w:szCs w:val="20"/>
          <w:rtl/>
        </w:rPr>
        <w:t xml:space="preserve">באשר </w:t>
      </w:r>
      <w:proofErr w:type="spellStart"/>
      <w:r w:rsidRPr="00EA3DC8">
        <w:rPr>
          <w:sz w:val="18"/>
          <w:szCs w:val="20"/>
          <w:rtl/>
        </w:rPr>
        <w:t>לה</w:t>
      </w:r>
      <w:r w:rsidRPr="00EA3DC8">
        <w:rPr>
          <w:rFonts w:hint="cs"/>
          <w:sz w:val="18"/>
          <w:szCs w:val="20"/>
          <w:rtl/>
        </w:rPr>
        <w:t>י</w:t>
      </w:r>
      <w:r w:rsidRPr="00EA3DC8">
        <w:rPr>
          <w:sz w:val="18"/>
          <w:szCs w:val="20"/>
          <w:rtl/>
        </w:rPr>
        <w:t>תמכות</w:t>
      </w:r>
      <w:proofErr w:type="spellEnd"/>
      <w:r w:rsidRPr="00EA3DC8">
        <w:rPr>
          <w:sz w:val="18"/>
          <w:szCs w:val="20"/>
          <w:rtl/>
        </w:rPr>
        <w:t xml:space="preserve"> במערכת הרווחה (</w:t>
      </w:r>
      <w:proofErr w:type="spellStart"/>
      <w:r w:rsidRPr="00EA3DC8">
        <w:rPr>
          <w:sz w:val="18"/>
          <w:szCs w:val="20"/>
          <w:shd w:val="clear" w:color="auto" w:fill="FFFFFF"/>
        </w:rPr>
        <w:t>Kauppinen</w:t>
      </w:r>
      <w:proofErr w:type="spellEnd"/>
      <w:r w:rsidRPr="00EA3DC8">
        <w:rPr>
          <w:sz w:val="18"/>
          <w:szCs w:val="20"/>
          <w:shd w:val="clear" w:color="auto" w:fill="FFFFFF"/>
        </w:rPr>
        <w:t xml:space="preserve"> et al., 2014</w:t>
      </w:r>
      <w:r w:rsidRPr="00EA3DC8">
        <w:rPr>
          <w:sz w:val="18"/>
          <w:szCs w:val="20"/>
        </w:rPr>
        <w:t xml:space="preserve">; </w:t>
      </w:r>
      <w:proofErr w:type="spellStart"/>
      <w:r w:rsidRPr="00EA3DC8">
        <w:rPr>
          <w:sz w:val="18"/>
          <w:szCs w:val="20"/>
          <w:shd w:val="clear" w:color="auto" w:fill="FFFFFF"/>
        </w:rPr>
        <w:t>Vauhkonen</w:t>
      </w:r>
      <w:proofErr w:type="spellEnd"/>
      <w:r w:rsidRPr="00EA3DC8">
        <w:rPr>
          <w:sz w:val="18"/>
          <w:szCs w:val="20"/>
          <w:shd w:val="clear" w:color="auto" w:fill="FFFFFF"/>
        </w:rPr>
        <w:t xml:space="preserve">, Kallio, </w:t>
      </w:r>
      <w:proofErr w:type="spellStart"/>
      <w:r w:rsidRPr="00EA3DC8">
        <w:rPr>
          <w:sz w:val="18"/>
          <w:szCs w:val="20"/>
          <w:shd w:val="clear" w:color="auto" w:fill="FFFFFF"/>
        </w:rPr>
        <w:t>Kauppinen</w:t>
      </w:r>
      <w:proofErr w:type="spellEnd"/>
      <w:r w:rsidRPr="00EA3DC8">
        <w:rPr>
          <w:sz w:val="18"/>
          <w:szCs w:val="20"/>
          <w:shd w:val="clear" w:color="auto" w:fill="FFFFFF"/>
        </w:rPr>
        <w:t xml:space="preserve">, &amp; </w:t>
      </w:r>
      <w:proofErr w:type="spellStart"/>
      <w:r w:rsidRPr="00EA3DC8">
        <w:rPr>
          <w:sz w:val="18"/>
          <w:szCs w:val="20"/>
          <w:shd w:val="clear" w:color="auto" w:fill="FFFFFF"/>
        </w:rPr>
        <w:t>Erola</w:t>
      </w:r>
      <w:proofErr w:type="spellEnd"/>
      <w:r w:rsidRPr="00EA3DC8">
        <w:rPr>
          <w:sz w:val="18"/>
          <w:szCs w:val="20"/>
          <w:shd w:val="clear" w:color="auto" w:fill="FFFFFF"/>
        </w:rPr>
        <w:t>, 2017</w:t>
      </w:r>
      <w:r w:rsidRPr="00EA3DC8">
        <w:rPr>
          <w:sz w:val="18"/>
          <w:szCs w:val="20"/>
          <w:rtl/>
        </w:rPr>
        <w:t>). בישראל נמצא גם קשר בין ותק בארץ לבין מצב תעסוקתי</w:t>
      </w:r>
      <w:r w:rsidRPr="00EA3DC8">
        <w:rPr>
          <w:rFonts w:hint="cs"/>
          <w:sz w:val="18"/>
          <w:szCs w:val="20"/>
          <w:rtl/>
        </w:rPr>
        <w:t xml:space="preserve"> </w:t>
      </w:r>
      <w:r w:rsidRPr="00EA3DC8">
        <w:rPr>
          <w:sz w:val="18"/>
          <w:szCs w:val="20"/>
          <w:rtl/>
        </w:rPr>
        <w:t xml:space="preserve">– </w:t>
      </w:r>
      <w:r w:rsidRPr="00EA3DC8">
        <w:rPr>
          <w:rFonts w:hint="cs"/>
          <w:sz w:val="18"/>
          <w:szCs w:val="20"/>
          <w:rtl/>
        </w:rPr>
        <w:t>אימהות חד-הוריות</w:t>
      </w:r>
      <w:r w:rsidRPr="00EA3DC8">
        <w:rPr>
          <w:sz w:val="18"/>
          <w:szCs w:val="20"/>
          <w:rtl/>
        </w:rPr>
        <w:t xml:space="preserve"> ילידות הארץ נוטות לעבוד פחות </w:t>
      </w:r>
      <w:r w:rsidRPr="00EA3DC8">
        <w:rPr>
          <w:rFonts w:hint="cs"/>
          <w:sz w:val="18"/>
          <w:szCs w:val="20"/>
          <w:rtl/>
        </w:rPr>
        <w:t>מאימהות חד-הוריות שהן עולות חדשות</w:t>
      </w:r>
      <w:r w:rsidRPr="00EA3DC8">
        <w:rPr>
          <w:sz w:val="18"/>
          <w:szCs w:val="20"/>
          <w:rtl/>
        </w:rPr>
        <w:t xml:space="preserve"> (אחדות, 2007).</w:t>
      </w:r>
    </w:p>
    <w:p w14:paraId="45A1551E" w14:textId="77777777" w:rsidR="00926914" w:rsidRPr="00EA3DC8" w:rsidRDefault="00926914" w:rsidP="00EA3DC8">
      <w:pPr>
        <w:spacing w:after="180" w:line="280" w:lineRule="exact"/>
        <w:jc w:val="both"/>
        <w:rPr>
          <w:sz w:val="18"/>
          <w:szCs w:val="20"/>
          <w:rtl/>
        </w:rPr>
      </w:pPr>
    </w:p>
    <w:p w14:paraId="594B3CBC" w14:textId="5F5528A6" w:rsidR="00926914" w:rsidRPr="00304F18" w:rsidRDefault="00926914" w:rsidP="00304F18">
      <w:pPr>
        <w:keepNext/>
        <w:keepLines/>
        <w:spacing w:line="280" w:lineRule="exact"/>
        <w:jc w:val="both"/>
        <w:rPr>
          <w:b/>
          <w:bCs/>
          <w:color w:val="00B0F0"/>
          <w:sz w:val="20"/>
          <w:szCs w:val="22"/>
          <w:rtl/>
        </w:rPr>
      </w:pPr>
      <w:bookmarkStart w:id="7" w:name="_Toc76380483"/>
      <w:r w:rsidRPr="00304F18">
        <w:rPr>
          <w:b/>
          <w:bCs/>
          <w:color w:val="00B0F0"/>
          <w:sz w:val="20"/>
          <w:szCs w:val="22"/>
          <w:rtl/>
        </w:rPr>
        <w:lastRenderedPageBreak/>
        <w:t>חסמים מבניים</w:t>
      </w:r>
      <w:bookmarkEnd w:id="7"/>
      <w:r w:rsidRPr="00304F18">
        <w:rPr>
          <w:b/>
          <w:bCs/>
          <w:color w:val="00B0F0"/>
          <w:sz w:val="20"/>
          <w:szCs w:val="22"/>
          <w:rtl/>
        </w:rPr>
        <w:t xml:space="preserve"> </w:t>
      </w:r>
    </w:p>
    <w:p w14:paraId="3665D429" w14:textId="77777777" w:rsidR="00926914" w:rsidRPr="00EA3DC8" w:rsidRDefault="00926914" w:rsidP="00EA3DC8">
      <w:pPr>
        <w:spacing w:after="180" w:line="280" w:lineRule="exact"/>
        <w:jc w:val="both"/>
        <w:rPr>
          <w:sz w:val="18"/>
          <w:szCs w:val="20"/>
          <w:rtl/>
        </w:rPr>
      </w:pPr>
      <w:r w:rsidRPr="00EA3DC8">
        <w:rPr>
          <w:rFonts w:hint="cs"/>
          <w:sz w:val="18"/>
          <w:szCs w:val="20"/>
          <w:rtl/>
        </w:rPr>
        <w:t xml:space="preserve">חסמים מבניים </w:t>
      </w:r>
      <w:r w:rsidRPr="00EA3DC8">
        <w:rPr>
          <w:sz w:val="18"/>
          <w:szCs w:val="20"/>
          <w:rtl/>
        </w:rPr>
        <w:t>המסבירים את ה</w:t>
      </w:r>
      <w:r w:rsidRPr="00EA3DC8">
        <w:rPr>
          <w:rFonts w:hint="cs"/>
          <w:sz w:val="18"/>
          <w:szCs w:val="20"/>
          <w:rtl/>
        </w:rPr>
        <w:t>הסתברות</w:t>
      </w:r>
      <w:r w:rsidRPr="00EA3DC8">
        <w:rPr>
          <w:sz w:val="18"/>
          <w:szCs w:val="20"/>
          <w:rtl/>
        </w:rPr>
        <w:t xml:space="preserve"> להשתלב בתעסוקה ולהתמיד בה מתייחסים אל מצב</w:t>
      </w:r>
      <w:r w:rsidRPr="00EA3DC8">
        <w:rPr>
          <w:rFonts w:hint="cs"/>
          <w:sz w:val="18"/>
          <w:szCs w:val="20"/>
          <w:rtl/>
        </w:rPr>
        <w:t>ו של</w:t>
      </w:r>
      <w:r w:rsidRPr="00EA3DC8">
        <w:rPr>
          <w:sz w:val="18"/>
          <w:szCs w:val="20"/>
          <w:rtl/>
        </w:rPr>
        <w:t xml:space="preserve"> שוק העבודה, ובמיוחד </w:t>
      </w:r>
      <w:r w:rsidRPr="00EA3DC8">
        <w:rPr>
          <w:rFonts w:hint="cs"/>
          <w:sz w:val="18"/>
          <w:szCs w:val="20"/>
          <w:rtl/>
        </w:rPr>
        <w:t>ל</w:t>
      </w:r>
      <w:r w:rsidRPr="00EA3DC8">
        <w:rPr>
          <w:sz w:val="18"/>
          <w:szCs w:val="20"/>
          <w:rtl/>
        </w:rPr>
        <w:t>תנאי הביקוש ו</w:t>
      </w:r>
      <w:r w:rsidRPr="00EA3DC8">
        <w:rPr>
          <w:rFonts w:hint="cs"/>
          <w:sz w:val="18"/>
          <w:szCs w:val="20"/>
          <w:rtl/>
        </w:rPr>
        <w:t>ל</w:t>
      </w:r>
      <w:r w:rsidRPr="00EA3DC8">
        <w:rPr>
          <w:sz w:val="18"/>
          <w:szCs w:val="20"/>
          <w:rtl/>
        </w:rPr>
        <w:t xml:space="preserve">מאפייניו, כגון </w:t>
      </w:r>
      <w:r w:rsidRPr="00EA3DC8">
        <w:rPr>
          <w:rFonts w:hint="cs"/>
          <w:sz w:val="18"/>
          <w:szCs w:val="20"/>
          <w:rtl/>
        </w:rPr>
        <w:t>היצע המשרות,</w:t>
      </w:r>
      <w:r w:rsidRPr="00EA3DC8">
        <w:rPr>
          <w:sz w:val="18"/>
          <w:szCs w:val="20"/>
          <w:rtl/>
        </w:rPr>
        <w:t xml:space="preserve"> היקפן וגובה השכר </w:t>
      </w:r>
      <w:r w:rsidRPr="00EA3DC8">
        <w:rPr>
          <w:rFonts w:hint="cs"/>
          <w:sz w:val="18"/>
          <w:szCs w:val="20"/>
          <w:rtl/>
        </w:rPr>
        <w:t>ה</w:t>
      </w:r>
      <w:r w:rsidRPr="00EA3DC8">
        <w:rPr>
          <w:sz w:val="18"/>
          <w:szCs w:val="20"/>
          <w:rtl/>
        </w:rPr>
        <w:t>מוצע. קבוצות פגיעות, וב</w:t>
      </w:r>
      <w:r w:rsidRPr="00EA3DC8">
        <w:rPr>
          <w:rFonts w:hint="cs"/>
          <w:sz w:val="18"/>
          <w:szCs w:val="20"/>
          <w:rtl/>
        </w:rPr>
        <w:t>ייחוד</w:t>
      </w:r>
      <w:r w:rsidRPr="00EA3DC8">
        <w:rPr>
          <w:sz w:val="18"/>
          <w:szCs w:val="20"/>
          <w:rtl/>
        </w:rPr>
        <w:t xml:space="preserve"> אנשים החיים בעוני, תלויות במצב השוק </w:t>
      </w:r>
      <w:r w:rsidRPr="00EA3DC8">
        <w:rPr>
          <w:rFonts w:hint="cs"/>
          <w:sz w:val="18"/>
          <w:szCs w:val="20"/>
          <w:rtl/>
        </w:rPr>
        <w:t xml:space="preserve">יותר מקבוצות העובדים החזקות יותר, וכן </w:t>
      </w:r>
      <w:r w:rsidRPr="00EA3DC8">
        <w:rPr>
          <w:sz w:val="18"/>
          <w:szCs w:val="20"/>
          <w:rtl/>
        </w:rPr>
        <w:t>רגישות לתנודותיו יותר מקבוצות אחרות</w:t>
      </w:r>
      <w:r w:rsidRPr="00EA3DC8">
        <w:rPr>
          <w:rFonts w:hint="cs"/>
          <w:sz w:val="18"/>
          <w:szCs w:val="20"/>
          <w:rtl/>
        </w:rPr>
        <w:t xml:space="preserve"> </w:t>
      </w:r>
      <w:r w:rsidRPr="00EA3DC8">
        <w:rPr>
          <w:sz w:val="18"/>
          <w:szCs w:val="20"/>
          <w:rtl/>
        </w:rPr>
        <w:t>– ב</w:t>
      </w:r>
      <w:r w:rsidRPr="00EA3DC8">
        <w:rPr>
          <w:rFonts w:hint="cs"/>
          <w:sz w:val="18"/>
          <w:szCs w:val="20"/>
          <w:rtl/>
        </w:rPr>
        <w:t xml:space="preserve">ייחוד </w:t>
      </w:r>
      <w:r w:rsidRPr="00EA3DC8">
        <w:rPr>
          <w:sz w:val="18"/>
          <w:szCs w:val="20"/>
          <w:rtl/>
        </w:rPr>
        <w:t>בשעה של משבר כלכלי (</w:t>
      </w:r>
      <w:proofErr w:type="spellStart"/>
      <w:r w:rsidRPr="00EA3DC8">
        <w:rPr>
          <w:sz w:val="18"/>
          <w:szCs w:val="20"/>
        </w:rPr>
        <w:t>Lerman</w:t>
      </w:r>
      <w:proofErr w:type="spellEnd"/>
      <w:r w:rsidRPr="00EA3DC8">
        <w:rPr>
          <w:sz w:val="18"/>
          <w:szCs w:val="20"/>
        </w:rPr>
        <w:t xml:space="preserve">, 2005; Moffitt &amp; </w:t>
      </w:r>
      <w:r w:rsidRPr="00EA3DC8">
        <w:rPr>
          <w:sz w:val="18"/>
          <w:szCs w:val="20"/>
          <w:shd w:val="clear" w:color="auto" w:fill="FFFFFF"/>
        </w:rPr>
        <w:t>Winder</w:t>
      </w:r>
      <w:r w:rsidRPr="00EA3DC8">
        <w:rPr>
          <w:sz w:val="18"/>
          <w:szCs w:val="20"/>
        </w:rPr>
        <w:t>, 2005</w:t>
      </w:r>
      <w:r w:rsidRPr="00EA3DC8">
        <w:rPr>
          <w:sz w:val="18"/>
          <w:szCs w:val="20"/>
          <w:rtl/>
        </w:rPr>
        <w:t xml:space="preserve">). </w:t>
      </w:r>
      <w:r w:rsidRPr="00EA3DC8">
        <w:rPr>
          <w:sz w:val="18"/>
          <w:szCs w:val="20"/>
          <w:rtl/>
          <w:lang w:val="en-GB"/>
        </w:rPr>
        <w:t>מחקרים שונים ה</w:t>
      </w:r>
      <w:r w:rsidRPr="00EA3DC8">
        <w:rPr>
          <w:rFonts w:hint="cs"/>
          <w:sz w:val="18"/>
          <w:szCs w:val="20"/>
          <w:rtl/>
          <w:lang w:val="en-GB"/>
        </w:rPr>
        <w:t xml:space="preserve">ראו </w:t>
      </w:r>
      <w:r w:rsidRPr="00EA3DC8">
        <w:rPr>
          <w:sz w:val="18"/>
          <w:szCs w:val="20"/>
          <w:rtl/>
          <w:lang w:val="en-GB"/>
        </w:rPr>
        <w:t xml:space="preserve">כי </w:t>
      </w:r>
      <w:r w:rsidRPr="00EA3DC8">
        <w:rPr>
          <w:sz w:val="18"/>
          <w:szCs w:val="20"/>
          <w:rtl/>
        </w:rPr>
        <w:t xml:space="preserve">שיעור אבטלה נמוך </w:t>
      </w:r>
      <w:r w:rsidRPr="00EA3DC8">
        <w:rPr>
          <w:rFonts w:hint="cs"/>
          <w:sz w:val="18"/>
          <w:szCs w:val="20"/>
          <w:rtl/>
        </w:rPr>
        <w:t xml:space="preserve">יותר </w:t>
      </w:r>
      <w:r w:rsidRPr="00EA3DC8">
        <w:rPr>
          <w:sz w:val="18"/>
          <w:szCs w:val="20"/>
          <w:rtl/>
        </w:rPr>
        <w:t>והצעות שכר נדיבות יותר מגדילים את הסיכוי של מקבלי גמלאות קיום להשתלב ב</w:t>
      </w:r>
      <w:r w:rsidRPr="00EA3DC8">
        <w:rPr>
          <w:rFonts w:hint="cs"/>
          <w:sz w:val="18"/>
          <w:szCs w:val="20"/>
          <w:rtl/>
          <w:lang w:val="en-GB"/>
        </w:rPr>
        <w:t>תעסוקה</w:t>
      </w:r>
      <w:r w:rsidRPr="00EA3DC8">
        <w:rPr>
          <w:rFonts w:hint="cs"/>
          <w:sz w:val="18"/>
          <w:szCs w:val="20"/>
          <w:rtl/>
        </w:rPr>
        <w:t xml:space="preserve"> (</w:t>
      </w:r>
      <w:proofErr w:type="spellStart"/>
      <w:r w:rsidRPr="00EA3DC8">
        <w:rPr>
          <w:sz w:val="18"/>
          <w:szCs w:val="20"/>
        </w:rPr>
        <w:t>Cancian</w:t>
      </w:r>
      <w:proofErr w:type="spellEnd"/>
      <w:r w:rsidRPr="00EA3DC8">
        <w:rPr>
          <w:sz w:val="18"/>
          <w:szCs w:val="20"/>
        </w:rPr>
        <w:t xml:space="preserve"> et al., 2003; Cooke, 2009</w:t>
      </w:r>
      <w:r w:rsidRPr="00EA3DC8">
        <w:rPr>
          <w:sz w:val="18"/>
          <w:szCs w:val="20"/>
          <w:shd w:val="clear" w:color="auto" w:fill="FFFFFF"/>
        </w:rPr>
        <w:t>; Herbst &amp; Stevens, 2010</w:t>
      </w:r>
      <w:r w:rsidRPr="00EA3DC8">
        <w:rPr>
          <w:rFonts w:hint="cs"/>
          <w:sz w:val="18"/>
          <w:szCs w:val="20"/>
          <w:rtl/>
        </w:rPr>
        <w:t xml:space="preserve">). </w:t>
      </w:r>
      <w:r w:rsidRPr="00EA3DC8">
        <w:rPr>
          <w:sz w:val="18"/>
          <w:szCs w:val="20"/>
          <w:rtl/>
        </w:rPr>
        <w:t xml:space="preserve">בהתאם, </w:t>
      </w:r>
      <w:proofErr w:type="spellStart"/>
      <w:r w:rsidRPr="00EA3DC8">
        <w:rPr>
          <w:sz w:val="18"/>
          <w:szCs w:val="20"/>
          <w:rtl/>
        </w:rPr>
        <w:t>הרבסט</w:t>
      </w:r>
      <w:proofErr w:type="spellEnd"/>
      <w:r w:rsidRPr="00EA3DC8">
        <w:rPr>
          <w:sz w:val="18"/>
          <w:szCs w:val="20"/>
          <w:rtl/>
        </w:rPr>
        <w:t xml:space="preserve"> </w:t>
      </w:r>
      <w:proofErr w:type="spellStart"/>
      <w:r w:rsidRPr="00EA3DC8">
        <w:rPr>
          <w:sz w:val="18"/>
          <w:szCs w:val="20"/>
          <w:rtl/>
        </w:rPr>
        <w:t>וסטיבנס</w:t>
      </w:r>
      <w:proofErr w:type="spellEnd"/>
      <w:r w:rsidRPr="00EA3DC8">
        <w:rPr>
          <w:sz w:val="18"/>
          <w:szCs w:val="20"/>
          <w:rtl/>
        </w:rPr>
        <w:t xml:space="preserve"> (</w:t>
      </w:r>
      <w:r w:rsidRPr="00EA3DC8">
        <w:rPr>
          <w:sz w:val="18"/>
          <w:szCs w:val="20"/>
        </w:rPr>
        <w:t>Herbst &amp; Stevens, 2010</w:t>
      </w:r>
      <w:r w:rsidRPr="00EA3DC8">
        <w:rPr>
          <w:sz w:val="18"/>
          <w:szCs w:val="20"/>
          <w:rtl/>
        </w:rPr>
        <w:t>) מצאו באר</w:t>
      </w:r>
      <w:r w:rsidRPr="00EA3DC8">
        <w:rPr>
          <w:rFonts w:hint="cs"/>
          <w:sz w:val="18"/>
          <w:szCs w:val="20"/>
          <w:rtl/>
        </w:rPr>
        <w:t>צות הברית</w:t>
      </w:r>
      <w:r w:rsidRPr="00EA3DC8">
        <w:rPr>
          <w:sz w:val="18"/>
          <w:szCs w:val="20"/>
          <w:rtl/>
        </w:rPr>
        <w:t xml:space="preserve"> כי שיעור אבטלה מקומי נמוך וביקוש גבוה לעובדים </w:t>
      </w:r>
      <w:r w:rsidRPr="00EA3DC8">
        <w:rPr>
          <w:rFonts w:hint="cs"/>
          <w:sz w:val="18"/>
          <w:szCs w:val="20"/>
          <w:rtl/>
        </w:rPr>
        <w:t>(</w:t>
      </w:r>
      <w:r w:rsidRPr="00EA3DC8">
        <w:rPr>
          <w:sz w:val="18"/>
          <w:szCs w:val="20"/>
          <w:rtl/>
        </w:rPr>
        <w:t>לפי אזור מגורים) מעל</w:t>
      </w:r>
      <w:r w:rsidRPr="00EA3DC8">
        <w:rPr>
          <w:rFonts w:hint="cs"/>
          <w:sz w:val="18"/>
          <w:szCs w:val="20"/>
          <w:rtl/>
        </w:rPr>
        <w:t>ים</w:t>
      </w:r>
      <w:r w:rsidRPr="00EA3DC8">
        <w:rPr>
          <w:sz w:val="18"/>
          <w:szCs w:val="20"/>
          <w:rtl/>
        </w:rPr>
        <w:t xml:space="preserve"> את ההסתברות שאימהות שקיבלו גמלת קיום ישתלבו בתעסוקה או ישלבו בין קבלת גמלה לתעסוקה בשכר. קוק (</w:t>
      </w:r>
      <w:r w:rsidRPr="00EA3DC8">
        <w:rPr>
          <w:sz w:val="18"/>
          <w:szCs w:val="20"/>
        </w:rPr>
        <w:t>Cooke, 2009</w:t>
      </w:r>
      <w:r w:rsidRPr="00EA3DC8">
        <w:rPr>
          <w:sz w:val="18"/>
          <w:szCs w:val="20"/>
          <w:rtl/>
        </w:rPr>
        <w:t xml:space="preserve">) מצא אומנם קשר בין שיעור האבטלה המקומי לבין שיעור מקבלי הגמלה ומשך זמן קבלתה, אך </w:t>
      </w:r>
      <w:r w:rsidRPr="00EA3DC8">
        <w:rPr>
          <w:rFonts w:hint="cs"/>
          <w:sz w:val="18"/>
          <w:szCs w:val="20"/>
          <w:rtl/>
          <w:lang w:val="en-GB"/>
        </w:rPr>
        <w:t xml:space="preserve">לא </w:t>
      </w:r>
      <w:r w:rsidRPr="00EA3DC8">
        <w:rPr>
          <w:rFonts w:hint="cs"/>
          <w:sz w:val="18"/>
          <w:szCs w:val="20"/>
          <w:rtl/>
        </w:rPr>
        <w:t>בין גובה שכר המינימום</w:t>
      </w:r>
      <w:r w:rsidRPr="00EA3DC8">
        <w:rPr>
          <w:sz w:val="18"/>
          <w:szCs w:val="20"/>
          <w:rtl/>
        </w:rPr>
        <w:t xml:space="preserve"> </w:t>
      </w:r>
      <w:r w:rsidRPr="00EA3DC8">
        <w:rPr>
          <w:rFonts w:hint="cs"/>
          <w:sz w:val="18"/>
          <w:szCs w:val="20"/>
          <w:rtl/>
        </w:rPr>
        <w:t>לבין משך</w:t>
      </w:r>
      <w:r w:rsidRPr="00EA3DC8">
        <w:rPr>
          <w:sz w:val="18"/>
          <w:szCs w:val="20"/>
          <w:rtl/>
        </w:rPr>
        <w:t xml:space="preserve"> קבלת הגמלה. בישראל, אחדות </w:t>
      </w:r>
      <w:proofErr w:type="spellStart"/>
      <w:r w:rsidRPr="00EA3DC8">
        <w:rPr>
          <w:sz w:val="18"/>
          <w:szCs w:val="20"/>
          <w:rtl/>
        </w:rPr>
        <w:t>ושטייר</w:t>
      </w:r>
      <w:proofErr w:type="spellEnd"/>
      <w:r w:rsidRPr="00EA3DC8">
        <w:rPr>
          <w:sz w:val="18"/>
          <w:szCs w:val="20"/>
          <w:rtl/>
        </w:rPr>
        <w:t xml:space="preserve"> (</w:t>
      </w:r>
      <w:proofErr w:type="spellStart"/>
      <w:r w:rsidRPr="00EA3DC8">
        <w:rPr>
          <w:sz w:val="18"/>
          <w:szCs w:val="20"/>
        </w:rPr>
        <w:t>Achdut</w:t>
      </w:r>
      <w:proofErr w:type="spellEnd"/>
      <w:r w:rsidRPr="00EA3DC8">
        <w:rPr>
          <w:sz w:val="18"/>
          <w:szCs w:val="20"/>
        </w:rPr>
        <w:t xml:space="preserve"> &amp; Stier, 2018</w:t>
      </w:r>
      <w:r w:rsidRPr="00EA3DC8">
        <w:rPr>
          <w:sz w:val="18"/>
          <w:szCs w:val="20"/>
          <w:rtl/>
        </w:rPr>
        <w:t>) מצאו כי לאימהות חד</w:t>
      </w:r>
      <w:r w:rsidRPr="00EA3DC8">
        <w:rPr>
          <w:rFonts w:hint="cs"/>
          <w:sz w:val="18"/>
          <w:szCs w:val="20"/>
          <w:rtl/>
        </w:rPr>
        <w:t>-</w:t>
      </w:r>
      <w:r w:rsidRPr="00EA3DC8">
        <w:rPr>
          <w:sz w:val="18"/>
          <w:szCs w:val="20"/>
          <w:rtl/>
        </w:rPr>
        <w:t xml:space="preserve">הוריות </w:t>
      </w:r>
      <w:r w:rsidRPr="00EA3DC8">
        <w:rPr>
          <w:rFonts w:hint="cs"/>
          <w:sz w:val="18"/>
          <w:szCs w:val="20"/>
          <w:rtl/>
        </w:rPr>
        <w:t>ה</w:t>
      </w:r>
      <w:r w:rsidRPr="00EA3DC8">
        <w:rPr>
          <w:sz w:val="18"/>
          <w:szCs w:val="20"/>
          <w:rtl/>
        </w:rPr>
        <w:t>מקבלות הגמלה להבטחת הכנסה שחיו בי</w:t>
      </w:r>
      <w:r w:rsidRPr="00EA3DC8">
        <w:rPr>
          <w:rFonts w:hint="cs"/>
          <w:sz w:val="18"/>
          <w:szCs w:val="20"/>
          <w:rtl/>
        </w:rPr>
        <w:t>י</w:t>
      </w:r>
      <w:r w:rsidRPr="00EA3DC8">
        <w:rPr>
          <w:sz w:val="18"/>
          <w:szCs w:val="20"/>
          <w:rtl/>
        </w:rPr>
        <w:t xml:space="preserve">שובים </w:t>
      </w:r>
      <w:r w:rsidRPr="00EA3DC8">
        <w:rPr>
          <w:rFonts w:hint="cs"/>
          <w:sz w:val="18"/>
          <w:szCs w:val="20"/>
          <w:rtl/>
        </w:rPr>
        <w:t>ש</w:t>
      </w:r>
      <w:r w:rsidRPr="00EA3DC8">
        <w:rPr>
          <w:sz w:val="18"/>
          <w:szCs w:val="20"/>
          <w:rtl/>
        </w:rPr>
        <w:t>שיעור דורשי העבודה בהם גבוה</w:t>
      </w:r>
      <w:r w:rsidRPr="00EA3DC8">
        <w:rPr>
          <w:rFonts w:hint="cs"/>
          <w:sz w:val="18"/>
          <w:szCs w:val="20"/>
          <w:rtl/>
        </w:rPr>
        <w:t>,</w:t>
      </w:r>
      <w:r w:rsidRPr="00EA3DC8">
        <w:rPr>
          <w:sz w:val="18"/>
          <w:szCs w:val="20"/>
          <w:rtl/>
        </w:rPr>
        <w:t xml:space="preserve"> הסתברות גבוהה בהרבה לשימוש ארוך טווח במערכת הבטחת הכנסה</w:t>
      </w:r>
      <w:r w:rsidRPr="00EA3DC8">
        <w:rPr>
          <w:rFonts w:hint="cs"/>
          <w:sz w:val="18"/>
          <w:szCs w:val="20"/>
          <w:rtl/>
        </w:rPr>
        <w:t>.</w:t>
      </w:r>
    </w:p>
    <w:p w14:paraId="7B88F6E4" w14:textId="77777777" w:rsidR="00926914" w:rsidRPr="00EA3DC8" w:rsidRDefault="00926914" w:rsidP="00EA3DC8">
      <w:pPr>
        <w:spacing w:after="180" w:line="280" w:lineRule="exact"/>
        <w:jc w:val="both"/>
        <w:rPr>
          <w:sz w:val="18"/>
          <w:szCs w:val="20"/>
          <w:rtl/>
        </w:rPr>
      </w:pPr>
      <w:r w:rsidRPr="00EA3DC8">
        <w:rPr>
          <w:sz w:val="18"/>
          <w:szCs w:val="20"/>
          <w:rtl/>
        </w:rPr>
        <w:t>ריבוי של חסמים – אישיים או מבניים – מפחית באופן ניכר את</w:t>
      </w:r>
      <w:r w:rsidRPr="00EA3DC8">
        <w:rPr>
          <w:rFonts w:hint="cs"/>
          <w:sz w:val="18"/>
          <w:szCs w:val="20"/>
          <w:rtl/>
        </w:rPr>
        <w:t xml:space="preserve"> </w:t>
      </w:r>
      <w:r w:rsidRPr="00EA3DC8">
        <w:rPr>
          <w:sz w:val="18"/>
          <w:szCs w:val="20"/>
          <w:rtl/>
        </w:rPr>
        <w:t>סיכוייהם של אנשים החיים בעוני ומקבלי גמלאות להשתלב בתעסוקה (</w:t>
      </w:r>
      <w:proofErr w:type="spellStart"/>
      <w:r w:rsidRPr="00EA3DC8">
        <w:rPr>
          <w:sz w:val="18"/>
          <w:szCs w:val="20"/>
        </w:rPr>
        <w:t>Achdut</w:t>
      </w:r>
      <w:proofErr w:type="spellEnd"/>
      <w:r w:rsidRPr="00EA3DC8">
        <w:rPr>
          <w:sz w:val="18"/>
          <w:szCs w:val="20"/>
        </w:rPr>
        <w:t>, 2016;</w:t>
      </w:r>
      <w:r w:rsidRPr="00EA3DC8">
        <w:rPr>
          <w:sz w:val="18"/>
          <w:szCs w:val="20"/>
          <w:shd w:val="clear" w:color="auto" w:fill="FFFFFF"/>
        </w:rPr>
        <w:t xml:space="preserve"> </w:t>
      </w:r>
      <w:r w:rsidRPr="00EA3DC8">
        <w:rPr>
          <w:sz w:val="18"/>
          <w:szCs w:val="20"/>
        </w:rPr>
        <w:t xml:space="preserve">Bloom, </w:t>
      </w:r>
      <w:proofErr w:type="spellStart"/>
      <w:r w:rsidRPr="00EA3DC8">
        <w:rPr>
          <w:sz w:val="18"/>
          <w:szCs w:val="20"/>
        </w:rPr>
        <w:t>Loprest</w:t>
      </w:r>
      <w:proofErr w:type="spellEnd"/>
      <w:r w:rsidRPr="00EA3DC8">
        <w:rPr>
          <w:sz w:val="18"/>
          <w:szCs w:val="20"/>
        </w:rPr>
        <w:t xml:space="preserve">, &amp; </w:t>
      </w:r>
      <w:proofErr w:type="spellStart"/>
      <w:r w:rsidRPr="00EA3DC8">
        <w:rPr>
          <w:sz w:val="18"/>
          <w:szCs w:val="20"/>
        </w:rPr>
        <w:t>Zedlewski</w:t>
      </w:r>
      <w:proofErr w:type="spellEnd"/>
      <w:r w:rsidRPr="00EA3DC8">
        <w:rPr>
          <w:sz w:val="18"/>
          <w:szCs w:val="20"/>
        </w:rPr>
        <w:t>, 2011;</w:t>
      </w:r>
      <w:r w:rsidRPr="00EA3DC8">
        <w:rPr>
          <w:sz w:val="18"/>
          <w:szCs w:val="20"/>
          <w:shd w:val="clear" w:color="auto" w:fill="FFFFFF"/>
        </w:rPr>
        <w:t xml:space="preserve"> </w:t>
      </w:r>
      <w:proofErr w:type="spellStart"/>
      <w:r w:rsidRPr="00EA3DC8">
        <w:rPr>
          <w:sz w:val="18"/>
          <w:szCs w:val="20"/>
          <w:shd w:val="clear" w:color="auto" w:fill="FFFFFF"/>
        </w:rPr>
        <w:t>Bruckmeier</w:t>
      </w:r>
      <w:proofErr w:type="spellEnd"/>
      <w:r w:rsidRPr="00EA3DC8">
        <w:rPr>
          <w:sz w:val="18"/>
          <w:szCs w:val="20"/>
          <w:shd w:val="clear" w:color="auto" w:fill="FFFFFF"/>
        </w:rPr>
        <w:t xml:space="preserve"> at al., 2019</w:t>
      </w:r>
      <w:r w:rsidRPr="00EA3DC8">
        <w:rPr>
          <w:sz w:val="18"/>
          <w:szCs w:val="20"/>
        </w:rPr>
        <w:t xml:space="preserve">; </w:t>
      </w:r>
      <w:proofErr w:type="spellStart"/>
      <w:r w:rsidRPr="00EA3DC8">
        <w:rPr>
          <w:sz w:val="18"/>
          <w:szCs w:val="20"/>
        </w:rPr>
        <w:t>Dworsky</w:t>
      </w:r>
      <w:proofErr w:type="spellEnd"/>
      <w:r w:rsidRPr="00EA3DC8">
        <w:rPr>
          <w:sz w:val="18"/>
          <w:szCs w:val="20"/>
        </w:rPr>
        <w:t xml:space="preserve"> &amp; Courtney, 2007; </w:t>
      </w:r>
      <w:proofErr w:type="spellStart"/>
      <w:r w:rsidRPr="00EA3DC8">
        <w:rPr>
          <w:sz w:val="18"/>
          <w:szCs w:val="20"/>
        </w:rPr>
        <w:t>Zedlewski</w:t>
      </w:r>
      <w:proofErr w:type="spellEnd"/>
      <w:r w:rsidRPr="00EA3DC8">
        <w:rPr>
          <w:sz w:val="18"/>
          <w:szCs w:val="20"/>
        </w:rPr>
        <w:t>, 1999</w:t>
      </w:r>
      <w:r w:rsidRPr="00EA3DC8">
        <w:rPr>
          <w:sz w:val="18"/>
          <w:szCs w:val="20"/>
          <w:rtl/>
        </w:rPr>
        <w:t>), גם כאשר תנאי שוק העבודה הם טובים (</w:t>
      </w:r>
      <w:proofErr w:type="spellStart"/>
      <w:r w:rsidRPr="00EA3DC8">
        <w:rPr>
          <w:sz w:val="18"/>
          <w:szCs w:val="20"/>
          <w:shd w:val="clear" w:color="auto" w:fill="FFFFFF"/>
        </w:rPr>
        <w:t>Halchuk</w:t>
      </w:r>
      <w:proofErr w:type="spellEnd"/>
      <w:r w:rsidRPr="00EA3DC8">
        <w:rPr>
          <w:sz w:val="18"/>
          <w:szCs w:val="20"/>
          <w:shd w:val="clear" w:color="auto" w:fill="FFFFFF"/>
        </w:rPr>
        <w:t>, 2006</w:t>
      </w:r>
      <w:r w:rsidRPr="00EA3DC8">
        <w:rPr>
          <w:sz w:val="18"/>
          <w:szCs w:val="20"/>
          <w:rtl/>
        </w:rPr>
        <w:t>).</w:t>
      </w:r>
    </w:p>
    <w:p w14:paraId="50748C67" w14:textId="77777777" w:rsidR="00926914" w:rsidRPr="00EA3DC8" w:rsidRDefault="00926914" w:rsidP="00EA3DC8">
      <w:pPr>
        <w:spacing w:after="180" w:line="280" w:lineRule="exact"/>
        <w:jc w:val="both"/>
        <w:rPr>
          <w:b/>
          <w:bCs/>
          <w:sz w:val="18"/>
          <w:szCs w:val="20"/>
          <w:rtl/>
        </w:rPr>
      </w:pPr>
    </w:p>
    <w:p w14:paraId="223B23C3" w14:textId="61054D88" w:rsidR="00926914" w:rsidRPr="00304F18" w:rsidRDefault="00926914" w:rsidP="00304F18">
      <w:pPr>
        <w:keepNext/>
        <w:keepLines/>
        <w:spacing w:line="280" w:lineRule="exact"/>
        <w:jc w:val="both"/>
        <w:rPr>
          <w:b/>
          <w:bCs/>
          <w:color w:val="00B0F0"/>
          <w:sz w:val="20"/>
          <w:szCs w:val="22"/>
          <w:rtl/>
        </w:rPr>
      </w:pPr>
      <w:bookmarkStart w:id="8" w:name="_Toc76380484"/>
      <w:r w:rsidRPr="00304F18">
        <w:rPr>
          <w:rFonts w:hint="cs"/>
          <w:b/>
          <w:bCs/>
          <w:color w:val="00B0F0"/>
          <w:sz w:val="20"/>
          <w:szCs w:val="22"/>
          <w:rtl/>
        </w:rPr>
        <w:t>סיבות אישיות ומבניות לעבודה במשרה חלקית</w:t>
      </w:r>
      <w:bookmarkEnd w:id="8"/>
    </w:p>
    <w:p w14:paraId="51D7A93C" w14:textId="7134AC4D" w:rsidR="00926914" w:rsidRPr="00EA3DC8" w:rsidRDefault="00926914" w:rsidP="00123E20">
      <w:pPr>
        <w:spacing w:after="180" w:line="280" w:lineRule="exact"/>
        <w:jc w:val="both"/>
        <w:rPr>
          <w:sz w:val="18"/>
          <w:szCs w:val="20"/>
          <w:rtl/>
        </w:rPr>
      </w:pPr>
      <w:r w:rsidRPr="00EA3DC8">
        <w:rPr>
          <w:rFonts w:hint="cs"/>
          <w:sz w:val="18"/>
          <w:szCs w:val="20"/>
          <w:rtl/>
        </w:rPr>
        <w:t xml:space="preserve">אפשר </w:t>
      </w:r>
      <w:r w:rsidRPr="00EA3DC8">
        <w:rPr>
          <w:sz w:val="18"/>
          <w:szCs w:val="20"/>
          <w:rtl/>
        </w:rPr>
        <w:t>לזהות סיבות אישיות ומבניות</w:t>
      </w:r>
      <w:r w:rsidRPr="00EA3DC8">
        <w:rPr>
          <w:rFonts w:eastAsia="Calibri"/>
          <w:sz w:val="18"/>
          <w:szCs w:val="20"/>
          <w:rtl/>
        </w:rPr>
        <w:t xml:space="preserve"> גם לעבודה במשרה חלקית. </w:t>
      </w:r>
      <w:r w:rsidRPr="00EA3DC8">
        <w:rPr>
          <w:rFonts w:eastAsia="Calibri" w:hint="cs"/>
          <w:sz w:val="18"/>
          <w:szCs w:val="20"/>
          <w:rtl/>
        </w:rPr>
        <w:t>כך למשל, ממוצע שיעור העובדים במשרה חלקית (עד 30 שעות שבועיות) מסך כל המועסקים במדינות ה-</w:t>
      </w:r>
      <w:r w:rsidRPr="00EA3DC8">
        <w:rPr>
          <w:rFonts w:eastAsia="Calibri" w:hint="cs"/>
          <w:sz w:val="18"/>
          <w:szCs w:val="20"/>
        </w:rPr>
        <w:t>OECD</w:t>
      </w:r>
      <w:r w:rsidRPr="00EA3DC8">
        <w:rPr>
          <w:rFonts w:eastAsia="Calibri" w:hint="cs"/>
          <w:sz w:val="18"/>
          <w:szCs w:val="20"/>
          <w:rtl/>
        </w:rPr>
        <w:t xml:space="preserve"> עמד בשנת 2019 על 16.7%. השיעור המקביל בישראל היה נמוך במעט, ועמד על כ-15% (</w:t>
      </w:r>
      <w:r w:rsidRPr="00EA3DC8">
        <w:rPr>
          <w:rFonts w:eastAsia="Calibri"/>
          <w:sz w:val="18"/>
          <w:szCs w:val="20"/>
        </w:rPr>
        <w:t>OECD, 2020</w:t>
      </w:r>
      <w:r w:rsidRPr="00EA3DC8">
        <w:rPr>
          <w:rFonts w:eastAsia="Calibri" w:hint="cs"/>
          <w:sz w:val="18"/>
          <w:szCs w:val="20"/>
          <w:rtl/>
        </w:rPr>
        <w:t>). שיעור העובדים במשרה חלקית שלא מרצון מקרב העובדים במשרה חלקית עמד על 14.7% במדינות ה-</w:t>
      </w:r>
      <w:r w:rsidRPr="00EA3DC8">
        <w:rPr>
          <w:rFonts w:eastAsia="Calibri"/>
          <w:sz w:val="18"/>
          <w:szCs w:val="20"/>
        </w:rPr>
        <w:t>OECD</w:t>
      </w:r>
      <w:r w:rsidRPr="00EA3DC8">
        <w:rPr>
          <w:rFonts w:eastAsia="Calibri" w:hint="cs"/>
          <w:sz w:val="18"/>
          <w:szCs w:val="20"/>
          <w:rtl/>
        </w:rPr>
        <w:t xml:space="preserve"> ועל </w:t>
      </w:r>
      <w:r w:rsidRPr="00EA3DC8">
        <w:rPr>
          <w:rFonts w:eastAsia="Calibri"/>
          <w:sz w:val="18"/>
          <w:szCs w:val="20"/>
          <w:rtl/>
          <w:lang w:val="en-GB"/>
        </w:rPr>
        <w:t>6.4%</w:t>
      </w:r>
      <w:r w:rsidRPr="00EA3DC8">
        <w:rPr>
          <w:rFonts w:eastAsia="Calibri" w:hint="cs"/>
          <w:sz w:val="18"/>
          <w:szCs w:val="20"/>
          <w:rtl/>
          <w:lang w:val="en-GB"/>
        </w:rPr>
        <w:t xml:space="preserve"> בישראל (</w:t>
      </w:r>
      <w:r w:rsidRPr="00EA3DC8">
        <w:rPr>
          <w:rFonts w:eastAsia="Calibri"/>
          <w:sz w:val="18"/>
          <w:szCs w:val="20"/>
          <w:lang w:val="en-GB"/>
        </w:rPr>
        <w:t>OECD</w:t>
      </w:r>
      <w:r w:rsidRPr="00EA3DC8">
        <w:rPr>
          <w:rFonts w:eastAsia="Calibri"/>
          <w:sz w:val="18"/>
          <w:szCs w:val="20"/>
        </w:rPr>
        <w:t>, 2021</w:t>
      </w:r>
      <w:r w:rsidRPr="00EA3DC8">
        <w:rPr>
          <w:rFonts w:eastAsia="Calibri" w:hint="cs"/>
          <w:sz w:val="18"/>
          <w:szCs w:val="20"/>
          <w:rtl/>
          <w:lang w:val="en-GB"/>
        </w:rPr>
        <w:t>)</w:t>
      </w:r>
      <w:r w:rsidRPr="00EA3DC8">
        <w:rPr>
          <w:rFonts w:eastAsia="Calibri"/>
          <w:sz w:val="18"/>
          <w:szCs w:val="20"/>
          <w:rtl/>
          <w:lang w:val="en-GB"/>
        </w:rPr>
        <w:t>.</w:t>
      </w:r>
      <w:r w:rsidRPr="00EA3DC8">
        <w:rPr>
          <w:rFonts w:eastAsia="Calibri" w:hint="cs"/>
          <w:sz w:val="18"/>
          <w:szCs w:val="20"/>
          <w:rtl/>
          <w:lang w:val="en-GB"/>
        </w:rPr>
        <w:t xml:space="preserve"> </w:t>
      </w:r>
      <w:r w:rsidRPr="00EA3DC8">
        <w:rPr>
          <w:rFonts w:eastAsia="Calibri" w:hint="cs"/>
          <w:sz w:val="18"/>
          <w:szCs w:val="20"/>
          <w:rtl/>
        </w:rPr>
        <w:t xml:space="preserve">ממחקרים עולה כי אימהות, </w:t>
      </w:r>
      <w:r w:rsidRPr="00EA3DC8">
        <w:rPr>
          <w:sz w:val="18"/>
          <w:szCs w:val="20"/>
          <w:rtl/>
        </w:rPr>
        <w:t>וב</w:t>
      </w:r>
      <w:r w:rsidRPr="00EA3DC8">
        <w:rPr>
          <w:rFonts w:hint="cs"/>
          <w:sz w:val="18"/>
          <w:szCs w:val="20"/>
          <w:rtl/>
        </w:rPr>
        <w:t xml:space="preserve">ייחוד </w:t>
      </w:r>
      <w:r w:rsidRPr="00EA3DC8">
        <w:rPr>
          <w:sz w:val="18"/>
          <w:szCs w:val="20"/>
          <w:rtl/>
        </w:rPr>
        <w:t>אימהות חד-הוריות (</w:t>
      </w:r>
      <w:proofErr w:type="spellStart"/>
      <w:r w:rsidRPr="00EA3DC8">
        <w:rPr>
          <w:sz w:val="18"/>
          <w:szCs w:val="20"/>
        </w:rPr>
        <w:t>Achdut</w:t>
      </w:r>
      <w:proofErr w:type="spellEnd"/>
      <w:r w:rsidRPr="00EA3DC8">
        <w:rPr>
          <w:sz w:val="18"/>
          <w:szCs w:val="20"/>
        </w:rPr>
        <w:t xml:space="preserve"> &amp; Stier, 2016; </w:t>
      </w:r>
      <w:proofErr w:type="spellStart"/>
      <w:r w:rsidRPr="00EA3DC8">
        <w:rPr>
          <w:sz w:val="18"/>
          <w:szCs w:val="20"/>
        </w:rPr>
        <w:t>Salverda</w:t>
      </w:r>
      <w:proofErr w:type="spellEnd"/>
      <w:r w:rsidRPr="00EA3DC8">
        <w:rPr>
          <w:sz w:val="18"/>
          <w:szCs w:val="20"/>
        </w:rPr>
        <w:t xml:space="preserve"> &amp; Checchi, 2015</w:t>
      </w:r>
      <w:r w:rsidRPr="00EA3DC8">
        <w:rPr>
          <w:sz w:val="18"/>
          <w:szCs w:val="20"/>
          <w:rtl/>
        </w:rPr>
        <w:t xml:space="preserve">) ואימהות </w:t>
      </w:r>
      <w:r w:rsidRPr="00EA3DC8">
        <w:rPr>
          <w:rFonts w:hint="cs"/>
          <w:sz w:val="18"/>
          <w:szCs w:val="20"/>
          <w:rtl/>
        </w:rPr>
        <w:t>ש</w:t>
      </w:r>
      <w:r w:rsidRPr="00EA3DC8">
        <w:rPr>
          <w:sz w:val="18"/>
          <w:szCs w:val="20"/>
          <w:rtl/>
        </w:rPr>
        <w:t>להן משפחות גדולות (</w:t>
      </w:r>
      <w:proofErr w:type="spellStart"/>
      <w:r w:rsidRPr="00EA3DC8">
        <w:rPr>
          <w:sz w:val="18"/>
          <w:szCs w:val="20"/>
          <w:rtl/>
        </w:rPr>
        <w:t>טולידנו</w:t>
      </w:r>
      <w:proofErr w:type="spellEnd"/>
      <w:r w:rsidRPr="00EA3DC8">
        <w:rPr>
          <w:sz w:val="18"/>
          <w:szCs w:val="20"/>
          <w:rtl/>
        </w:rPr>
        <w:t xml:space="preserve"> וגוטליב, 2015)</w:t>
      </w:r>
      <w:r w:rsidRPr="00EA3DC8">
        <w:rPr>
          <w:rFonts w:hint="cs"/>
          <w:sz w:val="18"/>
          <w:szCs w:val="20"/>
          <w:rtl/>
        </w:rPr>
        <w:t>,</w:t>
      </w:r>
      <w:r w:rsidRPr="00EA3DC8">
        <w:rPr>
          <w:sz w:val="18"/>
          <w:szCs w:val="20"/>
          <w:rtl/>
        </w:rPr>
        <w:t xml:space="preserve"> נוטות לעבוד במשרה חלקית</w:t>
      </w:r>
      <w:r w:rsidR="00123E20">
        <w:rPr>
          <w:rFonts w:hint="cs"/>
          <w:sz w:val="18"/>
          <w:szCs w:val="20"/>
          <w:rtl/>
        </w:rPr>
        <w:t>,</w:t>
      </w:r>
      <w:r w:rsidRPr="00EA3DC8">
        <w:rPr>
          <w:sz w:val="18"/>
          <w:szCs w:val="20"/>
          <w:rtl/>
        </w:rPr>
        <w:t xml:space="preserve"> </w:t>
      </w:r>
      <w:r w:rsidRPr="00EA3DC8">
        <w:rPr>
          <w:rFonts w:hint="cs"/>
          <w:sz w:val="18"/>
          <w:szCs w:val="20"/>
          <w:rtl/>
        </w:rPr>
        <w:t>מכמה סיבות</w:t>
      </w:r>
      <w:r w:rsidR="00123E20">
        <w:rPr>
          <w:rFonts w:hint="cs"/>
          <w:sz w:val="18"/>
          <w:szCs w:val="20"/>
          <w:rtl/>
        </w:rPr>
        <w:t>:</w:t>
      </w:r>
      <w:r w:rsidRPr="00EA3DC8">
        <w:rPr>
          <w:rFonts w:hint="cs"/>
          <w:sz w:val="18"/>
          <w:szCs w:val="20"/>
          <w:rtl/>
        </w:rPr>
        <w:t xml:space="preserve"> ראשית, </w:t>
      </w:r>
      <w:r w:rsidRPr="00EA3DC8">
        <w:rPr>
          <w:sz w:val="18"/>
          <w:szCs w:val="20"/>
          <w:rtl/>
        </w:rPr>
        <w:t>הצורך לשלב בין עבודה בשכר ל</w:t>
      </w:r>
      <w:r w:rsidRPr="00EA3DC8">
        <w:rPr>
          <w:rFonts w:hint="cs"/>
          <w:sz w:val="18"/>
          <w:szCs w:val="20"/>
          <w:rtl/>
        </w:rPr>
        <w:t xml:space="preserve">בין </w:t>
      </w:r>
      <w:r w:rsidRPr="00EA3DC8">
        <w:rPr>
          <w:sz w:val="18"/>
          <w:szCs w:val="20"/>
          <w:rtl/>
        </w:rPr>
        <w:t>טיפול בילדים (</w:t>
      </w:r>
      <w:proofErr w:type="spellStart"/>
      <w:r w:rsidRPr="00EA3DC8">
        <w:rPr>
          <w:sz w:val="18"/>
          <w:szCs w:val="20"/>
          <w:rtl/>
        </w:rPr>
        <w:t>טולידנו</w:t>
      </w:r>
      <w:proofErr w:type="spellEnd"/>
      <w:r w:rsidRPr="00EA3DC8">
        <w:rPr>
          <w:sz w:val="18"/>
          <w:szCs w:val="20"/>
          <w:rtl/>
        </w:rPr>
        <w:t xml:space="preserve"> וגוטליב, 2015;</w:t>
      </w:r>
      <w:r w:rsidRPr="00EA3DC8">
        <w:rPr>
          <w:sz w:val="18"/>
          <w:szCs w:val="20"/>
          <w:shd w:val="clear" w:color="auto" w:fill="FFFFFF"/>
          <w:rtl/>
        </w:rPr>
        <w:t xml:space="preserve"> </w:t>
      </w:r>
      <w:proofErr w:type="spellStart"/>
      <w:r w:rsidRPr="00EA3DC8">
        <w:rPr>
          <w:sz w:val="18"/>
          <w:szCs w:val="20"/>
          <w:shd w:val="clear" w:color="auto" w:fill="FFFFFF"/>
        </w:rPr>
        <w:t>Bruckmeier</w:t>
      </w:r>
      <w:proofErr w:type="spellEnd"/>
      <w:r w:rsidRPr="00EA3DC8">
        <w:rPr>
          <w:sz w:val="18"/>
          <w:szCs w:val="20"/>
          <w:shd w:val="clear" w:color="auto" w:fill="FFFFFF"/>
        </w:rPr>
        <w:t xml:space="preserve"> et al., 2019; Gibb et al., 2016</w:t>
      </w:r>
      <w:r w:rsidRPr="00EA3DC8">
        <w:rPr>
          <w:sz w:val="18"/>
          <w:szCs w:val="20"/>
          <w:rtl/>
        </w:rPr>
        <w:t>)</w:t>
      </w:r>
      <w:r w:rsidRPr="00EA3DC8">
        <w:rPr>
          <w:rFonts w:hint="cs"/>
          <w:sz w:val="18"/>
          <w:szCs w:val="20"/>
          <w:rtl/>
        </w:rPr>
        <w:t>;</w:t>
      </w:r>
      <w:r w:rsidRPr="00EA3DC8">
        <w:rPr>
          <w:sz w:val="18"/>
          <w:szCs w:val="20"/>
          <w:rtl/>
        </w:rPr>
        <w:t xml:space="preserve"> </w:t>
      </w:r>
      <w:r w:rsidRPr="00EA3DC8">
        <w:rPr>
          <w:rFonts w:hint="cs"/>
          <w:sz w:val="18"/>
          <w:szCs w:val="20"/>
          <w:rtl/>
        </w:rPr>
        <w:t>שנית, עלותן של המסגרות לטיפול בילדים בגיל הרך, וכן של מסגרות לטיפול בילדים בגילי בית הספר בשעות שלאחר סיום יום הלימודים הפורמלי</w:t>
      </w:r>
      <w:r w:rsidRPr="00EA3DC8">
        <w:rPr>
          <w:sz w:val="18"/>
          <w:szCs w:val="20"/>
          <w:rtl/>
        </w:rPr>
        <w:t xml:space="preserve"> (</w:t>
      </w:r>
      <w:proofErr w:type="spellStart"/>
      <w:r w:rsidRPr="00EA3DC8">
        <w:rPr>
          <w:sz w:val="18"/>
          <w:szCs w:val="20"/>
        </w:rPr>
        <w:t>Achdut</w:t>
      </w:r>
      <w:proofErr w:type="spellEnd"/>
      <w:r w:rsidRPr="00EA3DC8">
        <w:rPr>
          <w:sz w:val="18"/>
          <w:szCs w:val="20"/>
        </w:rPr>
        <w:t>, 2016</w:t>
      </w:r>
      <w:r w:rsidRPr="00EA3DC8">
        <w:rPr>
          <w:sz w:val="18"/>
          <w:szCs w:val="20"/>
          <w:rtl/>
        </w:rPr>
        <w:t>)</w:t>
      </w:r>
      <w:r w:rsidRPr="00EA3DC8">
        <w:rPr>
          <w:rFonts w:hint="cs"/>
          <w:sz w:val="18"/>
          <w:szCs w:val="20"/>
          <w:rtl/>
        </w:rPr>
        <w:t>;</w:t>
      </w:r>
      <w:r w:rsidRPr="00EA3DC8">
        <w:rPr>
          <w:sz w:val="18"/>
          <w:szCs w:val="20"/>
          <w:rtl/>
        </w:rPr>
        <w:t xml:space="preserve"> </w:t>
      </w:r>
      <w:r w:rsidRPr="00EA3DC8">
        <w:rPr>
          <w:rFonts w:hint="cs"/>
          <w:sz w:val="18"/>
          <w:szCs w:val="20"/>
          <w:rtl/>
        </w:rPr>
        <w:t xml:space="preserve">שלישית, על רקע </w:t>
      </w:r>
      <w:r w:rsidRPr="00EA3DC8">
        <w:rPr>
          <w:rFonts w:eastAsia="Calibri"/>
          <w:sz w:val="18"/>
          <w:szCs w:val="20"/>
          <w:rtl/>
        </w:rPr>
        <w:t>הקיצוץ ב</w:t>
      </w:r>
      <w:r w:rsidRPr="00EA3DC8">
        <w:rPr>
          <w:rFonts w:eastAsia="Calibri" w:hint="cs"/>
          <w:sz w:val="18"/>
          <w:szCs w:val="20"/>
          <w:rtl/>
        </w:rPr>
        <w:t>גמלה</w:t>
      </w:r>
      <w:r w:rsidRPr="00EA3DC8">
        <w:rPr>
          <w:rFonts w:eastAsia="Calibri"/>
          <w:sz w:val="18"/>
          <w:szCs w:val="20"/>
          <w:rtl/>
        </w:rPr>
        <w:t xml:space="preserve"> ובהטבות הנלוות עם הגדלת ההכנס</w:t>
      </w:r>
      <w:r w:rsidRPr="00EA3DC8">
        <w:rPr>
          <w:rFonts w:eastAsia="Calibri" w:hint="cs"/>
          <w:sz w:val="18"/>
          <w:szCs w:val="20"/>
          <w:rtl/>
        </w:rPr>
        <w:t>ה מעבודה</w:t>
      </w:r>
      <w:r w:rsidRPr="00EA3DC8">
        <w:rPr>
          <w:rFonts w:eastAsia="Calibri"/>
          <w:sz w:val="18"/>
          <w:szCs w:val="20"/>
          <w:rtl/>
        </w:rPr>
        <w:t xml:space="preserve"> (</w:t>
      </w:r>
      <w:r w:rsidRPr="00EA3DC8">
        <w:rPr>
          <w:sz w:val="18"/>
          <w:szCs w:val="20"/>
        </w:rPr>
        <w:t xml:space="preserve">Andreβ &amp; Lohmann, 2008; </w:t>
      </w:r>
      <w:proofErr w:type="spellStart"/>
      <w:r w:rsidRPr="00EA3DC8">
        <w:rPr>
          <w:sz w:val="18"/>
          <w:szCs w:val="20"/>
        </w:rPr>
        <w:t>Crettaz</w:t>
      </w:r>
      <w:proofErr w:type="spellEnd"/>
      <w:r w:rsidRPr="00EA3DC8">
        <w:rPr>
          <w:sz w:val="18"/>
          <w:szCs w:val="20"/>
        </w:rPr>
        <w:t xml:space="preserve">, 2011; </w:t>
      </w:r>
      <w:r w:rsidRPr="00EA3DC8">
        <w:rPr>
          <w:rFonts w:eastAsia="Calibri"/>
          <w:sz w:val="18"/>
          <w:szCs w:val="20"/>
        </w:rPr>
        <w:t>OECD, 2009;</w:t>
      </w:r>
      <w:r w:rsidRPr="00EA3DC8">
        <w:rPr>
          <w:sz w:val="18"/>
          <w:szCs w:val="20"/>
        </w:rPr>
        <w:t xml:space="preserve"> </w:t>
      </w:r>
      <w:proofErr w:type="spellStart"/>
      <w:r w:rsidRPr="00EA3DC8">
        <w:rPr>
          <w:sz w:val="18"/>
          <w:szCs w:val="20"/>
        </w:rPr>
        <w:t>Torsney</w:t>
      </w:r>
      <w:proofErr w:type="spellEnd"/>
      <w:r w:rsidRPr="00EA3DC8">
        <w:rPr>
          <w:sz w:val="18"/>
          <w:szCs w:val="20"/>
        </w:rPr>
        <w:t>, 2014</w:t>
      </w:r>
      <w:r w:rsidRPr="00EA3DC8">
        <w:rPr>
          <w:rFonts w:eastAsia="Calibri"/>
          <w:sz w:val="18"/>
          <w:szCs w:val="20"/>
          <w:rtl/>
        </w:rPr>
        <w:t xml:space="preserve">). כן נמצא קשר בין השכלה נמוכה לבין עבודה במשרה חלקית, כנראה בשל </w:t>
      </w:r>
      <w:r w:rsidRPr="00EA3DC8">
        <w:rPr>
          <w:rFonts w:eastAsia="Calibri" w:hint="cs"/>
          <w:sz w:val="18"/>
          <w:szCs w:val="20"/>
          <w:rtl/>
        </w:rPr>
        <w:t xml:space="preserve">אפשרויות </w:t>
      </w:r>
      <w:r w:rsidRPr="00EA3DC8">
        <w:rPr>
          <w:rFonts w:eastAsia="Calibri" w:hint="cs"/>
          <w:sz w:val="18"/>
          <w:szCs w:val="20"/>
          <w:rtl/>
        </w:rPr>
        <w:lastRenderedPageBreak/>
        <w:t>התעסוקה המוגבלות</w:t>
      </w:r>
      <w:r w:rsidRPr="00EA3DC8">
        <w:rPr>
          <w:rFonts w:eastAsia="Calibri"/>
          <w:sz w:val="18"/>
          <w:szCs w:val="20"/>
          <w:rtl/>
        </w:rPr>
        <w:t xml:space="preserve"> </w:t>
      </w:r>
      <w:r w:rsidRPr="00EA3DC8">
        <w:rPr>
          <w:rFonts w:eastAsia="Calibri" w:hint="cs"/>
          <w:sz w:val="18"/>
          <w:szCs w:val="20"/>
          <w:rtl/>
        </w:rPr>
        <w:t>הפתוחות בפני</w:t>
      </w:r>
      <w:r w:rsidRPr="00EA3DC8">
        <w:rPr>
          <w:rFonts w:eastAsia="Calibri"/>
          <w:sz w:val="18"/>
          <w:szCs w:val="20"/>
          <w:rtl/>
        </w:rPr>
        <w:t xml:space="preserve"> בעלי השכלה נמוכה </w:t>
      </w:r>
      <w:r w:rsidRPr="00EA3DC8">
        <w:rPr>
          <w:sz w:val="18"/>
          <w:szCs w:val="20"/>
          <w:rtl/>
        </w:rPr>
        <w:t>(</w:t>
      </w:r>
      <w:r w:rsidRPr="00EA3DC8">
        <w:rPr>
          <w:sz w:val="18"/>
          <w:szCs w:val="20"/>
        </w:rPr>
        <w:t xml:space="preserve">Cohen &amp; Stier, 2006; </w:t>
      </w:r>
      <w:proofErr w:type="spellStart"/>
      <w:r w:rsidRPr="00EA3DC8">
        <w:rPr>
          <w:sz w:val="18"/>
          <w:szCs w:val="20"/>
          <w:shd w:val="clear" w:color="auto" w:fill="FFFFFF"/>
        </w:rPr>
        <w:t>Horemans</w:t>
      </w:r>
      <w:proofErr w:type="spellEnd"/>
      <w:r w:rsidRPr="00EA3DC8">
        <w:rPr>
          <w:sz w:val="18"/>
          <w:szCs w:val="20"/>
          <w:shd w:val="clear" w:color="auto" w:fill="FFFFFF"/>
        </w:rPr>
        <w:t>, 2016</w:t>
      </w:r>
      <w:r w:rsidRPr="00EA3DC8">
        <w:rPr>
          <w:sz w:val="18"/>
          <w:szCs w:val="20"/>
        </w:rPr>
        <w:t xml:space="preserve">; </w:t>
      </w:r>
      <w:proofErr w:type="spellStart"/>
      <w:r w:rsidRPr="00EA3DC8">
        <w:rPr>
          <w:sz w:val="18"/>
          <w:szCs w:val="20"/>
        </w:rPr>
        <w:t>Horemans</w:t>
      </w:r>
      <w:proofErr w:type="spellEnd"/>
      <w:r w:rsidRPr="00EA3DC8">
        <w:rPr>
          <w:sz w:val="18"/>
          <w:szCs w:val="20"/>
        </w:rPr>
        <w:t xml:space="preserve"> et al., 2016; Schmid, 2010</w:t>
      </w:r>
      <w:r w:rsidRPr="00EA3DC8">
        <w:rPr>
          <w:sz w:val="18"/>
          <w:szCs w:val="20"/>
          <w:rtl/>
        </w:rPr>
        <w:t xml:space="preserve">). </w:t>
      </w:r>
    </w:p>
    <w:p w14:paraId="598441E1" w14:textId="77777777" w:rsidR="00926914" w:rsidRPr="00EA3DC8" w:rsidRDefault="00926914" w:rsidP="00EA3DC8">
      <w:pPr>
        <w:spacing w:after="180" w:line="280" w:lineRule="exact"/>
        <w:jc w:val="both"/>
        <w:rPr>
          <w:rFonts w:eastAsia="Calibri"/>
          <w:sz w:val="18"/>
          <w:szCs w:val="20"/>
          <w:rtl/>
        </w:rPr>
      </w:pPr>
    </w:p>
    <w:p w14:paraId="41E041D6" w14:textId="51912CFB" w:rsidR="00926914" w:rsidRPr="00926914" w:rsidRDefault="00926914" w:rsidP="00EA3DC8">
      <w:pPr>
        <w:pStyle w:val="KOT5"/>
        <w:spacing w:after="0"/>
        <w:ind w:right="0"/>
        <w:rPr>
          <w:rFonts w:cs="Guttman Aharoni"/>
          <w:color w:val="00B0F0"/>
          <w:rtl/>
        </w:rPr>
      </w:pPr>
      <w:bookmarkStart w:id="9" w:name="_Toc76380485"/>
      <w:r w:rsidRPr="00926914">
        <w:rPr>
          <w:rFonts w:cs="Guttman Aharoni"/>
          <w:color w:val="00B0F0"/>
          <w:rtl/>
        </w:rPr>
        <w:t xml:space="preserve">השלכות </w:t>
      </w:r>
      <w:r w:rsidRPr="00926914">
        <w:rPr>
          <w:rFonts w:cs="Guttman Aharoni" w:hint="cs"/>
          <w:color w:val="00B0F0"/>
          <w:rtl/>
        </w:rPr>
        <w:t>התעסוקה</w:t>
      </w:r>
      <w:r w:rsidRPr="00926914">
        <w:rPr>
          <w:rFonts w:cs="Guttman Aharoni"/>
          <w:color w:val="00B0F0"/>
          <w:rtl/>
        </w:rPr>
        <w:t xml:space="preserve"> על חייהם של אנשים החיים בעוני</w:t>
      </w:r>
      <w:bookmarkEnd w:id="9"/>
      <w:r w:rsidRPr="00926914">
        <w:rPr>
          <w:rFonts w:cs="Guttman Aharoni"/>
          <w:color w:val="00B0F0"/>
          <w:rtl/>
        </w:rPr>
        <w:t xml:space="preserve"> </w:t>
      </w:r>
    </w:p>
    <w:p w14:paraId="534A7433" w14:textId="7CC73C6B" w:rsidR="00926914" w:rsidRPr="00EA3DC8" w:rsidRDefault="00926914" w:rsidP="00EA3DC8">
      <w:pPr>
        <w:spacing w:after="180" w:line="280" w:lineRule="exact"/>
        <w:jc w:val="both"/>
        <w:rPr>
          <w:sz w:val="18"/>
          <w:szCs w:val="20"/>
          <w:rtl/>
        </w:rPr>
      </w:pPr>
      <w:r w:rsidRPr="00EA3DC8">
        <w:rPr>
          <w:sz w:val="18"/>
          <w:szCs w:val="20"/>
          <w:rtl/>
        </w:rPr>
        <w:t xml:space="preserve">קיימים ממצאים סותרים </w:t>
      </w:r>
      <w:r w:rsidRPr="00EA3DC8">
        <w:rPr>
          <w:rFonts w:hint="cs"/>
          <w:sz w:val="18"/>
          <w:szCs w:val="20"/>
          <w:rtl/>
        </w:rPr>
        <w:t>בדבר</w:t>
      </w:r>
      <w:r w:rsidRPr="00EA3DC8">
        <w:rPr>
          <w:sz w:val="18"/>
          <w:szCs w:val="20"/>
          <w:rtl/>
        </w:rPr>
        <w:t xml:space="preserve"> </w:t>
      </w:r>
      <w:r w:rsidRPr="00EA3DC8">
        <w:rPr>
          <w:rFonts w:hint="cs"/>
          <w:sz w:val="18"/>
          <w:szCs w:val="20"/>
          <w:rtl/>
        </w:rPr>
        <w:t>ה</w:t>
      </w:r>
      <w:r w:rsidRPr="00EA3DC8">
        <w:rPr>
          <w:sz w:val="18"/>
          <w:szCs w:val="20"/>
          <w:rtl/>
        </w:rPr>
        <w:t>השלכות</w:t>
      </w:r>
      <w:r w:rsidRPr="00EA3DC8">
        <w:rPr>
          <w:rFonts w:hint="cs"/>
          <w:sz w:val="18"/>
          <w:szCs w:val="20"/>
          <w:rtl/>
        </w:rPr>
        <w:t xml:space="preserve"> שיש </w:t>
      </w:r>
      <w:r w:rsidRPr="00EA3DC8">
        <w:rPr>
          <w:sz w:val="18"/>
          <w:szCs w:val="20"/>
          <w:rtl/>
        </w:rPr>
        <w:t>ל</w:t>
      </w:r>
      <w:r w:rsidRPr="00EA3DC8">
        <w:rPr>
          <w:rFonts w:hint="cs"/>
          <w:sz w:val="18"/>
          <w:szCs w:val="20"/>
          <w:rtl/>
        </w:rPr>
        <w:t>תעסוקה בשכר</w:t>
      </w:r>
      <w:r w:rsidRPr="00EA3DC8">
        <w:rPr>
          <w:sz w:val="18"/>
          <w:szCs w:val="20"/>
          <w:rtl/>
        </w:rPr>
        <w:t xml:space="preserve"> על אנשים החיים בעוני</w:t>
      </w:r>
      <w:r w:rsidRPr="00EA3DC8">
        <w:rPr>
          <w:rFonts w:hint="cs"/>
          <w:sz w:val="18"/>
          <w:szCs w:val="20"/>
          <w:rtl/>
        </w:rPr>
        <w:t xml:space="preserve">. מן הממצאים עולה כי </w:t>
      </w:r>
      <w:r w:rsidRPr="00EA3DC8">
        <w:rPr>
          <w:sz w:val="18"/>
          <w:szCs w:val="20"/>
          <w:rtl/>
        </w:rPr>
        <w:t xml:space="preserve">תעסוקה יכולה מחד </w:t>
      </w:r>
      <w:r w:rsidRPr="00EA3DC8">
        <w:rPr>
          <w:rFonts w:hint="cs"/>
          <w:sz w:val="18"/>
          <w:szCs w:val="20"/>
          <w:rtl/>
        </w:rPr>
        <w:t xml:space="preserve">גיסא </w:t>
      </w:r>
      <w:r w:rsidRPr="00EA3DC8">
        <w:rPr>
          <w:sz w:val="18"/>
          <w:szCs w:val="20"/>
          <w:rtl/>
        </w:rPr>
        <w:t>לשפר את מצבם</w:t>
      </w:r>
      <w:r w:rsidRPr="00EA3DC8">
        <w:rPr>
          <w:rFonts w:hint="cs"/>
          <w:sz w:val="18"/>
          <w:szCs w:val="20"/>
          <w:rtl/>
        </w:rPr>
        <w:t>,</w:t>
      </w:r>
      <w:r w:rsidRPr="00EA3DC8">
        <w:rPr>
          <w:sz w:val="18"/>
          <w:szCs w:val="20"/>
          <w:rtl/>
        </w:rPr>
        <w:t xml:space="preserve"> ומאידך </w:t>
      </w:r>
      <w:r w:rsidRPr="00EA3DC8">
        <w:rPr>
          <w:rFonts w:hint="cs"/>
          <w:sz w:val="18"/>
          <w:szCs w:val="20"/>
          <w:rtl/>
        </w:rPr>
        <w:t xml:space="preserve">גיסא </w:t>
      </w:r>
      <w:r w:rsidRPr="00EA3DC8">
        <w:rPr>
          <w:sz w:val="18"/>
          <w:szCs w:val="20"/>
          <w:rtl/>
        </w:rPr>
        <w:t>להרע אותו. הספרות מצביעה על החשיבות והערך הרב שיש לעבודה (</w:t>
      </w:r>
      <w:r w:rsidRPr="00EA3DC8">
        <w:rPr>
          <w:rFonts w:eastAsia="Calibri"/>
          <w:sz w:val="18"/>
          <w:szCs w:val="20"/>
        </w:rPr>
        <w:t>Perkins, 2008</w:t>
      </w:r>
      <w:r w:rsidRPr="00EA3DC8">
        <w:rPr>
          <w:sz w:val="18"/>
          <w:szCs w:val="20"/>
          <w:rtl/>
        </w:rPr>
        <w:t xml:space="preserve">). </w:t>
      </w:r>
      <w:r w:rsidRPr="00EA3DC8">
        <w:rPr>
          <w:rFonts w:eastAsia="Calibri"/>
          <w:sz w:val="18"/>
          <w:szCs w:val="20"/>
          <w:rtl/>
        </w:rPr>
        <w:t>במחקר</w:t>
      </w:r>
      <w:r w:rsidRPr="00EA3DC8">
        <w:rPr>
          <w:sz w:val="18"/>
          <w:szCs w:val="20"/>
          <w:rtl/>
        </w:rPr>
        <w:t xml:space="preserve"> אורך שנערך בארצות הברית בשנים 1997–1999 נמצא כי אימהות חד-הוריות שעברו מקבלת </w:t>
      </w:r>
      <w:r w:rsidRPr="00EA3DC8">
        <w:rPr>
          <w:rFonts w:hint="cs"/>
          <w:sz w:val="18"/>
          <w:szCs w:val="20"/>
          <w:rtl/>
        </w:rPr>
        <w:t>גמלה</w:t>
      </w:r>
      <w:r w:rsidRPr="00EA3DC8">
        <w:rPr>
          <w:sz w:val="18"/>
          <w:szCs w:val="20"/>
          <w:rtl/>
        </w:rPr>
        <w:t xml:space="preserve"> לעבודה שיפרו את מצבן הכלכלי סובייקטיבית ואובייקטיבית</w:t>
      </w:r>
      <w:r w:rsidRPr="00EA3DC8">
        <w:rPr>
          <w:rFonts w:hint="cs"/>
          <w:sz w:val="18"/>
          <w:szCs w:val="20"/>
          <w:rtl/>
        </w:rPr>
        <w:t xml:space="preserve"> בהשוואה</w:t>
      </w:r>
      <w:r w:rsidRPr="00EA3DC8">
        <w:rPr>
          <w:sz w:val="18"/>
          <w:szCs w:val="20"/>
          <w:rtl/>
        </w:rPr>
        <w:t xml:space="preserve"> לאלו שהמשיכו לקבל </w:t>
      </w:r>
      <w:r w:rsidRPr="00EA3DC8">
        <w:rPr>
          <w:rFonts w:hint="cs"/>
          <w:sz w:val="18"/>
          <w:szCs w:val="20"/>
          <w:rtl/>
        </w:rPr>
        <w:t>גמל</w:t>
      </w:r>
      <w:r w:rsidRPr="00EA3DC8">
        <w:rPr>
          <w:sz w:val="18"/>
          <w:szCs w:val="20"/>
          <w:rtl/>
        </w:rPr>
        <w:t>ה, ודיווחו כי הכנסתן עלתה ורמת המצוקה החומרית שלהן פחתה (</w:t>
      </w:r>
      <w:r w:rsidRPr="00EA3DC8">
        <w:rPr>
          <w:rStyle w:val="author"/>
          <w:sz w:val="18"/>
          <w:szCs w:val="20"/>
          <w:bdr w:val="none" w:sz="0" w:space="0" w:color="auto" w:frame="1"/>
          <w:shd w:val="clear" w:color="auto" w:fill="FFFFFF"/>
        </w:rPr>
        <w:t>Danziger, Heflin, Corcoran, Oltmans,</w:t>
      </w:r>
      <w:r w:rsidRPr="00EA3DC8">
        <w:rPr>
          <w:rStyle w:val="apple-converted-space"/>
          <w:sz w:val="18"/>
          <w:szCs w:val="20"/>
          <w:shd w:val="clear" w:color="auto" w:fill="FFFFFF"/>
        </w:rPr>
        <w:t xml:space="preserve"> </w:t>
      </w:r>
      <w:r w:rsidRPr="00EA3DC8">
        <w:rPr>
          <w:sz w:val="18"/>
          <w:szCs w:val="20"/>
          <w:shd w:val="clear" w:color="auto" w:fill="FFFFFF"/>
        </w:rPr>
        <w:t>&amp;</w:t>
      </w:r>
      <w:r w:rsidRPr="00EA3DC8">
        <w:rPr>
          <w:rStyle w:val="apple-converted-space"/>
          <w:sz w:val="18"/>
          <w:szCs w:val="20"/>
          <w:shd w:val="clear" w:color="auto" w:fill="FFFFFF"/>
        </w:rPr>
        <w:t xml:space="preserve"> </w:t>
      </w:r>
      <w:r w:rsidRPr="00EA3DC8">
        <w:rPr>
          <w:rStyle w:val="author"/>
          <w:sz w:val="18"/>
          <w:szCs w:val="20"/>
          <w:bdr w:val="none" w:sz="0" w:space="0" w:color="auto" w:frame="1"/>
          <w:shd w:val="clear" w:color="auto" w:fill="FFFFFF"/>
        </w:rPr>
        <w:t xml:space="preserve">Wang, </w:t>
      </w:r>
      <w:r w:rsidRPr="00EA3DC8">
        <w:rPr>
          <w:sz w:val="18"/>
          <w:szCs w:val="20"/>
        </w:rPr>
        <w:t>2002</w:t>
      </w:r>
      <w:r w:rsidRPr="00EA3DC8">
        <w:rPr>
          <w:sz w:val="18"/>
          <w:szCs w:val="20"/>
          <w:rtl/>
        </w:rPr>
        <w:t xml:space="preserve">). </w:t>
      </w:r>
      <w:r w:rsidRPr="00EA3DC8">
        <w:rPr>
          <w:rFonts w:hint="cs"/>
          <w:sz w:val="18"/>
          <w:szCs w:val="20"/>
          <w:rtl/>
        </w:rPr>
        <w:t xml:space="preserve">אולם </w:t>
      </w:r>
      <w:r w:rsidRPr="00EA3DC8">
        <w:rPr>
          <w:sz w:val="18"/>
          <w:szCs w:val="20"/>
          <w:rtl/>
        </w:rPr>
        <w:t xml:space="preserve">במחקרם של </w:t>
      </w:r>
      <w:proofErr w:type="spellStart"/>
      <w:r w:rsidRPr="00EA3DC8">
        <w:rPr>
          <w:sz w:val="18"/>
          <w:szCs w:val="20"/>
          <w:rtl/>
        </w:rPr>
        <w:t>סטריאר</w:t>
      </w:r>
      <w:proofErr w:type="spellEnd"/>
      <w:r w:rsidRPr="00EA3DC8">
        <w:rPr>
          <w:sz w:val="18"/>
          <w:szCs w:val="20"/>
          <w:rtl/>
        </w:rPr>
        <w:t xml:space="preserve">, </w:t>
      </w:r>
      <w:proofErr w:type="spellStart"/>
      <w:r w:rsidRPr="00EA3DC8">
        <w:rPr>
          <w:sz w:val="18"/>
          <w:szCs w:val="20"/>
          <w:rtl/>
        </w:rPr>
        <w:t>איזיקוביץ</w:t>
      </w:r>
      <w:proofErr w:type="spellEnd"/>
      <w:r w:rsidRPr="00EA3DC8">
        <w:rPr>
          <w:sz w:val="18"/>
          <w:szCs w:val="20"/>
          <w:rtl/>
        </w:rPr>
        <w:t xml:space="preserve"> </w:t>
      </w:r>
      <w:proofErr w:type="spellStart"/>
      <w:r w:rsidRPr="00EA3DC8">
        <w:rPr>
          <w:sz w:val="18"/>
          <w:szCs w:val="20"/>
          <w:rtl/>
        </w:rPr>
        <w:t>ובוכבינדר</w:t>
      </w:r>
      <w:proofErr w:type="spellEnd"/>
      <w:r w:rsidRPr="00EA3DC8">
        <w:rPr>
          <w:sz w:val="18"/>
          <w:szCs w:val="20"/>
          <w:rtl/>
        </w:rPr>
        <w:t xml:space="preserve"> (2011) נמצא כי עובדים עניים </w:t>
      </w:r>
      <w:r w:rsidRPr="00EA3DC8">
        <w:rPr>
          <w:rFonts w:hint="cs"/>
          <w:sz w:val="18"/>
          <w:szCs w:val="20"/>
          <w:rtl/>
        </w:rPr>
        <w:t>היו אמביוולנטיים כלפי מקום העבודה</w:t>
      </w:r>
      <w:r w:rsidRPr="00EA3DC8">
        <w:rPr>
          <w:sz w:val="18"/>
          <w:szCs w:val="20"/>
          <w:rtl/>
        </w:rPr>
        <w:t>. מרביתם ראו בו עוגן לקיומם הכלכלי, ומיעוטם אף רא</w:t>
      </w:r>
      <w:r w:rsidRPr="00EA3DC8">
        <w:rPr>
          <w:rFonts w:hint="cs"/>
          <w:sz w:val="18"/>
          <w:szCs w:val="20"/>
          <w:rtl/>
        </w:rPr>
        <w:t>ו</w:t>
      </w:r>
      <w:r w:rsidRPr="00EA3DC8">
        <w:rPr>
          <w:sz w:val="18"/>
          <w:szCs w:val="20"/>
          <w:rtl/>
        </w:rPr>
        <w:t xml:space="preserve"> בו רכיב חשוב במעמדם החברתי</w:t>
      </w:r>
      <w:r w:rsidRPr="00EA3DC8">
        <w:rPr>
          <w:rFonts w:hint="cs"/>
          <w:sz w:val="18"/>
          <w:szCs w:val="20"/>
          <w:rtl/>
        </w:rPr>
        <w:t>.</w:t>
      </w:r>
      <w:r w:rsidRPr="00EA3DC8">
        <w:rPr>
          <w:sz w:val="18"/>
          <w:szCs w:val="20"/>
          <w:rtl/>
        </w:rPr>
        <w:t xml:space="preserve"> לצד זאת</w:t>
      </w:r>
      <w:r w:rsidRPr="00EA3DC8">
        <w:rPr>
          <w:rFonts w:hint="cs"/>
          <w:sz w:val="18"/>
          <w:szCs w:val="20"/>
          <w:rtl/>
        </w:rPr>
        <w:t xml:space="preserve"> </w:t>
      </w:r>
      <w:r w:rsidR="00123E20">
        <w:rPr>
          <w:rFonts w:hint="cs"/>
          <w:sz w:val="18"/>
          <w:szCs w:val="20"/>
          <w:rtl/>
        </w:rPr>
        <w:t xml:space="preserve">הם </w:t>
      </w:r>
      <w:r w:rsidRPr="00EA3DC8">
        <w:rPr>
          <w:rFonts w:hint="cs"/>
          <w:sz w:val="18"/>
          <w:szCs w:val="20"/>
          <w:rtl/>
        </w:rPr>
        <w:t>ראו במקום העבודה</w:t>
      </w:r>
      <w:r w:rsidRPr="00EA3DC8">
        <w:rPr>
          <w:sz w:val="18"/>
          <w:szCs w:val="20"/>
          <w:rtl/>
        </w:rPr>
        <w:t xml:space="preserve"> </w:t>
      </w:r>
      <w:r w:rsidRPr="00EA3DC8">
        <w:rPr>
          <w:rFonts w:hint="cs"/>
          <w:sz w:val="18"/>
          <w:szCs w:val="20"/>
          <w:rtl/>
        </w:rPr>
        <w:t>מרחב מנצל ומכאיב</w:t>
      </w:r>
      <w:r w:rsidRPr="00EA3DC8">
        <w:rPr>
          <w:sz w:val="18"/>
          <w:szCs w:val="20"/>
          <w:rtl/>
        </w:rPr>
        <w:t>, דיווחו על מצוקה כלכלית קשה וחשו כי המדינה הפקירה אותם מאחור. מצב זה יצר תסכול, חששות ומרירות</w:t>
      </w:r>
      <w:r w:rsidRPr="00EA3DC8">
        <w:rPr>
          <w:rFonts w:hint="cs"/>
          <w:sz w:val="18"/>
          <w:szCs w:val="20"/>
          <w:rtl/>
        </w:rPr>
        <w:t>,</w:t>
      </w:r>
      <w:r w:rsidRPr="00EA3DC8">
        <w:rPr>
          <w:sz w:val="18"/>
          <w:szCs w:val="20"/>
          <w:rtl/>
        </w:rPr>
        <w:t xml:space="preserve"> ופגם במוטיבציה שלהם. </w:t>
      </w:r>
    </w:p>
    <w:p w14:paraId="6A58B0FA" w14:textId="77777777" w:rsidR="00926914" w:rsidRPr="00EA3DC8" w:rsidRDefault="00926914" w:rsidP="00EA3DC8">
      <w:pPr>
        <w:spacing w:after="180" w:line="280" w:lineRule="exact"/>
        <w:jc w:val="both"/>
        <w:rPr>
          <w:sz w:val="18"/>
          <w:szCs w:val="20"/>
          <w:rtl/>
        </w:rPr>
      </w:pPr>
      <w:r w:rsidRPr="00EA3DC8">
        <w:rPr>
          <w:rFonts w:hint="cs"/>
          <w:sz w:val="18"/>
          <w:szCs w:val="20"/>
          <w:rtl/>
        </w:rPr>
        <w:t>אשר</w:t>
      </w:r>
      <w:r w:rsidRPr="00EA3DC8">
        <w:rPr>
          <w:sz w:val="18"/>
          <w:szCs w:val="20"/>
          <w:rtl/>
        </w:rPr>
        <w:t xml:space="preserve"> </w:t>
      </w:r>
      <w:r w:rsidRPr="00EA3DC8">
        <w:rPr>
          <w:rFonts w:hint="cs"/>
          <w:sz w:val="18"/>
          <w:szCs w:val="20"/>
          <w:rtl/>
        </w:rPr>
        <w:t>ל</w:t>
      </w:r>
      <w:r w:rsidRPr="00EA3DC8">
        <w:rPr>
          <w:sz w:val="18"/>
          <w:szCs w:val="20"/>
          <w:rtl/>
        </w:rPr>
        <w:t>א</w:t>
      </w:r>
      <w:r w:rsidRPr="00EA3DC8">
        <w:rPr>
          <w:rFonts w:hint="cs"/>
          <w:sz w:val="18"/>
          <w:szCs w:val="20"/>
          <w:rtl/>
        </w:rPr>
        <w:t>י</w:t>
      </w:r>
      <w:r w:rsidRPr="00EA3DC8">
        <w:rPr>
          <w:sz w:val="18"/>
          <w:szCs w:val="20"/>
          <w:rtl/>
        </w:rPr>
        <w:t>מהות חד-הוריות</w:t>
      </w:r>
      <w:r w:rsidRPr="00EA3DC8">
        <w:rPr>
          <w:rFonts w:hint="cs"/>
          <w:sz w:val="18"/>
          <w:szCs w:val="20"/>
          <w:rtl/>
        </w:rPr>
        <w:t>,</w:t>
      </w:r>
      <w:r w:rsidRPr="00EA3DC8">
        <w:rPr>
          <w:sz w:val="18"/>
          <w:szCs w:val="20"/>
          <w:rtl/>
        </w:rPr>
        <w:t xml:space="preserve"> נמצא כי יציאה לעבודה </w:t>
      </w:r>
      <w:r w:rsidRPr="00EA3DC8">
        <w:rPr>
          <w:rFonts w:hint="cs"/>
          <w:sz w:val="18"/>
          <w:szCs w:val="20"/>
          <w:rtl/>
        </w:rPr>
        <w:t>העלתה את</w:t>
      </w:r>
      <w:r w:rsidRPr="00EA3DC8">
        <w:rPr>
          <w:sz w:val="18"/>
          <w:szCs w:val="20"/>
          <w:rtl/>
        </w:rPr>
        <w:t xml:space="preserve"> רמת המתח הנפשי שלהן (</w:t>
      </w:r>
      <w:r w:rsidRPr="00EA3DC8">
        <w:rPr>
          <w:sz w:val="18"/>
          <w:szCs w:val="20"/>
        </w:rPr>
        <w:t xml:space="preserve">Sullivan &amp; </w:t>
      </w:r>
      <w:proofErr w:type="spellStart"/>
      <w:r w:rsidRPr="00EA3DC8">
        <w:rPr>
          <w:sz w:val="18"/>
          <w:szCs w:val="20"/>
        </w:rPr>
        <w:t>DeCoster</w:t>
      </w:r>
      <w:proofErr w:type="spellEnd"/>
      <w:r w:rsidRPr="00EA3DC8">
        <w:rPr>
          <w:sz w:val="18"/>
          <w:szCs w:val="20"/>
        </w:rPr>
        <w:t>, 2001</w:t>
      </w:r>
      <w:r w:rsidRPr="00EA3DC8">
        <w:rPr>
          <w:sz w:val="18"/>
          <w:szCs w:val="20"/>
          <w:rtl/>
        </w:rPr>
        <w:t xml:space="preserve">), והפחיתה </w:t>
      </w:r>
      <w:r w:rsidRPr="00EA3DC8">
        <w:rPr>
          <w:rFonts w:eastAsia="Calibri"/>
          <w:sz w:val="18"/>
          <w:szCs w:val="20"/>
          <w:rtl/>
        </w:rPr>
        <w:t>את תחושת שביעות הרצון הסובייקטיבית שלהן (</w:t>
      </w:r>
      <w:r w:rsidRPr="00EA3DC8">
        <w:rPr>
          <w:rFonts w:eastAsia="Calibri"/>
          <w:sz w:val="18"/>
          <w:szCs w:val="20"/>
        </w:rPr>
        <w:t>Cook, 2012</w:t>
      </w:r>
      <w:r w:rsidRPr="00EA3DC8">
        <w:rPr>
          <w:rFonts w:eastAsia="Calibri"/>
          <w:sz w:val="18"/>
          <w:szCs w:val="20"/>
          <w:rtl/>
        </w:rPr>
        <w:t>)</w:t>
      </w:r>
      <w:r w:rsidRPr="00EA3DC8">
        <w:rPr>
          <w:sz w:val="18"/>
          <w:szCs w:val="20"/>
          <w:rtl/>
        </w:rPr>
        <w:t xml:space="preserve">. לעומת זאת, במחקר אחר נמצא כי </w:t>
      </w:r>
      <w:r w:rsidRPr="00EA3DC8">
        <w:rPr>
          <w:rFonts w:eastAsia="Calibri"/>
          <w:sz w:val="18"/>
          <w:szCs w:val="20"/>
          <w:rtl/>
        </w:rPr>
        <w:t>ליציאה לעבודה היו השלכות חיוביות על מצבן הרגשי: היא עוררה בהן תחושה אישית של הישגיות</w:t>
      </w:r>
      <w:r w:rsidRPr="00EA3DC8">
        <w:rPr>
          <w:rFonts w:eastAsia="Calibri" w:hint="cs"/>
          <w:sz w:val="18"/>
          <w:szCs w:val="20"/>
          <w:rtl/>
        </w:rPr>
        <w:t xml:space="preserve">, </w:t>
      </w:r>
      <w:r w:rsidRPr="00EA3DC8">
        <w:rPr>
          <w:rFonts w:eastAsia="Calibri"/>
          <w:sz w:val="18"/>
          <w:szCs w:val="20"/>
          <w:rtl/>
        </w:rPr>
        <w:t xml:space="preserve">זיכתה אותן בכבוד מילדיהן ואפשרה להן ליצור קשרים חברתיים חדשים, </w:t>
      </w:r>
      <w:r w:rsidRPr="00EA3DC8">
        <w:rPr>
          <w:rFonts w:eastAsia="Calibri" w:hint="cs"/>
          <w:sz w:val="18"/>
          <w:szCs w:val="20"/>
          <w:rtl/>
        </w:rPr>
        <w:t xml:space="preserve">ואלה </w:t>
      </w:r>
      <w:r w:rsidRPr="00EA3DC8">
        <w:rPr>
          <w:rFonts w:eastAsia="Calibri"/>
          <w:sz w:val="18"/>
          <w:szCs w:val="20"/>
          <w:rtl/>
        </w:rPr>
        <w:t>הביאו למעורבות חברתית גבוהה יותר (</w:t>
      </w:r>
      <w:proofErr w:type="spellStart"/>
      <w:r w:rsidRPr="00EA3DC8">
        <w:rPr>
          <w:sz w:val="18"/>
          <w:szCs w:val="20"/>
        </w:rPr>
        <w:t>Haux</w:t>
      </w:r>
      <w:proofErr w:type="spellEnd"/>
      <w:r w:rsidRPr="00EA3DC8">
        <w:rPr>
          <w:sz w:val="18"/>
          <w:szCs w:val="20"/>
        </w:rPr>
        <w:t xml:space="preserve"> et al.,</w:t>
      </w:r>
      <w:r w:rsidRPr="00EA3DC8">
        <w:rPr>
          <w:rFonts w:eastAsia="Calibri"/>
          <w:sz w:val="18"/>
          <w:szCs w:val="20"/>
        </w:rPr>
        <w:t xml:space="preserve"> 2012</w:t>
      </w:r>
      <w:r w:rsidRPr="00EA3DC8">
        <w:rPr>
          <w:rFonts w:eastAsia="Calibri"/>
          <w:sz w:val="18"/>
          <w:szCs w:val="20"/>
          <w:rtl/>
        </w:rPr>
        <w:t xml:space="preserve">). </w:t>
      </w:r>
      <w:r w:rsidRPr="00EA3DC8">
        <w:rPr>
          <w:sz w:val="18"/>
          <w:szCs w:val="20"/>
          <w:rtl/>
        </w:rPr>
        <w:t xml:space="preserve">במחקרים אחרים נמצא כי עבודה בשכר נמוך </w:t>
      </w:r>
      <w:r w:rsidRPr="00EA3DC8">
        <w:rPr>
          <w:rFonts w:hint="cs"/>
          <w:sz w:val="18"/>
          <w:szCs w:val="20"/>
          <w:rtl/>
        </w:rPr>
        <w:t>קשורה</w:t>
      </w:r>
      <w:r w:rsidRPr="00EA3DC8">
        <w:rPr>
          <w:sz w:val="18"/>
          <w:szCs w:val="20"/>
          <w:rtl/>
        </w:rPr>
        <w:t xml:space="preserve"> </w:t>
      </w:r>
      <w:r w:rsidRPr="00EA3DC8">
        <w:rPr>
          <w:rFonts w:hint="cs"/>
          <w:sz w:val="18"/>
          <w:szCs w:val="20"/>
          <w:rtl/>
        </w:rPr>
        <w:t>ל</w:t>
      </w:r>
      <w:r w:rsidRPr="00EA3DC8">
        <w:rPr>
          <w:sz w:val="18"/>
          <w:szCs w:val="20"/>
          <w:rtl/>
        </w:rPr>
        <w:t>תחושת רווחה כללית (</w:t>
      </w:r>
      <w:r w:rsidRPr="00EA3DC8">
        <w:rPr>
          <w:sz w:val="18"/>
          <w:szCs w:val="20"/>
        </w:rPr>
        <w:t>wellbeing</w:t>
      </w:r>
      <w:r w:rsidRPr="00EA3DC8">
        <w:rPr>
          <w:sz w:val="18"/>
          <w:szCs w:val="20"/>
          <w:rtl/>
        </w:rPr>
        <w:t xml:space="preserve">) </w:t>
      </w:r>
      <w:r w:rsidRPr="00EA3DC8">
        <w:rPr>
          <w:rFonts w:hint="cs"/>
          <w:sz w:val="18"/>
          <w:szCs w:val="20"/>
          <w:rtl/>
        </w:rPr>
        <w:t xml:space="preserve">נמוכה יותר </w:t>
      </w:r>
      <w:r w:rsidRPr="00EA3DC8">
        <w:rPr>
          <w:sz w:val="18"/>
          <w:szCs w:val="20"/>
          <w:rtl/>
        </w:rPr>
        <w:t>(</w:t>
      </w:r>
      <w:r w:rsidRPr="00EA3DC8">
        <w:rPr>
          <w:sz w:val="18"/>
          <w:szCs w:val="20"/>
          <w:shd w:val="clear" w:color="auto" w:fill="FFFFFF"/>
        </w:rPr>
        <w:t>Diener &amp; Biswas-Diener, 2002</w:t>
      </w:r>
      <w:r w:rsidRPr="00EA3DC8">
        <w:rPr>
          <w:sz w:val="18"/>
          <w:szCs w:val="20"/>
        </w:rPr>
        <w:t xml:space="preserve">; Edin &amp; </w:t>
      </w:r>
      <w:proofErr w:type="spellStart"/>
      <w:r w:rsidRPr="00EA3DC8">
        <w:rPr>
          <w:sz w:val="18"/>
          <w:szCs w:val="20"/>
        </w:rPr>
        <w:t>Lein</w:t>
      </w:r>
      <w:proofErr w:type="spellEnd"/>
      <w:r w:rsidRPr="00EA3DC8">
        <w:rPr>
          <w:sz w:val="18"/>
          <w:szCs w:val="20"/>
        </w:rPr>
        <w:t>, 1997; Kahneman &amp; Deaton, 2010</w:t>
      </w:r>
      <w:r w:rsidRPr="00EA3DC8">
        <w:rPr>
          <w:sz w:val="18"/>
          <w:szCs w:val="20"/>
          <w:rtl/>
        </w:rPr>
        <w:t xml:space="preserve">), </w:t>
      </w:r>
      <w:r w:rsidRPr="00EA3DC8">
        <w:rPr>
          <w:rFonts w:eastAsia="Calibri"/>
          <w:sz w:val="18"/>
          <w:szCs w:val="20"/>
          <w:rtl/>
        </w:rPr>
        <w:t xml:space="preserve">וכי עלייה במספר שעות העבודה השבועיות </w:t>
      </w:r>
      <w:r w:rsidRPr="00EA3DC8">
        <w:rPr>
          <w:rFonts w:eastAsia="Calibri" w:hint="cs"/>
          <w:sz w:val="18"/>
          <w:szCs w:val="20"/>
          <w:rtl/>
        </w:rPr>
        <w:t>אינה משפרת</w:t>
      </w:r>
      <w:r w:rsidRPr="00EA3DC8">
        <w:rPr>
          <w:rFonts w:eastAsia="Calibri"/>
          <w:sz w:val="18"/>
          <w:szCs w:val="20"/>
          <w:rtl/>
        </w:rPr>
        <w:t xml:space="preserve"> את </w:t>
      </w:r>
      <w:r w:rsidRPr="00EA3DC8">
        <w:rPr>
          <w:rFonts w:eastAsia="Calibri" w:hint="cs"/>
          <w:sz w:val="18"/>
          <w:szCs w:val="20"/>
          <w:rtl/>
        </w:rPr>
        <w:t xml:space="preserve">תחושת הרווחה הסובייקטיבית </w:t>
      </w:r>
      <w:r w:rsidRPr="00EA3DC8">
        <w:rPr>
          <w:rFonts w:eastAsia="Calibri"/>
          <w:sz w:val="18"/>
          <w:szCs w:val="20"/>
          <w:rtl/>
        </w:rPr>
        <w:t>(</w:t>
      </w:r>
      <w:r w:rsidRPr="00EA3DC8">
        <w:rPr>
          <w:rFonts w:eastAsia="Calibri"/>
          <w:sz w:val="18"/>
          <w:szCs w:val="20"/>
        </w:rPr>
        <w:t>Cook, 2012</w:t>
      </w:r>
      <w:r w:rsidRPr="00EA3DC8">
        <w:rPr>
          <w:rFonts w:eastAsia="Calibri"/>
          <w:sz w:val="18"/>
          <w:szCs w:val="20"/>
          <w:rtl/>
        </w:rPr>
        <w:t xml:space="preserve">). </w:t>
      </w:r>
      <w:r w:rsidRPr="00EA3DC8">
        <w:rPr>
          <w:sz w:val="18"/>
          <w:szCs w:val="20"/>
          <w:rtl/>
        </w:rPr>
        <w:t xml:space="preserve">מבחינה כלכלית נמצא כי יציאה לעבודה לא בהכרח מיטיבה את המצב הכלכלי, בשל </w:t>
      </w:r>
      <w:r w:rsidRPr="00EA3DC8">
        <w:rPr>
          <w:rFonts w:hint="cs"/>
          <w:sz w:val="18"/>
          <w:szCs w:val="20"/>
          <w:rtl/>
        </w:rPr>
        <w:t>ה</w:t>
      </w:r>
      <w:r w:rsidRPr="00EA3DC8">
        <w:rPr>
          <w:sz w:val="18"/>
          <w:szCs w:val="20"/>
          <w:rtl/>
        </w:rPr>
        <w:t>קיצוץ ב</w:t>
      </w:r>
      <w:r w:rsidRPr="00EA3DC8">
        <w:rPr>
          <w:rFonts w:hint="cs"/>
          <w:sz w:val="18"/>
          <w:szCs w:val="20"/>
          <w:rtl/>
        </w:rPr>
        <w:t>גמלה</w:t>
      </w:r>
      <w:r w:rsidRPr="00EA3DC8">
        <w:rPr>
          <w:sz w:val="18"/>
          <w:szCs w:val="20"/>
          <w:rtl/>
        </w:rPr>
        <w:t xml:space="preserve"> ובהטבות הנלוות, </w:t>
      </w:r>
      <w:r w:rsidRPr="00EA3DC8">
        <w:rPr>
          <w:rFonts w:hint="cs"/>
          <w:sz w:val="18"/>
          <w:szCs w:val="20"/>
          <w:rtl/>
        </w:rPr>
        <w:t>ה</w:t>
      </w:r>
      <w:r w:rsidRPr="00EA3DC8">
        <w:rPr>
          <w:sz w:val="18"/>
          <w:szCs w:val="20"/>
          <w:rtl/>
        </w:rPr>
        <w:t xml:space="preserve">שכר </w:t>
      </w:r>
      <w:r w:rsidRPr="00EA3DC8">
        <w:rPr>
          <w:rFonts w:hint="cs"/>
          <w:sz w:val="18"/>
          <w:szCs w:val="20"/>
          <w:rtl/>
        </w:rPr>
        <w:t>ה</w:t>
      </w:r>
      <w:r w:rsidRPr="00EA3DC8">
        <w:rPr>
          <w:sz w:val="18"/>
          <w:szCs w:val="20"/>
          <w:rtl/>
        </w:rPr>
        <w:t>נמוך ו</w:t>
      </w:r>
      <w:r w:rsidRPr="00EA3DC8">
        <w:rPr>
          <w:rFonts w:hint="cs"/>
          <w:sz w:val="18"/>
          <w:szCs w:val="20"/>
          <w:rtl/>
        </w:rPr>
        <w:t>ה</w:t>
      </w:r>
      <w:r w:rsidRPr="00EA3DC8">
        <w:rPr>
          <w:sz w:val="18"/>
          <w:szCs w:val="20"/>
          <w:rtl/>
        </w:rPr>
        <w:t>גידול בהוצאות הכרוכות ביציאה לעבודה (</w:t>
      </w:r>
      <w:proofErr w:type="spellStart"/>
      <w:r w:rsidRPr="00EA3DC8">
        <w:rPr>
          <w:sz w:val="18"/>
          <w:szCs w:val="20"/>
          <w:shd w:val="clear" w:color="auto" w:fill="FFFFFF"/>
        </w:rPr>
        <w:t>Albelda</w:t>
      </w:r>
      <w:proofErr w:type="spellEnd"/>
      <w:r w:rsidRPr="00EA3DC8">
        <w:rPr>
          <w:sz w:val="18"/>
          <w:szCs w:val="20"/>
          <w:shd w:val="clear" w:color="auto" w:fill="FFFFFF"/>
        </w:rPr>
        <w:t xml:space="preserve"> &amp; Shea, 2010</w:t>
      </w:r>
      <w:r w:rsidRPr="00EA3DC8">
        <w:rPr>
          <w:sz w:val="18"/>
          <w:szCs w:val="20"/>
          <w:rtl/>
        </w:rPr>
        <w:t xml:space="preserve">). </w:t>
      </w:r>
    </w:p>
    <w:p w14:paraId="678A489A" w14:textId="77777777" w:rsidR="00926914" w:rsidRPr="00EA3DC8" w:rsidRDefault="00926914" w:rsidP="00EA3DC8">
      <w:pPr>
        <w:spacing w:after="180" w:line="280" w:lineRule="exact"/>
        <w:jc w:val="both"/>
        <w:rPr>
          <w:sz w:val="18"/>
          <w:szCs w:val="20"/>
          <w:shd w:val="clear" w:color="auto" w:fill="FFFFFF"/>
          <w:rtl/>
        </w:rPr>
      </w:pPr>
      <w:r w:rsidRPr="00EA3DC8">
        <w:rPr>
          <w:sz w:val="18"/>
          <w:szCs w:val="20"/>
          <w:rtl/>
        </w:rPr>
        <w:t>בתחום הבריאות הפיזית נמצא כי משפחות עובדות החיות בעוני היו חשופות למתח כרוני ול</w:t>
      </w:r>
      <w:r w:rsidRPr="00EA3DC8">
        <w:rPr>
          <w:rFonts w:hint="cs"/>
          <w:sz w:val="18"/>
          <w:szCs w:val="20"/>
          <w:rtl/>
        </w:rPr>
        <w:t>תחלואה</w:t>
      </w:r>
      <w:r w:rsidRPr="00EA3DC8">
        <w:rPr>
          <w:sz w:val="18"/>
          <w:szCs w:val="20"/>
          <w:rtl/>
        </w:rPr>
        <w:t xml:space="preserve"> (</w:t>
      </w:r>
      <w:r w:rsidRPr="00EA3DC8">
        <w:rPr>
          <w:sz w:val="18"/>
          <w:szCs w:val="20"/>
          <w:shd w:val="clear" w:color="auto" w:fill="FFFFFF"/>
        </w:rPr>
        <w:t xml:space="preserve">Hogan, Solheim, </w:t>
      </w:r>
      <w:proofErr w:type="spellStart"/>
      <w:r w:rsidRPr="00EA3DC8">
        <w:rPr>
          <w:sz w:val="18"/>
          <w:szCs w:val="20"/>
          <w:shd w:val="clear" w:color="auto" w:fill="FFFFFF"/>
        </w:rPr>
        <w:t>Wolfgram</w:t>
      </w:r>
      <w:proofErr w:type="spellEnd"/>
      <w:r w:rsidRPr="00EA3DC8">
        <w:rPr>
          <w:sz w:val="18"/>
          <w:szCs w:val="20"/>
          <w:shd w:val="clear" w:color="auto" w:fill="FFFFFF"/>
        </w:rPr>
        <w:t>, Nkosi, &amp; Rodrigues, 2004</w:t>
      </w:r>
      <w:r w:rsidRPr="00EA3DC8">
        <w:rPr>
          <w:sz w:val="18"/>
          <w:szCs w:val="20"/>
          <w:rtl/>
        </w:rPr>
        <w:t xml:space="preserve">), וכי </w:t>
      </w:r>
      <w:r w:rsidRPr="00EA3DC8">
        <w:rPr>
          <w:rFonts w:hint="cs"/>
          <w:sz w:val="18"/>
          <w:szCs w:val="20"/>
          <w:rtl/>
        </w:rPr>
        <w:t>להשתלבות בתעסוקה</w:t>
      </w:r>
      <w:r w:rsidRPr="00EA3DC8">
        <w:rPr>
          <w:sz w:val="18"/>
          <w:szCs w:val="20"/>
          <w:rtl/>
        </w:rPr>
        <w:t xml:space="preserve"> היו השלכות שליליות על מצב</w:t>
      </w:r>
      <w:r w:rsidRPr="00EA3DC8">
        <w:rPr>
          <w:rFonts w:hint="cs"/>
          <w:sz w:val="18"/>
          <w:szCs w:val="20"/>
          <w:rtl/>
        </w:rPr>
        <w:t xml:space="preserve">ן הנפשי </w:t>
      </w:r>
      <w:r w:rsidRPr="00EA3DC8">
        <w:rPr>
          <w:sz w:val="18"/>
          <w:szCs w:val="20"/>
          <w:rtl/>
        </w:rPr>
        <w:t>של אימהות חד-הוריות (</w:t>
      </w:r>
      <w:r w:rsidRPr="00EA3DC8">
        <w:rPr>
          <w:sz w:val="18"/>
          <w:szCs w:val="20"/>
        </w:rPr>
        <w:t>McHardy, 2012</w:t>
      </w:r>
      <w:r w:rsidRPr="00EA3DC8">
        <w:rPr>
          <w:sz w:val="18"/>
          <w:szCs w:val="20"/>
          <w:rtl/>
        </w:rPr>
        <w:t xml:space="preserve">). </w:t>
      </w:r>
      <w:r w:rsidRPr="00EA3DC8">
        <w:rPr>
          <w:rFonts w:hint="cs"/>
          <w:sz w:val="18"/>
          <w:szCs w:val="20"/>
          <w:rtl/>
        </w:rPr>
        <w:t xml:space="preserve">עוד </w:t>
      </w:r>
      <w:r w:rsidRPr="00EA3DC8">
        <w:rPr>
          <w:sz w:val="18"/>
          <w:szCs w:val="20"/>
          <w:rtl/>
        </w:rPr>
        <w:t>נמצא כי תנאי עבודה ירודים, חוסר כבוד מצד מעסיקים והיעדר זכויות עלולים לפגוע בחוסן הנפשי של עובדים (</w:t>
      </w:r>
      <w:r w:rsidRPr="00EA3DC8">
        <w:rPr>
          <w:sz w:val="18"/>
          <w:szCs w:val="20"/>
        </w:rPr>
        <w:t xml:space="preserve">Simmons &amp; </w:t>
      </w:r>
      <w:proofErr w:type="spellStart"/>
      <w:r w:rsidRPr="00EA3DC8">
        <w:rPr>
          <w:sz w:val="18"/>
          <w:szCs w:val="20"/>
        </w:rPr>
        <w:t>Swanberg</w:t>
      </w:r>
      <w:proofErr w:type="spellEnd"/>
      <w:r w:rsidRPr="00EA3DC8">
        <w:rPr>
          <w:sz w:val="18"/>
          <w:szCs w:val="20"/>
        </w:rPr>
        <w:t>, 2009</w:t>
      </w:r>
      <w:r w:rsidRPr="00EA3DC8">
        <w:rPr>
          <w:sz w:val="18"/>
          <w:szCs w:val="20"/>
          <w:rtl/>
        </w:rPr>
        <w:t xml:space="preserve">), וכי </w:t>
      </w:r>
      <w:r w:rsidRPr="00EA3DC8">
        <w:rPr>
          <w:rFonts w:hint="cs"/>
          <w:sz w:val="18"/>
          <w:szCs w:val="20"/>
          <w:rtl/>
        </w:rPr>
        <w:t>תעסוקה לא יציבה</w:t>
      </w:r>
      <w:r w:rsidRPr="00EA3DC8">
        <w:rPr>
          <w:sz w:val="18"/>
          <w:szCs w:val="20"/>
          <w:rtl/>
        </w:rPr>
        <w:t xml:space="preserve"> </w:t>
      </w:r>
      <w:r w:rsidRPr="00EA3DC8">
        <w:rPr>
          <w:rFonts w:hint="cs"/>
          <w:sz w:val="18"/>
          <w:szCs w:val="20"/>
          <w:rtl/>
        </w:rPr>
        <w:t>קשורה</w:t>
      </w:r>
      <w:r w:rsidRPr="00EA3DC8">
        <w:rPr>
          <w:sz w:val="18"/>
          <w:szCs w:val="20"/>
          <w:rtl/>
        </w:rPr>
        <w:t xml:space="preserve"> </w:t>
      </w:r>
      <w:r w:rsidRPr="00EA3DC8">
        <w:rPr>
          <w:rFonts w:hint="cs"/>
          <w:sz w:val="18"/>
          <w:szCs w:val="20"/>
          <w:rtl/>
        </w:rPr>
        <w:t>ל</w:t>
      </w:r>
      <w:r w:rsidRPr="00EA3DC8">
        <w:rPr>
          <w:sz w:val="18"/>
          <w:szCs w:val="20"/>
          <w:rtl/>
        </w:rPr>
        <w:t>שחיקה</w:t>
      </w:r>
      <w:r w:rsidRPr="00EA3DC8">
        <w:rPr>
          <w:rFonts w:hint="cs"/>
          <w:sz w:val="18"/>
          <w:szCs w:val="20"/>
          <w:rtl/>
        </w:rPr>
        <w:t xml:space="preserve"> רבה יותר בקרב עובדים</w:t>
      </w:r>
      <w:r w:rsidRPr="00EA3DC8">
        <w:rPr>
          <w:sz w:val="18"/>
          <w:szCs w:val="20"/>
          <w:rtl/>
        </w:rPr>
        <w:t xml:space="preserve"> (</w:t>
      </w:r>
      <w:proofErr w:type="spellStart"/>
      <w:r w:rsidRPr="00EA3DC8">
        <w:rPr>
          <w:sz w:val="18"/>
          <w:szCs w:val="20"/>
          <w:shd w:val="clear" w:color="auto" w:fill="FFFFFF"/>
        </w:rPr>
        <w:t>Aybas</w:t>
      </w:r>
      <w:proofErr w:type="spellEnd"/>
      <w:r w:rsidRPr="00EA3DC8">
        <w:rPr>
          <w:sz w:val="18"/>
          <w:szCs w:val="20"/>
          <w:shd w:val="clear" w:color="auto" w:fill="FFFFFF"/>
        </w:rPr>
        <w:t xml:space="preserve">, </w:t>
      </w:r>
      <w:proofErr w:type="spellStart"/>
      <w:r w:rsidRPr="00EA3DC8">
        <w:rPr>
          <w:sz w:val="18"/>
          <w:szCs w:val="20"/>
          <w:shd w:val="clear" w:color="auto" w:fill="FFFFFF"/>
        </w:rPr>
        <w:t>Elmas-Atay</w:t>
      </w:r>
      <w:proofErr w:type="spellEnd"/>
      <w:r w:rsidRPr="00EA3DC8">
        <w:rPr>
          <w:sz w:val="18"/>
          <w:szCs w:val="20"/>
          <w:shd w:val="clear" w:color="auto" w:fill="FFFFFF"/>
        </w:rPr>
        <w:t xml:space="preserve">, &amp; Dündar, </w:t>
      </w:r>
      <w:r w:rsidRPr="00EA3DC8">
        <w:rPr>
          <w:sz w:val="18"/>
          <w:szCs w:val="20"/>
        </w:rPr>
        <w:t>2015</w:t>
      </w:r>
      <w:r w:rsidRPr="00EA3DC8">
        <w:rPr>
          <w:sz w:val="18"/>
          <w:szCs w:val="20"/>
          <w:rtl/>
        </w:rPr>
        <w:t>)</w:t>
      </w:r>
      <w:r w:rsidRPr="00EA3DC8">
        <w:rPr>
          <w:rFonts w:hint="cs"/>
          <w:sz w:val="18"/>
          <w:szCs w:val="20"/>
          <w:rtl/>
        </w:rPr>
        <w:t>,</w:t>
      </w:r>
      <w:r w:rsidRPr="00EA3DC8">
        <w:rPr>
          <w:sz w:val="18"/>
          <w:szCs w:val="20"/>
          <w:rtl/>
        </w:rPr>
        <w:t xml:space="preserve"> </w:t>
      </w:r>
      <w:r w:rsidRPr="00EA3DC8">
        <w:rPr>
          <w:rFonts w:hint="cs"/>
          <w:sz w:val="18"/>
          <w:szCs w:val="20"/>
          <w:rtl/>
        </w:rPr>
        <w:t>ל</w:t>
      </w:r>
      <w:r w:rsidRPr="00EA3DC8">
        <w:rPr>
          <w:sz w:val="18"/>
          <w:szCs w:val="20"/>
          <w:rtl/>
        </w:rPr>
        <w:t xml:space="preserve">התשה, </w:t>
      </w:r>
      <w:r w:rsidRPr="00EA3DC8">
        <w:rPr>
          <w:rFonts w:hint="cs"/>
          <w:sz w:val="18"/>
          <w:szCs w:val="20"/>
          <w:rtl/>
        </w:rPr>
        <w:t>ל</w:t>
      </w:r>
      <w:r w:rsidRPr="00EA3DC8">
        <w:rPr>
          <w:sz w:val="18"/>
          <w:szCs w:val="20"/>
          <w:rtl/>
        </w:rPr>
        <w:t xml:space="preserve">מתח, </w:t>
      </w:r>
      <w:r w:rsidRPr="00EA3DC8">
        <w:rPr>
          <w:rFonts w:hint="cs"/>
          <w:sz w:val="18"/>
          <w:szCs w:val="20"/>
          <w:rtl/>
        </w:rPr>
        <w:t>ל</w:t>
      </w:r>
      <w:r w:rsidRPr="00EA3DC8">
        <w:rPr>
          <w:sz w:val="18"/>
          <w:szCs w:val="20"/>
          <w:rtl/>
        </w:rPr>
        <w:t>חרדה ו</w:t>
      </w:r>
      <w:r w:rsidRPr="00EA3DC8">
        <w:rPr>
          <w:rFonts w:hint="cs"/>
          <w:sz w:val="18"/>
          <w:szCs w:val="20"/>
          <w:rtl/>
        </w:rPr>
        <w:t>ל</w:t>
      </w:r>
      <w:r w:rsidRPr="00EA3DC8">
        <w:rPr>
          <w:sz w:val="18"/>
          <w:szCs w:val="20"/>
          <w:rtl/>
        </w:rPr>
        <w:t>דיכאון (</w:t>
      </w:r>
      <w:r w:rsidRPr="00EA3DC8">
        <w:rPr>
          <w:sz w:val="18"/>
          <w:szCs w:val="20"/>
          <w:shd w:val="clear" w:color="auto" w:fill="FFFFFF"/>
        </w:rPr>
        <w:t xml:space="preserve">Bosman, </w:t>
      </w:r>
      <w:proofErr w:type="spellStart"/>
      <w:r w:rsidRPr="00EA3DC8">
        <w:rPr>
          <w:sz w:val="18"/>
          <w:szCs w:val="20"/>
          <w:shd w:val="clear" w:color="auto" w:fill="FFFFFF"/>
        </w:rPr>
        <w:t>Buitendach</w:t>
      </w:r>
      <w:proofErr w:type="spellEnd"/>
      <w:r w:rsidRPr="00EA3DC8">
        <w:rPr>
          <w:sz w:val="18"/>
          <w:szCs w:val="20"/>
          <w:shd w:val="clear" w:color="auto" w:fill="FFFFFF"/>
        </w:rPr>
        <w:t xml:space="preserve">, &amp; </w:t>
      </w:r>
      <w:proofErr w:type="spellStart"/>
      <w:r w:rsidRPr="00EA3DC8">
        <w:rPr>
          <w:sz w:val="18"/>
          <w:szCs w:val="20"/>
          <w:shd w:val="clear" w:color="auto" w:fill="FFFFFF"/>
        </w:rPr>
        <w:t>Laba</w:t>
      </w:r>
      <w:proofErr w:type="spellEnd"/>
      <w:r w:rsidRPr="00EA3DC8">
        <w:rPr>
          <w:sz w:val="18"/>
          <w:szCs w:val="20"/>
        </w:rPr>
        <w:t>, 2005;</w:t>
      </w:r>
      <w:r w:rsidRPr="00EA3DC8">
        <w:rPr>
          <w:sz w:val="18"/>
          <w:szCs w:val="20"/>
          <w:shd w:val="clear" w:color="auto" w:fill="FFFFFF"/>
        </w:rPr>
        <w:t xml:space="preserve"> </w:t>
      </w:r>
      <w:proofErr w:type="spellStart"/>
      <w:r w:rsidRPr="00EA3DC8">
        <w:rPr>
          <w:sz w:val="18"/>
          <w:szCs w:val="20"/>
          <w:shd w:val="clear" w:color="auto" w:fill="FFFFFF"/>
        </w:rPr>
        <w:t>Burgard</w:t>
      </w:r>
      <w:proofErr w:type="spellEnd"/>
      <w:r w:rsidRPr="00EA3DC8">
        <w:rPr>
          <w:sz w:val="18"/>
          <w:szCs w:val="20"/>
          <w:shd w:val="clear" w:color="auto" w:fill="FFFFFF"/>
        </w:rPr>
        <w:t xml:space="preserve">, </w:t>
      </w:r>
      <w:proofErr w:type="spellStart"/>
      <w:r w:rsidRPr="00EA3DC8">
        <w:rPr>
          <w:sz w:val="18"/>
          <w:szCs w:val="20"/>
          <w:shd w:val="clear" w:color="auto" w:fill="FFFFFF"/>
        </w:rPr>
        <w:t>Kalousova</w:t>
      </w:r>
      <w:proofErr w:type="spellEnd"/>
      <w:r w:rsidRPr="00EA3DC8">
        <w:rPr>
          <w:sz w:val="18"/>
          <w:szCs w:val="20"/>
          <w:shd w:val="clear" w:color="auto" w:fill="FFFFFF"/>
        </w:rPr>
        <w:t xml:space="preserve">, &amp; </w:t>
      </w:r>
      <w:proofErr w:type="spellStart"/>
      <w:r w:rsidRPr="00EA3DC8">
        <w:rPr>
          <w:sz w:val="18"/>
          <w:szCs w:val="20"/>
          <w:shd w:val="clear" w:color="auto" w:fill="FFFFFF"/>
        </w:rPr>
        <w:t>Seefeldt</w:t>
      </w:r>
      <w:proofErr w:type="spellEnd"/>
      <w:r w:rsidRPr="00EA3DC8">
        <w:rPr>
          <w:sz w:val="18"/>
          <w:szCs w:val="20"/>
          <w:shd w:val="clear" w:color="auto" w:fill="FFFFFF"/>
        </w:rPr>
        <w:t xml:space="preserve">, </w:t>
      </w:r>
      <w:r w:rsidRPr="00EA3DC8">
        <w:rPr>
          <w:sz w:val="18"/>
          <w:szCs w:val="20"/>
        </w:rPr>
        <w:lastRenderedPageBreak/>
        <w:t>2012; De Witte, 1999</w:t>
      </w:r>
      <w:r w:rsidRPr="00EA3DC8">
        <w:rPr>
          <w:sz w:val="18"/>
          <w:szCs w:val="20"/>
          <w:rtl/>
        </w:rPr>
        <w:t>).</w:t>
      </w:r>
      <w:r w:rsidRPr="00EA3DC8">
        <w:rPr>
          <w:rFonts w:eastAsia="Calibri"/>
          <w:sz w:val="18"/>
          <w:szCs w:val="20"/>
          <w:rtl/>
        </w:rPr>
        <w:t xml:space="preserve"> </w:t>
      </w:r>
      <w:r w:rsidRPr="00EA3DC8">
        <w:rPr>
          <w:sz w:val="18"/>
          <w:szCs w:val="20"/>
          <w:rtl/>
        </w:rPr>
        <w:t>בתחום המשפחה נמצא כי יציאה לעבודה פגעה בזמן האיכות המושקע במשפחה וביכולתן של אימהות חד-הוריות לנהל את זמנן בצורה מאוזנת (</w:t>
      </w:r>
      <w:r w:rsidRPr="00EA3DC8">
        <w:rPr>
          <w:sz w:val="18"/>
          <w:szCs w:val="20"/>
        </w:rPr>
        <w:t xml:space="preserve">Harden, MacLean, </w:t>
      </w:r>
      <w:proofErr w:type="spellStart"/>
      <w:r w:rsidRPr="00EA3DC8">
        <w:rPr>
          <w:sz w:val="18"/>
          <w:szCs w:val="20"/>
        </w:rPr>
        <w:t>Backett</w:t>
      </w:r>
      <w:proofErr w:type="spellEnd"/>
      <w:r w:rsidRPr="00EA3DC8">
        <w:rPr>
          <w:sz w:val="18"/>
          <w:szCs w:val="20"/>
        </w:rPr>
        <w:t>-Milburn &amp; Cunningham-Burley, 2012</w:t>
      </w:r>
      <w:r w:rsidRPr="00EA3DC8">
        <w:rPr>
          <w:sz w:val="18"/>
          <w:szCs w:val="20"/>
          <w:rtl/>
        </w:rPr>
        <w:t>)</w:t>
      </w:r>
      <w:r w:rsidRPr="00EA3DC8">
        <w:rPr>
          <w:rFonts w:hint="cs"/>
          <w:sz w:val="18"/>
          <w:szCs w:val="20"/>
          <w:rtl/>
        </w:rPr>
        <w:t>. עוד נמצא</w:t>
      </w:r>
      <w:r w:rsidRPr="00EA3DC8">
        <w:rPr>
          <w:sz w:val="18"/>
          <w:szCs w:val="20"/>
          <w:rtl/>
        </w:rPr>
        <w:t xml:space="preserve"> כי אימהות נאלצו לפתח יחסי תלות במערכת הקשרים החברתיים שלהן (</w:t>
      </w:r>
      <w:r w:rsidRPr="00EA3DC8">
        <w:rPr>
          <w:rFonts w:eastAsia="Calibri"/>
          <w:sz w:val="18"/>
          <w:szCs w:val="20"/>
        </w:rPr>
        <w:t>Cook, 2012</w:t>
      </w:r>
      <w:r w:rsidRPr="00EA3DC8">
        <w:rPr>
          <w:sz w:val="18"/>
          <w:szCs w:val="20"/>
          <w:rtl/>
        </w:rPr>
        <w:t>)</w:t>
      </w:r>
      <w:r w:rsidRPr="00EA3DC8">
        <w:rPr>
          <w:rFonts w:eastAsia="Calibri"/>
          <w:sz w:val="18"/>
          <w:szCs w:val="20"/>
          <w:rtl/>
        </w:rPr>
        <w:t>, וכי ילדיהן קיבלו על עצמם אחריות רבה יותר בבית ומילאו תפקידים הוריים</w:t>
      </w:r>
      <w:r w:rsidRPr="00EA3DC8">
        <w:rPr>
          <w:rFonts w:eastAsia="Calibri" w:hint="cs"/>
          <w:sz w:val="18"/>
          <w:szCs w:val="20"/>
          <w:rtl/>
        </w:rPr>
        <w:t xml:space="preserve"> דוגמת </w:t>
      </w:r>
      <w:r w:rsidRPr="00EA3DC8">
        <w:rPr>
          <w:rFonts w:eastAsia="Calibri"/>
          <w:sz w:val="18"/>
          <w:szCs w:val="20"/>
          <w:rtl/>
        </w:rPr>
        <w:t>ניקיון, בישול וטיפול באחים הצעירים (</w:t>
      </w:r>
      <w:r w:rsidRPr="00EA3DC8">
        <w:rPr>
          <w:rFonts w:eastAsia="Calibri"/>
          <w:sz w:val="18"/>
          <w:szCs w:val="20"/>
        </w:rPr>
        <w:t>Millar, 2007</w:t>
      </w:r>
      <w:r w:rsidRPr="00EA3DC8">
        <w:rPr>
          <w:rFonts w:eastAsia="Calibri"/>
          <w:sz w:val="18"/>
          <w:szCs w:val="20"/>
          <w:rtl/>
        </w:rPr>
        <w:t>).</w:t>
      </w:r>
      <w:r w:rsidRPr="00EA3DC8">
        <w:rPr>
          <w:sz w:val="18"/>
          <w:szCs w:val="20"/>
          <w:shd w:val="clear" w:color="auto" w:fill="FFFFFF"/>
          <w:rtl/>
        </w:rPr>
        <w:t>‏</w:t>
      </w:r>
    </w:p>
    <w:p w14:paraId="3F10175C" w14:textId="31F41FDB" w:rsidR="00926914" w:rsidRDefault="00926914" w:rsidP="00EA3DC8">
      <w:pPr>
        <w:spacing w:after="180" w:line="280" w:lineRule="exact"/>
        <w:jc w:val="both"/>
        <w:rPr>
          <w:sz w:val="18"/>
          <w:szCs w:val="20"/>
          <w:rtl/>
        </w:rPr>
      </w:pPr>
    </w:p>
    <w:p w14:paraId="7D76E062" w14:textId="77777777" w:rsidR="00F4272C" w:rsidRPr="00EA3DC8" w:rsidRDefault="00F4272C" w:rsidP="00EA3DC8">
      <w:pPr>
        <w:spacing w:after="180" w:line="280" w:lineRule="exact"/>
        <w:jc w:val="both"/>
        <w:rPr>
          <w:sz w:val="18"/>
          <w:szCs w:val="20"/>
          <w:rtl/>
        </w:rPr>
      </w:pPr>
    </w:p>
    <w:p w14:paraId="675CEEF9" w14:textId="7AE606B4" w:rsidR="00926914" w:rsidRPr="00926914" w:rsidRDefault="00926914" w:rsidP="00EA3DC8">
      <w:pPr>
        <w:pStyle w:val="KOT4"/>
        <w:spacing w:after="0"/>
        <w:ind w:left="397" w:right="0" w:hanging="397"/>
        <w:rPr>
          <w:rFonts w:cs="Guttman Aharoni"/>
          <w:color w:val="00B0F0"/>
          <w:sz w:val="32"/>
          <w:szCs w:val="32"/>
          <w:rtl/>
        </w:rPr>
      </w:pPr>
      <w:bookmarkStart w:id="10" w:name="_Toc76380486"/>
      <w:r w:rsidRPr="00926914">
        <w:rPr>
          <w:rFonts w:cs="Guttman Aharoni" w:hint="cs"/>
          <w:color w:val="00B0F0"/>
          <w:sz w:val="32"/>
          <w:szCs w:val="32"/>
          <w:rtl/>
        </w:rPr>
        <w:t xml:space="preserve">3. </w:t>
      </w:r>
      <w:r w:rsidRPr="00926914">
        <w:rPr>
          <w:rFonts w:cs="Guttman Aharoni"/>
          <w:color w:val="00B0F0"/>
          <w:sz w:val="32"/>
          <w:szCs w:val="32"/>
          <w:rtl/>
        </w:rPr>
        <w:t>מטרות המחקר</w:t>
      </w:r>
      <w:bookmarkEnd w:id="10"/>
      <w:r w:rsidRPr="00926914">
        <w:rPr>
          <w:rFonts w:cs="Guttman Aharoni"/>
          <w:color w:val="00B0F0"/>
          <w:sz w:val="32"/>
          <w:szCs w:val="32"/>
          <w:rtl/>
        </w:rPr>
        <w:t xml:space="preserve"> </w:t>
      </w:r>
    </w:p>
    <w:p w14:paraId="7348BC64" w14:textId="77777777" w:rsidR="00926914" w:rsidRPr="00EA3DC8" w:rsidRDefault="00926914" w:rsidP="009F4991">
      <w:pPr>
        <w:spacing w:line="280" w:lineRule="exact"/>
        <w:jc w:val="both"/>
        <w:rPr>
          <w:sz w:val="18"/>
          <w:szCs w:val="20"/>
          <w:rtl/>
        </w:rPr>
      </w:pPr>
      <w:r w:rsidRPr="00EA3DC8">
        <w:rPr>
          <w:sz w:val="18"/>
          <w:szCs w:val="20"/>
          <w:rtl/>
        </w:rPr>
        <w:t xml:space="preserve">המחקר הנוכחי מבקש לבחון את דפוסי התעסוקה של מקבלי השירות של המחלקות לשירותים חברתיים החיים בעוני, </w:t>
      </w:r>
      <w:r w:rsidRPr="00EA3DC8">
        <w:rPr>
          <w:rFonts w:hint="cs"/>
          <w:sz w:val="18"/>
          <w:szCs w:val="20"/>
          <w:rtl/>
        </w:rPr>
        <w:t>ב</w:t>
      </w:r>
      <w:r w:rsidRPr="00EA3DC8">
        <w:rPr>
          <w:sz w:val="18"/>
          <w:szCs w:val="20"/>
          <w:rtl/>
        </w:rPr>
        <w:t>שתי נקודות זמן</w:t>
      </w:r>
      <w:r w:rsidRPr="00EA3DC8">
        <w:rPr>
          <w:rFonts w:hint="cs"/>
          <w:sz w:val="18"/>
          <w:szCs w:val="20"/>
          <w:rtl/>
        </w:rPr>
        <w:t xml:space="preserve">: </w:t>
      </w:r>
      <w:r w:rsidRPr="00EA3DC8">
        <w:rPr>
          <w:sz w:val="18"/>
          <w:szCs w:val="20"/>
          <w:rtl/>
        </w:rPr>
        <w:t>בחודשים יוני–אוקטובר 2016 וכשנה לאחר מכן, בחודשים יוני–נובמבר</w:t>
      </w:r>
      <w:r w:rsidRPr="00EA3DC8" w:rsidDel="009424E0">
        <w:rPr>
          <w:sz w:val="18"/>
          <w:szCs w:val="20"/>
          <w:rtl/>
        </w:rPr>
        <w:t xml:space="preserve"> </w:t>
      </w:r>
      <w:r w:rsidRPr="00EA3DC8">
        <w:rPr>
          <w:sz w:val="18"/>
          <w:szCs w:val="20"/>
          <w:rtl/>
        </w:rPr>
        <w:t>2017. המחקר מתמקד בדפוסי התעסוקה של המשתתפים, במשתנים האישיים</w:t>
      </w:r>
      <w:r w:rsidRPr="00EA3DC8">
        <w:rPr>
          <w:rFonts w:hint="cs"/>
          <w:sz w:val="18"/>
          <w:szCs w:val="20"/>
          <w:rtl/>
        </w:rPr>
        <w:t xml:space="preserve"> </w:t>
      </w:r>
      <w:r w:rsidRPr="00EA3DC8">
        <w:rPr>
          <w:sz w:val="18"/>
          <w:szCs w:val="20"/>
          <w:rtl/>
        </w:rPr>
        <w:t>–</w:t>
      </w:r>
      <w:r w:rsidRPr="00EA3DC8">
        <w:rPr>
          <w:rFonts w:hint="cs"/>
          <w:sz w:val="18"/>
          <w:szCs w:val="20"/>
          <w:rtl/>
        </w:rPr>
        <w:t xml:space="preserve"> מאפייני הרקע, ההון האנושי ומצב הבריאות </w:t>
      </w:r>
      <w:r w:rsidRPr="00EA3DC8">
        <w:rPr>
          <w:sz w:val="18"/>
          <w:szCs w:val="20"/>
          <w:rtl/>
        </w:rPr>
        <w:t>– המנבאים דפוסים אלו</w:t>
      </w:r>
      <w:r w:rsidRPr="00EA3DC8">
        <w:rPr>
          <w:rFonts w:hint="cs"/>
          <w:sz w:val="18"/>
          <w:szCs w:val="20"/>
          <w:rtl/>
        </w:rPr>
        <w:t>,</w:t>
      </w:r>
      <w:r w:rsidRPr="00EA3DC8">
        <w:rPr>
          <w:sz w:val="18"/>
          <w:szCs w:val="20"/>
          <w:rtl/>
        </w:rPr>
        <w:t xml:space="preserve"> ובתפיסות המשתתפים </w:t>
      </w:r>
      <w:r w:rsidRPr="00EA3DC8">
        <w:rPr>
          <w:rFonts w:hint="cs"/>
          <w:sz w:val="18"/>
          <w:szCs w:val="20"/>
          <w:rtl/>
        </w:rPr>
        <w:t xml:space="preserve">בדבר </w:t>
      </w:r>
      <w:r w:rsidRPr="00EA3DC8">
        <w:rPr>
          <w:sz w:val="18"/>
          <w:szCs w:val="20"/>
          <w:rtl/>
        </w:rPr>
        <w:t xml:space="preserve">דפוס התעסוקה </w:t>
      </w:r>
      <w:r w:rsidRPr="00EA3DC8">
        <w:rPr>
          <w:rFonts w:hint="cs"/>
          <w:sz w:val="18"/>
          <w:szCs w:val="20"/>
          <w:rtl/>
        </w:rPr>
        <w:t>שלהם</w:t>
      </w:r>
      <w:r w:rsidRPr="00EA3DC8">
        <w:rPr>
          <w:sz w:val="18"/>
          <w:szCs w:val="20"/>
          <w:rtl/>
        </w:rPr>
        <w:t xml:space="preserve">. </w:t>
      </w:r>
      <w:r w:rsidRPr="00EA3DC8">
        <w:rPr>
          <w:rFonts w:hint="cs"/>
          <w:sz w:val="18"/>
          <w:szCs w:val="20"/>
          <w:rtl/>
        </w:rPr>
        <w:t>בחינת התפיסה של משתתפי המחקר</w:t>
      </w:r>
      <w:r w:rsidRPr="00EA3DC8">
        <w:rPr>
          <w:sz w:val="18"/>
          <w:szCs w:val="20"/>
          <w:rtl/>
        </w:rPr>
        <w:t xml:space="preserve"> </w:t>
      </w:r>
      <w:r w:rsidRPr="00EA3DC8">
        <w:rPr>
          <w:rFonts w:hint="cs"/>
          <w:sz w:val="18"/>
          <w:szCs w:val="20"/>
          <w:rtl/>
        </w:rPr>
        <w:t xml:space="preserve">בנוגע </w:t>
      </w:r>
      <w:r w:rsidRPr="00EA3DC8">
        <w:rPr>
          <w:sz w:val="18"/>
          <w:szCs w:val="20"/>
          <w:rtl/>
        </w:rPr>
        <w:t xml:space="preserve">לבחירתם התעסוקתית תתרום להבנת מניעיהם לדפוס תעסוקה כזה או אחר, </w:t>
      </w:r>
      <w:r w:rsidRPr="00EA3DC8">
        <w:rPr>
          <w:rFonts w:hint="cs"/>
          <w:sz w:val="18"/>
          <w:szCs w:val="20"/>
          <w:rtl/>
        </w:rPr>
        <w:t>ו</w:t>
      </w:r>
      <w:r w:rsidRPr="00EA3DC8">
        <w:rPr>
          <w:sz w:val="18"/>
          <w:szCs w:val="20"/>
          <w:rtl/>
        </w:rPr>
        <w:t>היא חשובה בשיח הציבורי</w:t>
      </w:r>
      <w:r w:rsidRPr="00EA3DC8">
        <w:rPr>
          <w:rFonts w:hint="cs"/>
          <w:sz w:val="18"/>
          <w:szCs w:val="20"/>
          <w:rtl/>
        </w:rPr>
        <w:t>,</w:t>
      </w:r>
      <w:r w:rsidRPr="00EA3DC8">
        <w:rPr>
          <w:sz w:val="18"/>
          <w:szCs w:val="20"/>
          <w:rtl/>
        </w:rPr>
        <w:t xml:space="preserve"> הנוטה להאשים את העניים במוטיבציה נמוכה לעבודה. </w:t>
      </w:r>
      <w:r w:rsidRPr="00EA3DC8">
        <w:rPr>
          <w:rFonts w:hint="cs"/>
          <w:sz w:val="18"/>
          <w:szCs w:val="20"/>
          <w:rtl/>
        </w:rPr>
        <w:t xml:space="preserve">להלן </w:t>
      </w:r>
      <w:r w:rsidRPr="00EA3DC8">
        <w:rPr>
          <w:sz w:val="18"/>
          <w:szCs w:val="20"/>
          <w:rtl/>
        </w:rPr>
        <w:t>שאלות המחקר:</w:t>
      </w:r>
    </w:p>
    <w:p w14:paraId="487044C9" w14:textId="77777777" w:rsidR="00926914" w:rsidRPr="00EA3DC8" w:rsidRDefault="00926914" w:rsidP="003B6BFE">
      <w:pPr>
        <w:pStyle w:val="ListParagraph"/>
        <w:numPr>
          <w:ilvl w:val="0"/>
          <w:numId w:val="2"/>
        </w:numPr>
        <w:spacing w:after="0" w:line="280" w:lineRule="exact"/>
        <w:ind w:left="397" w:hanging="397"/>
        <w:jc w:val="both"/>
        <w:rPr>
          <w:rFonts w:ascii="Times New Roman" w:hAnsi="Times New Roman" w:cs="David"/>
          <w:sz w:val="18"/>
          <w:szCs w:val="20"/>
        </w:rPr>
      </w:pPr>
      <w:r w:rsidRPr="00EA3DC8">
        <w:rPr>
          <w:rFonts w:ascii="Times New Roman" w:hAnsi="Times New Roman" w:cs="David"/>
          <w:sz w:val="18"/>
          <w:szCs w:val="20"/>
          <w:rtl/>
        </w:rPr>
        <w:t>מהו דפוס העבודה של המשתתפים (עובדים בשתי נקודות הזמן; לא עובדים בשתי נקודות הזמן; עובדים רק באחת מנקודות הזמן)?</w:t>
      </w:r>
    </w:p>
    <w:p w14:paraId="160BA19F" w14:textId="77777777" w:rsidR="00926914" w:rsidRPr="00EA3DC8" w:rsidRDefault="00926914" w:rsidP="003B6BFE">
      <w:pPr>
        <w:pStyle w:val="ListParagraph"/>
        <w:numPr>
          <w:ilvl w:val="0"/>
          <w:numId w:val="2"/>
        </w:numPr>
        <w:spacing w:after="0" w:line="280" w:lineRule="exact"/>
        <w:ind w:left="397" w:hanging="397"/>
        <w:jc w:val="both"/>
        <w:rPr>
          <w:rFonts w:ascii="Times New Roman" w:hAnsi="Times New Roman" w:cs="David"/>
          <w:sz w:val="18"/>
          <w:szCs w:val="20"/>
          <w:rtl/>
        </w:rPr>
      </w:pPr>
      <w:r w:rsidRPr="00EA3DC8">
        <w:rPr>
          <w:rFonts w:ascii="Times New Roman" w:hAnsi="Times New Roman" w:cs="David"/>
          <w:sz w:val="18"/>
          <w:szCs w:val="20"/>
          <w:rtl/>
        </w:rPr>
        <w:t>אילו משתנים אישיים מנבאים השתתפות גבוהה בשוק העבודה במשך חמש שנים?</w:t>
      </w:r>
    </w:p>
    <w:p w14:paraId="574418FE" w14:textId="77777777" w:rsidR="00926914" w:rsidRPr="00EA3DC8" w:rsidRDefault="00926914" w:rsidP="003B6BFE">
      <w:pPr>
        <w:pStyle w:val="ListParagraph"/>
        <w:numPr>
          <w:ilvl w:val="0"/>
          <w:numId w:val="2"/>
        </w:numPr>
        <w:spacing w:after="0" w:line="280" w:lineRule="exact"/>
        <w:ind w:left="397" w:hanging="397"/>
        <w:jc w:val="both"/>
        <w:rPr>
          <w:rFonts w:ascii="Times New Roman" w:hAnsi="Times New Roman" w:cs="David"/>
          <w:sz w:val="18"/>
          <w:szCs w:val="20"/>
        </w:rPr>
      </w:pPr>
      <w:r w:rsidRPr="00EA3DC8">
        <w:rPr>
          <w:rFonts w:ascii="Times New Roman" w:hAnsi="Times New Roman" w:cs="David"/>
          <w:sz w:val="18"/>
          <w:szCs w:val="20"/>
          <w:rtl/>
        </w:rPr>
        <w:t xml:space="preserve">אילו משתנים אישיים </w:t>
      </w:r>
      <w:r w:rsidRPr="00EA3DC8">
        <w:rPr>
          <w:rFonts w:ascii="Times New Roman" w:hAnsi="Times New Roman" w:cs="David" w:hint="cs"/>
          <w:sz w:val="18"/>
          <w:szCs w:val="20"/>
          <w:rtl/>
        </w:rPr>
        <w:t>מנבאים את</w:t>
      </w:r>
      <w:r w:rsidRPr="00EA3DC8">
        <w:rPr>
          <w:rFonts w:ascii="Times New Roman" w:hAnsi="Times New Roman" w:cs="David"/>
          <w:sz w:val="18"/>
          <w:szCs w:val="20"/>
          <w:rtl/>
        </w:rPr>
        <w:t xml:space="preserve"> מספר שעות העבודה בשבוע בקרב המשתתפים העובדים?</w:t>
      </w:r>
    </w:p>
    <w:p w14:paraId="6A7FA602" w14:textId="77777777" w:rsidR="00926914" w:rsidRPr="00EA3DC8" w:rsidRDefault="00926914" w:rsidP="003B6BFE">
      <w:pPr>
        <w:pStyle w:val="ListParagraph"/>
        <w:numPr>
          <w:ilvl w:val="0"/>
          <w:numId w:val="2"/>
        </w:numPr>
        <w:spacing w:after="0" w:line="280" w:lineRule="exact"/>
        <w:ind w:left="397" w:hanging="397"/>
        <w:jc w:val="both"/>
        <w:rPr>
          <w:rFonts w:ascii="Times New Roman" w:hAnsi="Times New Roman" w:cs="David"/>
          <w:sz w:val="18"/>
          <w:szCs w:val="20"/>
        </w:rPr>
      </w:pPr>
      <w:r w:rsidRPr="00EA3DC8">
        <w:rPr>
          <w:rFonts w:ascii="Times New Roman" w:hAnsi="Times New Roman" w:cs="David"/>
          <w:sz w:val="18"/>
          <w:szCs w:val="20"/>
          <w:rtl/>
        </w:rPr>
        <w:t>לתפיסת המשתתפים, מדוע אינם עובדים?</w:t>
      </w:r>
    </w:p>
    <w:p w14:paraId="3E107D7C" w14:textId="77777777" w:rsidR="00926914" w:rsidRPr="00EA3DC8" w:rsidRDefault="00926914" w:rsidP="00EE4D2A">
      <w:pPr>
        <w:pStyle w:val="ListParagraph"/>
        <w:numPr>
          <w:ilvl w:val="0"/>
          <w:numId w:val="2"/>
        </w:numPr>
        <w:spacing w:after="180" w:line="280" w:lineRule="exact"/>
        <w:ind w:left="397" w:hanging="397"/>
        <w:jc w:val="both"/>
        <w:rPr>
          <w:rFonts w:ascii="Times New Roman" w:hAnsi="Times New Roman" w:cs="David"/>
          <w:sz w:val="18"/>
          <w:szCs w:val="20"/>
        </w:rPr>
      </w:pPr>
      <w:r w:rsidRPr="00EA3DC8">
        <w:rPr>
          <w:rFonts w:ascii="Times New Roman" w:hAnsi="Times New Roman" w:cs="David"/>
          <w:sz w:val="18"/>
          <w:szCs w:val="20"/>
          <w:rtl/>
        </w:rPr>
        <w:t>לתפיסת המשתתפים, מדוע הם עובדים במשרה חלקית?</w:t>
      </w:r>
    </w:p>
    <w:p w14:paraId="19AAC0F6" w14:textId="77777777" w:rsidR="00926914" w:rsidRPr="00EA3DC8" w:rsidRDefault="00926914" w:rsidP="00EE4D2A">
      <w:pPr>
        <w:spacing w:after="180" w:line="280" w:lineRule="exact"/>
        <w:jc w:val="both"/>
        <w:rPr>
          <w:sz w:val="18"/>
          <w:szCs w:val="20"/>
        </w:rPr>
      </w:pPr>
    </w:p>
    <w:p w14:paraId="46B958B6" w14:textId="3BADE2E9" w:rsidR="00926914" w:rsidRPr="00E14CB1" w:rsidRDefault="00926914" w:rsidP="00EA3DC8">
      <w:pPr>
        <w:pStyle w:val="KOT5"/>
        <w:spacing w:after="0"/>
        <w:ind w:right="0"/>
        <w:rPr>
          <w:rFonts w:cs="Guttman Aharoni"/>
          <w:color w:val="00B0F0"/>
          <w:rtl/>
        </w:rPr>
      </w:pPr>
      <w:bookmarkStart w:id="11" w:name="_Toc76380487"/>
      <w:r w:rsidRPr="00E14CB1">
        <w:rPr>
          <w:rFonts w:cs="Guttman Aharoni"/>
          <w:color w:val="00B0F0"/>
          <w:rtl/>
        </w:rPr>
        <w:t>השערות המחקר</w:t>
      </w:r>
      <w:bookmarkEnd w:id="11"/>
      <w:r w:rsidRPr="00E14CB1">
        <w:rPr>
          <w:rFonts w:cs="Guttman Aharoni" w:hint="cs"/>
          <w:color w:val="00B0F0"/>
          <w:rtl/>
        </w:rPr>
        <w:t xml:space="preserve"> </w:t>
      </w:r>
    </w:p>
    <w:p w14:paraId="4F8D1290" w14:textId="77777777" w:rsidR="00926914" w:rsidRPr="00EA3DC8" w:rsidRDefault="00926914" w:rsidP="00EA3DC8">
      <w:pPr>
        <w:spacing w:after="180" w:line="280" w:lineRule="exact"/>
        <w:jc w:val="both"/>
        <w:rPr>
          <w:sz w:val="18"/>
          <w:szCs w:val="20"/>
          <w:rtl/>
        </w:rPr>
      </w:pPr>
      <w:r w:rsidRPr="00EA3DC8">
        <w:rPr>
          <w:b/>
          <w:bCs/>
          <w:sz w:val="18"/>
          <w:szCs w:val="20"/>
          <w:rtl/>
        </w:rPr>
        <w:t>השערה 1.</w:t>
      </w:r>
      <w:r w:rsidRPr="00EA3DC8">
        <w:rPr>
          <w:sz w:val="18"/>
          <w:szCs w:val="20"/>
          <w:rtl/>
        </w:rPr>
        <w:t xml:space="preserve"> מרבית המשתתפים </w:t>
      </w:r>
      <w:r w:rsidRPr="00EA3DC8">
        <w:rPr>
          <w:rFonts w:hint="cs"/>
          <w:sz w:val="18"/>
          <w:szCs w:val="20"/>
          <w:rtl/>
        </w:rPr>
        <w:t xml:space="preserve">במחקר </w:t>
      </w:r>
      <w:r w:rsidRPr="00EA3DC8">
        <w:rPr>
          <w:sz w:val="18"/>
          <w:szCs w:val="20"/>
          <w:rtl/>
        </w:rPr>
        <w:t xml:space="preserve">יעבדו רק באחת מנקודות הזמן. השערה זו נתמכת </w:t>
      </w:r>
      <w:r w:rsidRPr="00EA3DC8">
        <w:rPr>
          <w:rFonts w:hint="cs"/>
          <w:sz w:val="18"/>
          <w:szCs w:val="20"/>
          <w:rtl/>
        </w:rPr>
        <w:t>ב</w:t>
      </w:r>
      <w:r w:rsidRPr="00EA3DC8">
        <w:rPr>
          <w:sz w:val="18"/>
          <w:szCs w:val="20"/>
          <w:rtl/>
        </w:rPr>
        <w:t xml:space="preserve">סקירת הספרות, </w:t>
      </w:r>
      <w:r w:rsidRPr="00EA3DC8">
        <w:rPr>
          <w:rFonts w:hint="cs"/>
          <w:sz w:val="18"/>
          <w:szCs w:val="20"/>
          <w:rtl/>
        </w:rPr>
        <w:t>ש</w:t>
      </w:r>
      <w:r w:rsidRPr="00EA3DC8">
        <w:rPr>
          <w:sz w:val="18"/>
          <w:szCs w:val="20"/>
          <w:rtl/>
        </w:rPr>
        <w:t xml:space="preserve">ממנה עולה כי מרבית האנשים </w:t>
      </w:r>
      <w:r w:rsidRPr="00EA3DC8">
        <w:rPr>
          <w:rFonts w:hint="cs"/>
          <w:sz w:val="18"/>
          <w:szCs w:val="20"/>
          <w:rtl/>
        </w:rPr>
        <w:t>ה</w:t>
      </w:r>
      <w:r w:rsidRPr="00EA3DC8">
        <w:rPr>
          <w:sz w:val="18"/>
          <w:szCs w:val="20"/>
          <w:rtl/>
        </w:rPr>
        <w:t>חיים בעוני חווים תקופות חוזרות ונשנות של אבטלה</w:t>
      </w:r>
      <w:r w:rsidRPr="00EA3DC8">
        <w:rPr>
          <w:rFonts w:hint="cs"/>
          <w:sz w:val="18"/>
          <w:szCs w:val="20"/>
          <w:rtl/>
        </w:rPr>
        <w:t>,</w:t>
      </w:r>
      <w:r w:rsidRPr="00EA3DC8">
        <w:rPr>
          <w:sz w:val="18"/>
          <w:szCs w:val="20"/>
          <w:rtl/>
        </w:rPr>
        <w:t xml:space="preserve"> וכי הדפוס השכיח בקרבם הוא תעסוקה לא יציבה (</w:t>
      </w:r>
      <w:proofErr w:type="spellStart"/>
      <w:r w:rsidRPr="00EA3DC8">
        <w:rPr>
          <w:sz w:val="18"/>
          <w:szCs w:val="20"/>
        </w:rPr>
        <w:t>Achdut</w:t>
      </w:r>
      <w:proofErr w:type="spellEnd"/>
      <w:r w:rsidRPr="00EA3DC8">
        <w:rPr>
          <w:sz w:val="18"/>
          <w:szCs w:val="20"/>
        </w:rPr>
        <w:t xml:space="preserve"> &amp; Stier, 2016; Collins &amp; Mayer, 2010</w:t>
      </w:r>
      <w:r w:rsidRPr="00EA3DC8">
        <w:rPr>
          <w:sz w:val="18"/>
          <w:szCs w:val="20"/>
          <w:shd w:val="clear" w:color="auto" w:fill="FFFFFF"/>
        </w:rPr>
        <w:t>; Danziger et al., 2016</w:t>
      </w:r>
      <w:r w:rsidRPr="00EA3DC8">
        <w:rPr>
          <w:sz w:val="18"/>
          <w:szCs w:val="20"/>
        </w:rPr>
        <w:t xml:space="preserve">; </w:t>
      </w:r>
      <w:r w:rsidRPr="00EA3DC8">
        <w:rPr>
          <w:sz w:val="18"/>
          <w:szCs w:val="20"/>
          <w:shd w:val="clear" w:color="auto" w:fill="FFFFFF"/>
        </w:rPr>
        <w:t>Wood et al</w:t>
      </w:r>
      <w:r w:rsidRPr="00EA3DC8">
        <w:rPr>
          <w:sz w:val="18"/>
          <w:szCs w:val="20"/>
        </w:rPr>
        <w:t>., 2008; Wu et al., 2008</w:t>
      </w:r>
      <w:r w:rsidRPr="00EA3DC8">
        <w:rPr>
          <w:sz w:val="18"/>
          <w:szCs w:val="20"/>
          <w:rtl/>
        </w:rPr>
        <w:t>).</w:t>
      </w:r>
    </w:p>
    <w:p w14:paraId="720DECFC" w14:textId="77777777" w:rsidR="00926914" w:rsidRPr="00EA3DC8" w:rsidRDefault="00926914" w:rsidP="00EA3DC8">
      <w:pPr>
        <w:spacing w:after="180" w:line="280" w:lineRule="exact"/>
        <w:jc w:val="both"/>
        <w:rPr>
          <w:sz w:val="18"/>
          <w:szCs w:val="20"/>
          <w:rtl/>
        </w:rPr>
      </w:pPr>
      <w:r w:rsidRPr="00EA3DC8">
        <w:rPr>
          <w:b/>
          <w:bCs/>
          <w:sz w:val="18"/>
          <w:szCs w:val="20"/>
          <w:rtl/>
        </w:rPr>
        <w:t xml:space="preserve">השערה 2. </w:t>
      </w:r>
      <w:r w:rsidRPr="00EA3DC8">
        <w:rPr>
          <w:sz w:val="18"/>
          <w:szCs w:val="20"/>
          <w:rtl/>
        </w:rPr>
        <w:t xml:space="preserve">יימצא קשר בין המאפיינים האישיים של המשתתפים לבין מידת השתתפותם בשוק העבודה בחמש השנים שקדמו להשתתפותם במחקר; המשתנים שינבאו השתתפות </w:t>
      </w:r>
      <w:r w:rsidRPr="00EA3DC8">
        <w:rPr>
          <w:rFonts w:hint="cs"/>
          <w:sz w:val="18"/>
          <w:szCs w:val="20"/>
          <w:rtl/>
        </w:rPr>
        <w:lastRenderedPageBreak/>
        <w:t>רבה יותר</w:t>
      </w:r>
      <w:r w:rsidRPr="00EA3DC8">
        <w:rPr>
          <w:sz w:val="18"/>
          <w:szCs w:val="20"/>
          <w:rtl/>
        </w:rPr>
        <w:t xml:space="preserve"> הם הון אנושי (שנות לימוד והכשרה מקצועית); מצב בריאות טוב יותר; </w:t>
      </w:r>
      <w:r w:rsidRPr="00EA3DC8">
        <w:rPr>
          <w:rFonts w:hint="cs"/>
          <w:sz w:val="18"/>
          <w:szCs w:val="20"/>
          <w:rtl/>
        </w:rPr>
        <w:t>מספר מועט יותר של</w:t>
      </w:r>
      <w:r w:rsidRPr="00EA3DC8">
        <w:rPr>
          <w:sz w:val="18"/>
          <w:szCs w:val="20"/>
          <w:rtl/>
        </w:rPr>
        <w:t xml:space="preserve"> ילדים; גיל מבוגר יותר; </w:t>
      </w:r>
      <w:r w:rsidRPr="00EA3DC8">
        <w:rPr>
          <w:rFonts w:hint="cs"/>
          <w:sz w:val="18"/>
          <w:szCs w:val="20"/>
          <w:rtl/>
        </w:rPr>
        <w:t>מצב</w:t>
      </w:r>
      <w:r w:rsidRPr="00EA3DC8">
        <w:rPr>
          <w:sz w:val="18"/>
          <w:szCs w:val="20"/>
          <w:rtl/>
        </w:rPr>
        <w:t xml:space="preserve"> משפחתי שלא בזוגיות; מקום לידה לא בישראל</w:t>
      </w:r>
      <w:r w:rsidRPr="00EA3DC8">
        <w:rPr>
          <w:rFonts w:hint="cs"/>
          <w:sz w:val="18"/>
          <w:szCs w:val="20"/>
          <w:rtl/>
        </w:rPr>
        <w:t>;</w:t>
      </w:r>
      <w:r w:rsidRPr="00EA3DC8">
        <w:rPr>
          <w:sz w:val="18"/>
          <w:szCs w:val="20"/>
          <w:rtl/>
        </w:rPr>
        <w:t xml:space="preserve"> היעדר מצוקה בין-דורית. השערה זו נתמכת </w:t>
      </w:r>
      <w:r w:rsidRPr="00EA3DC8">
        <w:rPr>
          <w:rFonts w:hint="cs"/>
          <w:sz w:val="18"/>
          <w:szCs w:val="20"/>
          <w:rtl/>
        </w:rPr>
        <w:t>ב</w:t>
      </w:r>
      <w:r w:rsidRPr="00EA3DC8">
        <w:rPr>
          <w:sz w:val="18"/>
          <w:szCs w:val="20"/>
          <w:rtl/>
        </w:rPr>
        <w:t xml:space="preserve">סקירת הספרות, </w:t>
      </w:r>
      <w:r w:rsidRPr="00EA3DC8">
        <w:rPr>
          <w:rFonts w:hint="cs"/>
          <w:sz w:val="18"/>
          <w:szCs w:val="20"/>
          <w:rtl/>
        </w:rPr>
        <w:t>ש</w:t>
      </w:r>
      <w:r w:rsidRPr="00EA3DC8">
        <w:rPr>
          <w:sz w:val="18"/>
          <w:szCs w:val="20"/>
          <w:rtl/>
        </w:rPr>
        <w:t xml:space="preserve">ממנה עולה כי חסמים אישיים אלו מקשים </w:t>
      </w:r>
      <w:r w:rsidRPr="00EA3DC8">
        <w:rPr>
          <w:rFonts w:hint="cs"/>
          <w:sz w:val="18"/>
          <w:szCs w:val="20"/>
          <w:rtl/>
        </w:rPr>
        <w:t xml:space="preserve">על </w:t>
      </w:r>
      <w:r w:rsidRPr="00EA3DC8">
        <w:rPr>
          <w:sz w:val="18"/>
          <w:szCs w:val="20"/>
          <w:rtl/>
        </w:rPr>
        <w:t xml:space="preserve">אנשים </w:t>
      </w:r>
      <w:r w:rsidRPr="00EA3DC8">
        <w:rPr>
          <w:rFonts w:hint="cs"/>
          <w:sz w:val="18"/>
          <w:szCs w:val="20"/>
          <w:rtl/>
        </w:rPr>
        <w:t>ה</w:t>
      </w:r>
      <w:r w:rsidRPr="00EA3DC8">
        <w:rPr>
          <w:sz w:val="18"/>
          <w:szCs w:val="20"/>
          <w:rtl/>
        </w:rPr>
        <w:t xml:space="preserve">חיים </w:t>
      </w:r>
      <w:r w:rsidRPr="00EA3DC8">
        <w:rPr>
          <w:rFonts w:hint="cs"/>
          <w:sz w:val="18"/>
          <w:szCs w:val="20"/>
          <w:rtl/>
        </w:rPr>
        <w:t xml:space="preserve">בעוני להשתלב </w:t>
      </w:r>
      <w:r w:rsidRPr="00EA3DC8">
        <w:rPr>
          <w:sz w:val="18"/>
          <w:szCs w:val="20"/>
          <w:rtl/>
        </w:rPr>
        <w:t>בשוק העבודה (</w:t>
      </w:r>
      <w:proofErr w:type="spellStart"/>
      <w:r w:rsidRPr="00EA3DC8">
        <w:rPr>
          <w:sz w:val="18"/>
          <w:szCs w:val="20"/>
          <w:shd w:val="clear" w:color="auto" w:fill="FFFFFF"/>
        </w:rPr>
        <w:t>Berloffa</w:t>
      </w:r>
      <w:proofErr w:type="spellEnd"/>
      <w:r w:rsidRPr="00EA3DC8">
        <w:rPr>
          <w:sz w:val="18"/>
          <w:szCs w:val="20"/>
          <w:shd w:val="clear" w:color="auto" w:fill="FFFFFF"/>
        </w:rPr>
        <w:t xml:space="preserve"> et al., 2016; Wood et al</w:t>
      </w:r>
      <w:r w:rsidRPr="00EA3DC8">
        <w:rPr>
          <w:sz w:val="18"/>
          <w:szCs w:val="20"/>
        </w:rPr>
        <w:t>., 2008</w:t>
      </w:r>
      <w:r w:rsidRPr="00EA3DC8">
        <w:rPr>
          <w:sz w:val="18"/>
          <w:szCs w:val="20"/>
          <w:rtl/>
        </w:rPr>
        <w:t xml:space="preserve">). </w:t>
      </w:r>
    </w:p>
    <w:p w14:paraId="1B49751D" w14:textId="31DC11FE" w:rsidR="00926914" w:rsidRPr="00EA3DC8" w:rsidRDefault="00926914" w:rsidP="00123E20">
      <w:pPr>
        <w:spacing w:after="180" w:line="280" w:lineRule="exact"/>
        <w:jc w:val="both"/>
        <w:rPr>
          <w:sz w:val="18"/>
          <w:szCs w:val="20"/>
          <w:rtl/>
        </w:rPr>
      </w:pPr>
      <w:r w:rsidRPr="00EA3DC8">
        <w:rPr>
          <w:b/>
          <w:bCs/>
          <w:sz w:val="18"/>
          <w:szCs w:val="20"/>
          <w:rtl/>
        </w:rPr>
        <w:t>השערה 3.</w:t>
      </w:r>
      <w:r w:rsidRPr="00EA3DC8">
        <w:rPr>
          <w:sz w:val="18"/>
          <w:szCs w:val="20"/>
          <w:rtl/>
        </w:rPr>
        <w:t xml:space="preserve"> יימצא קשר בין מאפיינים אישיים של המשתתפים לבין מספר שעות </w:t>
      </w:r>
      <w:r w:rsidRPr="00EA3DC8">
        <w:rPr>
          <w:rFonts w:hint="cs"/>
          <w:sz w:val="18"/>
          <w:szCs w:val="20"/>
          <w:rtl/>
        </w:rPr>
        <w:t>ה</w:t>
      </w:r>
      <w:r w:rsidRPr="00EA3DC8">
        <w:rPr>
          <w:sz w:val="18"/>
          <w:szCs w:val="20"/>
          <w:rtl/>
        </w:rPr>
        <w:t>עבוד</w:t>
      </w:r>
      <w:r w:rsidRPr="00EA3DC8">
        <w:rPr>
          <w:rFonts w:hint="cs"/>
          <w:sz w:val="18"/>
          <w:szCs w:val="20"/>
          <w:rtl/>
        </w:rPr>
        <w:t>ה השבועיות שלהם</w:t>
      </w:r>
      <w:r w:rsidRPr="00EA3DC8">
        <w:rPr>
          <w:sz w:val="18"/>
          <w:szCs w:val="20"/>
          <w:rtl/>
        </w:rPr>
        <w:t xml:space="preserve">; משתתפים בעלי הון אנושי </w:t>
      </w:r>
      <w:r w:rsidRPr="00EA3DC8">
        <w:rPr>
          <w:rFonts w:hint="cs"/>
          <w:sz w:val="18"/>
          <w:szCs w:val="20"/>
          <w:rtl/>
        </w:rPr>
        <w:t>רב</w:t>
      </w:r>
      <w:r w:rsidRPr="00EA3DC8">
        <w:rPr>
          <w:sz w:val="18"/>
          <w:szCs w:val="20"/>
          <w:rtl/>
        </w:rPr>
        <w:t xml:space="preserve"> יותר</w:t>
      </w:r>
      <w:r w:rsidRPr="00EA3DC8">
        <w:rPr>
          <w:rFonts w:hint="cs"/>
          <w:sz w:val="18"/>
          <w:szCs w:val="20"/>
          <w:rtl/>
        </w:rPr>
        <w:t>,</w:t>
      </w:r>
      <w:r w:rsidRPr="00EA3DC8">
        <w:rPr>
          <w:sz w:val="18"/>
          <w:szCs w:val="20"/>
          <w:rtl/>
        </w:rPr>
        <w:t xml:space="preserve"> שגילם מבוגר יותר וחיים בזוגיות</w:t>
      </w:r>
      <w:r w:rsidRPr="00EA3DC8">
        <w:rPr>
          <w:rFonts w:hint="cs"/>
          <w:sz w:val="18"/>
          <w:szCs w:val="20"/>
          <w:rtl/>
        </w:rPr>
        <w:t>,</w:t>
      </w:r>
      <w:r w:rsidRPr="00EA3DC8">
        <w:rPr>
          <w:sz w:val="18"/>
          <w:szCs w:val="20"/>
          <w:rtl/>
        </w:rPr>
        <w:t xml:space="preserve"> יעבדו שעות </w:t>
      </w:r>
      <w:r w:rsidRPr="00EA3DC8">
        <w:rPr>
          <w:rFonts w:hint="cs"/>
          <w:sz w:val="18"/>
          <w:szCs w:val="20"/>
          <w:rtl/>
        </w:rPr>
        <w:t xml:space="preserve">רבות יותר </w:t>
      </w:r>
      <w:r w:rsidRPr="00EA3DC8">
        <w:rPr>
          <w:sz w:val="18"/>
          <w:szCs w:val="20"/>
          <w:rtl/>
        </w:rPr>
        <w:t xml:space="preserve">בשבוע. השערה זו נתמכת </w:t>
      </w:r>
      <w:r w:rsidRPr="00EA3DC8">
        <w:rPr>
          <w:rFonts w:hint="cs"/>
          <w:sz w:val="18"/>
          <w:szCs w:val="20"/>
          <w:rtl/>
        </w:rPr>
        <w:t>ב</w:t>
      </w:r>
      <w:r w:rsidRPr="00EA3DC8">
        <w:rPr>
          <w:sz w:val="18"/>
          <w:szCs w:val="20"/>
          <w:rtl/>
        </w:rPr>
        <w:t xml:space="preserve">סקירת הספרות, </w:t>
      </w:r>
      <w:r w:rsidRPr="00EA3DC8">
        <w:rPr>
          <w:rFonts w:hint="cs"/>
          <w:sz w:val="18"/>
          <w:szCs w:val="20"/>
          <w:rtl/>
        </w:rPr>
        <w:t>ש</w:t>
      </w:r>
      <w:r w:rsidRPr="00EA3DC8">
        <w:rPr>
          <w:sz w:val="18"/>
          <w:szCs w:val="20"/>
          <w:rtl/>
        </w:rPr>
        <w:t xml:space="preserve">ממנה עולה כי מאפיינים אישיים אלו </w:t>
      </w:r>
      <w:r w:rsidRPr="00EA3DC8">
        <w:rPr>
          <w:rFonts w:hint="cs"/>
          <w:sz w:val="18"/>
          <w:szCs w:val="20"/>
          <w:rtl/>
        </w:rPr>
        <w:t>מסבירים את</w:t>
      </w:r>
      <w:r w:rsidRPr="00EA3DC8">
        <w:rPr>
          <w:sz w:val="18"/>
          <w:szCs w:val="20"/>
          <w:rtl/>
        </w:rPr>
        <w:t xml:space="preserve"> היקף העבודה של אנשים שחיים בעוני (</w:t>
      </w:r>
      <w:proofErr w:type="spellStart"/>
      <w:r w:rsidRPr="00EA3DC8">
        <w:rPr>
          <w:sz w:val="18"/>
          <w:szCs w:val="20"/>
        </w:rPr>
        <w:t>Achdut</w:t>
      </w:r>
      <w:proofErr w:type="spellEnd"/>
      <w:r w:rsidRPr="00EA3DC8">
        <w:rPr>
          <w:sz w:val="18"/>
          <w:szCs w:val="20"/>
        </w:rPr>
        <w:t xml:space="preserve"> &amp; Stier, 2016</w:t>
      </w:r>
      <w:r w:rsidRPr="00EA3DC8">
        <w:rPr>
          <w:sz w:val="18"/>
          <w:szCs w:val="20"/>
          <w:shd w:val="clear" w:color="auto" w:fill="FFFFFF"/>
        </w:rPr>
        <w:t xml:space="preserve">; </w:t>
      </w:r>
      <w:proofErr w:type="spellStart"/>
      <w:r w:rsidRPr="00EA3DC8">
        <w:rPr>
          <w:sz w:val="18"/>
          <w:szCs w:val="20"/>
          <w:shd w:val="clear" w:color="auto" w:fill="FFFFFF"/>
        </w:rPr>
        <w:t>Horemans</w:t>
      </w:r>
      <w:proofErr w:type="spellEnd"/>
      <w:r w:rsidRPr="00EA3DC8">
        <w:rPr>
          <w:sz w:val="18"/>
          <w:szCs w:val="20"/>
          <w:shd w:val="clear" w:color="auto" w:fill="FFFFFF"/>
        </w:rPr>
        <w:t>, 2016</w:t>
      </w:r>
      <w:r w:rsidRPr="00EA3DC8">
        <w:rPr>
          <w:sz w:val="18"/>
          <w:szCs w:val="20"/>
          <w:rtl/>
        </w:rPr>
        <w:t xml:space="preserve">). </w:t>
      </w:r>
    </w:p>
    <w:p w14:paraId="6C1E8CDC" w14:textId="1115DD8D" w:rsidR="00926914" w:rsidRDefault="00926914" w:rsidP="00EA3DC8">
      <w:pPr>
        <w:spacing w:after="180" w:line="280" w:lineRule="exact"/>
        <w:jc w:val="both"/>
        <w:rPr>
          <w:sz w:val="18"/>
          <w:szCs w:val="20"/>
          <w:rtl/>
        </w:rPr>
      </w:pPr>
    </w:p>
    <w:p w14:paraId="0EE11203" w14:textId="77777777" w:rsidR="00F4272C" w:rsidRPr="00EA3DC8" w:rsidRDefault="00F4272C" w:rsidP="00EA3DC8">
      <w:pPr>
        <w:spacing w:after="180" w:line="280" w:lineRule="exact"/>
        <w:jc w:val="both"/>
        <w:rPr>
          <w:sz w:val="18"/>
          <w:szCs w:val="20"/>
          <w:rtl/>
        </w:rPr>
      </w:pPr>
    </w:p>
    <w:p w14:paraId="6B0EBE05" w14:textId="55373DE3" w:rsidR="00926914" w:rsidRPr="00926914" w:rsidRDefault="00926914" w:rsidP="00EA3DC8">
      <w:pPr>
        <w:pStyle w:val="KOT4"/>
        <w:spacing w:after="0"/>
        <w:ind w:left="397" w:right="0" w:hanging="397"/>
        <w:rPr>
          <w:rFonts w:cs="Guttman Aharoni"/>
          <w:color w:val="00B0F0"/>
          <w:sz w:val="32"/>
          <w:szCs w:val="32"/>
          <w:rtl/>
        </w:rPr>
      </w:pPr>
      <w:bookmarkStart w:id="12" w:name="_Toc76380488"/>
      <w:r w:rsidRPr="00926914">
        <w:rPr>
          <w:rFonts w:cs="Guttman Aharoni" w:hint="cs"/>
          <w:color w:val="00B0F0"/>
          <w:sz w:val="32"/>
          <w:szCs w:val="32"/>
          <w:rtl/>
        </w:rPr>
        <w:t>4. ה</w:t>
      </w:r>
      <w:r w:rsidRPr="00926914">
        <w:rPr>
          <w:rFonts w:cs="Guttman Aharoni"/>
          <w:color w:val="00B0F0"/>
          <w:sz w:val="32"/>
          <w:szCs w:val="32"/>
          <w:rtl/>
        </w:rPr>
        <w:t>שיטה</w:t>
      </w:r>
      <w:bookmarkEnd w:id="12"/>
      <w:r w:rsidRPr="00926914">
        <w:rPr>
          <w:rFonts w:cs="Guttman Aharoni"/>
          <w:color w:val="00B0F0"/>
          <w:sz w:val="32"/>
          <w:szCs w:val="32"/>
          <w:rtl/>
        </w:rPr>
        <w:t xml:space="preserve"> </w:t>
      </w:r>
    </w:p>
    <w:p w14:paraId="6B37CFF6" w14:textId="77777777" w:rsidR="009F4991" w:rsidRPr="00D73C8D" w:rsidRDefault="009F4991" w:rsidP="009F4991">
      <w:pPr>
        <w:keepNext/>
        <w:keepLines/>
        <w:spacing w:after="180" w:line="280" w:lineRule="exact"/>
        <w:jc w:val="both"/>
        <w:rPr>
          <w:sz w:val="18"/>
          <w:szCs w:val="20"/>
        </w:rPr>
      </w:pPr>
      <w:bookmarkStart w:id="13" w:name="_Toc76380489"/>
    </w:p>
    <w:p w14:paraId="2F9CA773" w14:textId="466D5389" w:rsidR="00926914" w:rsidRPr="00926914" w:rsidRDefault="00926914" w:rsidP="00EA3DC8">
      <w:pPr>
        <w:pStyle w:val="KOT5"/>
        <w:spacing w:after="0"/>
        <w:ind w:right="0"/>
        <w:rPr>
          <w:rFonts w:cs="Guttman Aharoni"/>
          <w:color w:val="00B0F0"/>
          <w:rtl/>
        </w:rPr>
      </w:pPr>
      <w:r w:rsidRPr="00926914">
        <w:rPr>
          <w:rFonts w:cs="Guttman Aharoni"/>
          <w:color w:val="00B0F0"/>
          <w:rtl/>
        </w:rPr>
        <w:t>אוכלוסייה ומדגם</w:t>
      </w:r>
      <w:bookmarkEnd w:id="13"/>
      <w:r w:rsidRPr="00926914">
        <w:rPr>
          <w:rFonts w:cs="Guttman Aharoni"/>
          <w:color w:val="00B0F0"/>
          <w:rtl/>
        </w:rPr>
        <w:t xml:space="preserve"> </w:t>
      </w:r>
    </w:p>
    <w:p w14:paraId="27D0B454" w14:textId="77777777" w:rsidR="00926914" w:rsidRPr="00EA3DC8" w:rsidRDefault="00926914" w:rsidP="00EA3DC8">
      <w:pPr>
        <w:spacing w:after="180" w:line="280" w:lineRule="exact"/>
        <w:jc w:val="both"/>
        <w:rPr>
          <w:sz w:val="18"/>
          <w:szCs w:val="20"/>
          <w:rtl/>
        </w:rPr>
      </w:pPr>
      <w:r w:rsidRPr="00EA3DC8">
        <w:rPr>
          <w:sz w:val="18"/>
          <w:szCs w:val="20"/>
          <w:rtl/>
        </w:rPr>
        <w:t>אוכלוסיית המחקר היא אנשים בגילי</w:t>
      </w:r>
      <w:r w:rsidRPr="00EA3DC8">
        <w:rPr>
          <w:rFonts w:hint="cs"/>
          <w:sz w:val="18"/>
          <w:szCs w:val="20"/>
          <w:rtl/>
        </w:rPr>
        <w:t>ם 25</w:t>
      </w:r>
      <w:r w:rsidRPr="00EA3DC8">
        <w:rPr>
          <w:sz w:val="18"/>
          <w:szCs w:val="20"/>
          <w:rtl/>
        </w:rPr>
        <w:t>–</w:t>
      </w:r>
      <w:r w:rsidRPr="00EA3DC8">
        <w:rPr>
          <w:rFonts w:hint="cs"/>
          <w:sz w:val="18"/>
          <w:szCs w:val="20"/>
          <w:rtl/>
        </w:rPr>
        <w:t xml:space="preserve">50 </w:t>
      </w:r>
      <w:r w:rsidRPr="00EA3DC8">
        <w:rPr>
          <w:sz w:val="18"/>
          <w:szCs w:val="20"/>
          <w:rtl/>
        </w:rPr>
        <w:t>החיים במשקי בית עניים ומטופלים במחלקות לשירותים חברתיים במסגרת הטיפול הסוציאלי</w:t>
      </w:r>
      <w:r w:rsidRPr="00EA3DC8">
        <w:rPr>
          <w:rFonts w:hint="cs"/>
          <w:sz w:val="18"/>
          <w:szCs w:val="20"/>
          <w:rtl/>
        </w:rPr>
        <w:t xml:space="preserve">. קריטריון ההכללה במדגם היה שההכנסה הכוללת של משק הבית שהפרט חי בו נמוכה מקו העוני, לפי מספר הנפשות במשפחה בנקודת המדידה הראשונה </w:t>
      </w:r>
      <w:r w:rsidRPr="00EA3DC8">
        <w:rPr>
          <w:sz w:val="18"/>
          <w:szCs w:val="20"/>
          <w:rtl/>
        </w:rPr>
        <w:t>(</w:t>
      </w:r>
      <w:proofErr w:type="spellStart"/>
      <w:r w:rsidRPr="00EA3DC8">
        <w:rPr>
          <w:sz w:val="18"/>
          <w:szCs w:val="20"/>
          <w:rtl/>
        </w:rPr>
        <w:t>אנדלבד</w:t>
      </w:r>
      <w:proofErr w:type="spellEnd"/>
      <w:r w:rsidRPr="00EA3DC8">
        <w:rPr>
          <w:rFonts w:hint="cs"/>
          <w:sz w:val="18"/>
          <w:szCs w:val="20"/>
          <w:rtl/>
        </w:rPr>
        <w:t xml:space="preserve"> ואחרים, 2017). </w:t>
      </w:r>
    </w:p>
    <w:p w14:paraId="0CA2D448" w14:textId="77777777" w:rsidR="00926914" w:rsidRPr="00EA3DC8" w:rsidRDefault="00926914" w:rsidP="00EA3DC8">
      <w:pPr>
        <w:spacing w:after="180" w:line="280" w:lineRule="exact"/>
        <w:jc w:val="both"/>
        <w:rPr>
          <w:b/>
          <w:bCs/>
          <w:sz w:val="18"/>
          <w:szCs w:val="20"/>
          <w:rtl/>
        </w:rPr>
      </w:pPr>
    </w:p>
    <w:p w14:paraId="5DB698DC" w14:textId="1F3852BC" w:rsidR="00926914" w:rsidRPr="00926914" w:rsidRDefault="00926914" w:rsidP="00EA3DC8">
      <w:pPr>
        <w:pStyle w:val="KOT5"/>
        <w:spacing w:after="0"/>
        <w:ind w:right="0"/>
        <w:rPr>
          <w:rFonts w:cs="Guttman Aharoni"/>
          <w:color w:val="00B0F0"/>
          <w:rtl/>
        </w:rPr>
      </w:pPr>
      <w:bookmarkStart w:id="14" w:name="_Toc76380490"/>
      <w:r w:rsidRPr="00926914">
        <w:rPr>
          <w:rFonts w:cs="Guttman Aharoni"/>
          <w:color w:val="00B0F0"/>
          <w:rtl/>
        </w:rPr>
        <w:t>הליך ומערך המחקר</w:t>
      </w:r>
      <w:bookmarkEnd w:id="14"/>
      <w:r w:rsidRPr="00926914">
        <w:rPr>
          <w:rFonts w:cs="Guttman Aharoni"/>
          <w:color w:val="00B0F0"/>
          <w:rtl/>
        </w:rPr>
        <w:t xml:space="preserve"> </w:t>
      </w:r>
    </w:p>
    <w:p w14:paraId="41130D6F" w14:textId="031C2BA6" w:rsidR="00926914" w:rsidRPr="00EA3DC8" w:rsidRDefault="00926914" w:rsidP="00123E20">
      <w:pPr>
        <w:spacing w:after="180" w:line="280" w:lineRule="exact"/>
        <w:jc w:val="both"/>
        <w:rPr>
          <w:sz w:val="18"/>
          <w:szCs w:val="20"/>
          <w:rtl/>
        </w:rPr>
      </w:pPr>
      <w:r w:rsidRPr="00EA3DC8">
        <w:rPr>
          <w:sz w:val="18"/>
          <w:szCs w:val="20"/>
          <w:rtl/>
        </w:rPr>
        <w:t xml:space="preserve">כדי לענות על שאלות המחקר הללו השתמשנו בשיטת מחקר משולבת, כמותנית ואיכותנית, ובחנו את מצבם של מקבלי </w:t>
      </w:r>
      <w:r w:rsidRPr="00EA3DC8">
        <w:rPr>
          <w:rFonts w:hint="cs"/>
          <w:sz w:val="18"/>
          <w:szCs w:val="20"/>
          <w:rtl/>
        </w:rPr>
        <w:t>ה</w:t>
      </w:r>
      <w:r w:rsidRPr="00EA3DC8">
        <w:rPr>
          <w:sz w:val="18"/>
          <w:szCs w:val="20"/>
          <w:rtl/>
        </w:rPr>
        <w:t xml:space="preserve">שירות </w:t>
      </w:r>
      <w:r w:rsidRPr="00EA3DC8">
        <w:rPr>
          <w:rFonts w:hint="cs"/>
          <w:sz w:val="18"/>
          <w:szCs w:val="20"/>
          <w:rtl/>
        </w:rPr>
        <w:t>ב</w:t>
      </w:r>
      <w:r w:rsidRPr="00EA3DC8">
        <w:rPr>
          <w:sz w:val="18"/>
          <w:szCs w:val="20"/>
          <w:rtl/>
        </w:rPr>
        <w:t xml:space="preserve">מחלקות לשירותים חברתיים בשתי נקודות זמן </w:t>
      </w:r>
      <w:r w:rsidRPr="00EA3DC8">
        <w:rPr>
          <w:rFonts w:hint="cs"/>
          <w:sz w:val="18"/>
          <w:szCs w:val="20"/>
          <w:rtl/>
        </w:rPr>
        <w:t xml:space="preserve">שנבחרו </w:t>
      </w:r>
      <w:r w:rsidRPr="00EA3DC8">
        <w:rPr>
          <w:sz w:val="18"/>
          <w:szCs w:val="20"/>
          <w:rtl/>
        </w:rPr>
        <w:t>באופן מקרי: בחודשים יוני–אוקטובר 2016 וכשנה לאחר מכן, בחודשים יוני–נובמבר</w:t>
      </w:r>
      <w:r w:rsidRPr="00EA3DC8" w:rsidDel="009424E0">
        <w:rPr>
          <w:sz w:val="18"/>
          <w:szCs w:val="20"/>
          <w:rtl/>
        </w:rPr>
        <w:t xml:space="preserve"> </w:t>
      </w:r>
      <w:r w:rsidRPr="00EA3DC8">
        <w:rPr>
          <w:sz w:val="18"/>
          <w:szCs w:val="20"/>
          <w:rtl/>
        </w:rPr>
        <w:t xml:space="preserve">2017. </w:t>
      </w:r>
      <w:r w:rsidRPr="00EA3DC8">
        <w:rPr>
          <w:rFonts w:hint="cs"/>
          <w:sz w:val="18"/>
          <w:szCs w:val="20"/>
          <w:rtl/>
        </w:rPr>
        <w:t xml:space="preserve">בשל </w:t>
      </w:r>
      <w:r w:rsidRPr="00EA3DC8">
        <w:rPr>
          <w:sz w:val="18"/>
          <w:szCs w:val="20"/>
          <w:rtl/>
        </w:rPr>
        <w:t>מאפייני האוכלוסייה והקושי לגייסה להשתתפות במחקר השתמשנו בדגימת נוחות</w:t>
      </w:r>
      <w:r w:rsidRPr="00EA3DC8">
        <w:rPr>
          <w:rFonts w:hint="cs"/>
          <w:sz w:val="18"/>
          <w:szCs w:val="20"/>
          <w:rtl/>
        </w:rPr>
        <w:t>.</w:t>
      </w:r>
      <w:r w:rsidRPr="00EA3DC8">
        <w:rPr>
          <w:sz w:val="18"/>
          <w:szCs w:val="20"/>
          <w:rtl/>
        </w:rPr>
        <w:t xml:space="preserve"> פנינו ל-11 מחלקות לשירותים חברתיים</w:t>
      </w:r>
      <w:r w:rsidRPr="00EA3DC8">
        <w:rPr>
          <w:rFonts w:hint="cs"/>
          <w:sz w:val="18"/>
          <w:szCs w:val="20"/>
          <w:rtl/>
        </w:rPr>
        <w:t>,</w:t>
      </w:r>
      <w:r w:rsidRPr="00EA3DC8">
        <w:rPr>
          <w:sz w:val="18"/>
          <w:szCs w:val="20"/>
          <w:rtl/>
        </w:rPr>
        <w:t xml:space="preserve"> מערים גדולות ומיישובים בינוניים וקטנים. </w:t>
      </w:r>
      <w:r w:rsidRPr="00EA3DC8">
        <w:rPr>
          <w:rFonts w:hint="cs"/>
          <w:sz w:val="18"/>
          <w:szCs w:val="20"/>
          <w:rtl/>
        </w:rPr>
        <w:t>העובדות הסוציאליות</w:t>
      </w:r>
      <w:r w:rsidRPr="00EA3DC8">
        <w:rPr>
          <w:sz w:val="18"/>
          <w:szCs w:val="20"/>
          <w:rtl/>
        </w:rPr>
        <w:t xml:space="preserve"> באותן מחלקות לשירותים חברתיים סיפרו למקבלי השירות החיים בעוני על המחקר וביקשו את רשותם להעביר אלינו את שמותיהם. </w:t>
      </w:r>
      <w:r w:rsidRPr="00EA3DC8">
        <w:rPr>
          <w:rFonts w:hint="cs"/>
          <w:sz w:val="18"/>
          <w:szCs w:val="20"/>
          <w:rtl/>
        </w:rPr>
        <w:t xml:space="preserve">את </w:t>
      </w:r>
      <w:r w:rsidRPr="00EA3DC8">
        <w:rPr>
          <w:sz w:val="18"/>
          <w:szCs w:val="20"/>
          <w:rtl/>
        </w:rPr>
        <w:t xml:space="preserve">פרטי התקשורת </w:t>
      </w:r>
      <w:r w:rsidRPr="00EA3DC8">
        <w:rPr>
          <w:rFonts w:hint="cs"/>
          <w:sz w:val="18"/>
          <w:szCs w:val="20"/>
          <w:rtl/>
        </w:rPr>
        <w:t xml:space="preserve">קיבלו </w:t>
      </w:r>
      <w:r w:rsidRPr="00EA3DC8">
        <w:rPr>
          <w:sz w:val="18"/>
          <w:szCs w:val="20"/>
          <w:rtl/>
        </w:rPr>
        <w:t>50 עובדות סוציאליות עבור 250 מקבלי השירות (כל עובדת סוציאלית העבירה שמות של</w:t>
      </w:r>
      <w:r w:rsidRPr="00EA3DC8">
        <w:rPr>
          <w:rFonts w:hint="cs"/>
          <w:sz w:val="18"/>
          <w:szCs w:val="20"/>
          <w:rtl/>
        </w:rPr>
        <w:t xml:space="preserve"> 1</w:t>
      </w:r>
      <w:r w:rsidRPr="00EA3DC8">
        <w:rPr>
          <w:sz w:val="18"/>
          <w:szCs w:val="20"/>
          <w:rtl/>
        </w:rPr>
        <w:t>–</w:t>
      </w:r>
      <w:r w:rsidRPr="00EA3DC8">
        <w:rPr>
          <w:rFonts w:hint="cs"/>
          <w:sz w:val="18"/>
          <w:szCs w:val="20"/>
          <w:rtl/>
        </w:rPr>
        <w:t>10</w:t>
      </w:r>
      <w:r w:rsidRPr="00EA3DC8">
        <w:rPr>
          <w:sz w:val="18"/>
          <w:szCs w:val="20"/>
          <w:rtl/>
        </w:rPr>
        <w:t xml:space="preserve"> מקבלי שירות)</w:t>
      </w:r>
      <w:r w:rsidRPr="00EA3DC8">
        <w:rPr>
          <w:rFonts w:hint="cs"/>
          <w:sz w:val="18"/>
          <w:szCs w:val="20"/>
          <w:rtl/>
        </w:rPr>
        <w:t>.</w:t>
      </w:r>
      <w:r w:rsidRPr="00EA3DC8">
        <w:rPr>
          <w:sz w:val="18"/>
          <w:szCs w:val="20"/>
          <w:rtl/>
        </w:rPr>
        <w:t xml:space="preserve"> מאלה נופו 6% </w:t>
      </w:r>
      <w:r w:rsidRPr="00EA3DC8">
        <w:rPr>
          <w:rFonts w:hint="cs"/>
          <w:sz w:val="18"/>
          <w:szCs w:val="20"/>
          <w:rtl/>
        </w:rPr>
        <w:t xml:space="preserve">עקב </w:t>
      </w:r>
      <w:r w:rsidRPr="00EA3DC8">
        <w:rPr>
          <w:sz w:val="18"/>
          <w:szCs w:val="20"/>
          <w:rtl/>
        </w:rPr>
        <w:t>אי</w:t>
      </w:r>
      <w:r w:rsidRPr="00EA3DC8">
        <w:rPr>
          <w:rFonts w:hint="cs"/>
          <w:sz w:val="18"/>
          <w:szCs w:val="20"/>
          <w:rtl/>
        </w:rPr>
        <w:t>-</w:t>
      </w:r>
      <w:r w:rsidRPr="00EA3DC8">
        <w:rPr>
          <w:sz w:val="18"/>
          <w:szCs w:val="20"/>
          <w:rtl/>
        </w:rPr>
        <w:t xml:space="preserve">התאמה לקריטריונים שהגדרנו (היו </w:t>
      </w:r>
      <w:r w:rsidRPr="00EA3DC8">
        <w:rPr>
          <w:rFonts w:hint="cs"/>
          <w:sz w:val="18"/>
          <w:szCs w:val="20"/>
          <w:rtl/>
        </w:rPr>
        <w:t>בני יותר מ-</w:t>
      </w:r>
      <w:r w:rsidRPr="00EA3DC8">
        <w:rPr>
          <w:sz w:val="18"/>
          <w:szCs w:val="20"/>
          <w:rtl/>
        </w:rPr>
        <w:t>50</w:t>
      </w:r>
      <w:r w:rsidRPr="00EA3DC8">
        <w:rPr>
          <w:rFonts w:hint="cs"/>
          <w:sz w:val="18"/>
          <w:szCs w:val="20"/>
          <w:rtl/>
        </w:rPr>
        <w:t>,</w:t>
      </w:r>
      <w:r w:rsidRPr="00EA3DC8">
        <w:rPr>
          <w:sz w:val="18"/>
          <w:szCs w:val="20"/>
          <w:rtl/>
        </w:rPr>
        <w:t xml:space="preserve"> או </w:t>
      </w:r>
      <w:r w:rsidR="00123E20">
        <w:rPr>
          <w:rFonts w:hint="cs"/>
          <w:sz w:val="18"/>
          <w:szCs w:val="20"/>
          <w:rtl/>
        </w:rPr>
        <w:t>סירבו</w:t>
      </w:r>
      <w:r w:rsidRPr="00EA3DC8">
        <w:rPr>
          <w:sz w:val="18"/>
          <w:szCs w:val="20"/>
          <w:rtl/>
        </w:rPr>
        <w:t xml:space="preserve"> להשתתף במחקר), ולאחר הניפוי נכללו במחקר </w:t>
      </w:r>
      <w:r w:rsidRPr="00EA3DC8">
        <w:rPr>
          <w:sz w:val="18"/>
          <w:szCs w:val="20"/>
          <w:rtl/>
        </w:rPr>
        <w:lastRenderedPageBreak/>
        <w:t xml:space="preserve">הראשון 235 מקבלי שירות. שנה לאחר מכן רואיינו 199 </w:t>
      </w:r>
      <w:r w:rsidRPr="00EA3DC8">
        <w:rPr>
          <w:rFonts w:hint="cs"/>
          <w:sz w:val="18"/>
          <w:szCs w:val="20"/>
          <w:rtl/>
        </w:rPr>
        <w:t>מהם. מקרב מי</w:t>
      </w:r>
      <w:r w:rsidRPr="00EA3DC8">
        <w:rPr>
          <w:sz w:val="18"/>
          <w:szCs w:val="20"/>
          <w:rtl/>
        </w:rPr>
        <w:t xml:space="preserve"> שהשלימו את שני הראיונות נופו 26 משתתפים מאחר </w:t>
      </w:r>
      <w:r w:rsidRPr="00EA3DC8">
        <w:rPr>
          <w:rFonts w:hint="cs"/>
          <w:sz w:val="18"/>
          <w:szCs w:val="20"/>
          <w:rtl/>
        </w:rPr>
        <w:t>ש</w:t>
      </w:r>
      <w:r w:rsidRPr="00EA3DC8">
        <w:rPr>
          <w:sz w:val="18"/>
          <w:szCs w:val="20"/>
          <w:rtl/>
        </w:rPr>
        <w:t>קיבלו קצבת נכות באחת מנקודות הזמן</w:t>
      </w:r>
      <w:r w:rsidRPr="00EA3DC8">
        <w:rPr>
          <w:rFonts w:hint="cs"/>
          <w:sz w:val="18"/>
          <w:szCs w:val="20"/>
          <w:rtl/>
        </w:rPr>
        <w:t>,</w:t>
      </w:r>
      <w:r w:rsidRPr="00EA3DC8">
        <w:rPr>
          <w:sz w:val="18"/>
          <w:szCs w:val="20"/>
          <w:rtl/>
        </w:rPr>
        <w:t xml:space="preserve"> ועוד</w:t>
      </w:r>
      <w:r w:rsidRPr="00EA3DC8">
        <w:rPr>
          <w:rFonts w:hint="cs"/>
          <w:sz w:val="18"/>
          <w:szCs w:val="20"/>
          <w:rtl/>
        </w:rPr>
        <w:t xml:space="preserve"> שבעה נופו מאחר</w:t>
      </w:r>
      <w:r w:rsidRPr="00EA3DC8">
        <w:rPr>
          <w:sz w:val="18"/>
          <w:szCs w:val="20"/>
          <w:rtl/>
        </w:rPr>
        <w:t xml:space="preserve"> </w:t>
      </w:r>
      <w:r w:rsidRPr="00EA3DC8">
        <w:rPr>
          <w:rFonts w:hint="cs"/>
          <w:sz w:val="18"/>
          <w:szCs w:val="20"/>
          <w:rtl/>
        </w:rPr>
        <w:t>ש</w:t>
      </w:r>
      <w:r w:rsidRPr="00EA3DC8">
        <w:rPr>
          <w:sz w:val="18"/>
          <w:szCs w:val="20"/>
          <w:rtl/>
        </w:rPr>
        <w:t>הכנסותיהם היו מעל לקו העוני בנקודת הזמן הראשונה</w:t>
      </w:r>
      <w:r w:rsidRPr="00EA3DC8">
        <w:rPr>
          <w:rFonts w:hint="cs"/>
          <w:sz w:val="18"/>
          <w:szCs w:val="20"/>
          <w:rtl/>
        </w:rPr>
        <w:t xml:space="preserve">. לפיכך, מדגם המחקר הסופי </w:t>
      </w:r>
      <w:r w:rsidRPr="00EA3DC8">
        <w:rPr>
          <w:sz w:val="18"/>
          <w:szCs w:val="20"/>
          <w:rtl/>
        </w:rPr>
        <w:t xml:space="preserve">כולל את נתוניהם של 166 </w:t>
      </w:r>
      <w:r w:rsidRPr="00EA3DC8">
        <w:rPr>
          <w:rFonts w:hint="cs"/>
          <w:sz w:val="18"/>
          <w:szCs w:val="20"/>
          <w:rtl/>
        </w:rPr>
        <w:t>מקבלי שירות של המחלקות לשירותים חברתיים החיים בעוני.</w:t>
      </w:r>
    </w:p>
    <w:p w14:paraId="12F7292E" w14:textId="74363119" w:rsidR="00926914" w:rsidRPr="00EA3DC8" w:rsidRDefault="00926914" w:rsidP="00103DBB">
      <w:pPr>
        <w:spacing w:after="180" w:line="280" w:lineRule="exact"/>
        <w:jc w:val="both"/>
        <w:rPr>
          <w:sz w:val="18"/>
          <w:szCs w:val="20"/>
          <w:rtl/>
        </w:rPr>
      </w:pPr>
      <w:r w:rsidRPr="00EA3DC8">
        <w:rPr>
          <w:rFonts w:hint="cs"/>
          <w:sz w:val="18"/>
          <w:szCs w:val="20"/>
          <w:rtl/>
        </w:rPr>
        <w:t xml:space="preserve">איסוף הנתונים התבצע באמצעות </w:t>
      </w:r>
      <w:r w:rsidRPr="00EA3DC8">
        <w:rPr>
          <w:sz w:val="18"/>
          <w:szCs w:val="20"/>
          <w:rtl/>
        </w:rPr>
        <w:t xml:space="preserve">ראיונות טלפוניים </w:t>
      </w:r>
      <w:r w:rsidRPr="00EA3DC8">
        <w:rPr>
          <w:rFonts w:hint="cs"/>
          <w:sz w:val="18"/>
          <w:szCs w:val="20"/>
          <w:rtl/>
        </w:rPr>
        <w:t>מובנים למחצה</w:t>
      </w:r>
      <w:r w:rsidRPr="00EA3DC8">
        <w:rPr>
          <w:sz w:val="18"/>
          <w:szCs w:val="20"/>
          <w:rtl/>
        </w:rPr>
        <w:t xml:space="preserve">, </w:t>
      </w:r>
      <w:r w:rsidRPr="00EA3DC8">
        <w:rPr>
          <w:rFonts w:hint="cs"/>
          <w:sz w:val="18"/>
          <w:szCs w:val="20"/>
          <w:rtl/>
        </w:rPr>
        <w:t xml:space="preserve">שכללו </w:t>
      </w:r>
      <w:r w:rsidRPr="00EA3DC8">
        <w:rPr>
          <w:sz w:val="18"/>
          <w:szCs w:val="20"/>
          <w:rtl/>
        </w:rPr>
        <w:t>שאלות סגורות ופתוחות. בתחילת השיחה הוקרא טופס הסכמה להשתתפות במחקר ולהקלטת השיחה. הראיונות ארכו בין 40 דקות לשעתיים, ובסיומם קיבלו המשתתפ</w:t>
      </w:r>
      <w:r w:rsidRPr="00EA3DC8">
        <w:rPr>
          <w:rFonts w:hint="cs"/>
          <w:sz w:val="18"/>
          <w:szCs w:val="20"/>
          <w:rtl/>
        </w:rPr>
        <w:t xml:space="preserve">ים </w:t>
      </w:r>
      <w:r w:rsidRPr="00EA3DC8">
        <w:rPr>
          <w:sz w:val="18"/>
          <w:szCs w:val="20"/>
          <w:rtl/>
        </w:rPr>
        <w:t>שובר קנייה בסך 80 ש</w:t>
      </w:r>
      <w:r w:rsidRPr="00EA3DC8">
        <w:rPr>
          <w:rFonts w:hint="cs"/>
          <w:sz w:val="18"/>
          <w:szCs w:val="20"/>
          <w:rtl/>
        </w:rPr>
        <w:t xml:space="preserve">קלים </w:t>
      </w:r>
      <w:r w:rsidRPr="00EA3DC8">
        <w:rPr>
          <w:sz w:val="18"/>
          <w:szCs w:val="20"/>
          <w:rtl/>
        </w:rPr>
        <w:t>בתמורה להשתתפות</w:t>
      </w:r>
      <w:r w:rsidRPr="00EA3DC8">
        <w:rPr>
          <w:rFonts w:hint="cs"/>
          <w:sz w:val="18"/>
          <w:szCs w:val="20"/>
          <w:rtl/>
        </w:rPr>
        <w:t>ם</w:t>
      </w:r>
      <w:r w:rsidRPr="00EA3DC8">
        <w:rPr>
          <w:sz w:val="18"/>
          <w:szCs w:val="20"/>
          <w:rtl/>
        </w:rPr>
        <w:t xml:space="preserve">. כל הראיונות קודדו </w:t>
      </w:r>
      <w:proofErr w:type="spellStart"/>
      <w:r w:rsidRPr="00EA3DC8">
        <w:rPr>
          <w:sz w:val="18"/>
          <w:szCs w:val="20"/>
          <w:rtl/>
        </w:rPr>
        <w:t>ושוקלטו</w:t>
      </w:r>
      <w:proofErr w:type="spellEnd"/>
      <w:r w:rsidRPr="00EA3DC8">
        <w:rPr>
          <w:sz w:val="18"/>
          <w:szCs w:val="20"/>
          <w:rtl/>
        </w:rPr>
        <w:t xml:space="preserve"> לאחר סיומם. כדי לשמור על פרטיות המשתתפים נקטנו </w:t>
      </w:r>
      <w:r w:rsidRPr="00EA3DC8">
        <w:rPr>
          <w:rFonts w:hint="cs"/>
          <w:sz w:val="18"/>
          <w:szCs w:val="20"/>
          <w:rtl/>
        </w:rPr>
        <w:t>את הצעדים הבאים: (1)</w:t>
      </w:r>
      <w:r w:rsidRPr="00EA3DC8">
        <w:rPr>
          <w:sz w:val="18"/>
          <w:szCs w:val="20"/>
          <w:rtl/>
        </w:rPr>
        <w:t xml:space="preserve"> שמות משתמשי השירות המופיעים במחקר הנוכחי בדויים, ופרטיהם האישיים טושטשו</w:t>
      </w:r>
      <w:r w:rsidRPr="00EA3DC8">
        <w:rPr>
          <w:rFonts w:hint="cs"/>
          <w:sz w:val="18"/>
          <w:szCs w:val="20"/>
          <w:rtl/>
        </w:rPr>
        <w:t>; (2)</w:t>
      </w:r>
      <w:r w:rsidRPr="00EA3DC8">
        <w:rPr>
          <w:sz w:val="18"/>
          <w:szCs w:val="20"/>
          <w:rtl/>
        </w:rPr>
        <w:t xml:space="preserve"> </w:t>
      </w:r>
      <w:r w:rsidRPr="00EA3DC8">
        <w:rPr>
          <w:rFonts w:hint="cs"/>
          <w:sz w:val="18"/>
          <w:szCs w:val="20"/>
          <w:rtl/>
        </w:rPr>
        <w:t xml:space="preserve">שמות </w:t>
      </w:r>
      <w:r w:rsidRPr="00EA3DC8">
        <w:rPr>
          <w:sz w:val="18"/>
          <w:szCs w:val="20"/>
          <w:rtl/>
        </w:rPr>
        <w:t xml:space="preserve">המשתתפים ושמות העובדות הסוציאליות </w:t>
      </w:r>
      <w:r w:rsidRPr="00EA3DC8">
        <w:rPr>
          <w:rFonts w:hint="cs"/>
          <w:sz w:val="18"/>
          <w:szCs w:val="20"/>
          <w:rtl/>
        </w:rPr>
        <w:t>אינם מופיעים ב</w:t>
      </w:r>
      <w:r w:rsidRPr="00EA3DC8">
        <w:rPr>
          <w:sz w:val="18"/>
          <w:szCs w:val="20"/>
          <w:rtl/>
        </w:rPr>
        <w:t>שאלון. מערך המחקר קיבל את אישור ועדת האתיקה של אוניברסיטת בן-גוריון בנגב (מספר אישור</w:t>
      </w:r>
      <w:r w:rsidR="00BB6F11">
        <w:rPr>
          <w:rFonts w:hint="cs"/>
          <w:sz w:val="18"/>
          <w:szCs w:val="20"/>
          <w:rtl/>
        </w:rPr>
        <w:t xml:space="preserve"> </w:t>
      </w:r>
      <w:r w:rsidRPr="00EA3DC8">
        <w:rPr>
          <w:sz w:val="18"/>
          <w:szCs w:val="20"/>
          <w:rtl/>
        </w:rPr>
        <w:t>1348-1)</w:t>
      </w:r>
      <w:r w:rsidRPr="00EA3DC8">
        <w:rPr>
          <w:rFonts w:hint="cs"/>
          <w:sz w:val="18"/>
          <w:szCs w:val="20"/>
          <w:rtl/>
        </w:rPr>
        <w:t>,</w:t>
      </w:r>
      <w:r w:rsidRPr="00EA3DC8">
        <w:rPr>
          <w:sz w:val="18"/>
          <w:szCs w:val="20"/>
          <w:rtl/>
        </w:rPr>
        <w:t xml:space="preserve"> ואת אישור מחלקת המחקר של משרד הרווחה. </w:t>
      </w:r>
    </w:p>
    <w:p w14:paraId="2EF372A0" w14:textId="77777777" w:rsidR="00926914" w:rsidRPr="00EA3DC8" w:rsidRDefault="00926914" w:rsidP="00EA3DC8">
      <w:pPr>
        <w:spacing w:after="180" w:line="280" w:lineRule="exact"/>
        <w:jc w:val="both"/>
        <w:rPr>
          <w:sz w:val="18"/>
          <w:szCs w:val="20"/>
          <w:rtl/>
        </w:rPr>
      </w:pPr>
    </w:p>
    <w:p w14:paraId="4C811E58" w14:textId="2CB81C2D" w:rsidR="00926914" w:rsidRPr="00926914" w:rsidRDefault="00926914" w:rsidP="00EA3DC8">
      <w:pPr>
        <w:pStyle w:val="KOT5"/>
        <w:spacing w:after="0"/>
        <w:ind w:right="0"/>
        <w:rPr>
          <w:rFonts w:cs="Guttman Aharoni"/>
          <w:color w:val="00B0F0"/>
          <w:rtl/>
        </w:rPr>
      </w:pPr>
      <w:bookmarkStart w:id="15" w:name="_Toc76380491"/>
      <w:r w:rsidRPr="00926914">
        <w:rPr>
          <w:rFonts w:cs="Guttman Aharoni"/>
          <w:color w:val="00B0F0"/>
          <w:rtl/>
        </w:rPr>
        <w:t>מדידה</w:t>
      </w:r>
      <w:bookmarkEnd w:id="15"/>
      <w:r w:rsidRPr="00926914">
        <w:rPr>
          <w:rFonts w:cs="Guttman Aharoni"/>
          <w:color w:val="00B0F0"/>
          <w:rtl/>
        </w:rPr>
        <w:t xml:space="preserve"> </w:t>
      </w:r>
    </w:p>
    <w:p w14:paraId="2EB0AF54" w14:textId="77777777" w:rsidR="009F2897" w:rsidRPr="00EA3DC8" w:rsidRDefault="009F2897" w:rsidP="009F2897">
      <w:pPr>
        <w:spacing w:after="180" w:line="280" w:lineRule="exact"/>
        <w:jc w:val="both"/>
        <w:rPr>
          <w:sz w:val="18"/>
          <w:szCs w:val="20"/>
          <w:rtl/>
        </w:rPr>
      </w:pPr>
      <w:bookmarkStart w:id="16" w:name="_Toc76380492"/>
    </w:p>
    <w:p w14:paraId="1075F4FB" w14:textId="18E6DABD" w:rsidR="00926914" w:rsidRPr="00304F18" w:rsidRDefault="00926914" w:rsidP="00304F18">
      <w:pPr>
        <w:keepNext/>
        <w:keepLines/>
        <w:spacing w:line="280" w:lineRule="exact"/>
        <w:jc w:val="both"/>
        <w:rPr>
          <w:b/>
          <w:bCs/>
          <w:color w:val="00B0F0"/>
          <w:sz w:val="20"/>
          <w:szCs w:val="22"/>
          <w:rtl/>
        </w:rPr>
      </w:pPr>
      <w:r w:rsidRPr="00304F18">
        <w:rPr>
          <w:b/>
          <w:bCs/>
          <w:color w:val="00B0F0"/>
          <w:sz w:val="20"/>
          <w:szCs w:val="22"/>
          <w:rtl/>
        </w:rPr>
        <w:t>משתנים בלתי-תלויים</w:t>
      </w:r>
      <w:bookmarkEnd w:id="16"/>
      <w:r w:rsidRPr="00304F18">
        <w:rPr>
          <w:b/>
          <w:bCs/>
          <w:color w:val="00B0F0"/>
          <w:sz w:val="20"/>
          <w:szCs w:val="22"/>
          <w:rtl/>
        </w:rPr>
        <w:t xml:space="preserve"> </w:t>
      </w:r>
    </w:p>
    <w:p w14:paraId="184400F3" w14:textId="261C9696" w:rsidR="00926914" w:rsidRDefault="00926914" w:rsidP="00D97E3E">
      <w:pPr>
        <w:spacing w:after="180" w:line="280" w:lineRule="exact"/>
        <w:jc w:val="both"/>
        <w:rPr>
          <w:sz w:val="18"/>
          <w:szCs w:val="20"/>
          <w:rtl/>
        </w:rPr>
      </w:pPr>
      <w:r w:rsidRPr="00EA3DC8">
        <w:rPr>
          <w:b/>
          <w:bCs/>
          <w:sz w:val="18"/>
          <w:szCs w:val="20"/>
          <w:rtl/>
        </w:rPr>
        <w:t>מאפיינים אישיים</w:t>
      </w:r>
      <w:r w:rsidR="00D97E3E" w:rsidRPr="009F4991">
        <w:rPr>
          <w:b/>
          <w:bCs/>
          <w:sz w:val="18"/>
          <w:szCs w:val="20"/>
          <w:rtl/>
        </w:rPr>
        <w:t>.</w:t>
      </w:r>
      <w:r w:rsidR="00D97E3E" w:rsidRPr="00EA3DC8">
        <w:rPr>
          <w:sz w:val="18"/>
          <w:szCs w:val="20"/>
          <w:rtl/>
        </w:rPr>
        <w:t xml:space="preserve"> </w:t>
      </w:r>
      <w:r w:rsidRPr="00EA3DC8">
        <w:rPr>
          <w:sz w:val="18"/>
          <w:szCs w:val="20"/>
          <w:rtl/>
        </w:rPr>
        <w:t xml:space="preserve">גיל, מצב משפחתי, מספר ילדים, מספר שנות לימוד, מצב בריאות ("מהו מצב בריאותך בדרך כלל?" סולם </w:t>
      </w:r>
      <w:r w:rsidRPr="00EA3DC8">
        <w:rPr>
          <w:rFonts w:hint="cs"/>
          <w:sz w:val="18"/>
          <w:szCs w:val="20"/>
          <w:rtl/>
        </w:rPr>
        <w:t>המענה</w:t>
      </w:r>
      <w:r w:rsidRPr="00EA3DC8">
        <w:rPr>
          <w:sz w:val="18"/>
          <w:szCs w:val="20"/>
          <w:rtl/>
        </w:rPr>
        <w:t xml:space="preserve"> נע מ-1 </w:t>
      </w:r>
      <w:r w:rsidRPr="00EA3DC8">
        <w:rPr>
          <w:rFonts w:hint="cs"/>
          <w:sz w:val="18"/>
          <w:szCs w:val="20"/>
          <w:rtl/>
        </w:rPr>
        <w:t>[</w:t>
      </w:r>
      <w:r w:rsidRPr="00EA3DC8">
        <w:rPr>
          <w:sz w:val="18"/>
          <w:szCs w:val="20"/>
          <w:rtl/>
        </w:rPr>
        <w:t>לא טוב בכלל</w:t>
      </w:r>
      <w:r w:rsidRPr="00EA3DC8">
        <w:rPr>
          <w:rFonts w:hint="cs"/>
          <w:sz w:val="18"/>
          <w:szCs w:val="20"/>
          <w:rtl/>
        </w:rPr>
        <w:t>],</w:t>
      </w:r>
      <w:r w:rsidRPr="00EA3DC8">
        <w:rPr>
          <w:sz w:val="18"/>
          <w:szCs w:val="20"/>
          <w:rtl/>
        </w:rPr>
        <w:t xml:space="preserve"> </w:t>
      </w:r>
      <w:r w:rsidRPr="00EA3DC8">
        <w:rPr>
          <w:rFonts w:hint="cs"/>
          <w:sz w:val="18"/>
          <w:szCs w:val="20"/>
          <w:rtl/>
        </w:rPr>
        <w:t>ו</w:t>
      </w:r>
      <w:r w:rsidRPr="00EA3DC8">
        <w:rPr>
          <w:sz w:val="18"/>
          <w:szCs w:val="20"/>
          <w:rtl/>
        </w:rPr>
        <w:t xml:space="preserve">עד 5 </w:t>
      </w:r>
      <w:r w:rsidRPr="00EA3DC8">
        <w:rPr>
          <w:rFonts w:hint="cs"/>
          <w:sz w:val="18"/>
          <w:szCs w:val="20"/>
          <w:rtl/>
        </w:rPr>
        <w:t>[</w:t>
      </w:r>
      <w:r w:rsidRPr="00EA3DC8">
        <w:rPr>
          <w:sz w:val="18"/>
          <w:szCs w:val="20"/>
          <w:rtl/>
        </w:rPr>
        <w:t>טוב מאוד</w:t>
      </w:r>
      <w:r w:rsidRPr="00EA3DC8">
        <w:rPr>
          <w:rFonts w:hint="cs"/>
          <w:sz w:val="18"/>
          <w:szCs w:val="20"/>
          <w:rtl/>
        </w:rPr>
        <w:t>]</w:t>
      </w:r>
      <w:r w:rsidRPr="00EA3DC8">
        <w:rPr>
          <w:sz w:val="18"/>
          <w:szCs w:val="20"/>
          <w:rtl/>
        </w:rPr>
        <w:t>); הכשרה מקצועית ("האם יש לך תעודה מקצועית?") וקיומה של מצוקה בין</w:t>
      </w:r>
      <w:r w:rsidRPr="00EA3DC8">
        <w:rPr>
          <w:rFonts w:hint="cs"/>
          <w:sz w:val="18"/>
          <w:szCs w:val="20"/>
          <w:rtl/>
        </w:rPr>
        <w:t>-</w:t>
      </w:r>
      <w:r w:rsidRPr="00EA3DC8">
        <w:rPr>
          <w:sz w:val="18"/>
          <w:szCs w:val="20"/>
          <w:rtl/>
        </w:rPr>
        <w:t>דורית (דור ראשון או שני של מקבלי שירות במחלקות לשירותים חברתיים).</w:t>
      </w:r>
    </w:p>
    <w:p w14:paraId="7E2E49C8" w14:textId="77777777" w:rsidR="00EE4D2A" w:rsidRPr="00EA3DC8" w:rsidRDefault="00EE4D2A" w:rsidP="00EA3DC8">
      <w:pPr>
        <w:spacing w:after="180" w:line="280" w:lineRule="exact"/>
        <w:jc w:val="both"/>
        <w:rPr>
          <w:sz w:val="18"/>
          <w:szCs w:val="20"/>
          <w:rtl/>
        </w:rPr>
      </w:pPr>
    </w:p>
    <w:p w14:paraId="03E533DC" w14:textId="6B62532F" w:rsidR="00926914" w:rsidRPr="00304F18" w:rsidRDefault="00926914" w:rsidP="00304F18">
      <w:pPr>
        <w:keepNext/>
        <w:keepLines/>
        <w:spacing w:line="280" w:lineRule="exact"/>
        <w:jc w:val="both"/>
        <w:rPr>
          <w:b/>
          <w:bCs/>
          <w:color w:val="00B0F0"/>
          <w:sz w:val="20"/>
          <w:szCs w:val="22"/>
          <w:rtl/>
        </w:rPr>
      </w:pPr>
      <w:bookmarkStart w:id="17" w:name="_Toc76380493"/>
      <w:r w:rsidRPr="00304F18">
        <w:rPr>
          <w:b/>
          <w:bCs/>
          <w:color w:val="00B0F0"/>
          <w:sz w:val="20"/>
          <w:szCs w:val="22"/>
          <w:rtl/>
        </w:rPr>
        <w:t>משתנים תלויים</w:t>
      </w:r>
      <w:bookmarkEnd w:id="17"/>
      <w:r w:rsidRPr="00304F18">
        <w:rPr>
          <w:b/>
          <w:bCs/>
          <w:color w:val="00B0F0"/>
          <w:sz w:val="20"/>
          <w:szCs w:val="22"/>
          <w:rtl/>
        </w:rPr>
        <w:t xml:space="preserve"> </w:t>
      </w:r>
    </w:p>
    <w:p w14:paraId="0B0340A3" w14:textId="77777777" w:rsidR="00926914" w:rsidRPr="00EA3DC8" w:rsidRDefault="00926914" w:rsidP="00EA3DC8">
      <w:pPr>
        <w:spacing w:after="180" w:line="280" w:lineRule="exact"/>
        <w:jc w:val="both"/>
        <w:rPr>
          <w:sz w:val="18"/>
          <w:szCs w:val="20"/>
          <w:rtl/>
        </w:rPr>
      </w:pPr>
      <w:r w:rsidRPr="00EA3DC8">
        <w:rPr>
          <w:b/>
          <w:bCs/>
          <w:sz w:val="18"/>
          <w:szCs w:val="20"/>
          <w:rtl/>
        </w:rPr>
        <w:t>תעסוקה.</w:t>
      </w:r>
      <w:r w:rsidRPr="00EA3DC8">
        <w:rPr>
          <w:sz w:val="18"/>
          <w:szCs w:val="20"/>
          <w:rtl/>
        </w:rPr>
        <w:t xml:space="preserve"> שאלות על ההווה – מצב העבודה (בתבנית "עובד/לא עובד"), מספר שעות העבודה בשבוע וסוג העבודה</w:t>
      </w:r>
      <w:r w:rsidRPr="00EA3DC8">
        <w:rPr>
          <w:rFonts w:hint="cs"/>
          <w:sz w:val="18"/>
          <w:szCs w:val="20"/>
          <w:rtl/>
          <w:lang w:val="en-GB"/>
        </w:rPr>
        <w:t>,</w:t>
      </w:r>
      <w:r w:rsidRPr="00EA3DC8">
        <w:rPr>
          <w:sz w:val="18"/>
          <w:szCs w:val="20"/>
          <w:rtl/>
        </w:rPr>
        <w:t xml:space="preserve"> וכן </w:t>
      </w:r>
      <w:r w:rsidRPr="00EA3DC8">
        <w:rPr>
          <w:rFonts w:hint="cs"/>
          <w:sz w:val="18"/>
          <w:szCs w:val="20"/>
          <w:rtl/>
        </w:rPr>
        <w:t>הערכת הפרט את</w:t>
      </w:r>
      <w:r w:rsidRPr="00EA3DC8">
        <w:rPr>
          <w:sz w:val="18"/>
          <w:szCs w:val="20"/>
          <w:rtl/>
        </w:rPr>
        <w:t xml:space="preserve"> מידת ההשתתפות בשוק העבודה בחמש השנים האחרונות. משתנה זה נמדד באמצעות </w:t>
      </w:r>
      <w:r w:rsidRPr="00EA3DC8">
        <w:rPr>
          <w:rFonts w:hint="cs"/>
          <w:sz w:val="18"/>
          <w:szCs w:val="20"/>
          <w:rtl/>
        </w:rPr>
        <w:t>ה</w:t>
      </w:r>
      <w:r w:rsidRPr="00EA3DC8">
        <w:rPr>
          <w:sz w:val="18"/>
          <w:szCs w:val="20"/>
          <w:rtl/>
        </w:rPr>
        <w:t>שאלה</w:t>
      </w:r>
      <w:r w:rsidRPr="00EA3DC8">
        <w:rPr>
          <w:rFonts w:hint="cs"/>
          <w:sz w:val="18"/>
          <w:szCs w:val="20"/>
          <w:rtl/>
        </w:rPr>
        <w:t>:</w:t>
      </w:r>
      <w:r w:rsidRPr="00EA3DC8">
        <w:rPr>
          <w:sz w:val="18"/>
          <w:szCs w:val="20"/>
          <w:rtl/>
        </w:rPr>
        <w:t xml:space="preserve"> "באיזו מידה עבדת בחמש השנים האחרונות?" סולם </w:t>
      </w:r>
      <w:r w:rsidRPr="00EA3DC8">
        <w:rPr>
          <w:rFonts w:hint="cs"/>
          <w:sz w:val="18"/>
          <w:szCs w:val="20"/>
          <w:rtl/>
        </w:rPr>
        <w:t>התשובה</w:t>
      </w:r>
      <w:r w:rsidRPr="00EA3DC8">
        <w:rPr>
          <w:sz w:val="18"/>
          <w:szCs w:val="20"/>
          <w:rtl/>
        </w:rPr>
        <w:t xml:space="preserve"> נע מ-1</w:t>
      </w:r>
      <w:r w:rsidRPr="00EA3DC8">
        <w:rPr>
          <w:rFonts w:hint="cs"/>
          <w:sz w:val="18"/>
          <w:szCs w:val="20"/>
          <w:rtl/>
        </w:rPr>
        <w:t>(</w:t>
      </w:r>
      <w:r w:rsidRPr="00EA3DC8">
        <w:rPr>
          <w:sz w:val="18"/>
          <w:szCs w:val="20"/>
          <w:rtl/>
        </w:rPr>
        <w:t>כלל לא</w:t>
      </w:r>
      <w:r w:rsidRPr="00EA3DC8">
        <w:rPr>
          <w:rFonts w:hint="cs"/>
          <w:sz w:val="18"/>
          <w:szCs w:val="20"/>
          <w:rtl/>
        </w:rPr>
        <w:t>)</w:t>
      </w:r>
      <w:r w:rsidRPr="00EA3DC8">
        <w:rPr>
          <w:sz w:val="18"/>
          <w:szCs w:val="20"/>
          <w:rtl/>
        </w:rPr>
        <w:t xml:space="preserve">, </w:t>
      </w:r>
      <w:r w:rsidRPr="00EA3DC8">
        <w:rPr>
          <w:rFonts w:hint="cs"/>
          <w:sz w:val="18"/>
          <w:szCs w:val="20"/>
          <w:rtl/>
        </w:rPr>
        <w:t>ו</w:t>
      </w:r>
      <w:r w:rsidRPr="00EA3DC8">
        <w:rPr>
          <w:sz w:val="18"/>
          <w:szCs w:val="20"/>
          <w:rtl/>
        </w:rPr>
        <w:t xml:space="preserve">עד 4 </w:t>
      </w:r>
      <w:r w:rsidRPr="00EA3DC8">
        <w:rPr>
          <w:rFonts w:hint="cs"/>
          <w:sz w:val="18"/>
          <w:szCs w:val="20"/>
          <w:rtl/>
        </w:rPr>
        <w:t>(</w:t>
      </w:r>
      <w:r w:rsidRPr="00EA3DC8">
        <w:rPr>
          <w:sz w:val="18"/>
          <w:szCs w:val="20"/>
          <w:rtl/>
        </w:rPr>
        <w:t>כל הזמן</w:t>
      </w:r>
      <w:r w:rsidRPr="00EA3DC8">
        <w:rPr>
          <w:rFonts w:hint="cs"/>
          <w:sz w:val="18"/>
          <w:szCs w:val="20"/>
          <w:rtl/>
        </w:rPr>
        <w:t>)</w:t>
      </w:r>
      <w:r w:rsidRPr="00EA3DC8">
        <w:rPr>
          <w:sz w:val="18"/>
          <w:szCs w:val="20"/>
          <w:rtl/>
        </w:rPr>
        <w:t>.</w:t>
      </w:r>
    </w:p>
    <w:p w14:paraId="16D36C28" w14:textId="77777777" w:rsidR="00926914" w:rsidRPr="00EA3DC8" w:rsidRDefault="00926914" w:rsidP="00EA3DC8">
      <w:pPr>
        <w:spacing w:after="180" w:line="280" w:lineRule="exact"/>
        <w:jc w:val="both"/>
        <w:rPr>
          <w:sz w:val="18"/>
          <w:szCs w:val="20"/>
          <w:rtl/>
        </w:rPr>
      </w:pPr>
      <w:r w:rsidRPr="00EA3DC8">
        <w:rPr>
          <w:b/>
          <w:bCs/>
          <w:sz w:val="18"/>
          <w:szCs w:val="20"/>
          <w:rtl/>
        </w:rPr>
        <w:t>סיבות לאי-</w:t>
      </w:r>
      <w:r w:rsidRPr="00EA3DC8">
        <w:rPr>
          <w:rFonts w:hint="cs"/>
          <w:b/>
          <w:bCs/>
          <w:sz w:val="18"/>
          <w:szCs w:val="20"/>
          <w:rtl/>
        </w:rPr>
        <w:t>תעסוקה</w:t>
      </w:r>
      <w:r w:rsidRPr="00EA3DC8">
        <w:rPr>
          <w:b/>
          <w:bCs/>
          <w:sz w:val="18"/>
          <w:szCs w:val="20"/>
          <w:rtl/>
        </w:rPr>
        <w:t>.</w:t>
      </w:r>
      <w:r w:rsidRPr="00EA3DC8">
        <w:rPr>
          <w:sz w:val="18"/>
          <w:szCs w:val="20"/>
          <w:rtl/>
        </w:rPr>
        <w:t xml:space="preserve"> </w:t>
      </w:r>
      <w:r w:rsidRPr="00EA3DC8">
        <w:rPr>
          <w:rFonts w:hint="cs"/>
          <w:sz w:val="18"/>
          <w:szCs w:val="20"/>
          <w:rtl/>
        </w:rPr>
        <w:t>הסיבות לאי-תעסוקה נמדדו באמצעות תשעה היגדים דיכוטומיים (</w:t>
      </w:r>
      <w:r w:rsidRPr="00EA3DC8">
        <w:rPr>
          <w:sz w:val="18"/>
          <w:szCs w:val="20"/>
          <w:rtl/>
        </w:rPr>
        <w:t xml:space="preserve">"כן/לא") </w:t>
      </w:r>
      <w:r w:rsidRPr="00EA3DC8">
        <w:rPr>
          <w:rFonts w:hint="cs"/>
          <w:sz w:val="18"/>
          <w:szCs w:val="20"/>
          <w:rtl/>
        </w:rPr>
        <w:t xml:space="preserve">שבהם התבקשו </w:t>
      </w:r>
      <w:r w:rsidRPr="00EA3DC8">
        <w:rPr>
          <w:sz w:val="18"/>
          <w:szCs w:val="20"/>
          <w:rtl/>
        </w:rPr>
        <w:t xml:space="preserve">המשתתפים לסמן </w:t>
      </w:r>
      <w:r w:rsidRPr="00EA3DC8">
        <w:rPr>
          <w:rFonts w:hint="cs"/>
          <w:sz w:val="18"/>
          <w:szCs w:val="20"/>
          <w:rtl/>
        </w:rPr>
        <w:t xml:space="preserve">את הסיבות שבגינן </w:t>
      </w:r>
      <w:r w:rsidRPr="00EA3DC8">
        <w:rPr>
          <w:sz w:val="18"/>
          <w:szCs w:val="20"/>
          <w:rtl/>
        </w:rPr>
        <w:t>אינם עובדים</w:t>
      </w:r>
      <w:r w:rsidRPr="00EA3DC8">
        <w:rPr>
          <w:rFonts w:hint="cs"/>
          <w:sz w:val="18"/>
          <w:szCs w:val="20"/>
          <w:rtl/>
        </w:rPr>
        <w:t xml:space="preserve">, למשל, </w:t>
      </w:r>
      <w:r w:rsidRPr="00EA3DC8">
        <w:rPr>
          <w:sz w:val="18"/>
          <w:szCs w:val="20"/>
          <w:rtl/>
        </w:rPr>
        <w:t xml:space="preserve">"לא יכול לעבוד מסיבות בריאותיות", "אם אעבוד תקוצץ </w:t>
      </w:r>
      <w:r w:rsidRPr="00EA3DC8">
        <w:rPr>
          <w:rFonts w:hint="cs"/>
          <w:sz w:val="18"/>
          <w:szCs w:val="20"/>
          <w:rtl/>
        </w:rPr>
        <w:t>הקצבה</w:t>
      </w:r>
      <w:r w:rsidRPr="00EA3DC8">
        <w:rPr>
          <w:sz w:val="18"/>
          <w:szCs w:val="20"/>
          <w:rtl/>
        </w:rPr>
        <w:t xml:space="preserve">", "טיפול בילדים" ו"קשיי </w:t>
      </w:r>
      <w:r w:rsidRPr="00EA3DC8">
        <w:rPr>
          <w:sz w:val="18"/>
          <w:szCs w:val="20"/>
          <w:rtl/>
        </w:rPr>
        <w:lastRenderedPageBreak/>
        <w:t xml:space="preserve">הגעה". שאלות אלה נלקחו מהסקר </w:t>
      </w:r>
      <w:r w:rsidRPr="00EA3DC8">
        <w:rPr>
          <w:rFonts w:hint="cs"/>
          <w:sz w:val="18"/>
          <w:szCs w:val="20"/>
          <w:rtl/>
        </w:rPr>
        <w:t>החברתי</w:t>
      </w:r>
      <w:r w:rsidRPr="00EA3DC8">
        <w:rPr>
          <w:sz w:val="18"/>
          <w:szCs w:val="20"/>
          <w:rtl/>
        </w:rPr>
        <w:t xml:space="preserve"> של הלשכה המרכזית לסטטיסטיקה</w:t>
      </w:r>
      <w:r w:rsidRPr="00EA3DC8">
        <w:rPr>
          <w:rFonts w:hint="cs"/>
          <w:sz w:val="18"/>
          <w:szCs w:val="20"/>
          <w:rtl/>
        </w:rPr>
        <w:t xml:space="preserve"> לשנת 2013</w:t>
      </w:r>
      <w:r w:rsidRPr="00EA3DC8">
        <w:rPr>
          <w:sz w:val="18"/>
          <w:szCs w:val="20"/>
          <w:rtl/>
        </w:rPr>
        <w:t xml:space="preserve"> (</w:t>
      </w:r>
      <w:r w:rsidRPr="00EA3DC8">
        <w:rPr>
          <w:rFonts w:hint="cs"/>
          <w:sz w:val="18"/>
          <w:szCs w:val="20"/>
          <w:rtl/>
        </w:rPr>
        <w:t>הלשכה המרכזית לסטטיסטיקה, 2013).</w:t>
      </w:r>
    </w:p>
    <w:p w14:paraId="47E90430" w14:textId="0C6D3BAC" w:rsidR="00926914" w:rsidRPr="00EA3DC8" w:rsidRDefault="00926914" w:rsidP="00EA3DC8">
      <w:pPr>
        <w:spacing w:after="180" w:line="280" w:lineRule="exact"/>
        <w:jc w:val="both"/>
        <w:rPr>
          <w:sz w:val="18"/>
          <w:szCs w:val="20"/>
          <w:rtl/>
        </w:rPr>
      </w:pPr>
      <w:r w:rsidRPr="00EA3DC8">
        <w:rPr>
          <w:b/>
          <w:bCs/>
          <w:sz w:val="18"/>
          <w:szCs w:val="20"/>
          <w:rtl/>
        </w:rPr>
        <w:t xml:space="preserve">סיבות לעבודה </w:t>
      </w:r>
      <w:r w:rsidRPr="00EA3DC8">
        <w:rPr>
          <w:rFonts w:hint="cs"/>
          <w:b/>
          <w:bCs/>
          <w:sz w:val="18"/>
          <w:szCs w:val="20"/>
          <w:rtl/>
        </w:rPr>
        <w:t>במשרה חלקית</w:t>
      </w:r>
      <w:r w:rsidR="000268A9">
        <w:rPr>
          <w:rFonts w:hint="cs"/>
          <w:b/>
          <w:bCs/>
          <w:sz w:val="18"/>
          <w:szCs w:val="20"/>
          <w:rtl/>
        </w:rPr>
        <w:t>.</w:t>
      </w:r>
      <w:r w:rsidRPr="00EA3DC8">
        <w:rPr>
          <w:b/>
          <w:bCs/>
          <w:sz w:val="18"/>
          <w:szCs w:val="20"/>
          <w:rtl/>
        </w:rPr>
        <w:t xml:space="preserve"> </w:t>
      </w:r>
      <w:r w:rsidR="000268A9">
        <w:rPr>
          <w:rFonts w:hint="cs"/>
          <w:sz w:val="18"/>
          <w:szCs w:val="20"/>
          <w:rtl/>
        </w:rPr>
        <w:t>ה</w:t>
      </w:r>
      <w:r w:rsidRPr="00EA3DC8">
        <w:rPr>
          <w:rFonts w:hint="cs"/>
          <w:sz w:val="18"/>
          <w:szCs w:val="20"/>
          <w:rtl/>
        </w:rPr>
        <w:t>סיבות לתעסוקה חלקית, המוגדרת כעבודה בהיקף של עד שלושים שעות עבודה שבועיות (</w:t>
      </w:r>
      <w:r w:rsidRPr="00EA3DC8">
        <w:rPr>
          <w:sz w:val="18"/>
          <w:szCs w:val="20"/>
        </w:rPr>
        <w:t>OECD, 2021</w:t>
      </w:r>
      <w:r w:rsidRPr="00EA3DC8">
        <w:rPr>
          <w:rFonts w:hint="cs"/>
          <w:sz w:val="18"/>
          <w:szCs w:val="20"/>
          <w:rtl/>
        </w:rPr>
        <w:t>), נמדדו באמצעות תשעה היגדים דיכוטומיים (</w:t>
      </w:r>
      <w:r w:rsidRPr="00EA3DC8">
        <w:rPr>
          <w:sz w:val="18"/>
          <w:szCs w:val="20"/>
          <w:rtl/>
        </w:rPr>
        <w:t xml:space="preserve">"כן/לא") </w:t>
      </w:r>
      <w:r w:rsidRPr="00EA3DC8">
        <w:rPr>
          <w:rFonts w:hint="cs"/>
          <w:sz w:val="18"/>
          <w:szCs w:val="20"/>
          <w:rtl/>
        </w:rPr>
        <w:t xml:space="preserve">שבהם התבקשו </w:t>
      </w:r>
      <w:r w:rsidRPr="00EA3DC8">
        <w:rPr>
          <w:sz w:val="18"/>
          <w:szCs w:val="20"/>
          <w:rtl/>
        </w:rPr>
        <w:t xml:space="preserve">המשתתפים לסמן </w:t>
      </w:r>
      <w:r w:rsidRPr="00EA3DC8">
        <w:rPr>
          <w:rFonts w:hint="cs"/>
          <w:sz w:val="18"/>
          <w:szCs w:val="20"/>
          <w:rtl/>
        </w:rPr>
        <w:t>את הסיבה שבגינן הם עובדים במשרה חלקית</w:t>
      </w:r>
      <w:r w:rsidRPr="00EA3DC8">
        <w:rPr>
          <w:rFonts w:hint="cs"/>
          <w:sz w:val="18"/>
          <w:szCs w:val="20"/>
          <w:rtl/>
          <w:lang w:val="en-GB"/>
        </w:rPr>
        <w:t>,</w:t>
      </w:r>
      <w:r w:rsidRPr="00EA3DC8">
        <w:rPr>
          <w:sz w:val="18"/>
          <w:szCs w:val="20"/>
          <w:rtl/>
        </w:rPr>
        <w:t xml:space="preserve"> </w:t>
      </w:r>
      <w:r w:rsidRPr="00EA3DC8">
        <w:rPr>
          <w:rFonts w:hint="cs"/>
          <w:sz w:val="18"/>
          <w:szCs w:val="20"/>
          <w:rtl/>
        </w:rPr>
        <w:t>למשל,</w:t>
      </w:r>
      <w:r w:rsidRPr="00EA3DC8">
        <w:rPr>
          <w:sz w:val="18"/>
          <w:szCs w:val="20"/>
          <w:rtl/>
        </w:rPr>
        <w:t xml:space="preserve"> "טיפול בילדים", "אם אעבוד יותר תקוצץ </w:t>
      </w:r>
      <w:r w:rsidRPr="00EA3DC8">
        <w:rPr>
          <w:rFonts w:hint="cs"/>
          <w:sz w:val="18"/>
          <w:szCs w:val="20"/>
          <w:rtl/>
        </w:rPr>
        <w:t>הקצבה</w:t>
      </w:r>
      <w:r w:rsidRPr="00EA3DC8">
        <w:rPr>
          <w:sz w:val="18"/>
          <w:szCs w:val="20"/>
          <w:rtl/>
        </w:rPr>
        <w:t xml:space="preserve">", "לא יכול לעבוד יותר מסיבות בריאותיות". </w:t>
      </w:r>
    </w:p>
    <w:p w14:paraId="51526E1E" w14:textId="5BCEC88A" w:rsidR="00926914" w:rsidRDefault="00926914" w:rsidP="00EA3DC8">
      <w:pPr>
        <w:spacing w:after="180" w:line="280" w:lineRule="exact"/>
        <w:jc w:val="both"/>
        <w:rPr>
          <w:sz w:val="18"/>
          <w:szCs w:val="20"/>
          <w:rtl/>
        </w:rPr>
      </w:pPr>
      <w:r w:rsidRPr="00EA3DC8">
        <w:rPr>
          <w:b/>
          <w:bCs/>
          <w:sz w:val="18"/>
          <w:szCs w:val="20"/>
          <w:rtl/>
        </w:rPr>
        <w:t>סיבות למצב התעסוקה.</w:t>
      </w:r>
      <w:r w:rsidRPr="00EA3DC8">
        <w:rPr>
          <w:i/>
          <w:iCs/>
          <w:sz w:val="18"/>
          <w:szCs w:val="20"/>
          <w:rtl/>
        </w:rPr>
        <w:t xml:space="preserve"> </w:t>
      </w:r>
      <w:r w:rsidRPr="00EA3DC8">
        <w:rPr>
          <w:sz w:val="18"/>
          <w:szCs w:val="20"/>
          <w:rtl/>
        </w:rPr>
        <w:t>בהמשך לשאלות הסגורות נשאלה שאלה פתוחה על הסיבות למצבם התעסוקתי.</w:t>
      </w:r>
    </w:p>
    <w:p w14:paraId="26F03525" w14:textId="77777777" w:rsidR="00F4272C" w:rsidRPr="00EA3DC8" w:rsidRDefault="00F4272C" w:rsidP="00EA3DC8">
      <w:pPr>
        <w:spacing w:after="180" w:line="280" w:lineRule="exact"/>
        <w:jc w:val="both"/>
        <w:rPr>
          <w:sz w:val="18"/>
          <w:szCs w:val="20"/>
          <w:rtl/>
        </w:rPr>
      </w:pPr>
    </w:p>
    <w:p w14:paraId="4B8E2DA8" w14:textId="790B3F75" w:rsidR="00926914" w:rsidRDefault="00926914" w:rsidP="00EA3DC8">
      <w:pPr>
        <w:pStyle w:val="KOT5"/>
        <w:spacing w:after="0"/>
        <w:ind w:right="0"/>
        <w:rPr>
          <w:rFonts w:cs="Guttman Aharoni"/>
          <w:color w:val="00B0F0"/>
        </w:rPr>
      </w:pPr>
      <w:bookmarkStart w:id="18" w:name="_Toc76380494"/>
      <w:r w:rsidRPr="00926914">
        <w:rPr>
          <w:rFonts w:cs="Guttman Aharoni"/>
          <w:color w:val="00B0F0"/>
          <w:rtl/>
        </w:rPr>
        <w:t>מאפייני המדגם</w:t>
      </w:r>
      <w:bookmarkEnd w:id="18"/>
      <w:r w:rsidRPr="00926914">
        <w:rPr>
          <w:rFonts w:cs="Guttman Aharoni"/>
          <w:color w:val="00B0F0"/>
          <w:rtl/>
        </w:rPr>
        <w:t xml:space="preserve"> </w:t>
      </w:r>
    </w:p>
    <w:p w14:paraId="287A718E" w14:textId="50D17A30" w:rsidR="00926914" w:rsidRPr="00EA3DC8" w:rsidRDefault="00926914" w:rsidP="00EA3DC8">
      <w:pPr>
        <w:spacing w:after="180" w:line="280" w:lineRule="exact"/>
        <w:jc w:val="both"/>
        <w:rPr>
          <w:sz w:val="18"/>
          <w:szCs w:val="20"/>
        </w:rPr>
      </w:pPr>
      <w:r w:rsidRPr="00EA3DC8">
        <w:rPr>
          <w:sz w:val="18"/>
          <w:szCs w:val="20"/>
          <w:rtl/>
        </w:rPr>
        <w:t xml:space="preserve">מדגם המחקר כולל 166 משתתפים, כולם מקבלי שירות של המחלקות לשירותים חברתיים </w:t>
      </w:r>
      <w:r w:rsidRPr="00EA3DC8">
        <w:rPr>
          <w:rFonts w:hint="cs"/>
          <w:sz w:val="18"/>
          <w:szCs w:val="20"/>
          <w:rtl/>
        </w:rPr>
        <w:t>ה</w:t>
      </w:r>
      <w:r w:rsidRPr="00EA3DC8">
        <w:rPr>
          <w:sz w:val="18"/>
          <w:szCs w:val="20"/>
          <w:rtl/>
        </w:rPr>
        <w:t>חיים בעוני, לפי הגדרת קו העוני לגודל משפחה על ידי המוסד לביטוח לאומי (</w:t>
      </w:r>
      <w:proofErr w:type="spellStart"/>
      <w:r w:rsidRPr="00EA3DC8">
        <w:rPr>
          <w:sz w:val="18"/>
          <w:szCs w:val="20"/>
          <w:rtl/>
        </w:rPr>
        <w:t>אנדלבד</w:t>
      </w:r>
      <w:proofErr w:type="spellEnd"/>
      <w:r w:rsidRPr="00EA3DC8">
        <w:rPr>
          <w:sz w:val="18"/>
          <w:szCs w:val="20"/>
          <w:rtl/>
        </w:rPr>
        <w:t xml:space="preserve"> ואחרים, </w:t>
      </w:r>
      <w:r w:rsidRPr="00EA3DC8">
        <w:rPr>
          <w:rFonts w:hint="cs"/>
          <w:sz w:val="18"/>
          <w:szCs w:val="20"/>
          <w:rtl/>
        </w:rPr>
        <w:t xml:space="preserve">2017). </w:t>
      </w:r>
      <w:r w:rsidRPr="00EA3DC8">
        <w:rPr>
          <w:sz w:val="18"/>
          <w:szCs w:val="20"/>
          <w:rtl/>
        </w:rPr>
        <w:t>מרבית המשתתפים (95%) היו נשים; טווח הגילים ה</w:t>
      </w:r>
      <w:r w:rsidRPr="00EA3DC8">
        <w:rPr>
          <w:rFonts w:hint="cs"/>
          <w:sz w:val="18"/>
          <w:szCs w:val="20"/>
          <w:rtl/>
        </w:rPr>
        <w:t>יה</w:t>
      </w:r>
      <w:r w:rsidRPr="00EA3DC8">
        <w:rPr>
          <w:sz w:val="18"/>
          <w:szCs w:val="20"/>
          <w:rtl/>
        </w:rPr>
        <w:t xml:space="preserve"> 20–50, ממוצע הגיל 36.16 (</w:t>
      </w:r>
      <w:r w:rsidRPr="00EA3DC8">
        <w:rPr>
          <w:rFonts w:hint="cs"/>
          <w:sz w:val="18"/>
          <w:szCs w:val="20"/>
          <w:rtl/>
        </w:rPr>
        <w:t xml:space="preserve">סטיית תקן: </w:t>
      </w:r>
      <w:r w:rsidRPr="00EA3DC8">
        <w:rPr>
          <w:sz w:val="18"/>
          <w:szCs w:val="20"/>
          <w:rtl/>
        </w:rPr>
        <w:t>6.86); מספר הילדים הממוצע</w:t>
      </w:r>
      <w:r w:rsidRPr="00EA3DC8">
        <w:rPr>
          <w:rFonts w:hint="cs"/>
          <w:sz w:val="18"/>
          <w:szCs w:val="20"/>
          <w:rtl/>
        </w:rPr>
        <w:t xml:space="preserve"> למשפחה היה</w:t>
      </w:r>
      <w:r w:rsidRPr="00EA3DC8">
        <w:rPr>
          <w:sz w:val="18"/>
          <w:szCs w:val="20"/>
          <w:rtl/>
        </w:rPr>
        <w:t xml:space="preserve"> 3.64 (1.71); 51% חיו בזוגיות; 77% נולדו בישראל; מספר שנות הלימודים הממוצע </w:t>
      </w:r>
      <w:r w:rsidRPr="00EA3DC8">
        <w:rPr>
          <w:rFonts w:hint="cs"/>
          <w:sz w:val="18"/>
          <w:szCs w:val="20"/>
          <w:rtl/>
        </w:rPr>
        <w:t xml:space="preserve">עמד על </w:t>
      </w:r>
      <w:r w:rsidRPr="00EA3DC8">
        <w:rPr>
          <w:sz w:val="18"/>
          <w:szCs w:val="20"/>
          <w:rtl/>
        </w:rPr>
        <w:t>11.72</w:t>
      </w:r>
      <w:r w:rsidRPr="00EA3DC8">
        <w:rPr>
          <w:rFonts w:hint="cs"/>
          <w:sz w:val="18"/>
          <w:szCs w:val="20"/>
          <w:rtl/>
        </w:rPr>
        <w:t xml:space="preserve"> </w:t>
      </w:r>
      <w:r w:rsidRPr="00EA3DC8">
        <w:rPr>
          <w:sz w:val="18"/>
          <w:szCs w:val="20"/>
          <w:rtl/>
        </w:rPr>
        <w:t xml:space="preserve">(1.61); 50% </w:t>
      </w:r>
      <w:r w:rsidRPr="00EA3DC8">
        <w:rPr>
          <w:rFonts w:hint="cs"/>
          <w:sz w:val="18"/>
          <w:szCs w:val="20"/>
          <w:rtl/>
        </w:rPr>
        <w:t xml:space="preserve">דיווחו כי </w:t>
      </w:r>
      <w:r w:rsidRPr="00EA3DC8">
        <w:rPr>
          <w:sz w:val="18"/>
          <w:szCs w:val="20"/>
          <w:rtl/>
        </w:rPr>
        <w:t xml:space="preserve">הם דור ראשון </w:t>
      </w:r>
      <w:r w:rsidRPr="00EA3DC8">
        <w:rPr>
          <w:rFonts w:hint="cs"/>
          <w:sz w:val="18"/>
          <w:szCs w:val="20"/>
          <w:rtl/>
        </w:rPr>
        <w:t>למשתמשים בשירותי הרווחה</w:t>
      </w:r>
      <w:r w:rsidRPr="00EA3DC8">
        <w:rPr>
          <w:sz w:val="18"/>
          <w:szCs w:val="20"/>
          <w:rtl/>
        </w:rPr>
        <w:t>; 51% עבדו בנקודת הזמן הראשונה, מ</w:t>
      </w:r>
      <w:r w:rsidRPr="00EA3DC8">
        <w:rPr>
          <w:rFonts w:hint="cs"/>
          <w:sz w:val="18"/>
          <w:szCs w:val="20"/>
          <w:rtl/>
        </w:rPr>
        <w:t xml:space="preserve">הם </w:t>
      </w:r>
      <w:r w:rsidRPr="00EA3DC8">
        <w:rPr>
          <w:sz w:val="18"/>
          <w:szCs w:val="20"/>
          <w:rtl/>
        </w:rPr>
        <w:t>64% במשרה חלקית</w:t>
      </w:r>
      <w:r w:rsidRPr="00EA3DC8">
        <w:rPr>
          <w:rFonts w:hint="cs"/>
          <w:sz w:val="18"/>
          <w:szCs w:val="20"/>
          <w:rtl/>
        </w:rPr>
        <w:t>,</w:t>
      </w:r>
      <w:r w:rsidRPr="00EA3DC8">
        <w:rPr>
          <w:sz w:val="18"/>
          <w:szCs w:val="20"/>
          <w:rtl/>
        </w:rPr>
        <w:t xml:space="preserve"> וממוצע שעות </w:t>
      </w:r>
      <w:r w:rsidRPr="00EA3DC8">
        <w:rPr>
          <w:rFonts w:hint="cs"/>
          <w:sz w:val="18"/>
          <w:szCs w:val="20"/>
          <w:rtl/>
        </w:rPr>
        <w:t>ה</w:t>
      </w:r>
      <w:r w:rsidRPr="00EA3DC8">
        <w:rPr>
          <w:sz w:val="18"/>
          <w:szCs w:val="20"/>
          <w:rtl/>
        </w:rPr>
        <w:t>עבוד</w:t>
      </w:r>
      <w:r w:rsidRPr="00EA3DC8">
        <w:rPr>
          <w:rFonts w:hint="cs"/>
          <w:sz w:val="18"/>
          <w:szCs w:val="20"/>
          <w:rtl/>
        </w:rPr>
        <w:t xml:space="preserve">ה בשבוע </w:t>
      </w:r>
      <w:r w:rsidRPr="00EA3DC8">
        <w:rPr>
          <w:sz w:val="18"/>
          <w:szCs w:val="20"/>
          <w:rtl/>
        </w:rPr>
        <w:t>היה 26.18 שעות (12.40). העבודות השכיחות שעבדו בהן היו טיפול בקשישים (25%), טיפול בילדים (17%), ניקיון (17%), מכירות ושירותים (16%), הנהלת חשבונות ומזכירות (8%), ומקצועות היופי (5%).</w:t>
      </w:r>
    </w:p>
    <w:p w14:paraId="14EB153D" w14:textId="77777777" w:rsidR="00926914" w:rsidRPr="00EA3DC8" w:rsidRDefault="00926914" w:rsidP="00EA3DC8">
      <w:pPr>
        <w:spacing w:after="180" w:line="280" w:lineRule="exact"/>
        <w:jc w:val="both"/>
        <w:rPr>
          <w:sz w:val="18"/>
          <w:szCs w:val="20"/>
          <w:rtl/>
        </w:rPr>
      </w:pPr>
    </w:p>
    <w:p w14:paraId="7C632129" w14:textId="199A7557" w:rsidR="00926914" w:rsidRPr="00926914" w:rsidRDefault="00926914" w:rsidP="00EA3DC8">
      <w:pPr>
        <w:pStyle w:val="KOT5"/>
        <w:spacing w:after="0"/>
        <w:ind w:right="0"/>
        <w:rPr>
          <w:rFonts w:cs="Guttman Aharoni"/>
          <w:color w:val="00B0F0"/>
          <w:rtl/>
        </w:rPr>
      </w:pPr>
      <w:bookmarkStart w:id="19" w:name="_Toc76380495"/>
      <w:r w:rsidRPr="00926914">
        <w:rPr>
          <w:rFonts w:cs="Guttman Aharoni"/>
          <w:color w:val="00B0F0"/>
          <w:rtl/>
        </w:rPr>
        <w:t>ניתוח הנתונים</w:t>
      </w:r>
      <w:bookmarkEnd w:id="19"/>
      <w:r w:rsidRPr="00926914">
        <w:rPr>
          <w:rFonts w:cs="Guttman Aharoni"/>
          <w:color w:val="00B0F0"/>
          <w:rtl/>
        </w:rPr>
        <w:t xml:space="preserve"> </w:t>
      </w:r>
    </w:p>
    <w:p w14:paraId="01FC142A" w14:textId="5FE158E9" w:rsidR="00926914" w:rsidRPr="00EA3DC8" w:rsidRDefault="00926914" w:rsidP="00500A0A">
      <w:pPr>
        <w:spacing w:after="180" w:line="280" w:lineRule="exact"/>
        <w:jc w:val="both"/>
        <w:rPr>
          <w:sz w:val="18"/>
          <w:szCs w:val="20"/>
          <w:rtl/>
        </w:rPr>
      </w:pPr>
      <w:r w:rsidRPr="00EA3DC8">
        <w:rPr>
          <w:rFonts w:hint="cs"/>
          <w:sz w:val="18"/>
          <w:szCs w:val="20"/>
          <w:rtl/>
        </w:rPr>
        <w:t xml:space="preserve">בשלב הראשון </w:t>
      </w:r>
      <w:proofErr w:type="spellStart"/>
      <w:r w:rsidRPr="00EA3DC8">
        <w:rPr>
          <w:rFonts w:hint="cs"/>
          <w:sz w:val="18"/>
          <w:szCs w:val="20"/>
          <w:rtl/>
        </w:rPr>
        <w:t>אמדנו</w:t>
      </w:r>
      <w:proofErr w:type="spellEnd"/>
      <w:r w:rsidRPr="00EA3DC8">
        <w:rPr>
          <w:rFonts w:hint="cs"/>
          <w:sz w:val="18"/>
          <w:szCs w:val="20"/>
          <w:rtl/>
        </w:rPr>
        <w:t xml:space="preserve"> מודל</w:t>
      </w:r>
      <w:r w:rsidRPr="00EA3DC8">
        <w:rPr>
          <w:sz w:val="18"/>
          <w:szCs w:val="20"/>
          <w:rtl/>
        </w:rPr>
        <w:t xml:space="preserve"> רגרסיה אורדינלית</w:t>
      </w:r>
      <w:r w:rsidRPr="00EA3DC8">
        <w:rPr>
          <w:rFonts w:hint="cs"/>
          <w:sz w:val="18"/>
          <w:szCs w:val="20"/>
          <w:rtl/>
        </w:rPr>
        <w:t xml:space="preserve"> </w:t>
      </w:r>
      <w:r w:rsidRPr="00EA3DC8">
        <w:rPr>
          <w:sz w:val="18"/>
          <w:szCs w:val="20"/>
          <w:rtl/>
        </w:rPr>
        <w:t>(</w:t>
      </w:r>
      <w:r w:rsidRPr="00EA3DC8">
        <w:rPr>
          <w:rFonts w:hint="cs"/>
          <w:sz w:val="18"/>
          <w:szCs w:val="20"/>
          <w:rtl/>
        </w:rPr>
        <w:t xml:space="preserve">שבו המשתנה התלוי היה הערכה של משתתפי המחקר את מידת השתתפותם בשוק העבודה בחמש השנים שקדמו למחקר), </w:t>
      </w:r>
      <w:r w:rsidRPr="00EA3DC8">
        <w:rPr>
          <w:sz w:val="18"/>
          <w:szCs w:val="20"/>
          <w:rtl/>
        </w:rPr>
        <w:t>כיוון שמשתנה זה ה</w:t>
      </w:r>
      <w:r w:rsidR="00500A0A">
        <w:rPr>
          <w:rFonts w:hint="cs"/>
          <w:sz w:val="18"/>
          <w:szCs w:val="20"/>
          <w:rtl/>
        </w:rPr>
        <w:t>וא</w:t>
      </w:r>
      <w:r w:rsidRPr="00EA3DC8">
        <w:rPr>
          <w:sz w:val="18"/>
          <w:szCs w:val="20"/>
          <w:rtl/>
        </w:rPr>
        <w:t xml:space="preserve"> מסולם סדר (1 = כלל לא עבד; 2 = לא עבד ר</w:t>
      </w:r>
      <w:r w:rsidRPr="00EA3DC8">
        <w:rPr>
          <w:rFonts w:hint="cs"/>
          <w:sz w:val="18"/>
          <w:szCs w:val="20"/>
          <w:rtl/>
        </w:rPr>
        <w:t>ו</w:t>
      </w:r>
      <w:r w:rsidRPr="00EA3DC8">
        <w:rPr>
          <w:sz w:val="18"/>
          <w:szCs w:val="20"/>
          <w:rtl/>
        </w:rPr>
        <w:t>ב הזמן; 3 = עבד רוב הזמן; 4 = עבד כל הזמן)</w:t>
      </w:r>
      <w:r w:rsidRPr="00EA3DC8">
        <w:rPr>
          <w:rFonts w:hint="cs"/>
          <w:sz w:val="18"/>
          <w:szCs w:val="20"/>
          <w:rtl/>
        </w:rPr>
        <w:t>.</w:t>
      </w:r>
      <w:r w:rsidRPr="00EA3DC8">
        <w:rPr>
          <w:sz w:val="18"/>
          <w:szCs w:val="20"/>
          <w:rtl/>
        </w:rPr>
        <w:t xml:space="preserve"> </w:t>
      </w:r>
      <w:r w:rsidRPr="00EA3DC8">
        <w:rPr>
          <w:rFonts w:hint="cs"/>
          <w:sz w:val="18"/>
          <w:szCs w:val="20"/>
          <w:rtl/>
        </w:rPr>
        <w:t xml:space="preserve">בשלב השני </w:t>
      </w:r>
      <w:proofErr w:type="spellStart"/>
      <w:r w:rsidRPr="00EA3DC8">
        <w:rPr>
          <w:rFonts w:hint="cs"/>
          <w:sz w:val="18"/>
          <w:szCs w:val="20"/>
          <w:rtl/>
        </w:rPr>
        <w:t>אמדנו</w:t>
      </w:r>
      <w:proofErr w:type="spellEnd"/>
      <w:r w:rsidRPr="00EA3DC8">
        <w:rPr>
          <w:rFonts w:hint="cs"/>
          <w:sz w:val="18"/>
          <w:szCs w:val="20"/>
          <w:rtl/>
        </w:rPr>
        <w:t xml:space="preserve"> מודל </w:t>
      </w:r>
      <w:r w:rsidRPr="00EA3DC8">
        <w:rPr>
          <w:sz w:val="18"/>
          <w:szCs w:val="20"/>
          <w:rtl/>
        </w:rPr>
        <w:t>רגרסיה לינארית</w:t>
      </w:r>
      <w:r w:rsidRPr="00EA3DC8">
        <w:rPr>
          <w:rFonts w:hint="cs"/>
          <w:sz w:val="18"/>
          <w:szCs w:val="20"/>
          <w:rtl/>
        </w:rPr>
        <w:t xml:space="preserve"> לניבוי מספר שעות העבודה השבועיות של משתתפי המחקר. </w:t>
      </w:r>
      <w:r w:rsidRPr="00EA3DC8">
        <w:rPr>
          <w:sz w:val="18"/>
          <w:szCs w:val="20"/>
          <w:rtl/>
        </w:rPr>
        <w:t>המשתנים המנבאים</w:t>
      </w:r>
      <w:r w:rsidRPr="00EA3DC8">
        <w:rPr>
          <w:rFonts w:hint="cs"/>
          <w:sz w:val="18"/>
          <w:szCs w:val="20"/>
          <w:rtl/>
        </w:rPr>
        <w:t xml:space="preserve"> שנכללו בשני המודלים היו מאפייני הרקע של המשתתפים (</w:t>
      </w:r>
      <w:r w:rsidRPr="00EA3DC8">
        <w:rPr>
          <w:sz w:val="18"/>
          <w:szCs w:val="20"/>
          <w:rtl/>
        </w:rPr>
        <w:t>גיל, מספר ילדים, מקום לידה, מצב משפחתי, מצוקה בין-דורית</w:t>
      </w:r>
      <w:r w:rsidRPr="00EA3DC8">
        <w:rPr>
          <w:rFonts w:hint="cs"/>
          <w:sz w:val="18"/>
          <w:szCs w:val="20"/>
          <w:rtl/>
        </w:rPr>
        <w:t>), מאפייני ההון האנושי</w:t>
      </w:r>
      <w:r w:rsidR="00500A0A">
        <w:rPr>
          <w:rFonts w:hint="cs"/>
          <w:sz w:val="18"/>
          <w:szCs w:val="20"/>
          <w:rtl/>
        </w:rPr>
        <w:t>,</w:t>
      </w:r>
      <w:r w:rsidRPr="00EA3DC8">
        <w:rPr>
          <w:rFonts w:hint="cs"/>
          <w:sz w:val="18"/>
          <w:szCs w:val="20"/>
          <w:rtl/>
        </w:rPr>
        <w:t xml:space="preserve"> ומצב הבריאות</w:t>
      </w:r>
      <w:r w:rsidRPr="00EA3DC8">
        <w:rPr>
          <w:sz w:val="18"/>
          <w:szCs w:val="20"/>
          <w:rtl/>
        </w:rPr>
        <w:t xml:space="preserve"> </w:t>
      </w:r>
      <w:r w:rsidRPr="00EA3DC8">
        <w:rPr>
          <w:rFonts w:hint="cs"/>
          <w:sz w:val="18"/>
          <w:szCs w:val="20"/>
          <w:rtl/>
        </w:rPr>
        <w:t>(</w:t>
      </w:r>
      <w:r w:rsidRPr="00EA3DC8">
        <w:rPr>
          <w:sz w:val="18"/>
          <w:szCs w:val="20"/>
          <w:rtl/>
        </w:rPr>
        <w:t>שנות לימוד, הכשרה מקצועית</w:t>
      </w:r>
      <w:r w:rsidRPr="00EA3DC8">
        <w:rPr>
          <w:rFonts w:hint="cs"/>
          <w:sz w:val="18"/>
          <w:szCs w:val="20"/>
          <w:rtl/>
        </w:rPr>
        <w:t>,</w:t>
      </w:r>
      <w:r w:rsidRPr="00EA3DC8">
        <w:rPr>
          <w:sz w:val="18"/>
          <w:szCs w:val="20"/>
          <w:rtl/>
        </w:rPr>
        <w:t xml:space="preserve"> מצב </w:t>
      </w:r>
      <w:r w:rsidRPr="00EA3DC8">
        <w:rPr>
          <w:rFonts w:hint="cs"/>
          <w:sz w:val="18"/>
          <w:szCs w:val="20"/>
          <w:rtl/>
        </w:rPr>
        <w:t>הבריאות)</w:t>
      </w:r>
      <w:r w:rsidRPr="00EA3DC8">
        <w:rPr>
          <w:sz w:val="18"/>
          <w:szCs w:val="20"/>
          <w:rtl/>
        </w:rPr>
        <w:t>. לניתוח הנתונים האיכותניים השתמשנו בשיטת הניתוח הקטגוריאלי: התשובות נקראו באופן חופשי ופתוח, ונותחו לתמות עד מיצוי (</w:t>
      </w:r>
      <w:proofErr w:type="spellStart"/>
      <w:r w:rsidRPr="00EA3DC8">
        <w:rPr>
          <w:sz w:val="18"/>
          <w:szCs w:val="20"/>
          <w:rtl/>
        </w:rPr>
        <w:t>ליבליך</w:t>
      </w:r>
      <w:proofErr w:type="spellEnd"/>
      <w:r w:rsidRPr="00EA3DC8">
        <w:rPr>
          <w:sz w:val="18"/>
          <w:szCs w:val="20"/>
          <w:rtl/>
        </w:rPr>
        <w:t>, תובל-משיח וזילבר, 2010).</w:t>
      </w:r>
    </w:p>
    <w:p w14:paraId="3E9E42E2" w14:textId="77777777" w:rsidR="00926914" w:rsidRPr="00EA3DC8" w:rsidRDefault="00926914" w:rsidP="00EA3DC8">
      <w:pPr>
        <w:spacing w:after="180" w:line="280" w:lineRule="exact"/>
        <w:jc w:val="both"/>
        <w:rPr>
          <w:sz w:val="18"/>
          <w:szCs w:val="20"/>
          <w:rtl/>
        </w:rPr>
      </w:pPr>
    </w:p>
    <w:p w14:paraId="5878B7B6" w14:textId="631CDBBA" w:rsidR="00926914" w:rsidRPr="00926914" w:rsidRDefault="00926914" w:rsidP="00C44D53">
      <w:pPr>
        <w:pStyle w:val="KOT4"/>
        <w:spacing w:after="0"/>
        <w:ind w:left="397" w:right="0" w:hanging="397"/>
        <w:rPr>
          <w:rFonts w:cs="Guttman Aharoni"/>
          <w:color w:val="00B0F0"/>
          <w:sz w:val="32"/>
          <w:szCs w:val="32"/>
          <w:rtl/>
        </w:rPr>
      </w:pPr>
      <w:bookmarkStart w:id="20" w:name="_Toc76380496"/>
      <w:r w:rsidRPr="00926914">
        <w:rPr>
          <w:rFonts w:cs="Guttman Aharoni" w:hint="cs"/>
          <w:color w:val="00B0F0"/>
          <w:sz w:val="32"/>
          <w:szCs w:val="32"/>
          <w:rtl/>
        </w:rPr>
        <w:lastRenderedPageBreak/>
        <w:t>5.</w:t>
      </w:r>
      <w:r w:rsidRPr="00926914">
        <w:rPr>
          <w:rFonts w:cs="Guttman Aharoni"/>
          <w:color w:val="00B0F0"/>
          <w:sz w:val="32"/>
          <w:szCs w:val="32"/>
          <w:rtl/>
        </w:rPr>
        <w:t xml:space="preserve"> ממצאים </w:t>
      </w:r>
      <w:bookmarkEnd w:id="20"/>
    </w:p>
    <w:p w14:paraId="2A2CA945" w14:textId="77777777" w:rsidR="00926914" w:rsidRPr="00EA3DC8" w:rsidRDefault="00926914" w:rsidP="009F4991">
      <w:pPr>
        <w:spacing w:line="280" w:lineRule="exact"/>
        <w:jc w:val="both"/>
        <w:rPr>
          <w:sz w:val="18"/>
          <w:szCs w:val="20"/>
          <w:rtl/>
        </w:rPr>
      </w:pPr>
      <w:r w:rsidRPr="00EA3DC8">
        <w:rPr>
          <w:sz w:val="18"/>
          <w:szCs w:val="20"/>
          <w:rtl/>
        </w:rPr>
        <w:t xml:space="preserve">בשלב הראשון נבחנו דפוסי התעסוקה של המשתתפים </w:t>
      </w:r>
      <w:r w:rsidRPr="00EA3DC8">
        <w:rPr>
          <w:rFonts w:hint="cs"/>
          <w:sz w:val="18"/>
          <w:szCs w:val="20"/>
          <w:rtl/>
        </w:rPr>
        <w:t>על פי המצב התעסוקתי (עובד/לא עובד) בכל אחת</w:t>
      </w:r>
      <w:r w:rsidRPr="00EA3DC8">
        <w:rPr>
          <w:sz w:val="18"/>
          <w:szCs w:val="20"/>
          <w:rtl/>
        </w:rPr>
        <w:t xml:space="preserve"> </w:t>
      </w:r>
      <w:r w:rsidRPr="00EA3DC8">
        <w:rPr>
          <w:rFonts w:hint="cs"/>
          <w:sz w:val="18"/>
          <w:szCs w:val="20"/>
          <w:rtl/>
        </w:rPr>
        <w:t>מ</w:t>
      </w:r>
      <w:r w:rsidRPr="00EA3DC8">
        <w:rPr>
          <w:sz w:val="18"/>
          <w:szCs w:val="20"/>
          <w:rtl/>
        </w:rPr>
        <w:t xml:space="preserve">נקודות הזמן. </w:t>
      </w:r>
      <w:r w:rsidRPr="00EA3DC8">
        <w:rPr>
          <w:rFonts w:hint="cs"/>
          <w:sz w:val="18"/>
          <w:szCs w:val="20"/>
          <w:rtl/>
        </w:rPr>
        <w:t>בחינה זו אפשרה להגדיר</w:t>
      </w:r>
      <w:r w:rsidRPr="00EA3DC8">
        <w:rPr>
          <w:sz w:val="18"/>
          <w:szCs w:val="20"/>
          <w:rtl/>
        </w:rPr>
        <w:t xml:space="preserve"> ארבע קבוצות:</w:t>
      </w:r>
    </w:p>
    <w:p w14:paraId="0E6681FA" w14:textId="77777777" w:rsidR="00926914" w:rsidRPr="00EA3DC8" w:rsidRDefault="00926914" w:rsidP="003B6BFE">
      <w:pPr>
        <w:pStyle w:val="ListParagraph"/>
        <w:numPr>
          <w:ilvl w:val="0"/>
          <w:numId w:val="1"/>
        </w:numPr>
        <w:spacing w:after="0" w:line="280" w:lineRule="exact"/>
        <w:ind w:left="397" w:hanging="397"/>
        <w:jc w:val="both"/>
        <w:rPr>
          <w:rFonts w:ascii="Times New Roman" w:hAnsi="Times New Roman" w:cs="David"/>
          <w:sz w:val="18"/>
          <w:szCs w:val="20"/>
          <w:rtl/>
        </w:rPr>
      </w:pPr>
      <w:r w:rsidRPr="00EA3DC8">
        <w:rPr>
          <w:rFonts w:ascii="Times New Roman" w:hAnsi="Times New Roman" w:cs="David"/>
          <w:sz w:val="18"/>
          <w:szCs w:val="20"/>
          <w:rtl/>
        </w:rPr>
        <w:t>מתמידים בשוק העבודה (עבדו בשתי נקודות הזמן) – 70 משתתפים (42%)</w:t>
      </w:r>
      <w:r w:rsidRPr="00EA3DC8">
        <w:rPr>
          <w:rFonts w:ascii="Times New Roman" w:hAnsi="Times New Roman" w:cs="David" w:hint="cs"/>
          <w:sz w:val="18"/>
          <w:szCs w:val="20"/>
          <w:rtl/>
        </w:rPr>
        <w:t>;</w:t>
      </w:r>
    </w:p>
    <w:p w14:paraId="0D95195B" w14:textId="77777777" w:rsidR="00926914" w:rsidRPr="00EA3DC8" w:rsidRDefault="00926914" w:rsidP="003B6BFE">
      <w:pPr>
        <w:pStyle w:val="ListParagraph"/>
        <w:numPr>
          <w:ilvl w:val="0"/>
          <w:numId w:val="1"/>
        </w:numPr>
        <w:spacing w:after="0" w:line="280" w:lineRule="exact"/>
        <w:ind w:left="397" w:hanging="397"/>
        <w:jc w:val="both"/>
        <w:rPr>
          <w:rFonts w:ascii="Times New Roman" w:hAnsi="Times New Roman" w:cs="David"/>
          <w:sz w:val="18"/>
          <w:szCs w:val="20"/>
          <w:rtl/>
        </w:rPr>
      </w:pPr>
      <w:r w:rsidRPr="00EA3DC8">
        <w:rPr>
          <w:rFonts w:ascii="Times New Roman" w:hAnsi="Times New Roman" w:cs="David"/>
          <w:sz w:val="18"/>
          <w:szCs w:val="20"/>
          <w:rtl/>
        </w:rPr>
        <w:t>מצטרפים חדשים (עבדו רק בנקודת הזמן השנייה) – 30 משתתפים (18%)</w:t>
      </w:r>
      <w:r w:rsidRPr="00EA3DC8">
        <w:rPr>
          <w:rFonts w:ascii="Times New Roman" w:hAnsi="Times New Roman" w:cs="David" w:hint="cs"/>
          <w:sz w:val="18"/>
          <w:szCs w:val="20"/>
          <w:rtl/>
        </w:rPr>
        <w:t>;</w:t>
      </w:r>
    </w:p>
    <w:p w14:paraId="2BFA811D" w14:textId="77777777" w:rsidR="00926914" w:rsidRPr="00EA3DC8" w:rsidRDefault="00926914" w:rsidP="003B6BFE">
      <w:pPr>
        <w:pStyle w:val="ListParagraph"/>
        <w:numPr>
          <w:ilvl w:val="0"/>
          <w:numId w:val="1"/>
        </w:numPr>
        <w:spacing w:after="0" w:line="280" w:lineRule="exact"/>
        <w:ind w:left="397" w:hanging="397"/>
        <w:jc w:val="both"/>
        <w:rPr>
          <w:rFonts w:ascii="Times New Roman" w:hAnsi="Times New Roman" w:cs="David"/>
          <w:sz w:val="18"/>
          <w:szCs w:val="20"/>
          <w:rtl/>
        </w:rPr>
      </w:pPr>
      <w:r w:rsidRPr="00EA3DC8">
        <w:rPr>
          <w:rFonts w:ascii="Times New Roman" w:hAnsi="Times New Roman" w:cs="David"/>
          <w:sz w:val="18"/>
          <w:szCs w:val="20"/>
          <w:rtl/>
        </w:rPr>
        <w:t>נושרים (עבדו רק בנקודת הזמן הראשונה) – 15 משתתפים (9%)</w:t>
      </w:r>
      <w:r w:rsidRPr="00EA3DC8">
        <w:rPr>
          <w:rFonts w:ascii="Times New Roman" w:hAnsi="Times New Roman" w:cs="David" w:hint="cs"/>
          <w:sz w:val="18"/>
          <w:szCs w:val="20"/>
          <w:rtl/>
        </w:rPr>
        <w:t>;</w:t>
      </w:r>
    </w:p>
    <w:p w14:paraId="44381332" w14:textId="77777777" w:rsidR="00926914" w:rsidRPr="00EA3DC8" w:rsidRDefault="00926914" w:rsidP="00EE4D2A">
      <w:pPr>
        <w:pStyle w:val="ListParagraph"/>
        <w:numPr>
          <w:ilvl w:val="0"/>
          <w:numId w:val="1"/>
        </w:numPr>
        <w:spacing w:after="180" w:line="280" w:lineRule="exact"/>
        <w:ind w:left="397" w:hanging="397"/>
        <w:jc w:val="both"/>
        <w:rPr>
          <w:rFonts w:ascii="Times New Roman" w:hAnsi="Times New Roman" w:cs="David"/>
          <w:sz w:val="18"/>
          <w:szCs w:val="20"/>
          <w:rtl/>
        </w:rPr>
      </w:pPr>
      <w:r w:rsidRPr="00EA3DC8">
        <w:rPr>
          <w:rFonts w:ascii="Times New Roman" w:hAnsi="Times New Roman" w:cs="David"/>
          <w:sz w:val="18"/>
          <w:szCs w:val="20"/>
          <w:rtl/>
        </w:rPr>
        <w:t>בלתי-מועסקים (לא עבדו כלל בשתי נקודות הזמן) – 51 משתתפים (31%).</w:t>
      </w:r>
    </w:p>
    <w:p w14:paraId="364540F4" w14:textId="58255174" w:rsidR="00926914" w:rsidRDefault="00926914" w:rsidP="00EA3DC8">
      <w:pPr>
        <w:spacing w:after="180" w:line="280" w:lineRule="exact"/>
        <w:jc w:val="both"/>
        <w:rPr>
          <w:sz w:val="18"/>
          <w:szCs w:val="20"/>
          <w:rtl/>
        </w:rPr>
      </w:pPr>
      <w:r w:rsidRPr="00EA3DC8">
        <w:rPr>
          <w:sz w:val="18"/>
          <w:szCs w:val="20"/>
          <w:rtl/>
        </w:rPr>
        <w:t xml:space="preserve">לפיכך השערת המחקר הראשונה, </w:t>
      </w:r>
      <w:r w:rsidRPr="00EA3DC8">
        <w:rPr>
          <w:rFonts w:hint="cs"/>
          <w:sz w:val="18"/>
          <w:szCs w:val="20"/>
          <w:rtl/>
        </w:rPr>
        <w:t>ש</w:t>
      </w:r>
      <w:r w:rsidRPr="00EA3DC8">
        <w:rPr>
          <w:sz w:val="18"/>
          <w:szCs w:val="20"/>
          <w:rtl/>
        </w:rPr>
        <w:t>לפיה מרבית המשתתפים יעבדו רק באחת מנקודות הזמן, לא אוששה</w:t>
      </w:r>
      <w:r w:rsidRPr="00EA3DC8">
        <w:rPr>
          <w:rFonts w:hint="cs"/>
          <w:sz w:val="18"/>
          <w:szCs w:val="20"/>
          <w:rtl/>
        </w:rPr>
        <w:t>,</w:t>
      </w:r>
      <w:r w:rsidRPr="00EA3DC8">
        <w:rPr>
          <w:sz w:val="18"/>
          <w:szCs w:val="20"/>
          <w:rtl/>
        </w:rPr>
        <w:t xml:space="preserve"> מאחר </w:t>
      </w:r>
      <w:r w:rsidRPr="00EA3DC8">
        <w:rPr>
          <w:rFonts w:hint="cs"/>
          <w:sz w:val="18"/>
          <w:szCs w:val="20"/>
          <w:rtl/>
        </w:rPr>
        <w:t>ש</w:t>
      </w:r>
      <w:r w:rsidRPr="00EA3DC8">
        <w:rPr>
          <w:sz w:val="18"/>
          <w:szCs w:val="20"/>
          <w:rtl/>
        </w:rPr>
        <w:t>מרבית המשתתפים נחלקו בין מי שעבדו בשתי נקודות הזמן ל</w:t>
      </w:r>
      <w:r w:rsidRPr="00EA3DC8">
        <w:rPr>
          <w:rFonts w:hint="cs"/>
          <w:sz w:val="18"/>
          <w:szCs w:val="20"/>
          <w:rtl/>
        </w:rPr>
        <w:t xml:space="preserve">בין </w:t>
      </w:r>
      <w:r w:rsidRPr="00EA3DC8">
        <w:rPr>
          <w:sz w:val="18"/>
          <w:szCs w:val="20"/>
          <w:rtl/>
        </w:rPr>
        <w:t>מי שלא עבדו</w:t>
      </w:r>
      <w:r w:rsidRPr="00EA3DC8">
        <w:rPr>
          <w:rFonts w:hint="cs"/>
          <w:sz w:val="18"/>
          <w:szCs w:val="20"/>
          <w:rtl/>
        </w:rPr>
        <w:t xml:space="preserve"> כלל,</w:t>
      </w:r>
      <w:r w:rsidRPr="00EA3DC8">
        <w:rPr>
          <w:sz w:val="18"/>
          <w:szCs w:val="20"/>
          <w:rtl/>
        </w:rPr>
        <w:t xml:space="preserve"> בשתי נקודות הזמן.</w:t>
      </w:r>
    </w:p>
    <w:p w14:paraId="2AB2B472" w14:textId="77777777" w:rsidR="00F4272C" w:rsidRDefault="00F4272C" w:rsidP="00EA3DC8">
      <w:pPr>
        <w:spacing w:after="180" w:line="280" w:lineRule="exact"/>
        <w:jc w:val="both"/>
        <w:rPr>
          <w:sz w:val="18"/>
          <w:szCs w:val="20"/>
          <w:rtl/>
        </w:rPr>
      </w:pPr>
    </w:p>
    <w:p w14:paraId="19D997AD" w14:textId="1BCC759F" w:rsidR="00926914" w:rsidRPr="00926914" w:rsidRDefault="00926914" w:rsidP="00EA3DC8">
      <w:pPr>
        <w:pStyle w:val="KOT5"/>
        <w:spacing w:after="0"/>
        <w:ind w:right="0"/>
        <w:rPr>
          <w:rFonts w:cs="Guttman Aharoni"/>
          <w:color w:val="00B0F0"/>
          <w:rtl/>
        </w:rPr>
      </w:pPr>
      <w:bookmarkStart w:id="21" w:name="_Toc76380497"/>
      <w:r w:rsidRPr="00926914">
        <w:rPr>
          <w:rFonts w:cs="Guttman Aharoni"/>
          <w:color w:val="00B0F0"/>
          <w:rtl/>
        </w:rPr>
        <w:t>גורמים המנבאים את מידת ההשתתפות בשוק העבודה במשך חמש שנים</w:t>
      </w:r>
      <w:bookmarkEnd w:id="21"/>
      <w:r w:rsidRPr="00926914">
        <w:rPr>
          <w:rFonts w:cs="Guttman Aharoni"/>
          <w:color w:val="00B0F0"/>
          <w:rtl/>
        </w:rPr>
        <w:t xml:space="preserve"> </w:t>
      </w:r>
    </w:p>
    <w:p w14:paraId="4E5363E4" w14:textId="04D72339" w:rsidR="00926914" w:rsidRPr="00EA3DC8" w:rsidRDefault="00926914" w:rsidP="00DE6531">
      <w:pPr>
        <w:spacing w:after="180" w:line="280" w:lineRule="exact"/>
        <w:jc w:val="both"/>
        <w:rPr>
          <w:sz w:val="18"/>
          <w:szCs w:val="20"/>
          <w:rtl/>
        </w:rPr>
      </w:pPr>
      <w:r w:rsidRPr="00EA3DC8">
        <w:rPr>
          <w:sz w:val="18"/>
          <w:szCs w:val="20"/>
          <w:rtl/>
        </w:rPr>
        <w:t xml:space="preserve">לפי השערת המחקר השנייה יימצא קשר בין </w:t>
      </w:r>
      <w:r w:rsidRPr="00EA3DC8">
        <w:rPr>
          <w:rFonts w:hint="cs"/>
          <w:sz w:val="18"/>
          <w:szCs w:val="20"/>
          <w:rtl/>
        </w:rPr>
        <w:t>מאפייני הרקע, ההון האנושי ומצב הבריאות</w:t>
      </w:r>
      <w:r w:rsidRPr="00EA3DC8">
        <w:rPr>
          <w:sz w:val="18"/>
          <w:szCs w:val="20"/>
          <w:rtl/>
        </w:rPr>
        <w:t xml:space="preserve"> של המשתתפים לבין מידת השתתפותם בשוק העבודה בחמש השנים שקדמו להשתתפותם במחקר. מדד ההתאמה של המודל נמצא טוב</w:t>
      </w:r>
      <w:r w:rsidR="00DE6531">
        <w:rPr>
          <w:rFonts w:hint="cs"/>
          <w:sz w:val="18"/>
          <w:szCs w:val="20"/>
          <w:rtl/>
        </w:rPr>
        <w:t xml:space="preserve"> (</w:t>
      </w:r>
      <w:r w:rsidRPr="00EA3DC8">
        <w:rPr>
          <w:sz w:val="18"/>
          <w:szCs w:val="20"/>
        </w:rPr>
        <w:t>Deviance χ</w:t>
      </w:r>
      <w:r w:rsidRPr="00EA3DC8">
        <w:rPr>
          <w:sz w:val="18"/>
          <w:szCs w:val="20"/>
          <w:vertAlign w:val="superscript"/>
        </w:rPr>
        <w:t>2</w:t>
      </w:r>
      <w:r w:rsidRPr="00EA3DC8">
        <w:rPr>
          <w:sz w:val="18"/>
          <w:szCs w:val="20"/>
        </w:rPr>
        <w:t xml:space="preserve">(444) = 365.06, </w:t>
      </w:r>
      <w:r w:rsidRPr="00EA3DC8">
        <w:rPr>
          <w:i/>
          <w:iCs/>
          <w:sz w:val="18"/>
          <w:szCs w:val="20"/>
        </w:rPr>
        <w:t>p</w:t>
      </w:r>
      <w:r w:rsidRPr="00EA3DC8">
        <w:rPr>
          <w:sz w:val="18"/>
          <w:szCs w:val="20"/>
        </w:rPr>
        <w:t xml:space="preserve"> = .997</w:t>
      </w:r>
      <w:r w:rsidR="00DE6531">
        <w:rPr>
          <w:rFonts w:hint="cs"/>
          <w:sz w:val="18"/>
          <w:szCs w:val="20"/>
          <w:rtl/>
        </w:rPr>
        <w:t>)</w:t>
      </w:r>
      <w:r w:rsidRPr="00EA3DC8">
        <w:rPr>
          <w:sz w:val="18"/>
          <w:szCs w:val="20"/>
          <w:rtl/>
        </w:rPr>
        <w:t xml:space="preserve">. כמו כן, המודל נמצא </w:t>
      </w:r>
      <w:r w:rsidR="00DE6531">
        <w:rPr>
          <w:rFonts w:hint="cs"/>
          <w:sz w:val="18"/>
          <w:szCs w:val="20"/>
          <w:rtl/>
        </w:rPr>
        <w:t xml:space="preserve"> מובהק </w:t>
      </w:r>
      <w:r w:rsidR="00DE6531" w:rsidRPr="00907B78">
        <w:rPr>
          <w:sz w:val="18"/>
          <w:szCs w:val="18"/>
          <w:rtl/>
        </w:rPr>
        <w:t>(</w:t>
      </w:r>
      <w:r w:rsidR="00DE6531" w:rsidRPr="00907B78">
        <w:rPr>
          <w:sz w:val="18"/>
          <w:szCs w:val="18"/>
        </w:rPr>
        <w:t>-2LL = 365.06,</w:t>
      </w:r>
      <w:r w:rsidR="00DE6531" w:rsidRPr="00907B78">
        <w:rPr>
          <w:i/>
          <w:iCs/>
          <w:sz w:val="18"/>
          <w:szCs w:val="18"/>
        </w:rPr>
        <w:t xml:space="preserve"> </w:t>
      </w:r>
      <w:r w:rsidR="00DE6531" w:rsidRPr="00907B78">
        <w:rPr>
          <w:rFonts w:ascii="Calibri" w:hAnsi="Calibri" w:cs="Calibri"/>
          <w:sz w:val="18"/>
          <w:szCs w:val="18"/>
        </w:rPr>
        <w:t>χ</w:t>
      </w:r>
      <w:r w:rsidR="00DE6531" w:rsidRPr="00907B78">
        <w:rPr>
          <w:sz w:val="18"/>
          <w:szCs w:val="18"/>
          <w:vertAlign w:val="superscript"/>
        </w:rPr>
        <w:t>2</w:t>
      </w:r>
      <w:r w:rsidR="00DE6531" w:rsidRPr="00907B78">
        <w:rPr>
          <w:sz w:val="18"/>
          <w:szCs w:val="18"/>
        </w:rPr>
        <w:t xml:space="preserve">(9) = 46.73, </w:t>
      </w:r>
      <w:r w:rsidR="00DE6531" w:rsidRPr="00907B78">
        <w:rPr>
          <w:i/>
          <w:iCs/>
          <w:sz w:val="18"/>
          <w:szCs w:val="18"/>
        </w:rPr>
        <w:t>p</w:t>
      </w:r>
      <w:r w:rsidR="00DE6531" w:rsidRPr="00907B78">
        <w:rPr>
          <w:sz w:val="18"/>
          <w:szCs w:val="18"/>
        </w:rPr>
        <w:t xml:space="preserve"> &lt; .001</w:t>
      </w:r>
      <w:r w:rsidR="00DE6531">
        <w:rPr>
          <w:rFonts w:hint="cs"/>
          <w:rtl/>
        </w:rPr>
        <w:t>)</w:t>
      </w:r>
      <w:r w:rsidR="00DE6531">
        <w:rPr>
          <w:rFonts w:hint="cs"/>
          <w:sz w:val="18"/>
          <w:szCs w:val="20"/>
          <w:rtl/>
        </w:rPr>
        <w:t>, וחל בו שיפור בהשוואה ל</w:t>
      </w:r>
      <w:r w:rsidR="00DE6531" w:rsidRPr="00EA3DC8">
        <w:rPr>
          <w:sz w:val="18"/>
          <w:szCs w:val="20"/>
          <w:rtl/>
        </w:rPr>
        <w:t xml:space="preserve">מודל </w:t>
      </w:r>
      <w:r w:rsidR="00DE6531" w:rsidRPr="00D833B8">
        <w:rPr>
          <w:sz w:val="18"/>
          <w:szCs w:val="20"/>
          <w:rtl/>
        </w:rPr>
        <w:t xml:space="preserve">ללא </w:t>
      </w:r>
      <w:r w:rsidR="00DE6531" w:rsidRPr="006A0435">
        <w:rPr>
          <w:sz w:val="18"/>
          <w:szCs w:val="20"/>
          <w:rtl/>
        </w:rPr>
        <w:t>מנבאים</w:t>
      </w:r>
      <w:r w:rsidR="00DE6531" w:rsidRPr="006A0435">
        <w:rPr>
          <w:rFonts w:hint="cs"/>
          <w:sz w:val="18"/>
          <w:szCs w:val="20"/>
          <w:rtl/>
        </w:rPr>
        <w:t xml:space="preserve"> </w:t>
      </w:r>
      <w:r w:rsidR="00DE6531" w:rsidRPr="00907B78">
        <w:rPr>
          <w:sz w:val="18"/>
          <w:szCs w:val="18"/>
          <w:rtl/>
        </w:rPr>
        <w:t>(</w:t>
      </w:r>
      <w:r w:rsidR="00DE6531" w:rsidRPr="00907B78">
        <w:rPr>
          <w:sz w:val="18"/>
          <w:szCs w:val="18"/>
        </w:rPr>
        <w:t>-2LL = 428.28</w:t>
      </w:r>
      <w:r w:rsidR="00DE6531" w:rsidRPr="00D833B8">
        <w:rPr>
          <w:rFonts w:hint="cs"/>
          <w:rtl/>
        </w:rPr>
        <w:t xml:space="preserve">). </w:t>
      </w:r>
      <w:r w:rsidRPr="009F4991">
        <w:rPr>
          <w:sz w:val="18"/>
          <w:szCs w:val="20"/>
          <w:rtl/>
        </w:rPr>
        <w:t>נוסף</w:t>
      </w:r>
      <w:r w:rsidRPr="00EA3DC8">
        <w:rPr>
          <w:rFonts w:hint="cs"/>
          <w:sz w:val="18"/>
          <w:szCs w:val="20"/>
          <w:rtl/>
        </w:rPr>
        <w:t xml:space="preserve"> על כך</w:t>
      </w:r>
      <w:r w:rsidRPr="00EA3DC8">
        <w:rPr>
          <w:sz w:val="18"/>
          <w:szCs w:val="20"/>
          <w:rtl/>
        </w:rPr>
        <w:t xml:space="preserve">, מודל זה הסביר 28% מהשונות </w:t>
      </w:r>
      <w:r w:rsidRPr="00EA3DC8">
        <w:rPr>
          <w:rFonts w:hint="cs"/>
          <w:sz w:val="18"/>
          <w:szCs w:val="20"/>
          <w:rtl/>
        </w:rPr>
        <w:t>ב</w:t>
      </w:r>
      <w:r w:rsidRPr="00EA3DC8">
        <w:rPr>
          <w:sz w:val="18"/>
          <w:szCs w:val="20"/>
          <w:rtl/>
        </w:rPr>
        <w:t>מידת השתתפותם בשוק העבודה במשך חמש שנים (</w:t>
      </w:r>
      <w:proofErr w:type="spellStart"/>
      <w:r w:rsidRPr="00EA3DC8">
        <w:rPr>
          <w:sz w:val="18"/>
          <w:szCs w:val="20"/>
        </w:rPr>
        <w:t>Nagelkerke</w:t>
      </w:r>
      <w:proofErr w:type="spellEnd"/>
      <w:r w:rsidRPr="00EA3DC8">
        <w:rPr>
          <w:i/>
          <w:iCs/>
          <w:sz w:val="18"/>
          <w:szCs w:val="20"/>
        </w:rPr>
        <w:t xml:space="preserve"> R</w:t>
      </w:r>
      <w:r w:rsidRPr="00EA3DC8">
        <w:rPr>
          <w:sz w:val="18"/>
          <w:szCs w:val="20"/>
          <w:vertAlign w:val="superscript"/>
        </w:rPr>
        <w:t>2</w:t>
      </w:r>
      <w:r w:rsidRPr="00EA3DC8">
        <w:rPr>
          <w:i/>
          <w:iCs/>
          <w:sz w:val="18"/>
          <w:szCs w:val="20"/>
        </w:rPr>
        <w:t xml:space="preserve"> </w:t>
      </w:r>
      <w:r w:rsidRPr="00EA3DC8">
        <w:rPr>
          <w:sz w:val="18"/>
          <w:szCs w:val="20"/>
        </w:rPr>
        <w:t>= .28</w:t>
      </w:r>
      <w:r w:rsidRPr="00EA3DC8">
        <w:rPr>
          <w:sz w:val="18"/>
          <w:szCs w:val="20"/>
          <w:rtl/>
        </w:rPr>
        <w:t xml:space="preserve">). מבין המשתנים שנבדקו נמצאה תרומה מובהקת </w:t>
      </w:r>
      <w:r w:rsidRPr="00EA3DC8">
        <w:rPr>
          <w:rFonts w:hint="cs"/>
          <w:sz w:val="18"/>
          <w:szCs w:val="20"/>
          <w:rtl/>
        </w:rPr>
        <w:t>ל</w:t>
      </w:r>
      <w:r w:rsidRPr="00EA3DC8">
        <w:rPr>
          <w:sz w:val="18"/>
          <w:szCs w:val="20"/>
          <w:rtl/>
        </w:rPr>
        <w:t xml:space="preserve">מספר </w:t>
      </w:r>
      <w:r w:rsidRPr="00EA3DC8">
        <w:rPr>
          <w:rFonts w:hint="cs"/>
          <w:sz w:val="18"/>
          <w:szCs w:val="20"/>
          <w:rtl/>
        </w:rPr>
        <w:t>ה</w:t>
      </w:r>
      <w:r w:rsidRPr="00EA3DC8">
        <w:rPr>
          <w:sz w:val="18"/>
          <w:szCs w:val="20"/>
          <w:rtl/>
        </w:rPr>
        <w:t xml:space="preserve">ילדים, </w:t>
      </w:r>
      <w:r w:rsidRPr="00EA3DC8">
        <w:rPr>
          <w:rFonts w:hint="cs"/>
          <w:sz w:val="18"/>
          <w:szCs w:val="20"/>
          <w:rtl/>
        </w:rPr>
        <w:t>ל</w:t>
      </w:r>
      <w:r w:rsidRPr="00EA3DC8">
        <w:rPr>
          <w:sz w:val="18"/>
          <w:szCs w:val="20"/>
          <w:rtl/>
        </w:rPr>
        <w:t xml:space="preserve">מקום </w:t>
      </w:r>
      <w:r w:rsidRPr="00EA3DC8">
        <w:rPr>
          <w:rFonts w:hint="cs"/>
          <w:sz w:val="18"/>
          <w:szCs w:val="20"/>
          <w:rtl/>
        </w:rPr>
        <w:t>ה</w:t>
      </w:r>
      <w:r w:rsidRPr="00EA3DC8">
        <w:rPr>
          <w:sz w:val="18"/>
          <w:szCs w:val="20"/>
          <w:rtl/>
        </w:rPr>
        <w:t xml:space="preserve">לידה, </w:t>
      </w:r>
      <w:r w:rsidRPr="00EA3DC8">
        <w:rPr>
          <w:rFonts w:hint="cs"/>
          <w:sz w:val="18"/>
          <w:szCs w:val="20"/>
          <w:rtl/>
        </w:rPr>
        <w:t>ל</w:t>
      </w:r>
      <w:r w:rsidRPr="00EA3DC8">
        <w:rPr>
          <w:sz w:val="18"/>
          <w:szCs w:val="20"/>
          <w:rtl/>
        </w:rPr>
        <w:t xml:space="preserve">מצוקה </w:t>
      </w:r>
      <w:r w:rsidRPr="00EA3DC8">
        <w:rPr>
          <w:rFonts w:hint="cs"/>
          <w:sz w:val="18"/>
          <w:szCs w:val="20"/>
          <w:rtl/>
        </w:rPr>
        <w:t>ה</w:t>
      </w:r>
      <w:r w:rsidRPr="00EA3DC8">
        <w:rPr>
          <w:sz w:val="18"/>
          <w:szCs w:val="20"/>
          <w:rtl/>
        </w:rPr>
        <w:t xml:space="preserve">בין-דורית, </w:t>
      </w:r>
      <w:r w:rsidRPr="00EA3DC8">
        <w:rPr>
          <w:rFonts w:hint="cs"/>
          <w:sz w:val="18"/>
          <w:szCs w:val="20"/>
          <w:rtl/>
        </w:rPr>
        <w:t>ל</w:t>
      </w:r>
      <w:r w:rsidRPr="00EA3DC8">
        <w:rPr>
          <w:sz w:val="18"/>
          <w:szCs w:val="20"/>
          <w:rtl/>
        </w:rPr>
        <w:t xml:space="preserve">הכשרה </w:t>
      </w:r>
      <w:r w:rsidRPr="00EA3DC8">
        <w:rPr>
          <w:rFonts w:hint="cs"/>
          <w:sz w:val="18"/>
          <w:szCs w:val="20"/>
          <w:rtl/>
        </w:rPr>
        <w:t>ה</w:t>
      </w:r>
      <w:r w:rsidRPr="00EA3DC8">
        <w:rPr>
          <w:sz w:val="18"/>
          <w:szCs w:val="20"/>
          <w:rtl/>
        </w:rPr>
        <w:t>מקצועית ו</w:t>
      </w:r>
      <w:r w:rsidRPr="00EA3DC8">
        <w:rPr>
          <w:rFonts w:hint="cs"/>
          <w:sz w:val="18"/>
          <w:szCs w:val="20"/>
          <w:rtl/>
        </w:rPr>
        <w:t>ל</w:t>
      </w:r>
      <w:r w:rsidRPr="00EA3DC8">
        <w:rPr>
          <w:sz w:val="18"/>
          <w:szCs w:val="20"/>
          <w:rtl/>
        </w:rPr>
        <w:t xml:space="preserve">מצב </w:t>
      </w:r>
      <w:r w:rsidRPr="00EA3DC8">
        <w:rPr>
          <w:rFonts w:hint="cs"/>
          <w:sz w:val="18"/>
          <w:szCs w:val="20"/>
          <w:rtl/>
        </w:rPr>
        <w:t>ה</w:t>
      </w:r>
      <w:r w:rsidRPr="00EA3DC8">
        <w:rPr>
          <w:sz w:val="18"/>
          <w:szCs w:val="20"/>
          <w:rtl/>
        </w:rPr>
        <w:t xml:space="preserve">בריאות. </w:t>
      </w:r>
      <w:r w:rsidRPr="00EA3DC8">
        <w:rPr>
          <w:rFonts w:hint="cs"/>
          <w:sz w:val="18"/>
          <w:szCs w:val="20"/>
          <w:rtl/>
        </w:rPr>
        <w:t xml:space="preserve">למשתתפים בעלי </w:t>
      </w:r>
      <w:r w:rsidRPr="00EA3DC8">
        <w:rPr>
          <w:sz w:val="18"/>
          <w:szCs w:val="20"/>
          <w:rtl/>
        </w:rPr>
        <w:t xml:space="preserve">מספר </w:t>
      </w:r>
      <w:r w:rsidRPr="00EA3DC8">
        <w:rPr>
          <w:rFonts w:hint="cs"/>
          <w:sz w:val="18"/>
          <w:szCs w:val="20"/>
          <w:rtl/>
        </w:rPr>
        <w:t xml:space="preserve">מועט יותר של </w:t>
      </w:r>
      <w:r w:rsidRPr="00EA3DC8">
        <w:rPr>
          <w:sz w:val="18"/>
          <w:szCs w:val="20"/>
          <w:rtl/>
        </w:rPr>
        <w:t xml:space="preserve">ילדים, </w:t>
      </w:r>
      <w:r w:rsidRPr="00EA3DC8">
        <w:rPr>
          <w:rFonts w:hint="cs"/>
          <w:sz w:val="18"/>
          <w:szCs w:val="20"/>
          <w:rtl/>
        </w:rPr>
        <w:t>אלה שארץ לידתם אינה ישראל</w:t>
      </w:r>
      <w:r w:rsidRPr="00EA3DC8">
        <w:rPr>
          <w:sz w:val="18"/>
          <w:szCs w:val="20"/>
          <w:rtl/>
        </w:rPr>
        <w:t xml:space="preserve">, </w:t>
      </w:r>
      <w:r w:rsidRPr="00EA3DC8">
        <w:rPr>
          <w:rFonts w:hint="cs"/>
          <w:sz w:val="18"/>
          <w:szCs w:val="20"/>
          <w:rtl/>
        </w:rPr>
        <w:t xml:space="preserve">משתתפים שהם </w:t>
      </w:r>
      <w:r w:rsidRPr="00EA3DC8">
        <w:rPr>
          <w:sz w:val="18"/>
          <w:szCs w:val="20"/>
          <w:rtl/>
        </w:rPr>
        <w:t>דור ראשון</w:t>
      </w:r>
      <w:r w:rsidRPr="00EA3DC8">
        <w:rPr>
          <w:rFonts w:hint="cs"/>
          <w:sz w:val="18"/>
          <w:szCs w:val="20"/>
          <w:rtl/>
        </w:rPr>
        <w:t xml:space="preserve"> בטיפול שירותי</w:t>
      </w:r>
      <w:r w:rsidRPr="00EA3DC8">
        <w:rPr>
          <w:sz w:val="18"/>
          <w:szCs w:val="20"/>
          <w:rtl/>
        </w:rPr>
        <w:t xml:space="preserve"> </w:t>
      </w:r>
      <w:r w:rsidRPr="00EA3DC8">
        <w:rPr>
          <w:rFonts w:hint="cs"/>
          <w:sz w:val="18"/>
          <w:szCs w:val="20"/>
          <w:rtl/>
        </w:rPr>
        <w:t>ה</w:t>
      </w:r>
      <w:r w:rsidRPr="00EA3DC8">
        <w:rPr>
          <w:sz w:val="18"/>
          <w:szCs w:val="20"/>
          <w:rtl/>
        </w:rPr>
        <w:t>רווחה, בעל</w:t>
      </w:r>
      <w:r w:rsidRPr="00EA3DC8">
        <w:rPr>
          <w:rFonts w:hint="cs"/>
          <w:sz w:val="18"/>
          <w:szCs w:val="20"/>
          <w:rtl/>
        </w:rPr>
        <w:t>י</w:t>
      </w:r>
      <w:r w:rsidRPr="00EA3DC8">
        <w:rPr>
          <w:sz w:val="18"/>
          <w:szCs w:val="20"/>
          <w:rtl/>
        </w:rPr>
        <w:t xml:space="preserve"> הכשרה מקצועית ו</w:t>
      </w:r>
      <w:r w:rsidRPr="00EA3DC8">
        <w:rPr>
          <w:rFonts w:hint="cs"/>
          <w:sz w:val="18"/>
          <w:szCs w:val="20"/>
          <w:rtl/>
        </w:rPr>
        <w:t>מי שדיווחו כי מצב בריאותם טוב יותר</w:t>
      </w:r>
      <w:r w:rsidRPr="00EA3DC8">
        <w:rPr>
          <w:sz w:val="18"/>
          <w:szCs w:val="20"/>
          <w:rtl/>
        </w:rPr>
        <w:t xml:space="preserve"> </w:t>
      </w:r>
      <w:r w:rsidRPr="00EA3DC8">
        <w:rPr>
          <w:rFonts w:hint="cs"/>
          <w:sz w:val="18"/>
          <w:szCs w:val="20"/>
          <w:rtl/>
        </w:rPr>
        <w:t>יש סיכוי גבוה יותר ל</w:t>
      </w:r>
      <w:r w:rsidRPr="00EA3DC8">
        <w:rPr>
          <w:sz w:val="18"/>
          <w:szCs w:val="20"/>
          <w:rtl/>
        </w:rPr>
        <w:t xml:space="preserve">השתתפות רבה יותר בשוק העבודה במשך חמש </w:t>
      </w:r>
      <w:r w:rsidRPr="00EA3DC8">
        <w:rPr>
          <w:rFonts w:hint="cs"/>
          <w:sz w:val="18"/>
          <w:szCs w:val="20"/>
          <w:rtl/>
        </w:rPr>
        <w:t>ה</w:t>
      </w:r>
      <w:r w:rsidRPr="00EA3DC8">
        <w:rPr>
          <w:sz w:val="18"/>
          <w:szCs w:val="20"/>
          <w:rtl/>
        </w:rPr>
        <w:t>שנים</w:t>
      </w:r>
      <w:r w:rsidRPr="00EA3DC8">
        <w:rPr>
          <w:rFonts w:hint="cs"/>
          <w:sz w:val="18"/>
          <w:szCs w:val="20"/>
          <w:rtl/>
        </w:rPr>
        <w:t xml:space="preserve"> שקדמו למחקר</w:t>
      </w:r>
      <w:r w:rsidRPr="00EA3DC8">
        <w:rPr>
          <w:sz w:val="18"/>
          <w:szCs w:val="20"/>
          <w:rtl/>
        </w:rPr>
        <w:t xml:space="preserve"> (לוח 1). מכאן </w:t>
      </w:r>
      <w:r w:rsidRPr="00EA3DC8">
        <w:rPr>
          <w:rFonts w:hint="cs"/>
          <w:sz w:val="18"/>
          <w:szCs w:val="20"/>
          <w:rtl/>
        </w:rPr>
        <w:t>ש</w:t>
      </w:r>
      <w:r w:rsidRPr="00EA3DC8">
        <w:rPr>
          <w:sz w:val="18"/>
          <w:szCs w:val="20"/>
          <w:rtl/>
        </w:rPr>
        <w:t>השערת המחקר אוששה</w:t>
      </w:r>
      <w:r w:rsidRPr="00EA3DC8">
        <w:rPr>
          <w:rFonts w:hint="cs"/>
          <w:sz w:val="18"/>
          <w:szCs w:val="20"/>
          <w:rtl/>
        </w:rPr>
        <w:t>.</w:t>
      </w:r>
    </w:p>
    <w:p w14:paraId="792DF812" w14:textId="77777777" w:rsidR="00F4272C" w:rsidRPr="00EA3DC8" w:rsidRDefault="00F4272C" w:rsidP="00F4272C">
      <w:pPr>
        <w:spacing w:after="180" w:line="280" w:lineRule="exact"/>
        <w:jc w:val="both"/>
        <w:rPr>
          <w:sz w:val="18"/>
          <w:szCs w:val="20"/>
          <w:rtl/>
        </w:rPr>
      </w:pPr>
      <w:bookmarkStart w:id="22" w:name="_Toc76380498"/>
      <w:r w:rsidRPr="00EA3DC8">
        <w:rPr>
          <w:sz w:val="18"/>
          <w:szCs w:val="20"/>
          <w:rtl/>
        </w:rPr>
        <w:t xml:space="preserve">השערת המחקר השלישית גרסה כי יימצא קשר בין </w:t>
      </w:r>
      <w:r w:rsidRPr="00EA3DC8">
        <w:rPr>
          <w:rFonts w:hint="cs"/>
          <w:sz w:val="18"/>
          <w:szCs w:val="20"/>
          <w:rtl/>
        </w:rPr>
        <w:t>מאפייני הרקע, ההון האנושי ומצב הבריאות</w:t>
      </w:r>
      <w:r w:rsidRPr="00EA3DC8">
        <w:rPr>
          <w:sz w:val="18"/>
          <w:szCs w:val="20"/>
          <w:rtl/>
        </w:rPr>
        <w:t xml:space="preserve"> של המשתתפים לבין מספר שעות עבודתם השבועיות. </w:t>
      </w:r>
      <w:r w:rsidRPr="00EA3DC8">
        <w:rPr>
          <w:rFonts w:hint="cs"/>
          <w:sz w:val="18"/>
          <w:szCs w:val="20"/>
          <w:rtl/>
        </w:rPr>
        <w:t xml:space="preserve">כדי </w:t>
      </w:r>
      <w:r w:rsidRPr="00EA3DC8">
        <w:rPr>
          <w:sz w:val="18"/>
          <w:szCs w:val="20"/>
          <w:rtl/>
        </w:rPr>
        <w:t>לבחון את ההשערה נערך ניתוח רגרסיה לינארית מרובה (</w:t>
      </w:r>
      <w:r w:rsidRPr="00EA3DC8">
        <w:rPr>
          <w:sz w:val="18"/>
          <w:szCs w:val="20"/>
        </w:rPr>
        <w:t>Multiple linear regression</w:t>
      </w:r>
      <w:r w:rsidRPr="00EA3DC8">
        <w:rPr>
          <w:sz w:val="18"/>
          <w:szCs w:val="20"/>
          <w:rtl/>
        </w:rPr>
        <w:t>) לניבוי מספר שעות העבודה השבועיות בקרב כלל המשתתפים שעבדו בנקודת הזמן השנייה. המודל נמצא מובהק</w:t>
      </w:r>
      <w:r>
        <w:rPr>
          <w:rFonts w:hint="cs"/>
          <w:sz w:val="18"/>
          <w:szCs w:val="20"/>
          <w:rtl/>
        </w:rPr>
        <w:t xml:space="preserve"> </w:t>
      </w:r>
      <w:r>
        <w:rPr>
          <w:sz w:val="18"/>
          <w:szCs w:val="20"/>
        </w:rPr>
        <w:br/>
      </w:r>
      <w:r>
        <w:rPr>
          <w:rFonts w:hint="cs"/>
          <w:sz w:val="18"/>
          <w:szCs w:val="20"/>
          <w:rtl/>
        </w:rPr>
        <w:t>(</w:t>
      </w:r>
      <w:r w:rsidRPr="00EA3DC8">
        <w:rPr>
          <w:i/>
          <w:iCs/>
          <w:sz w:val="18"/>
          <w:szCs w:val="20"/>
        </w:rPr>
        <w:t>F</w:t>
      </w:r>
      <w:r w:rsidRPr="00EA3DC8">
        <w:rPr>
          <w:sz w:val="18"/>
          <w:szCs w:val="20"/>
        </w:rPr>
        <w:t xml:space="preserve">(9, 84) = 2.07, </w:t>
      </w:r>
      <w:r w:rsidRPr="00EA3DC8">
        <w:rPr>
          <w:i/>
          <w:iCs/>
          <w:sz w:val="18"/>
          <w:szCs w:val="20"/>
        </w:rPr>
        <w:t>p</w:t>
      </w:r>
      <w:r w:rsidRPr="00EA3DC8">
        <w:rPr>
          <w:sz w:val="18"/>
          <w:szCs w:val="20"/>
        </w:rPr>
        <w:t xml:space="preserve"> = .042</w:t>
      </w:r>
      <w:r>
        <w:rPr>
          <w:rFonts w:hint="cs"/>
          <w:sz w:val="18"/>
          <w:szCs w:val="20"/>
          <w:rtl/>
        </w:rPr>
        <w:t>)</w:t>
      </w:r>
      <w:r w:rsidRPr="00EA3DC8">
        <w:rPr>
          <w:sz w:val="18"/>
          <w:szCs w:val="20"/>
          <w:rtl/>
        </w:rPr>
        <w:t xml:space="preserve">, והסביר 18% מהשונות </w:t>
      </w:r>
      <w:r w:rsidRPr="00EA3DC8">
        <w:rPr>
          <w:rFonts w:hint="cs"/>
          <w:sz w:val="18"/>
          <w:szCs w:val="20"/>
          <w:rtl/>
        </w:rPr>
        <w:t>במספר</w:t>
      </w:r>
      <w:r w:rsidRPr="00EA3DC8">
        <w:rPr>
          <w:sz w:val="18"/>
          <w:szCs w:val="20"/>
          <w:rtl/>
        </w:rPr>
        <w:t xml:space="preserve"> שעות העבודה השבועיות. מבין המשתנים שנבדקו נמצאה תרומה מובהקת למשתנים מין, גיל ומצב משפחתי.</w:t>
      </w:r>
      <w:r w:rsidRPr="00EA3DC8">
        <w:rPr>
          <w:rFonts w:hint="cs"/>
          <w:sz w:val="18"/>
          <w:szCs w:val="20"/>
          <w:rtl/>
        </w:rPr>
        <w:t xml:space="preserve"> היותו של הנבדק גבר</w:t>
      </w:r>
      <w:r w:rsidRPr="00EA3DC8">
        <w:rPr>
          <w:sz w:val="18"/>
          <w:szCs w:val="20"/>
          <w:rtl/>
        </w:rPr>
        <w:t xml:space="preserve">, גיל מבוגר יותר וכן קיומה של זוגיות ניבאו שעות עבודה רבות יותר (לוח 2). לפיכך השערת המחקר אוששה </w:t>
      </w:r>
      <w:r w:rsidRPr="00EA3DC8">
        <w:rPr>
          <w:rFonts w:hint="cs"/>
          <w:sz w:val="18"/>
          <w:szCs w:val="20"/>
          <w:rtl/>
          <w:lang w:val="en-GB"/>
        </w:rPr>
        <w:t>חלקית</w:t>
      </w:r>
      <w:r w:rsidRPr="00EA3DC8">
        <w:rPr>
          <w:sz w:val="18"/>
          <w:szCs w:val="20"/>
          <w:rtl/>
        </w:rPr>
        <w:t xml:space="preserve">. </w:t>
      </w:r>
    </w:p>
    <w:p w14:paraId="702C051B" w14:textId="308034E2" w:rsidR="00926914" w:rsidRPr="00EE4D2A" w:rsidRDefault="00926914" w:rsidP="00EE4D2A">
      <w:pPr>
        <w:pStyle w:val="tab-name"/>
        <w:spacing w:before="300" w:line="260" w:lineRule="exact"/>
        <w:ind w:right="0"/>
        <w:rPr>
          <w:rFonts w:cs="Guttman Aharoni"/>
          <w:color w:val="auto"/>
          <w:sz w:val="20"/>
          <w:szCs w:val="20"/>
          <w:rtl/>
        </w:rPr>
      </w:pPr>
      <w:r w:rsidRPr="00EE4D2A">
        <w:rPr>
          <w:rFonts w:cs="Guttman Aharoni"/>
          <w:color w:val="auto"/>
          <w:sz w:val="20"/>
          <w:szCs w:val="20"/>
          <w:rtl/>
        </w:rPr>
        <w:lastRenderedPageBreak/>
        <w:t>לוח</w:t>
      </w:r>
      <w:r w:rsidR="005270AD">
        <w:rPr>
          <w:rFonts w:cs="Guttman Aharoni" w:hint="cs"/>
          <w:color w:val="auto"/>
          <w:sz w:val="20"/>
          <w:szCs w:val="20"/>
          <w:rtl/>
        </w:rPr>
        <w:t xml:space="preserve"> 1:</w:t>
      </w:r>
      <w:r w:rsidRPr="00EE4D2A">
        <w:rPr>
          <w:rFonts w:cs="Guttman Aharoni"/>
          <w:color w:val="auto"/>
          <w:sz w:val="20"/>
          <w:szCs w:val="20"/>
          <w:rtl/>
        </w:rPr>
        <w:t xml:space="preserve"> ממצאי רגרסיה אורדינלית לניבוי מידת ההשתתפות בשוק העבודה</w:t>
      </w:r>
      <w:r w:rsidRPr="00EE4D2A">
        <w:rPr>
          <w:rFonts w:cs="Guttman Aharoni" w:hint="cs"/>
          <w:color w:val="auto"/>
          <w:sz w:val="20"/>
          <w:szCs w:val="20"/>
          <w:rtl/>
        </w:rPr>
        <w:t xml:space="preserve"> (</w:t>
      </w:r>
      <w:r w:rsidRPr="00EE4D2A">
        <w:rPr>
          <w:rFonts w:cs="Guttman Aharoni"/>
          <w:color w:val="auto"/>
          <w:sz w:val="20"/>
          <w:szCs w:val="20"/>
        </w:rPr>
        <w:t>N=157</w:t>
      </w:r>
      <w:r w:rsidRPr="00EE4D2A">
        <w:rPr>
          <w:rFonts w:cs="Guttman Aharoni" w:hint="cs"/>
          <w:color w:val="auto"/>
          <w:sz w:val="20"/>
          <w:szCs w:val="20"/>
          <w:rtl/>
        </w:rPr>
        <w:t>)</w:t>
      </w:r>
      <w:bookmarkEnd w:id="22"/>
    </w:p>
    <w:tbl>
      <w:tblPr>
        <w:bidiVisual/>
        <w:tblW w:w="6464" w:type="dxa"/>
        <w:jc w:val="center"/>
        <w:tblLook w:val="04A0" w:firstRow="1" w:lastRow="0" w:firstColumn="1" w:lastColumn="0" w:noHBand="0" w:noVBand="1"/>
      </w:tblPr>
      <w:tblGrid>
        <w:gridCol w:w="961"/>
        <w:gridCol w:w="2191"/>
        <w:gridCol w:w="716"/>
        <w:gridCol w:w="649"/>
        <w:gridCol w:w="739"/>
        <w:gridCol w:w="649"/>
        <w:gridCol w:w="559"/>
      </w:tblGrid>
      <w:tr w:rsidR="00926914" w:rsidRPr="00112363" w14:paraId="38CB2796" w14:textId="77777777" w:rsidTr="00D97E3E">
        <w:trPr>
          <w:tblHeader/>
          <w:jc w:val="center"/>
        </w:trPr>
        <w:tc>
          <w:tcPr>
            <w:tcW w:w="0" w:type="auto"/>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63CCD07F" w14:textId="77777777" w:rsidR="00926914" w:rsidRPr="00EE4D2A" w:rsidRDefault="00926914" w:rsidP="00EE4D2A">
            <w:pPr>
              <w:keepNext/>
              <w:keepLines/>
              <w:spacing w:before="60" w:after="60" w:line="220" w:lineRule="exact"/>
              <w:rPr>
                <w:b/>
                <w:bCs/>
                <w:sz w:val="16"/>
                <w:szCs w:val="18"/>
              </w:rPr>
            </w:pPr>
            <w:r w:rsidRPr="00EE4D2A">
              <w:rPr>
                <w:b/>
                <w:bCs/>
                <w:sz w:val="16"/>
                <w:szCs w:val="18"/>
                <w:rtl/>
              </w:rPr>
              <w:t>מאפיינים</w:t>
            </w:r>
          </w:p>
        </w:tc>
        <w:tc>
          <w:tcPr>
            <w:tcW w:w="0" w:type="auto"/>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4367835C" w14:textId="77777777" w:rsidR="00926914" w:rsidRPr="00EE4D2A" w:rsidRDefault="00926914" w:rsidP="00EE4D2A">
            <w:pPr>
              <w:keepNext/>
              <w:keepLines/>
              <w:spacing w:before="60" w:after="60" w:line="220" w:lineRule="exact"/>
              <w:rPr>
                <w:b/>
                <w:bCs/>
                <w:sz w:val="16"/>
                <w:szCs w:val="18"/>
                <w:rtl/>
              </w:rPr>
            </w:pPr>
            <w:r w:rsidRPr="00EE4D2A">
              <w:rPr>
                <w:b/>
                <w:bCs/>
                <w:sz w:val="16"/>
                <w:szCs w:val="18"/>
                <w:rtl/>
              </w:rPr>
              <w:t>משתנים</w:t>
            </w:r>
          </w:p>
        </w:tc>
        <w:tc>
          <w:tcPr>
            <w:tcW w:w="0" w:type="auto"/>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7527377C" w14:textId="77777777" w:rsidR="00926914" w:rsidRPr="00EE4D2A" w:rsidRDefault="00926914" w:rsidP="00EE4D2A">
            <w:pPr>
              <w:keepNext/>
              <w:keepLines/>
              <w:bidi w:val="0"/>
              <w:spacing w:before="60" w:after="60" w:line="220" w:lineRule="exact"/>
              <w:rPr>
                <w:b/>
                <w:bCs/>
                <w:i/>
                <w:iCs/>
                <w:sz w:val="16"/>
                <w:szCs w:val="18"/>
                <w:rtl/>
              </w:rPr>
            </w:pPr>
            <w:r w:rsidRPr="00EE4D2A">
              <w:rPr>
                <w:b/>
                <w:bCs/>
                <w:i/>
                <w:iCs/>
                <w:sz w:val="16"/>
                <w:szCs w:val="18"/>
              </w:rPr>
              <w:t>B</w:t>
            </w:r>
          </w:p>
        </w:tc>
        <w:tc>
          <w:tcPr>
            <w:tcW w:w="0" w:type="auto"/>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7C8892CB" w14:textId="77777777" w:rsidR="00926914" w:rsidRPr="00EE4D2A" w:rsidRDefault="00926914" w:rsidP="00EE4D2A">
            <w:pPr>
              <w:keepNext/>
              <w:keepLines/>
              <w:bidi w:val="0"/>
              <w:spacing w:before="60" w:after="60" w:line="220" w:lineRule="exact"/>
              <w:rPr>
                <w:b/>
                <w:bCs/>
                <w:i/>
                <w:iCs/>
                <w:sz w:val="16"/>
                <w:szCs w:val="18"/>
              </w:rPr>
            </w:pPr>
            <w:r w:rsidRPr="00EE4D2A">
              <w:rPr>
                <w:b/>
                <w:bCs/>
                <w:i/>
                <w:iCs/>
                <w:sz w:val="16"/>
                <w:szCs w:val="18"/>
              </w:rPr>
              <w:t>SE B</w:t>
            </w:r>
          </w:p>
        </w:tc>
        <w:tc>
          <w:tcPr>
            <w:tcW w:w="0" w:type="auto"/>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1E74749A" w14:textId="77777777" w:rsidR="00926914" w:rsidRPr="00EE4D2A" w:rsidRDefault="00926914" w:rsidP="00EE4D2A">
            <w:pPr>
              <w:keepNext/>
              <w:keepLines/>
              <w:bidi w:val="0"/>
              <w:spacing w:before="60" w:after="60" w:line="220" w:lineRule="exact"/>
              <w:rPr>
                <w:b/>
                <w:bCs/>
                <w:i/>
                <w:iCs/>
                <w:sz w:val="16"/>
                <w:szCs w:val="18"/>
              </w:rPr>
            </w:pPr>
            <w:r w:rsidRPr="00EE4D2A">
              <w:rPr>
                <w:b/>
                <w:bCs/>
                <w:i/>
                <w:iCs/>
                <w:sz w:val="16"/>
                <w:szCs w:val="18"/>
              </w:rPr>
              <w:t>exp(B)</w:t>
            </w:r>
          </w:p>
        </w:tc>
        <w:tc>
          <w:tcPr>
            <w:tcW w:w="0" w:type="auto"/>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74A9FF59" w14:textId="77777777" w:rsidR="00926914" w:rsidRPr="00EE4D2A" w:rsidRDefault="00926914" w:rsidP="00EE4D2A">
            <w:pPr>
              <w:keepNext/>
              <w:keepLines/>
              <w:bidi w:val="0"/>
              <w:spacing w:before="60" w:after="60" w:line="220" w:lineRule="exact"/>
              <w:rPr>
                <w:b/>
                <w:bCs/>
                <w:i/>
                <w:iCs/>
                <w:sz w:val="16"/>
                <w:szCs w:val="18"/>
              </w:rPr>
            </w:pPr>
            <w:r w:rsidRPr="00EE4D2A">
              <w:rPr>
                <w:b/>
                <w:bCs/>
                <w:i/>
                <w:iCs/>
                <w:sz w:val="16"/>
                <w:szCs w:val="18"/>
              </w:rPr>
              <w:t>Wald</w:t>
            </w:r>
          </w:p>
        </w:tc>
        <w:tc>
          <w:tcPr>
            <w:tcW w:w="0" w:type="auto"/>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14:paraId="38B5FD82" w14:textId="77777777" w:rsidR="00926914" w:rsidRPr="00EE4D2A" w:rsidRDefault="00926914" w:rsidP="00EE4D2A">
            <w:pPr>
              <w:keepNext/>
              <w:keepLines/>
              <w:bidi w:val="0"/>
              <w:spacing w:before="60" w:after="60" w:line="220" w:lineRule="exact"/>
              <w:rPr>
                <w:b/>
                <w:bCs/>
                <w:i/>
                <w:iCs/>
                <w:sz w:val="16"/>
                <w:szCs w:val="18"/>
              </w:rPr>
            </w:pPr>
            <w:r w:rsidRPr="00EE4D2A">
              <w:rPr>
                <w:b/>
                <w:bCs/>
                <w:i/>
                <w:iCs/>
                <w:sz w:val="16"/>
                <w:szCs w:val="18"/>
              </w:rPr>
              <w:t>p</w:t>
            </w:r>
          </w:p>
        </w:tc>
      </w:tr>
      <w:tr w:rsidR="00926914" w:rsidRPr="00112363" w14:paraId="3846D9C5" w14:textId="77777777" w:rsidTr="00D97E3E">
        <w:trPr>
          <w:jc w:val="center"/>
        </w:trPr>
        <w:tc>
          <w:tcPr>
            <w:tcW w:w="0" w:type="auto"/>
            <w:tcBorders>
              <w:top w:val="single" w:sz="8" w:space="0" w:color="000000"/>
              <w:left w:val="single" w:sz="8" w:space="0" w:color="000000"/>
              <w:bottom w:val="nil"/>
              <w:right w:val="single" w:sz="4" w:space="0" w:color="000000"/>
            </w:tcBorders>
            <w:shd w:val="clear" w:color="auto" w:fill="auto"/>
            <w:noWrap/>
            <w:vAlign w:val="center"/>
            <w:hideMark/>
          </w:tcPr>
          <w:p w14:paraId="64BA8AA5" w14:textId="77777777" w:rsidR="00926914" w:rsidRPr="00EE4D2A" w:rsidRDefault="00926914" w:rsidP="00EE4D2A">
            <w:pPr>
              <w:bidi w:val="0"/>
              <w:spacing w:before="60" w:after="60" w:line="220" w:lineRule="exact"/>
              <w:rPr>
                <w:b/>
                <w:bCs/>
                <w:i/>
                <w:iCs/>
                <w:sz w:val="16"/>
                <w:szCs w:val="18"/>
              </w:rPr>
            </w:pPr>
          </w:p>
        </w:tc>
        <w:tc>
          <w:tcPr>
            <w:tcW w:w="0" w:type="auto"/>
            <w:tcBorders>
              <w:top w:val="single" w:sz="8" w:space="0" w:color="000000"/>
              <w:left w:val="single" w:sz="4" w:space="0" w:color="000000"/>
              <w:bottom w:val="nil"/>
              <w:right w:val="single" w:sz="4" w:space="0" w:color="000000"/>
            </w:tcBorders>
            <w:shd w:val="clear" w:color="auto" w:fill="auto"/>
            <w:noWrap/>
            <w:vAlign w:val="center"/>
            <w:hideMark/>
          </w:tcPr>
          <w:p w14:paraId="6365BE05" w14:textId="77777777" w:rsidR="00926914" w:rsidRPr="00EE4D2A" w:rsidRDefault="00926914" w:rsidP="00EE4D2A">
            <w:pPr>
              <w:spacing w:before="60" w:after="60" w:line="220" w:lineRule="exact"/>
              <w:rPr>
                <w:sz w:val="16"/>
                <w:szCs w:val="18"/>
              </w:rPr>
            </w:pPr>
            <w:r w:rsidRPr="00EE4D2A">
              <w:rPr>
                <w:sz w:val="16"/>
                <w:szCs w:val="18"/>
                <w:rtl/>
              </w:rPr>
              <w:t>קבוע 1</w:t>
            </w:r>
          </w:p>
        </w:tc>
        <w:tc>
          <w:tcPr>
            <w:tcW w:w="0" w:type="auto"/>
            <w:tcBorders>
              <w:top w:val="single" w:sz="8" w:space="0" w:color="000000"/>
              <w:left w:val="single" w:sz="4" w:space="0" w:color="000000"/>
              <w:bottom w:val="nil"/>
              <w:right w:val="single" w:sz="4" w:space="0" w:color="000000"/>
            </w:tcBorders>
            <w:shd w:val="clear" w:color="auto" w:fill="auto"/>
            <w:noWrap/>
            <w:vAlign w:val="center"/>
            <w:hideMark/>
          </w:tcPr>
          <w:p w14:paraId="5137BD1A"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-0.371</w:t>
            </w:r>
          </w:p>
        </w:tc>
        <w:tc>
          <w:tcPr>
            <w:tcW w:w="0" w:type="auto"/>
            <w:tcBorders>
              <w:top w:val="single" w:sz="8" w:space="0" w:color="000000"/>
              <w:left w:val="single" w:sz="4" w:space="0" w:color="000000"/>
              <w:bottom w:val="nil"/>
              <w:right w:val="single" w:sz="4" w:space="0" w:color="000000"/>
            </w:tcBorders>
            <w:shd w:val="clear" w:color="auto" w:fill="auto"/>
            <w:noWrap/>
            <w:vAlign w:val="center"/>
            <w:hideMark/>
          </w:tcPr>
          <w:p w14:paraId="625E6EE0"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1.835</w:t>
            </w:r>
          </w:p>
        </w:tc>
        <w:tc>
          <w:tcPr>
            <w:tcW w:w="0" w:type="auto"/>
            <w:tcBorders>
              <w:top w:val="single" w:sz="8" w:space="0" w:color="000000"/>
              <w:left w:val="single" w:sz="4" w:space="0" w:color="000000"/>
              <w:bottom w:val="nil"/>
              <w:right w:val="single" w:sz="4" w:space="0" w:color="000000"/>
            </w:tcBorders>
            <w:shd w:val="clear" w:color="auto" w:fill="auto"/>
            <w:noWrap/>
            <w:vAlign w:val="center"/>
            <w:hideMark/>
          </w:tcPr>
          <w:p w14:paraId="5BD07ECF"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0.690</w:t>
            </w:r>
          </w:p>
        </w:tc>
        <w:tc>
          <w:tcPr>
            <w:tcW w:w="0" w:type="auto"/>
            <w:tcBorders>
              <w:top w:val="single" w:sz="8" w:space="0" w:color="000000"/>
              <w:left w:val="single" w:sz="4" w:space="0" w:color="000000"/>
              <w:bottom w:val="nil"/>
              <w:right w:val="single" w:sz="4" w:space="0" w:color="000000"/>
            </w:tcBorders>
            <w:shd w:val="clear" w:color="auto" w:fill="auto"/>
            <w:noWrap/>
            <w:vAlign w:val="center"/>
            <w:hideMark/>
          </w:tcPr>
          <w:p w14:paraId="689DB991"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0.04</w:t>
            </w:r>
          </w:p>
        </w:tc>
        <w:tc>
          <w:tcPr>
            <w:tcW w:w="0" w:type="auto"/>
            <w:tcBorders>
              <w:top w:val="single" w:sz="8" w:space="0" w:color="000000"/>
              <w:left w:val="single" w:sz="4" w:space="0" w:color="000000"/>
              <w:bottom w:val="nil"/>
              <w:right w:val="single" w:sz="8" w:space="0" w:color="000000"/>
            </w:tcBorders>
            <w:shd w:val="clear" w:color="auto" w:fill="auto"/>
            <w:noWrap/>
            <w:vAlign w:val="center"/>
            <w:hideMark/>
          </w:tcPr>
          <w:p w14:paraId="05E4DEE0"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.840</w:t>
            </w:r>
          </w:p>
        </w:tc>
      </w:tr>
      <w:tr w:rsidR="00926914" w:rsidRPr="00112363" w14:paraId="5E669167" w14:textId="77777777" w:rsidTr="00D97E3E">
        <w:trPr>
          <w:jc w:val="center"/>
        </w:trPr>
        <w:tc>
          <w:tcPr>
            <w:tcW w:w="0" w:type="auto"/>
            <w:tcBorders>
              <w:top w:val="nil"/>
              <w:left w:val="single" w:sz="8" w:space="0" w:color="000000"/>
              <w:bottom w:val="nil"/>
              <w:right w:val="single" w:sz="4" w:space="0" w:color="000000"/>
            </w:tcBorders>
            <w:shd w:val="clear" w:color="auto" w:fill="auto"/>
            <w:noWrap/>
            <w:vAlign w:val="center"/>
            <w:hideMark/>
          </w:tcPr>
          <w:p w14:paraId="111D1C5B" w14:textId="77777777" w:rsidR="00926914" w:rsidRPr="00EE4D2A" w:rsidRDefault="00926914" w:rsidP="00EE4D2A">
            <w:pPr>
              <w:bidi w:val="0"/>
              <w:spacing w:before="60" w:after="60" w:line="220" w:lineRule="exact"/>
              <w:rPr>
                <w:color w:val="000000"/>
                <w:sz w:val="16"/>
                <w:szCs w:val="18"/>
              </w:rPr>
            </w:pPr>
          </w:p>
        </w:tc>
        <w:tc>
          <w:tcPr>
            <w:tcW w:w="0" w:type="auto"/>
            <w:tcBorders>
              <w:top w:val="nil"/>
              <w:left w:val="single" w:sz="4" w:space="0" w:color="000000"/>
              <w:bottom w:val="nil"/>
              <w:right w:val="single" w:sz="4" w:space="0" w:color="000000"/>
            </w:tcBorders>
            <w:shd w:val="clear" w:color="auto" w:fill="auto"/>
            <w:noWrap/>
            <w:vAlign w:val="center"/>
            <w:hideMark/>
          </w:tcPr>
          <w:p w14:paraId="24D594F8" w14:textId="77777777" w:rsidR="00926914" w:rsidRPr="00EE4D2A" w:rsidRDefault="00926914" w:rsidP="00EE4D2A">
            <w:pPr>
              <w:spacing w:before="60" w:after="60" w:line="220" w:lineRule="exact"/>
              <w:rPr>
                <w:sz w:val="16"/>
                <w:szCs w:val="18"/>
              </w:rPr>
            </w:pPr>
            <w:r w:rsidRPr="00EE4D2A">
              <w:rPr>
                <w:sz w:val="16"/>
                <w:szCs w:val="18"/>
                <w:rtl/>
              </w:rPr>
              <w:t>קבוע 2</w:t>
            </w:r>
          </w:p>
        </w:tc>
        <w:tc>
          <w:tcPr>
            <w:tcW w:w="0" w:type="auto"/>
            <w:tcBorders>
              <w:top w:val="nil"/>
              <w:left w:val="single" w:sz="4" w:space="0" w:color="000000"/>
              <w:bottom w:val="nil"/>
              <w:right w:val="single" w:sz="4" w:space="0" w:color="000000"/>
            </w:tcBorders>
            <w:shd w:val="clear" w:color="auto" w:fill="auto"/>
            <w:noWrap/>
            <w:vAlign w:val="center"/>
            <w:hideMark/>
          </w:tcPr>
          <w:p w14:paraId="30C0B3A1"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1.595</w:t>
            </w:r>
          </w:p>
        </w:tc>
        <w:tc>
          <w:tcPr>
            <w:tcW w:w="0" w:type="auto"/>
            <w:tcBorders>
              <w:top w:val="nil"/>
              <w:left w:val="single" w:sz="4" w:space="0" w:color="000000"/>
              <w:bottom w:val="nil"/>
              <w:right w:val="single" w:sz="4" w:space="0" w:color="000000"/>
            </w:tcBorders>
            <w:shd w:val="clear" w:color="auto" w:fill="auto"/>
            <w:noWrap/>
            <w:vAlign w:val="center"/>
            <w:hideMark/>
          </w:tcPr>
          <w:p w14:paraId="6BB7F08B"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1.834</w:t>
            </w:r>
          </w:p>
        </w:tc>
        <w:tc>
          <w:tcPr>
            <w:tcW w:w="0" w:type="auto"/>
            <w:tcBorders>
              <w:top w:val="nil"/>
              <w:left w:val="single" w:sz="4" w:space="0" w:color="000000"/>
              <w:bottom w:val="nil"/>
              <w:right w:val="single" w:sz="4" w:space="0" w:color="000000"/>
            </w:tcBorders>
            <w:shd w:val="clear" w:color="auto" w:fill="auto"/>
            <w:noWrap/>
            <w:vAlign w:val="center"/>
            <w:hideMark/>
          </w:tcPr>
          <w:p w14:paraId="0A93E229"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4.930</w:t>
            </w:r>
          </w:p>
        </w:tc>
        <w:tc>
          <w:tcPr>
            <w:tcW w:w="0" w:type="auto"/>
            <w:tcBorders>
              <w:top w:val="nil"/>
              <w:left w:val="single" w:sz="4" w:space="0" w:color="000000"/>
              <w:bottom w:val="nil"/>
              <w:right w:val="single" w:sz="4" w:space="0" w:color="000000"/>
            </w:tcBorders>
            <w:shd w:val="clear" w:color="auto" w:fill="auto"/>
            <w:noWrap/>
            <w:vAlign w:val="center"/>
            <w:hideMark/>
          </w:tcPr>
          <w:p w14:paraId="6657F477"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0.76</w:t>
            </w:r>
          </w:p>
        </w:tc>
        <w:tc>
          <w:tcPr>
            <w:tcW w:w="0" w:type="auto"/>
            <w:tcBorders>
              <w:top w:val="nil"/>
              <w:left w:val="single" w:sz="4" w:space="0" w:color="000000"/>
              <w:bottom w:val="nil"/>
              <w:right w:val="single" w:sz="8" w:space="0" w:color="000000"/>
            </w:tcBorders>
            <w:shd w:val="clear" w:color="auto" w:fill="auto"/>
            <w:noWrap/>
            <w:vAlign w:val="center"/>
            <w:hideMark/>
          </w:tcPr>
          <w:p w14:paraId="574A7490"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.384</w:t>
            </w:r>
          </w:p>
        </w:tc>
      </w:tr>
      <w:tr w:rsidR="00926914" w:rsidRPr="00112363" w14:paraId="7017ED40" w14:textId="77777777" w:rsidTr="00D97E3E">
        <w:trPr>
          <w:jc w:val="center"/>
        </w:trPr>
        <w:tc>
          <w:tcPr>
            <w:tcW w:w="0" w:type="auto"/>
            <w:tcBorders>
              <w:top w:val="nil"/>
              <w:left w:val="single" w:sz="8" w:space="0" w:color="000000"/>
              <w:bottom w:val="nil"/>
              <w:right w:val="single" w:sz="4" w:space="0" w:color="000000"/>
            </w:tcBorders>
            <w:shd w:val="clear" w:color="auto" w:fill="auto"/>
            <w:noWrap/>
            <w:vAlign w:val="center"/>
            <w:hideMark/>
          </w:tcPr>
          <w:p w14:paraId="1FE4F523" w14:textId="77777777" w:rsidR="00926914" w:rsidRPr="00EE4D2A" w:rsidRDefault="00926914" w:rsidP="00EE4D2A">
            <w:pPr>
              <w:bidi w:val="0"/>
              <w:spacing w:before="60" w:after="60" w:line="220" w:lineRule="exact"/>
              <w:rPr>
                <w:color w:val="000000"/>
                <w:sz w:val="16"/>
                <w:szCs w:val="18"/>
              </w:rPr>
            </w:pPr>
          </w:p>
        </w:tc>
        <w:tc>
          <w:tcPr>
            <w:tcW w:w="0" w:type="auto"/>
            <w:tcBorders>
              <w:top w:val="nil"/>
              <w:left w:val="single" w:sz="4" w:space="0" w:color="000000"/>
              <w:bottom w:val="nil"/>
              <w:right w:val="single" w:sz="4" w:space="0" w:color="000000"/>
            </w:tcBorders>
            <w:shd w:val="clear" w:color="auto" w:fill="auto"/>
            <w:noWrap/>
            <w:vAlign w:val="center"/>
            <w:hideMark/>
          </w:tcPr>
          <w:p w14:paraId="2D9CF597" w14:textId="77777777" w:rsidR="00926914" w:rsidRPr="00EE4D2A" w:rsidRDefault="00926914" w:rsidP="00EE4D2A">
            <w:pPr>
              <w:spacing w:before="60" w:after="60" w:line="220" w:lineRule="exact"/>
              <w:rPr>
                <w:sz w:val="16"/>
                <w:szCs w:val="18"/>
              </w:rPr>
            </w:pPr>
            <w:r w:rsidRPr="00EE4D2A">
              <w:rPr>
                <w:sz w:val="16"/>
                <w:szCs w:val="18"/>
                <w:rtl/>
              </w:rPr>
              <w:t>קבוע 3</w:t>
            </w:r>
          </w:p>
        </w:tc>
        <w:tc>
          <w:tcPr>
            <w:tcW w:w="0" w:type="auto"/>
            <w:tcBorders>
              <w:top w:val="nil"/>
              <w:left w:val="single" w:sz="4" w:space="0" w:color="000000"/>
              <w:bottom w:val="nil"/>
              <w:right w:val="single" w:sz="4" w:space="0" w:color="000000"/>
            </w:tcBorders>
            <w:shd w:val="clear" w:color="auto" w:fill="auto"/>
            <w:noWrap/>
            <w:vAlign w:val="center"/>
            <w:hideMark/>
          </w:tcPr>
          <w:p w14:paraId="79866C55"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3.055</w:t>
            </w:r>
          </w:p>
        </w:tc>
        <w:tc>
          <w:tcPr>
            <w:tcW w:w="0" w:type="auto"/>
            <w:tcBorders>
              <w:top w:val="nil"/>
              <w:left w:val="single" w:sz="4" w:space="0" w:color="000000"/>
              <w:bottom w:val="nil"/>
              <w:right w:val="single" w:sz="4" w:space="0" w:color="000000"/>
            </w:tcBorders>
            <w:shd w:val="clear" w:color="auto" w:fill="auto"/>
            <w:noWrap/>
            <w:vAlign w:val="center"/>
            <w:hideMark/>
          </w:tcPr>
          <w:p w14:paraId="34F6E7D9"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1.847</w:t>
            </w:r>
          </w:p>
        </w:tc>
        <w:tc>
          <w:tcPr>
            <w:tcW w:w="0" w:type="auto"/>
            <w:tcBorders>
              <w:top w:val="nil"/>
              <w:left w:val="single" w:sz="4" w:space="0" w:color="000000"/>
              <w:bottom w:val="nil"/>
              <w:right w:val="single" w:sz="4" w:space="0" w:color="000000"/>
            </w:tcBorders>
            <w:shd w:val="clear" w:color="auto" w:fill="auto"/>
            <w:noWrap/>
            <w:vAlign w:val="center"/>
            <w:hideMark/>
          </w:tcPr>
          <w:p w14:paraId="7F294A1E"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21.232</w:t>
            </w:r>
          </w:p>
        </w:tc>
        <w:tc>
          <w:tcPr>
            <w:tcW w:w="0" w:type="auto"/>
            <w:tcBorders>
              <w:top w:val="nil"/>
              <w:left w:val="single" w:sz="4" w:space="0" w:color="000000"/>
              <w:bottom w:val="nil"/>
              <w:right w:val="single" w:sz="4" w:space="0" w:color="000000"/>
            </w:tcBorders>
            <w:shd w:val="clear" w:color="auto" w:fill="auto"/>
            <w:noWrap/>
            <w:vAlign w:val="center"/>
            <w:hideMark/>
          </w:tcPr>
          <w:p w14:paraId="6E0D5C61"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2.74</w:t>
            </w:r>
          </w:p>
        </w:tc>
        <w:tc>
          <w:tcPr>
            <w:tcW w:w="0" w:type="auto"/>
            <w:tcBorders>
              <w:top w:val="nil"/>
              <w:left w:val="single" w:sz="4" w:space="0" w:color="000000"/>
              <w:bottom w:val="nil"/>
              <w:right w:val="single" w:sz="8" w:space="0" w:color="000000"/>
            </w:tcBorders>
            <w:shd w:val="clear" w:color="auto" w:fill="auto"/>
            <w:noWrap/>
            <w:vAlign w:val="center"/>
            <w:hideMark/>
          </w:tcPr>
          <w:p w14:paraId="119DDC45"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.098</w:t>
            </w:r>
          </w:p>
        </w:tc>
      </w:tr>
      <w:tr w:rsidR="00926914" w:rsidRPr="00112363" w14:paraId="599F4B38" w14:textId="77777777" w:rsidTr="00D97E3E">
        <w:trPr>
          <w:jc w:val="center"/>
        </w:trPr>
        <w:tc>
          <w:tcPr>
            <w:tcW w:w="0" w:type="auto"/>
            <w:tcBorders>
              <w:top w:val="nil"/>
              <w:left w:val="single" w:sz="8" w:space="0" w:color="000000"/>
              <w:bottom w:val="nil"/>
              <w:right w:val="single" w:sz="4" w:space="0" w:color="000000"/>
            </w:tcBorders>
            <w:shd w:val="clear" w:color="auto" w:fill="auto"/>
            <w:noWrap/>
            <w:vAlign w:val="bottom"/>
            <w:hideMark/>
          </w:tcPr>
          <w:p w14:paraId="60F59434" w14:textId="77777777" w:rsidR="00926914" w:rsidRPr="00EE4D2A" w:rsidRDefault="00926914" w:rsidP="00EE4D2A">
            <w:pPr>
              <w:spacing w:before="60" w:after="60" w:line="220" w:lineRule="exact"/>
              <w:rPr>
                <w:sz w:val="16"/>
                <w:szCs w:val="18"/>
              </w:rPr>
            </w:pPr>
            <w:r w:rsidRPr="00EE4D2A">
              <w:rPr>
                <w:sz w:val="16"/>
                <w:szCs w:val="18"/>
                <w:rtl/>
              </w:rPr>
              <w:t>רקע</w:t>
            </w:r>
          </w:p>
        </w:tc>
        <w:tc>
          <w:tcPr>
            <w:tcW w:w="0" w:type="auto"/>
            <w:tcBorders>
              <w:top w:val="nil"/>
              <w:left w:val="single" w:sz="4" w:space="0" w:color="000000"/>
              <w:bottom w:val="nil"/>
              <w:right w:val="single" w:sz="4" w:space="0" w:color="000000"/>
            </w:tcBorders>
            <w:shd w:val="clear" w:color="auto" w:fill="auto"/>
            <w:noWrap/>
            <w:vAlign w:val="center"/>
            <w:hideMark/>
          </w:tcPr>
          <w:p w14:paraId="484374B8" w14:textId="77777777" w:rsidR="00926914" w:rsidRPr="00EE4D2A" w:rsidRDefault="00926914" w:rsidP="00EE4D2A">
            <w:pPr>
              <w:spacing w:before="60" w:after="60" w:line="220" w:lineRule="exact"/>
              <w:rPr>
                <w:sz w:val="16"/>
                <w:szCs w:val="18"/>
                <w:rtl/>
              </w:rPr>
            </w:pPr>
            <w:r w:rsidRPr="00EE4D2A">
              <w:rPr>
                <w:sz w:val="16"/>
                <w:szCs w:val="18"/>
                <w:rtl/>
              </w:rPr>
              <w:t>מין (אישה)</w:t>
            </w:r>
          </w:p>
        </w:tc>
        <w:tc>
          <w:tcPr>
            <w:tcW w:w="0" w:type="auto"/>
            <w:tcBorders>
              <w:top w:val="nil"/>
              <w:left w:val="single" w:sz="4" w:space="0" w:color="000000"/>
              <w:bottom w:val="nil"/>
              <w:right w:val="single" w:sz="4" w:space="0" w:color="000000"/>
            </w:tcBorders>
            <w:shd w:val="clear" w:color="auto" w:fill="auto"/>
            <w:noWrap/>
            <w:vAlign w:val="center"/>
            <w:hideMark/>
          </w:tcPr>
          <w:p w14:paraId="5EE18AE9"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0.65</w:t>
            </w:r>
          </w:p>
        </w:tc>
        <w:tc>
          <w:tcPr>
            <w:tcW w:w="0" w:type="auto"/>
            <w:tcBorders>
              <w:top w:val="nil"/>
              <w:left w:val="single" w:sz="4" w:space="0" w:color="000000"/>
              <w:bottom w:val="nil"/>
              <w:right w:val="single" w:sz="4" w:space="0" w:color="000000"/>
            </w:tcBorders>
            <w:shd w:val="clear" w:color="auto" w:fill="auto"/>
            <w:noWrap/>
            <w:vAlign w:val="center"/>
            <w:hideMark/>
          </w:tcPr>
          <w:p w14:paraId="0D9B0535"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0.70</w:t>
            </w:r>
          </w:p>
        </w:tc>
        <w:tc>
          <w:tcPr>
            <w:tcW w:w="0" w:type="auto"/>
            <w:tcBorders>
              <w:top w:val="nil"/>
              <w:left w:val="single" w:sz="4" w:space="0" w:color="000000"/>
              <w:bottom w:val="nil"/>
              <w:right w:val="single" w:sz="4" w:space="0" w:color="000000"/>
            </w:tcBorders>
            <w:shd w:val="clear" w:color="auto" w:fill="auto"/>
            <w:noWrap/>
            <w:vAlign w:val="center"/>
            <w:hideMark/>
          </w:tcPr>
          <w:p w14:paraId="0F237FB3"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1.92</w:t>
            </w:r>
          </w:p>
        </w:tc>
        <w:tc>
          <w:tcPr>
            <w:tcW w:w="0" w:type="auto"/>
            <w:tcBorders>
              <w:top w:val="nil"/>
              <w:left w:val="single" w:sz="4" w:space="0" w:color="000000"/>
              <w:bottom w:val="nil"/>
              <w:right w:val="single" w:sz="4" w:space="0" w:color="000000"/>
            </w:tcBorders>
            <w:shd w:val="clear" w:color="auto" w:fill="auto"/>
            <w:noWrap/>
            <w:vAlign w:val="center"/>
            <w:hideMark/>
          </w:tcPr>
          <w:p w14:paraId="5FE6A767"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0.87</w:t>
            </w:r>
          </w:p>
        </w:tc>
        <w:tc>
          <w:tcPr>
            <w:tcW w:w="0" w:type="auto"/>
            <w:tcBorders>
              <w:top w:val="nil"/>
              <w:left w:val="single" w:sz="4" w:space="0" w:color="000000"/>
              <w:bottom w:val="nil"/>
              <w:right w:val="single" w:sz="8" w:space="0" w:color="000000"/>
            </w:tcBorders>
            <w:shd w:val="clear" w:color="auto" w:fill="auto"/>
            <w:noWrap/>
            <w:vAlign w:val="center"/>
            <w:hideMark/>
          </w:tcPr>
          <w:p w14:paraId="2EB10F28"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.350</w:t>
            </w:r>
          </w:p>
        </w:tc>
      </w:tr>
      <w:tr w:rsidR="00926914" w:rsidRPr="00112363" w14:paraId="371E8793" w14:textId="77777777" w:rsidTr="00D97E3E">
        <w:trPr>
          <w:jc w:val="center"/>
        </w:trPr>
        <w:tc>
          <w:tcPr>
            <w:tcW w:w="0" w:type="auto"/>
            <w:tcBorders>
              <w:top w:val="nil"/>
              <w:left w:val="single" w:sz="8" w:space="0" w:color="000000"/>
              <w:bottom w:val="nil"/>
              <w:right w:val="single" w:sz="4" w:space="0" w:color="000000"/>
            </w:tcBorders>
            <w:shd w:val="clear" w:color="auto" w:fill="auto"/>
            <w:noWrap/>
            <w:vAlign w:val="bottom"/>
            <w:hideMark/>
          </w:tcPr>
          <w:p w14:paraId="4F158D71" w14:textId="77777777" w:rsidR="00926914" w:rsidRPr="00EE4D2A" w:rsidRDefault="00926914" w:rsidP="00EE4D2A">
            <w:pPr>
              <w:bidi w:val="0"/>
              <w:spacing w:before="60" w:after="60" w:line="220" w:lineRule="exact"/>
              <w:rPr>
                <w:color w:val="000000"/>
                <w:sz w:val="16"/>
                <w:szCs w:val="18"/>
              </w:rPr>
            </w:pPr>
          </w:p>
        </w:tc>
        <w:tc>
          <w:tcPr>
            <w:tcW w:w="0" w:type="auto"/>
            <w:tcBorders>
              <w:top w:val="nil"/>
              <w:left w:val="single" w:sz="4" w:space="0" w:color="000000"/>
              <w:bottom w:val="nil"/>
              <w:right w:val="single" w:sz="4" w:space="0" w:color="000000"/>
            </w:tcBorders>
            <w:shd w:val="clear" w:color="auto" w:fill="auto"/>
            <w:noWrap/>
            <w:vAlign w:val="center"/>
            <w:hideMark/>
          </w:tcPr>
          <w:p w14:paraId="08E009B0" w14:textId="77777777" w:rsidR="00926914" w:rsidRPr="00EE4D2A" w:rsidRDefault="00926914" w:rsidP="00EE4D2A">
            <w:pPr>
              <w:spacing w:before="60" w:after="60" w:line="220" w:lineRule="exact"/>
              <w:rPr>
                <w:sz w:val="16"/>
                <w:szCs w:val="18"/>
              </w:rPr>
            </w:pPr>
            <w:r w:rsidRPr="00EE4D2A">
              <w:rPr>
                <w:sz w:val="16"/>
                <w:szCs w:val="18"/>
                <w:rtl/>
              </w:rPr>
              <w:t>גיל</w:t>
            </w:r>
          </w:p>
        </w:tc>
        <w:tc>
          <w:tcPr>
            <w:tcW w:w="0" w:type="auto"/>
            <w:tcBorders>
              <w:top w:val="nil"/>
              <w:left w:val="single" w:sz="4" w:space="0" w:color="000000"/>
              <w:bottom w:val="nil"/>
              <w:right w:val="single" w:sz="4" w:space="0" w:color="000000"/>
            </w:tcBorders>
            <w:shd w:val="clear" w:color="auto" w:fill="auto"/>
            <w:noWrap/>
            <w:vAlign w:val="center"/>
            <w:hideMark/>
          </w:tcPr>
          <w:p w14:paraId="15E04C0E"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0.04</w:t>
            </w:r>
          </w:p>
        </w:tc>
        <w:tc>
          <w:tcPr>
            <w:tcW w:w="0" w:type="auto"/>
            <w:tcBorders>
              <w:top w:val="nil"/>
              <w:left w:val="single" w:sz="4" w:space="0" w:color="000000"/>
              <w:bottom w:val="nil"/>
              <w:right w:val="single" w:sz="4" w:space="0" w:color="000000"/>
            </w:tcBorders>
            <w:shd w:val="clear" w:color="auto" w:fill="auto"/>
            <w:noWrap/>
            <w:vAlign w:val="center"/>
            <w:hideMark/>
          </w:tcPr>
          <w:p w14:paraId="58D26184"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0.02</w:t>
            </w:r>
          </w:p>
        </w:tc>
        <w:tc>
          <w:tcPr>
            <w:tcW w:w="0" w:type="auto"/>
            <w:tcBorders>
              <w:top w:val="nil"/>
              <w:left w:val="single" w:sz="4" w:space="0" w:color="000000"/>
              <w:bottom w:val="nil"/>
              <w:right w:val="single" w:sz="4" w:space="0" w:color="000000"/>
            </w:tcBorders>
            <w:shd w:val="clear" w:color="auto" w:fill="auto"/>
            <w:noWrap/>
            <w:vAlign w:val="center"/>
            <w:hideMark/>
          </w:tcPr>
          <w:p w14:paraId="19F3FA25"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1.04</w:t>
            </w:r>
          </w:p>
        </w:tc>
        <w:tc>
          <w:tcPr>
            <w:tcW w:w="0" w:type="auto"/>
            <w:tcBorders>
              <w:top w:val="nil"/>
              <w:left w:val="single" w:sz="4" w:space="0" w:color="000000"/>
              <w:bottom w:val="nil"/>
              <w:right w:val="single" w:sz="4" w:space="0" w:color="000000"/>
            </w:tcBorders>
            <w:shd w:val="clear" w:color="auto" w:fill="auto"/>
            <w:noWrap/>
            <w:vAlign w:val="center"/>
            <w:hideMark/>
          </w:tcPr>
          <w:p w14:paraId="3FD01437"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2.92</w:t>
            </w:r>
          </w:p>
        </w:tc>
        <w:tc>
          <w:tcPr>
            <w:tcW w:w="0" w:type="auto"/>
            <w:tcBorders>
              <w:top w:val="nil"/>
              <w:left w:val="single" w:sz="4" w:space="0" w:color="000000"/>
              <w:bottom w:val="nil"/>
              <w:right w:val="single" w:sz="8" w:space="0" w:color="000000"/>
            </w:tcBorders>
            <w:shd w:val="clear" w:color="auto" w:fill="auto"/>
            <w:noWrap/>
            <w:vAlign w:val="center"/>
            <w:hideMark/>
          </w:tcPr>
          <w:p w14:paraId="2CA4535B"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.088</w:t>
            </w:r>
          </w:p>
        </w:tc>
      </w:tr>
      <w:tr w:rsidR="00926914" w:rsidRPr="00112363" w14:paraId="4E64987E" w14:textId="77777777" w:rsidTr="00D97E3E">
        <w:trPr>
          <w:jc w:val="center"/>
        </w:trPr>
        <w:tc>
          <w:tcPr>
            <w:tcW w:w="0" w:type="auto"/>
            <w:tcBorders>
              <w:top w:val="nil"/>
              <w:left w:val="single" w:sz="8" w:space="0" w:color="000000"/>
              <w:bottom w:val="nil"/>
              <w:right w:val="single" w:sz="4" w:space="0" w:color="000000"/>
            </w:tcBorders>
            <w:shd w:val="clear" w:color="auto" w:fill="auto"/>
            <w:noWrap/>
            <w:vAlign w:val="bottom"/>
            <w:hideMark/>
          </w:tcPr>
          <w:p w14:paraId="2943F11D" w14:textId="77777777" w:rsidR="00926914" w:rsidRPr="00EE4D2A" w:rsidRDefault="00926914" w:rsidP="00EE4D2A">
            <w:pPr>
              <w:bidi w:val="0"/>
              <w:spacing w:before="60" w:after="60" w:line="220" w:lineRule="exact"/>
              <w:rPr>
                <w:color w:val="000000"/>
                <w:sz w:val="16"/>
                <w:szCs w:val="18"/>
              </w:rPr>
            </w:pPr>
          </w:p>
        </w:tc>
        <w:tc>
          <w:tcPr>
            <w:tcW w:w="0" w:type="auto"/>
            <w:tcBorders>
              <w:top w:val="nil"/>
              <w:left w:val="single" w:sz="4" w:space="0" w:color="000000"/>
              <w:bottom w:val="nil"/>
              <w:right w:val="single" w:sz="4" w:space="0" w:color="000000"/>
            </w:tcBorders>
            <w:shd w:val="clear" w:color="auto" w:fill="auto"/>
            <w:noWrap/>
            <w:vAlign w:val="center"/>
            <w:hideMark/>
          </w:tcPr>
          <w:p w14:paraId="2E85AFCA" w14:textId="77777777" w:rsidR="00926914" w:rsidRPr="00EE4D2A" w:rsidRDefault="00926914" w:rsidP="00EE4D2A">
            <w:pPr>
              <w:spacing w:before="60" w:after="60" w:line="220" w:lineRule="exact"/>
              <w:rPr>
                <w:sz w:val="16"/>
                <w:szCs w:val="18"/>
              </w:rPr>
            </w:pPr>
            <w:r w:rsidRPr="00EE4D2A">
              <w:rPr>
                <w:sz w:val="16"/>
                <w:szCs w:val="18"/>
                <w:rtl/>
              </w:rPr>
              <w:t>מספר ילדים</w:t>
            </w:r>
          </w:p>
        </w:tc>
        <w:tc>
          <w:tcPr>
            <w:tcW w:w="0" w:type="auto"/>
            <w:tcBorders>
              <w:top w:val="nil"/>
              <w:left w:val="single" w:sz="4" w:space="0" w:color="000000"/>
              <w:bottom w:val="nil"/>
              <w:right w:val="single" w:sz="4" w:space="0" w:color="000000"/>
            </w:tcBorders>
            <w:shd w:val="clear" w:color="auto" w:fill="auto"/>
            <w:noWrap/>
            <w:vAlign w:val="center"/>
            <w:hideMark/>
          </w:tcPr>
          <w:p w14:paraId="59B5B272"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-0.47</w:t>
            </w:r>
          </w:p>
        </w:tc>
        <w:tc>
          <w:tcPr>
            <w:tcW w:w="0" w:type="auto"/>
            <w:tcBorders>
              <w:top w:val="nil"/>
              <w:left w:val="single" w:sz="4" w:space="0" w:color="000000"/>
              <w:bottom w:val="nil"/>
              <w:right w:val="single" w:sz="4" w:space="0" w:color="000000"/>
            </w:tcBorders>
            <w:shd w:val="clear" w:color="auto" w:fill="auto"/>
            <w:noWrap/>
            <w:vAlign w:val="center"/>
            <w:hideMark/>
          </w:tcPr>
          <w:p w14:paraId="2A8BA5FE"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0.11</w:t>
            </w:r>
          </w:p>
        </w:tc>
        <w:tc>
          <w:tcPr>
            <w:tcW w:w="0" w:type="auto"/>
            <w:tcBorders>
              <w:top w:val="nil"/>
              <w:left w:val="single" w:sz="4" w:space="0" w:color="000000"/>
              <w:bottom w:val="nil"/>
              <w:right w:val="single" w:sz="4" w:space="0" w:color="000000"/>
            </w:tcBorders>
            <w:shd w:val="clear" w:color="auto" w:fill="auto"/>
            <w:noWrap/>
            <w:vAlign w:val="center"/>
            <w:hideMark/>
          </w:tcPr>
          <w:p w14:paraId="4A6BCE4D"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0.63</w:t>
            </w:r>
          </w:p>
        </w:tc>
        <w:tc>
          <w:tcPr>
            <w:tcW w:w="0" w:type="auto"/>
            <w:tcBorders>
              <w:top w:val="nil"/>
              <w:left w:val="single" w:sz="4" w:space="0" w:color="000000"/>
              <w:bottom w:val="nil"/>
              <w:right w:val="single" w:sz="4" w:space="0" w:color="000000"/>
            </w:tcBorders>
            <w:shd w:val="clear" w:color="auto" w:fill="auto"/>
            <w:noWrap/>
            <w:vAlign w:val="center"/>
            <w:hideMark/>
          </w:tcPr>
          <w:p w14:paraId="24D62F53"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18.31</w:t>
            </w:r>
          </w:p>
        </w:tc>
        <w:tc>
          <w:tcPr>
            <w:tcW w:w="0" w:type="auto"/>
            <w:tcBorders>
              <w:top w:val="nil"/>
              <w:left w:val="single" w:sz="4" w:space="0" w:color="000000"/>
              <w:bottom w:val="nil"/>
              <w:right w:val="single" w:sz="8" w:space="0" w:color="000000"/>
            </w:tcBorders>
            <w:shd w:val="clear" w:color="auto" w:fill="auto"/>
            <w:noWrap/>
            <w:vAlign w:val="center"/>
            <w:hideMark/>
          </w:tcPr>
          <w:p w14:paraId="47E24457"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.000</w:t>
            </w:r>
          </w:p>
        </w:tc>
      </w:tr>
      <w:tr w:rsidR="00926914" w:rsidRPr="00112363" w14:paraId="64CCC44A" w14:textId="77777777" w:rsidTr="00D97E3E">
        <w:trPr>
          <w:jc w:val="center"/>
        </w:trPr>
        <w:tc>
          <w:tcPr>
            <w:tcW w:w="0" w:type="auto"/>
            <w:tcBorders>
              <w:top w:val="nil"/>
              <w:left w:val="single" w:sz="8" w:space="0" w:color="000000"/>
              <w:bottom w:val="nil"/>
              <w:right w:val="single" w:sz="4" w:space="0" w:color="000000"/>
            </w:tcBorders>
            <w:shd w:val="clear" w:color="auto" w:fill="auto"/>
            <w:noWrap/>
            <w:vAlign w:val="bottom"/>
            <w:hideMark/>
          </w:tcPr>
          <w:p w14:paraId="043B0048" w14:textId="77777777" w:rsidR="00926914" w:rsidRPr="00EE4D2A" w:rsidRDefault="00926914" w:rsidP="00EE4D2A">
            <w:pPr>
              <w:bidi w:val="0"/>
              <w:spacing w:before="60" w:after="60" w:line="220" w:lineRule="exact"/>
              <w:rPr>
                <w:color w:val="000000"/>
                <w:sz w:val="16"/>
                <w:szCs w:val="18"/>
              </w:rPr>
            </w:pPr>
          </w:p>
        </w:tc>
        <w:tc>
          <w:tcPr>
            <w:tcW w:w="0" w:type="auto"/>
            <w:tcBorders>
              <w:top w:val="nil"/>
              <w:left w:val="single" w:sz="4" w:space="0" w:color="000000"/>
              <w:bottom w:val="nil"/>
              <w:right w:val="single" w:sz="4" w:space="0" w:color="000000"/>
            </w:tcBorders>
            <w:shd w:val="clear" w:color="auto" w:fill="auto"/>
            <w:noWrap/>
            <w:vAlign w:val="center"/>
            <w:hideMark/>
          </w:tcPr>
          <w:p w14:paraId="668669D9" w14:textId="77777777" w:rsidR="00926914" w:rsidRPr="00EE4D2A" w:rsidRDefault="00926914" w:rsidP="00EE4D2A">
            <w:pPr>
              <w:spacing w:before="60" w:after="60" w:line="220" w:lineRule="exact"/>
              <w:rPr>
                <w:sz w:val="16"/>
                <w:szCs w:val="18"/>
              </w:rPr>
            </w:pPr>
            <w:r w:rsidRPr="00EE4D2A">
              <w:rPr>
                <w:sz w:val="16"/>
                <w:szCs w:val="18"/>
                <w:rtl/>
              </w:rPr>
              <w:t>מקום לידה (ישראל)</w:t>
            </w:r>
          </w:p>
        </w:tc>
        <w:tc>
          <w:tcPr>
            <w:tcW w:w="0" w:type="auto"/>
            <w:tcBorders>
              <w:top w:val="nil"/>
              <w:left w:val="single" w:sz="4" w:space="0" w:color="000000"/>
              <w:bottom w:val="nil"/>
              <w:right w:val="single" w:sz="4" w:space="0" w:color="000000"/>
            </w:tcBorders>
            <w:shd w:val="clear" w:color="auto" w:fill="auto"/>
            <w:noWrap/>
            <w:vAlign w:val="center"/>
            <w:hideMark/>
          </w:tcPr>
          <w:p w14:paraId="4D97A3AA"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-0.83</w:t>
            </w:r>
          </w:p>
        </w:tc>
        <w:tc>
          <w:tcPr>
            <w:tcW w:w="0" w:type="auto"/>
            <w:tcBorders>
              <w:top w:val="nil"/>
              <w:left w:val="single" w:sz="4" w:space="0" w:color="000000"/>
              <w:bottom w:val="nil"/>
              <w:right w:val="single" w:sz="4" w:space="0" w:color="000000"/>
            </w:tcBorders>
            <w:shd w:val="clear" w:color="auto" w:fill="auto"/>
            <w:noWrap/>
            <w:vAlign w:val="center"/>
            <w:hideMark/>
          </w:tcPr>
          <w:p w14:paraId="4D6E97EF"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0.38</w:t>
            </w:r>
          </w:p>
        </w:tc>
        <w:tc>
          <w:tcPr>
            <w:tcW w:w="0" w:type="auto"/>
            <w:tcBorders>
              <w:top w:val="nil"/>
              <w:left w:val="single" w:sz="4" w:space="0" w:color="000000"/>
              <w:bottom w:val="nil"/>
              <w:right w:val="single" w:sz="4" w:space="0" w:color="000000"/>
            </w:tcBorders>
            <w:shd w:val="clear" w:color="auto" w:fill="auto"/>
            <w:noWrap/>
            <w:vAlign w:val="center"/>
            <w:hideMark/>
          </w:tcPr>
          <w:p w14:paraId="26C78A3C"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0.44</w:t>
            </w:r>
          </w:p>
        </w:tc>
        <w:tc>
          <w:tcPr>
            <w:tcW w:w="0" w:type="auto"/>
            <w:tcBorders>
              <w:top w:val="nil"/>
              <w:left w:val="single" w:sz="4" w:space="0" w:color="000000"/>
              <w:bottom w:val="nil"/>
              <w:right w:val="single" w:sz="4" w:space="0" w:color="000000"/>
            </w:tcBorders>
            <w:shd w:val="clear" w:color="auto" w:fill="auto"/>
            <w:noWrap/>
            <w:vAlign w:val="center"/>
            <w:hideMark/>
          </w:tcPr>
          <w:p w14:paraId="500EF48A"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4.70</w:t>
            </w:r>
          </w:p>
        </w:tc>
        <w:tc>
          <w:tcPr>
            <w:tcW w:w="0" w:type="auto"/>
            <w:tcBorders>
              <w:top w:val="nil"/>
              <w:left w:val="single" w:sz="4" w:space="0" w:color="000000"/>
              <w:bottom w:val="nil"/>
              <w:right w:val="single" w:sz="8" w:space="0" w:color="000000"/>
            </w:tcBorders>
            <w:shd w:val="clear" w:color="auto" w:fill="auto"/>
            <w:noWrap/>
            <w:vAlign w:val="center"/>
            <w:hideMark/>
          </w:tcPr>
          <w:p w14:paraId="68C83CAE"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.030</w:t>
            </w:r>
          </w:p>
        </w:tc>
      </w:tr>
      <w:tr w:rsidR="00926914" w:rsidRPr="00112363" w14:paraId="3DE1C36D" w14:textId="77777777" w:rsidTr="00D97E3E">
        <w:trPr>
          <w:jc w:val="center"/>
        </w:trPr>
        <w:tc>
          <w:tcPr>
            <w:tcW w:w="0" w:type="auto"/>
            <w:tcBorders>
              <w:top w:val="nil"/>
              <w:left w:val="single" w:sz="8" w:space="0" w:color="000000"/>
              <w:bottom w:val="nil"/>
              <w:right w:val="single" w:sz="4" w:space="0" w:color="000000"/>
            </w:tcBorders>
            <w:shd w:val="clear" w:color="auto" w:fill="auto"/>
            <w:noWrap/>
            <w:vAlign w:val="bottom"/>
            <w:hideMark/>
          </w:tcPr>
          <w:p w14:paraId="1E9325FF" w14:textId="77777777" w:rsidR="00926914" w:rsidRPr="00EE4D2A" w:rsidRDefault="00926914" w:rsidP="00EE4D2A">
            <w:pPr>
              <w:bidi w:val="0"/>
              <w:spacing w:before="60" w:after="60" w:line="220" w:lineRule="exact"/>
              <w:rPr>
                <w:color w:val="000000"/>
                <w:sz w:val="16"/>
                <w:szCs w:val="18"/>
              </w:rPr>
            </w:pPr>
          </w:p>
        </w:tc>
        <w:tc>
          <w:tcPr>
            <w:tcW w:w="0" w:type="auto"/>
            <w:tcBorders>
              <w:top w:val="nil"/>
              <w:left w:val="single" w:sz="4" w:space="0" w:color="000000"/>
              <w:bottom w:val="nil"/>
              <w:right w:val="single" w:sz="4" w:space="0" w:color="000000"/>
            </w:tcBorders>
            <w:shd w:val="clear" w:color="auto" w:fill="auto"/>
            <w:noWrap/>
            <w:vAlign w:val="center"/>
            <w:hideMark/>
          </w:tcPr>
          <w:p w14:paraId="0E257CAF" w14:textId="77777777" w:rsidR="00926914" w:rsidRPr="00EE4D2A" w:rsidRDefault="00926914" w:rsidP="00EE4D2A">
            <w:pPr>
              <w:spacing w:before="60" w:after="60" w:line="220" w:lineRule="exact"/>
              <w:rPr>
                <w:sz w:val="16"/>
                <w:szCs w:val="18"/>
              </w:rPr>
            </w:pPr>
            <w:r w:rsidRPr="00EE4D2A">
              <w:rPr>
                <w:sz w:val="16"/>
                <w:szCs w:val="18"/>
                <w:rtl/>
              </w:rPr>
              <w:t>מצב משפחתי (בזוגיות)</w:t>
            </w:r>
          </w:p>
        </w:tc>
        <w:tc>
          <w:tcPr>
            <w:tcW w:w="0" w:type="auto"/>
            <w:tcBorders>
              <w:top w:val="nil"/>
              <w:left w:val="single" w:sz="4" w:space="0" w:color="000000"/>
              <w:bottom w:val="nil"/>
              <w:right w:val="single" w:sz="4" w:space="0" w:color="000000"/>
            </w:tcBorders>
            <w:shd w:val="clear" w:color="auto" w:fill="auto"/>
            <w:noWrap/>
            <w:vAlign w:val="center"/>
            <w:hideMark/>
          </w:tcPr>
          <w:p w14:paraId="4F2CFF45"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0.59</w:t>
            </w:r>
          </w:p>
        </w:tc>
        <w:tc>
          <w:tcPr>
            <w:tcW w:w="0" w:type="auto"/>
            <w:tcBorders>
              <w:top w:val="nil"/>
              <w:left w:val="single" w:sz="4" w:space="0" w:color="000000"/>
              <w:bottom w:val="nil"/>
              <w:right w:val="single" w:sz="4" w:space="0" w:color="000000"/>
            </w:tcBorders>
            <w:shd w:val="clear" w:color="auto" w:fill="auto"/>
            <w:noWrap/>
            <w:vAlign w:val="center"/>
            <w:hideMark/>
          </w:tcPr>
          <w:p w14:paraId="0C49CEAA"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0.33</w:t>
            </w:r>
          </w:p>
        </w:tc>
        <w:tc>
          <w:tcPr>
            <w:tcW w:w="0" w:type="auto"/>
            <w:tcBorders>
              <w:top w:val="nil"/>
              <w:left w:val="single" w:sz="4" w:space="0" w:color="000000"/>
              <w:bottom w:val="nil"/>
              <w:right w:val="single" w:sz="4" w:space="0" w:color="000000"/>
            </w:tcBorders>
            <w:shd w:val="clear" w:color="auto" w:fill="auto"/>
            <w:noWrap/>
            <w:vAlign w:val="center"/>
            <w:hideMark/>
          </w:tcPr>
          <w:p w14:paraId="068A0602"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1.81</w:t>
            </w:r>
          </w:p>
        </w:tc>
        <w:tc>
          <w:tcPr>
            <w:tcW w:w="0" w:type="auto"/>
            <w:tcBorders>
              <w:top w:val="nil"/>
              <w:left w:val="single" w:sz="4" w:space="0" w:color="000000"/>
              <w:bottom w:val="nil"/>
              <w:right w:val="single" w:sz="4" w:space="0" w:color="000000"/>
            </w:tcBorders>
            <w:shd w:val="clear" w:color="auto" w:fill="auto"/>
            <w:noWrap/>
            <w:vAlign w:val="center"/>
            <w:hideMark/>
          </w:tcPr>
          <w:p w14:paraId="781541AE"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3.19</w:t>
            </w:r>
          </w:p>
        </w:tc>
        <w:tc>
          <w:tcPr>
            <w:tcW w:w="0" w:type="auto"/>
            <w:tcBorders>
              <w:top w:val="nil"/>
              <w:left w:val="single" w:sz="4" w:space="0" w:color="000000"/>
              <w:bottom w:val="nil"/>
              <w:right w:val="single" w:sz="8" w:space="0" w:color="000000"/>
            </w:tcBorders>
            <w:shd w:val="clear" w:color="auto" w:fill="auto"/>
            <w:noWrap/>
            <w:vAlign w:val="center"/>
            <w:hideMark/>
          </w:tcPr>
          <w:p w14:paraId="6285B0F0"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.074</w:t>
            </w:r>
          </w:p>
        </w:tc>
      </w:tr>
      <w:tr w:rsidR="00926914" w:rsidRPr="00112363" w14:paraId="53F1AB3A" w14:textId="77777777" w:rsidTr="00D97E3E">
        <w:trPr>
          <w:jc w:val="center"/>
        </w:trPr>
        <w:tc>
          <w:tcPr>
            <w:tcW w:w="0" w:type="auto"/>
            <w:tcBorders>
              <w:top w:val="nil"/>
              <w:left w:val="single" w:sz="8" w:space="0" w:color="000000"/>
              <w:bottom w:val="nil"/>
              <w:right w:val="single" w:sz="4" w:space="0" w:color="000000"/>
            </w:tcBorders>
            <w:shd w:val="clear" w:color="auto" w:fill="auto"/>
            <w:noWrap/>
            <w:vAlign w:val="bottom"/>
            <w:hideMark/>
          </w:tcPr>
          <w:p w14:paraId="1912F714" w14:textId="77777777" w:rsidR="00926914" w:rsidRPr="00EE4D2A" w:rsidRDefault="00926914" w:rsidP="00EE4D2A">
            <w:pPr>
              <w:bidi w:val="0"/>
              <w:spacing w:before="60" w:after="60" w:line="220" w:lineRule="exact"/>
              <w:rPr>
                <w:color w:val="000000"/>
                <w:sz w:val="16"/>
                <w:szCs w:val="18"/>
              </w:rPr>
            </w:pPr>
          </w:p>
        </w:tc>
        <w:tc>
          <w:tcPr>
            <w:tcW w:w="0" w:type="auto"/>
            <w:tcBorders>
              <w:top w:val="nil"/>
              <w:left w:val="single" w:sz="4" w:space="0" w:color="000000"/>
              <w:bottom w:val="nil"/>
              <w:right w:val="single" w:sz="4" w:space="0" w:color="000000"/>
            </w:tcBorders>
            <w:shd w:val="clear" w:color="auto" w:fill="auto"/>
            <w:noWrap/>
            <w:vAlign w:val="center"/>
            <w:hideMark/>
          </w:tcPr>
          <w:p w14:paraId="079D82E0" w14:textId="77777777" w:rsidR="00926914" w:rsidRPr="00EE4D2A" w:rsidRDefault="00926914" w:rsidP="00EE4D2A">
            <w:pPr>
              <w:spacing w:before="60" w:after="60" w:line="220" w:lineRule="exact"/>
              <w:rPr>
                <w:sz w:val="16"/>
                <w:szCs w:val="18"/>
              </w:rPr>
            </w:pPr>
            <w:r w:rsidRPr="00EE4D2A">
              <w:rPr>
                <w:sz w:val="16"/>
                <w:szCs w:val="18"/>
                <w:rtl/>
              </w:rPr>
              <w:t>מצוקה בין-דורית (דור שני)</w:t>
            </w:r>
          </w:p>
        </w:tc>
        <w:tc>
          <w:tcPr>
            <w:tcW w:w="0" w:type="auto"/>
            <w:tcBorders>
              <w:top w:val="nil"/>
              <w:left w:val="single" w:sz="4" w:space="0" w:color="000000"/>
              <w:bottom w:val="nil"/>
              <w:right w:val="single" w:sz="4" w:space="0" w:color="000000"/>
            </w:tcBorders>
            <w:shd w:val="clear" w:color="auto" w:fill="auto"/>
            <w:noWrap/>
            <w:vAlign w:val="center"/>
            <w:hideMark/>
          </w:tcPr>
          <w:p w14:paraId="40B27F3A"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-0.71</w:t>
            </w:r>
          </w:p>
        </w:tc>
        <w:tc>
          <w:tcPr>
            <w:tcW w:w="0" w:type="auto"/>
            <w:tcBorders>
              <w:top w:val="nil"/>
              <w:left w:val="single" w:sz="4" w:space="0" w:color="000000"/>
              <w:bottom w:val="nil"/>
              <w:right w:val="single" w:sz="4" w:space="0" w:color="000000"/>
            </w:tcBorders>
            <w:shd w:val="clear" w:color="auto" w:fill="auto"/>
            <w:noWrap/>
            <w:vAlign w:val="center"/>
            <w:hideMark/>
          </w:tcPr>
          <w:p w14:paraId="1AC7A239"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0.32</w:t>
            </w:r>
          </w:p>
        </w:tc>
        <w:tc>
          <w:tcPr>
            <w:tcW w:w="0" w:type="auto"/>
            <w:tcBorders>
              <w:top w:val="nil"/>
              <w:left w:val="single" w:sz="4" w:space="0" w:color="000000"/>
              <w:bottom w:val="nil"/>
              <w:right w:val="single" w:sz="4" w:space="0" w:color="000000"/>
            </w:tcBorders>
            <w:shd w:val="clear" w:color="auto" w:fill="auto"/>
            <w:noWrap/>
            <w:vAlign w:val="center"/>
            <w:hideMark/>
          </w:tcPr>
          <w:p w14:paraId="77A7297D"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0.49</w:t>
            </w:r>
          </w:p>
        </w:tc>
        <w:tc>
          <w:tcPr>
            <w:tcW w:w="0" w:type="auto"/>
            <w:tcBorders>
              <w:top w:val="nil"/>
              <w:left w:val="single" w:sz="4" w:space="0" w:color="000000"/>
              <w:bottom w:val="nil"/>
              <w:right w:val="single" w:sz="4" w:space="0" w:color="000000"/>
            </w:tcBorders>
            <w:shd w:val="clear" w:color="auto" w:fill="auto"/>
            <w:noWrap/>
            <w:vAlign w:val="center"/>
            <w:hideMark/>
          </w:tcPr>
          <w:p w14:paraId="62EF96DF"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5.09</w:t>
            </w:r>
          </w:p>
        </w:tc>
        <w:tc>
          <w:tcPr>
            <w:tcW w:w="0" w:type="auto"/>
            <w:tcBorders>
              <w:top w:val="nil"/>
              <w:left w:val="single" w:sz="4" w:space="0" w:color="000000"/>
              <w:bottom w:val="nil"/>
              <w:right w:val="single" w:sz="8" w:space="0" w:color="000000"/>
            </w:tcBorders>
            <w:shd w:val="clear" w:color="auto" w:fill="auto"/>
            <w:noWrap/>
            <w:vAlign w:val="center"/>
            <w:hideMark/>
          </w:tcPr>
          <w:p w14:paraId="1C7BC999"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.024</w:t>
            </w:r>
          </w:p>
        </w:tc>
      </w:tr>
      <w:tr w:rsidR="00926914" w:rsidRPr="00112363" w14:paraId="4B2E51B8" w14:textId="77777777" w:rsidTr="00D97E3E">
        <w:trPr>
          <w:jc w:val="center"/>
        </w:trPr>
        <w:tc>
          <w:tcPr>
            <w:tcW w:w="0" w:type="auto"/>
            <w:tcBorders>
              <w:top w:val="nil"/>
              <w:left w:val="single" w:sz="8" w:space="0" w:color="000000"/>
              <w:bottom w:val="nil"/>
              <w:right w:val="single" w:sz="4" w:space="0" w:color="000000"/>
            </w:tcBorders>
            <w:shd w:val="clear" w:color="auto" w:fill="auto"/>
            <w:noWrap/>
            <w:vAlign w:val="bottom"/>
            <w:hideMark/>
          </w:tcPr>
          <w:p w14:paraId="7942B632" w14:textId="77777777" w:rsidR="00926914" w:rsidRPr="00EE4D2A" w:rsidRDefault="00926914" w:rsidP="00EE4D2A">
            <w:pPr>
              <w:bidi w:val="0"/>
              <w:spacing w:before="60" w:after="60" w:line="220" w:lineRule="exact"/>
              <w:rPr>
                <w:color w:val="000000"/>
                <w:sz w:val="16"/>
                <w:szCs w:val="18"/>
              </w:rPr>
            </w:pPr>
          </w:p>
        </w:tc>
        <w:tc>
          <w:tcPr>
            <w:tcW w:w="0" w:type="auto"/>
            <w:tcBorders>
              <w:top w:val="nil"/>
              <w:left w:val="single" w:sz="4" w:space="0" w:color="000000"/>
              <w:bottom w:val="nil"/>
              <w:right w:val="single" w:sz="4" w:space="0" w:color="000000"/>
            </w:tcBorders>
            <w:shd w:val="clear" w:color="auto" w:fill="auto"/>
            <w:noWrap/>
            <w:vAlign w:val="center"/>
            <w:hideMark/>
          </w:tcPr>
          <w:p w14:paraId="0F548C1C" w14:textId="77777777" w:rsidR="00926914" w:rsidRPr="00EE4D2A" w:rsidRDefault="00926914" w:rsidP="00EE4D2A">
            <w:pPr>
              <w:spacing w:before="60" w:after="60" w:line="220" w:lineRule="exact"/>
              <w:rPr>
                <w:sz w:val="16"/>
                <w:szCs w:val="18"/>
              </w:rPr>
            </w:pPr>
            <w:r w:rsidRPr="00EE4D2A">
              <w:rPr>
                <w:sz w:val="16"/>
                <w:szCs w:val="18"/>
                <w:rtl/>
              </w:rPr>
              <w:t>שנות לימוד</w:t>
            </w:r>
          </w:p>
        </w:tc>
        <w:tc>
          <w:tcPr>
            <w:tcW w:w="0" w:type="auto"/>
            <w:tcBorders>
              <w:top w:val="nil"/>
              <w:left w:val="single" w:sz="4" w:space="0" w:color="000000"/>
              <w:bottom w:val="nil"/>
              <w:right w:val="single" w:sz="4" w:space="0" w:color="000000"/>
            </w:tcBorders>
            <w:shd w:val="clear" w:color="auto" w:fill="auto"/>
            <w:noWrap/>
            <w:vAlign w:val="center"/>
            <w:hideMark/>
          </w:tcPr>
          <w:p w14:paraId="398FD009"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0.05</w:t>
            </w:r>
          </w:p>
        </w:tc>
        <w:tc>
          <w:tcPr>
            <w:tcW w:w="0" w:type="auto"/>
            <w:tcBorders>
              <w:top w:val="nil"/>
              <w:left w:val="single" w:sz="4" w:space="0" w:color="000000"/>
              <w:bottom w:val="nil"/>
              <w:right w:val="single" w:sz="4" w:space="0" w:color="000000"/>
            </w:tcBorders>
            <w:shd w:val="clear" w:color="auto" w:fill="auto"/>
            <w:noWrap/>
            <w:vAlign w:val="center"/>
            <w:hideMark/>
          </w:tcPr>
          <w:p w14:paraId="5D2CB625"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0.11</w:t>
            </w:r>
          </w:p>
        </w:tc>
        <w:tc>
          <w:tcPr>
            <w:tcW w:w="0" w:type="auto"/>
            <w:tcBorders>
              <w:top w:val="nil"/>
              <w:left w:val="single" w:sz="4" w:space="0" w:color="000000"/>
              <w:bottom w:val="nil"/>
              <w:right w:val="single" w:sz="4" w:space="0" w:color="000000"/>
            </w:tcBorders>
            <w:shd w:val="clear" w:color="auto" w:fill="auto"/>
            <w:noWrap/>
            <w:vAlign w:val="center"/>
            <w:hideMark/>
          </w:tcPr>
          <w:p w14:paraId="17549138"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1.05</w:t>
            </w:r>
          </w:p>
        </w:tc>
        <w:tc>
          <w:tcPr>
            <w:tcW w:w="0" w:type="auto"/>
            <w:tcBorders>
              <w:top w:val="nil"/>
              <w:left w:val="single" w:sz="4" w:space="0" w:color="000000"/>
              <w:bottom w:val="nil"/>
              <w:right w:val="single" w:sz="4" w:space="0" w:color="000000"/>
            </w:tcBorders>
            <w:shd w:val="clear" w:color="auto" w:fill="auto"/>
            <w:noWrap/>
            <w:vAlign w:val="center"/>
            <w:hideMark/>
          </w:tcPr>
          <w:p w14:paraId="2253DAC7"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0.18</w:t>
            </w:r>
          </w:p>
        </w:tc>
        <w:tc>
          <w:tcPr>
            <w:tcW w:w="0" w:type="auto"/>
            <w:tcBorders>
              <w:top w:val="nil"/>
              <w:left w:val="single" w:sz="4" w:space="0" w:color="000000"/>
              <w:bottom w:val="nil"/>
              <w:right w:val="single" w:sz="8" w:space="0" w:color="000000"/>
            </w:tcBorders>
            <w:shd w:val="clear" w:color="auto" w:fill="auto"/>
            <w:noWrap/>
            <w:vAlign w:val="center"/>
            <w:hideMark/>
          </w:tcPr>
          <w:p w14:paraId="05FCB813"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.671</w:t>
            </w:r>
          </w:p>
        </w:tc>
      </w:tr>
      <w:tr w:rsidR="00926914" w:rsidRPr="00112363" w14:paraId="4D4739D8" w14:textId="77777777" w:rsidTr="00D97E3E">
        <w:trPr>
          <w:jc w:val="center"/>
        </w:trPr>
        <w:tc>
          <w:tcPr>
            <w:tcW w:w="0" w:type="auto"/>
            <w:tcBorders>
              <w:top w:val="nil"/>
              <w:left w:val="single" w:sz="8" w:space="0" w:color="000000"/>
              <w:bottom w:val="nil"/>
              <w:right w:val="single" w:sz="4" w:space="0" w:color="000000"/>
            </w:tcBorders>
            <w:shd w:val="clear" w:color="auto" w:fill="auto"/>
            <w:noWrap/>
            <w:vAlign w:val="bottom"/>
            <w:hideMark/>
          </w:tcPr>
          <w:p w14:paraId="4B01EF1D" w14:textId="77777777" w:rsidR="00926914" w:rsidRPr="00EE4D2A" w:rsidRDefault="00926914" w:rsidP="00EE4D2A">
            <w:pPr>
              <w:spacing w:before="60" w:after="60" w:line="220" w:lineRule="exact"/>
              <w:rPr>
                <w:sz w:val="16"/>
                <w:szCs w:val="18"/>
              </w:rPr>
            </w:pPr>
            <w:r w:rsidRPr="00EE4D2A">
              <w:rPr>
                <w:sz w:val="16"/>
                <w:szCs w:val="18"/>
                <w:rtl/>
              </w:rPr>
              <w:t>הון אנושי</w:t>
            </w:r>
          </w:p>
        </w:tc>
        <w:tc>
          <w:tcPr>
            <w:tcW w:w="0" w:type="auto"/>
            <w:tcBorders>
              <w:top w:val="nil"/>
              <w:left w:val="single" w:sz="4" w:space="0" w:color="000000"/>
              <w:bottom w:val="nil"/>
              <w:right w:val="single" w:sz="4" w:space="0" w:color="000000"/>
            </w:tcBorders>
            <w:shd w:val="clear" w:color="auto" w:fill="auto"/>
            <w:noWrap/>
            <w:vAlign w:val="center"/>
            <w:hideMark/>
          </w:tcPr>
          <w:p w14:paraId="243EFB43" w14:textId="77777777" w:rsidR="00926914" w:rsidRPr="00EE4D2A" w:rsidRDefault="00926914" w:rsidP="00EE4D2A">
            <w:pPr>
              <w:spacing w:before="60" w:after="60" w:line="220" w:lineRule="exact"/>
              <w:rPr>
                <w:sz w:val="16"/>
                <w:szCs w:val="18"/>
                <w:rtl/>
              </w:rPr>
            </w:pPr>
            <w:r w:rsidRPr="00EE4D2A">
              <w:rPr>
                <w:sz w:val="16"/>
                <w:szCs w:val="18"/>
                <w:rtl/>
              </w:rPr>
              <w:t>הכשרה מקצועית (יש)</w:t>
            </w:r>
          </w:p>
        </w:tc>
        <w:tc>
          <w:tcPr>
            <w:tcW w:w="0" w:type="auto"/>
            <w:tcBorders>
              <w:top w:val="nil"/>
              <w:left w:val="single" w:sz="4" w:space="0" w:color="000000"/>
              <w:bottom w:val="nil"/>
              <w:right w:val="single" w:sz="4" w:space="0" w:color="000000"/>
            </w:tcBorders>
            <w:shd w:val="clear" w:color="auto" w:fill="auto"/>
            <w:noWrap/>
            <w:vAlign w:val="center"/>
            <w:hideMark/>
          </w:tcPr>
          <w:p w14:paraId="1F39F702"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0.70</w:t>
            </w:r>
          </w:p>
        </w:tc>
        <w:tc>
          <w:tcPr>
            <w:tcW w:w="0" w:type="auto"/>
            <w:tcBorders>
              <w:top w:val="nil"/>
              <w:left w:val="single" w:sz="4" w:space="0" w:color="000000"/>
              <w:bottom w:val="nil"/>
              <w:right w:val="single" w:sz="4" w:space="0" w:color="000000"/>
            </w:tcBorders>
            <w:shd w:val="clear" w:color="auto" w:fill="auto"/>
            <w:noWrap/>
            <w:vAlign w:val="center"/>
            <w:hideMark/>
          </w:tcPr>
          <w:p w14:paraId="0DC5CE03"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0.33</w:t>
            </w:r>
          </w:p>
        </w:tc>
        <w:tc>
          <w:tcPr>
            <w:tcW w:w="0" w:type="auto"/>
            <w:tcBorders>
              <w:top w:val="nil"/>
              <w:left w:val="single" w:sz="4" w:space="0" w:color="000000"/>
              <w:bottom w:val="nil"/>
              <w:right w:val="single" w:sz="4" w:space="0" w:color="000000"/>
            </w:tcBorders>
            <w:shd w:val="clear" w:color="auto" w:fill="auto"/>
            <w:noWrap/>
            <w:vAlign w:val="center"/>
            <w:hideMark/>
          </w:tcPr>
          <w:p w14:paraId="787D0B19"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2.01</w:t>
            </w:r>
          </w:p>
        </w:tc>
        <w:tc>
          <w:tcPr>
            <w:tcW w:w="0" w:type="auto"/>
            <w:tcBorders>
              <w:top w:val="nil"/>
              <w:left w:val="single" w:sz="4" w:space="0" w:color="000000"/>
              <w:bottom w:val="nil"/>
              <w:right w:val="single" w:sz="4" w:space="0" w:color="000000"/>
            </w:tcBorders>
            <w:shd w:val="clear" w:color="auto" w:fill="auto"/>
            <w:noWrap/>
            <w:vAlign w:val="center"/>
            <w:hideMark/>
          </w:tcPr>
          <w:p w14:paraId="701FBF41"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4.52</w:t>
            </w:r>
          </w:p>
        </w:tc>
        <w:tc>
          <w:tcPr>
            <w:tcW w:w="0" w:type="auto"/>
            <w:tcBorders>
              <w:top w:val="nil"/>
              <w:left w:val="single" w:sz="4" w:space="0" w:color="000000"/>
              <w:bottom w:val="nil"/>
              <w:right w:val="single" w:sz="8" w:space="0" w:color="000000"/>
            </w:tcBorders>
            <w:shd w:val="clear" w:color="auto" w:fill="auto"/>
            <w:noWrap/>
            <w:vAlign w:val="center"/>
            <w:hideMark/>
          </w:tcPr>
          <w:p w14:paraId="0CF92683"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.034</w:t>
            </w:r>
          </w:p>
        </w:tc>
      </w:tr>
      <w:tr w:rsidR="00926914" w:rsidRPr="00112363" w14:paraId="3B980CA8" w14:textId="77777777" w:rsidTr="00D97E3E">
        <w:trPr>
          <w:jc w:val="center"/>
        </w:trPr>
        <w:tc>
          <w:tcPr>
            <w:tcW w:w="0" w:type="auto"/>
            <w:tcBorders>
              <w:top w:val="nil"/>
              <w:left w:val="single" w:sz="8" w:space="0" w:color="000000"/>
              <w:bottom w:val="single" w:sz="8" w:space="0" w:color="000000"/>
              <w:right w:val="single" w:sz="4" w:space="0" w:color="000000"/>
            </w:tcBorders>
            <w:shd w:val="clear" w:color="auto" w:fill="auto"/>
            <w:noWrap/>
            <w:vAlign w:val="center"/>
            <w:hideMark/>
          </w:tcPr>
          <w:p w14:paraId="4082ED88" w14:textId="77777777" w:rsidR="00926914" w:rsidRPr="00EE4D2A" w:rsidRDefault="00926914" w:rsidP="00EE4D2A">
            <w:pPr>
              <w:spacing w:before="60" w:after="60" w:line="220" w:lineRule="exact"/>
              <w:rPr>
                <w:sz w:val="16"/>
                <w:szCs w:val="18"/>
              </w:rPr>
            </w:pPr>
            <w:r w:rsidRPr="00EE4D2A">
              <w:rPr>
                <w:sz w:val="16"/>
                <w:szCs w:val="18"/>
                <w:rtl/>
              </w:rPr>
              <w:t>בריאות</w:t>
            </w:r>
          </w:p>
        </w:tc>
        <w:tc>
          <w:tcPr>
            <w:tcW w:w="0" w:type="auto"/>
            <w:tcBorders>
              <w:top w:val="nil"/>
              <w:left w:val="single" w:sz="4" w:space="0" w:color="000000"/>
              <w:bottom w:val="single" w:sz="8" w:space="0" w:color="000000"/>
              <w:right w:val="single" w:sz="4" w:space="0" w:color="000000"/>
            </w:tcBorders>
            <w:shd w:val="clear" w:color="auto" w:fill="auto"/>
            <w:noWrap/>
            <w:vAlign w:val="center"/>
            <w:hideMark/>
          </w:tcPr>
          <w:p w14:paraId="79DF60FB" w14:textId="4C6EE286" w:rsidR="00926914" w:rsidRPr="00EE4D2A" w:rsidRDefault="00926914" w:rsidP="00956340">
            <w:pPr>
              <w:spacing w:before="60" w:after="60" w:line="220" w:lineRule="exact"/>
              <w:rPr>
                <w:sz w:val="16"/>
                <w:szCs w:val="18"/>
                <w:rtl/>
              </w:rPr>
            </w:pPr>
            <w:r w:rsidRPr="00EE4D2A">
              <w:rPr>
                <w:sz w:val="16"/>
                <w:szCs w:val="18"/>
                <w:rtl/>
              </w:rPr>
              <w:t>מצב בריאות</w:t>
            </w:r>
          </w:p>
        </w:tc>
        <w:tc>
          <w:tcPr>
            <w:tcW w:w="0" w:type="auto"/>
            <w:tcBorders>
              <w:top w:val="nil"/>
              <w:left w:val="single" w:sz="4" w:space="0" w:color="000000"/>
              <w:bottom w:val="single" w:sz="8" w:space="0" w:color="000000"/>
              <w:right w:val="single" w:sz="4" w:space="0" w:color="000000"/>
            </w:tcBorders>
            <w:shd w:val="clear" w:color="auto" w:fill="auto"/>
            <w:noWrap/>
            <w:vAlign w:val="center"/>
            <w:hideMark/>
          </w:tcPr>
          <w:p w14:paraId="09987094" w14:textId="77777777" w:rsidR="00926914" w:rsidRPr="005270AD" w:rsidRDefault="00926914" w:rsidP="00EE4D2A">
            <w:pPr>
              <w:spacing w:before="60" w:after="60" w:line="220" w:lineRule="exact"/>
              <w:rPr>
                <w:rFonts w:ascii="David" w:hAnsi="David"/>
                <w:color w:val="000000"/>
                <w:sz w:val="18"/>
                <w:szCs w:val="18"/>
                <w:rtl/>
              </w:rPr>
            </w:pPr>
            <w:r w:rsidRPr="005270AD">
              <w:rPr>
                <w:rFonts w:ascii="David" w:hAnsi="David"/>
                <w:color w:val="000000"/>
                <w:sz w:val="18"/>
                <w:szCs w:val="18"/>
              </w:rPr>
              <w:t>0.28</w:t>
            </w:r>
          </w:p>
        </w:tc>
        <w:tc>
          <w:tcPr>
            <w:tcW w:w="0" w:type="auto"/>
            <w:tcBorders>
              <w:top w:val="nil"/>
              <w:left w:val="single" w:sz="4" w:space="0" w:color="000000"/>
              <w:bottom w:val="single" w:sz="8" w:space="0" w:color="000000"/>
              <w:right w:val="single" w:sz="4" w:space="0" w:color="000000"/>
            </w:tcBorders>
            <w:shd w:val="clear" w:color="auto" w:fill="auto"/>
            <w:noWrap/>
            <w:vAlign w:val="center"/>
            <w:hideMark/>
          </w:tcPr>
          <w:p w14:paraId="382386C1"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0.11</w:t>
            </w:r>
          </w:p>
        </w:tc>
        <w:tc>
          <w:tcPr>
            <w:tcW w:w="0" w:type="auto"/>
            <w:tcBorders>
              <w:top w:val="nil"/>
              <w:left w:val="single" w:sz="4" w:space="0" w:color="000000"/>
              <w:bottom w:val="single" w:sz="8" w:space="0" w:color="000000"/>
              <w:right w:val="single" w:sz="4" w:space="0" w:color="000000"/>
            </w:tcBorders>
            <w:shd w:val="clear" w:color="auto" w:fill="auto"/>
            <w:noWrap/>
            <w:vAlign w:val="center"/>
            <w:hideMark/>
          </w:tcPr>
          <w:p w14:paraId="45F55B4D"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1.33</w:t>
            </w:r>
          </w:p>
        </w:tc>
        <w:tc>
          <w:tcPr>
            <w:tcW w:w="0" w:type="auto"/>
            <w:tcBorders>
              <w:top w:val="nil"/>
              <w:left w:val="single" w:sz="4" w:space="0" w:color="000000"/>
              <w:bottom w:val="single" w:sz="8" w:space="0" w:color="000000"/>
              <w:right w:val="single" w:sz="4" w:space="0" w:color="000000"/>
            </w:tcBorders>
            <w:shd w:val="clear" w:color="auto" w:fill="auto"/>
            <w:noWrap/>
            <w:vAlign w:val="center"/>
            <w:hideMark/>
          </w:tcPr>
          <w:p w14:paraId="70BC73DC"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6.23</w:t>
            </w:r>
          </w:p>
        </w:tc>
        <w:tc>
          <w:tcPr>
            <w:tcW w:w="0" w:type="auto"/>
            <w:tcBorders>
              <w:top w:val="nil"/>
              <w:left w:val="single" w:sz="4" w:space="0" w:color="000000"/>
              <w:bottom w:val="single" w:sz="8" w:space="0" w:color="000000"/>
              <w:right w:val="single" w:sz="8" w:space="0" w:color="000000"/>
            </w:tcBorders>
            <w:shd w:val="clear" w:color="auto" w:fill="auto"/>
            <w:noWrap/>
            <w:vAlign w:val="center"/>
            <w:hideMark/>
          </w:tcPr>
          <w:p w14:paraId="08B5A56D" w14:textId="77777777" w:rsidR="00926914" w:rsidRPr="005270AD" w:rsidRDefault="00926914" w:rsidP="00EE4D2A">
            <w:pPr>
              <w:spacing w:before="60" w:after="60" w:line="220" w:lineRule="exact"/>
              <w:rPr>
                <w:rFonts w:ascii="David" w:hAnsi="David"/>
                <w:color w:val="000000"/>
                <w:sz w:val="18"/>
                <w:szCs w:val="18"/>
              </w:rPr>
            </w:pPr>
            <w:r w:rsidRPr="005270AD">
              <w:rPr>
                <w:rFonts w:ascii="David" w:hAnsi="David"/>
                <w:color w:val="000000"/>
                <w:sz w:val="18"/>
                <w:szCs w:val="18"/>
              </w:rPr>
              <w:t>.013</w:t>
            </w:r>
          </w:p>
        </w:tc>
      </w:tr>
    </w:tbl>
    <w:p w14:paraId="6CB5C0B8" w14:textId="3BD26AB9" w:rsidR="00926914" w:rsidRPr="00EE4D2A" w:rsidRDefault="005270AD" w:rsidP="00EE4D2A">
      <w:pPr>
        <w:pStyle w:val="tab-name"/>
        <w:spacing w:before="300" w:line="260" w:lineRule="exact"/>
        <w:ind w:right="0"/>
        <w:rPr>
          <w:rFonts w:cs="Guttman Aharoni"/>
          <w:color w:val="auto"/>
          <w:sz w:val="20"/>
          <w:szCs w:val="20"/>
        </w:rPr>
      </w:pPr>
      <w:bookmarkStart w:id="23" w:name="_Toc76380499"/>
      <w:r>
        <w:rPr>
          <w:rFonts w:cs="Guttman Aharoni" w:hint="cs"/>
          <w:color w:val="auto"/>
          <w:sz w:val="20"/>
          <w:szCs w:val="20"/>
          <w:rtl/>
        </w:rPr>
        <w:t>לוח 2:</w:t>
      </w:r>
      <w:r w:rsidR="00926914" w:rsidRPr="00EE4D2A">
        <w:rPr>
          <w:rFonts w:cs="Guttman Aharoni"/>
          <w:color w:val="auto"/>
          <w:sz w:val="20"/>
          <w:szCs w:val="20"/>
          <w:rtl/>
        </w:rPr>
        <w:t xml:space="preserve"> ממצאי רגרסיה לינארית לניבוי מספר שעות העבודה השבועיות (בנקודת הזמן השנייה)</w:t>
      </w:r>
      <w:bookmarkEnd w:id="23"/>
    </w:p>
    <w:tbl>
      <w:tblPr>
        <w:bidiVisual/>
        <w:tblW w:w="6464" w:type="dxa"/>
        <w:jc w:val="center"/>
        <w:tblBorders>
          <w:top w:val="single" w:sz="8" w:space="0" w:color="000000"/>
          <w:left w:val="single" w:sz="8" w:space="0" w:color="000000"/>
          <w:bottom w:val="single" w:sz="8" w:space="0" w:color="000000"/>
          <w:right w:val="single" w:sz="8" w:space="0" w:color="000000"/>
          <w:insideV w:val="single" w:sz="4" w:space="0" w:color="000000"/>
        </w:tblBorders>
        <w:tblLook w:val="04A0" w:firstRow="1" w:lastRow="0" w:firstColumn="1" w:lastColumn="0" w:noHBand="0" w:noVBand="1"/>
      </w:tblPr>
      <w:tblGrid>
        <w:gridCol w:w="1090"/>
        <w:gridCol w:w="2484"/>
        <w:gridCol w:w="811"/>
        <w:gridCol w:w="735"/>
        <w:gridCol w:w="710"/>
        <w:gridCol w:w="634"/>
      </w:tblGrid>
      <w:tr w:rsidR="00926914" w:rsidRPr="00112363" w14:paraId="11B5FAD8" w14:textId="77777777" w:rsidTr="00EE4D2A">
        <w:trPr>
          <w:trHeight w:val="330"/>
          <w:tblHeader/>
          <w:jc w:val="center"/>
        </w:trPr>
        <w:tc>
          <w:tcPr>
            <w:tcW w:w="0" w:type="auto"/>
            <w:tcBorders>
              <w:top w:val="single" w:sz="8" w:space="0" w:color="000000"/>
              <w:bottom w:val="single" w:sz="8" w:space="0" w:color="000000"/>
            </w:tcBorders>
            <w:shd w:val="clear" w:color="auto" w:fill="auto"/>
            <w:noWrap/>
            <w:vAlign w:val="center"/>
            <w:hideMark/>
          </w:tcPr>
          <w:p w14:paraId="13AF3D78" w14:textId="77777777" w:rsidR="00926914" w:rsidRPr="00EE4D2A" w:rsidRDefault="00926914" w:rsidP="00EE4D2A">
            <w:pPr>
              <w:spacing w:before="60" w:after="60" w:line="220" w:lineRule="exact"/>
              <w:rPr>
                <w:b/>
                <w:bCs/>
                <w:sz w:val="16"/>
                <w:szCs w:val="18"/>
              </w:rPr>
            </w:pPr>
            <w:r w:rsidRPr="00EE4D2A">
              <w:rPr>
                <w:b/>
                <w:bCs/>
                <w:sz w:val="16"/>
                <w:szCs w:val="18"/>
                <w:rtl/>
              </w:rPr>
              <w:t>מאפיינים</w:t>
            </w:r>
          </w:p>
        </w:tc>
        <w:tc>
          <w:tcPr>
            <w:tcW w:w="0" w:type="auto"/>
            <w:tcBorders>
              <w:top w:val="single" w:sz="8" w:space="0" w:color="000000"/>
              <w:bottom w:val="single" w:sz="8" w:space="0" w:color="000000"/>
            </w:tcBorders>
            <w:shd w:val="clear" w:color="auto" w:fill="auto"/>
            <w:noWrap/>
            <w:vAlign w:val="center"/>
            <w:hideMark/>
          </w:tcPr>
          <w:p w14:paraId="44D5EA5A" w14:textId="77777777" w:rsidR="00926914" w:rsidRPr="00EE4D2A" w:rsidRDefault="00926914" w:rsidP="00EE4D2A">
            <w:pPr>
              <w:spacing w:before="60" w:after="60" w:line="220" w:lineRule="exact"/>
              <w:rPr>
                <w:b/>
                <w:bCs/>
                <w:sz w:val="16"/>
                <w:szCs w:val="18"/>
                <w:rtl/>
              </w:rPr>
            </w:pPr>
            <w:r w:rsidRPr="00EE4D2A">
              <w:rPr>
                <w:b/>
                <w:bCs/>
                <w:sz w:val="16"/>
                <w:szCs w:val="18"/>
                <w:rtl/>
              </w:rPr>
              <w:t>משתנים</w:t>
            </w:r>
          </w:p>
        </w:tc>
        <w:tc>
          <w:tcPr>
            <w:tcW w:w="0" w:type="auto"/>
            <w:tcBorders>
              <w:top w:val="single" w:sz="8" w:space="0" w:color="000000"/>
              <w:bottom w:val="single" w:sz="8" w:space="0" w:color="000000"/>
            </w:tcBorders>
            <w:shd w:val="clear" w:color="auto" w:fill="auto"/>
            <w:noWrap/>
            <w:vAlign w:val="center"/>
            <w:hideMark/>
          </w:tcPr>
          <w:p w14:paraId="5D8C5CA7" w14:textId="77777777" w:rsidR="00926914" w:rsidRPr="00EE4D2A" w:rsidRDefault="00926914" w:rsidP="00EE4D2A">
            <w:pPr>
              <w:bidi w:val="0"/>
              <w:spacing w:before="60" w:after="60" w:line="220" w:lineRule="exact"/>
              <w:rPr>
                <w:b/>
                <w:bCs/>
                <w:i/>
                <w:iCs/>
                <w:sz w:val="16"/>
                <w:szCs w:val="18"/>
                <w:rtl/>
              </w:rPr>
            </w:pPr>
            <w:r w:rsidRPr="00EE4D2A">
              <w:rPr>
                <w:b/>
                <w:bCs/>
                <w:i/>
                <w:iCs/>
                <w:sz w:val="16"/>
                <w:szCs w:val="18"/>
              </w:rPr>
              <w:t>B</w:t>
            </w:r>
          </w:p>
        </w:tc>
        <w:tc>
          <w:tcPr>
            <w:tcW w:w="0" w:type="auto"/>
            <w:tcBorders>
              <w:top w:val="single" w:sz="8" w:space="0" w:color="000000"/>
              <w:bottom w:val="single" w:sz="8" w:space="0" w:color="000000"/>
            </w:tcBorders>
            <w:shd w:val="clear" w:color="auto" w:fill="auto"/>
            <w:noWrap/>
            <w:vAlign w:val="center"/>
            <w:hideMark/>
          </w:tcPr>
          <w:p w14:paraId="6CCB6A53" w14:textId="77777777" w:rsidR="00926914" w:rsidRPr="00EE4D2A" w:rsidRDefault="00926914" w:rsidP="00EE4D2A">
            <w:pPr>
              <w:bidi w:val="0"/>
              <w:spacing w:before="60" w:after="60" w:line="220" w:lineRule="exact"/>
              <w:rPr>
                <w:b/>
                <w:bCs/>
                <w:i/>
                <w:iCs/>
                <w:sz w:val="16"/>
                <w:szCs w:val="18"/>
              </w:rPr>
            </w:pPr>
            <w:r w:rsidRPr="00EE4D2A">
              <w:rPr>
                <w:b/>
                <w:bCs/>
                <w:i/>
                <w:iCs/>
                <w:sz w:val="16"/>
                <w:szCs w:val="18"/>
              </w:rPr>
              <w:t>SE B</w:t>
            </w:r>
          </w:p>
        </w:tc>
        <w:tc>
          <w:tcPr>
            <w:tcW w:w="0" w:type="auto"/>
            <w:tcBorders>
              <w:top w:val="single" w:sz="8" w:space="0" w:color="000000"/>
              <w:bottom w:val="single" w:sz="8" w:space="0" w:color="000000"/>
            </w:tcBorders>
            <w:shd w:val="clear" w:color="auto" w:fill="auto"/>
            <w:noWrap/>
            <w:vAlign w:val="center"/>
            <w:hideMark/>
          </w:tcPr>
          <w:p w14:paraId="52BAF56D" w14:textId="77777777" w:rsidR="00926914" w:rsidRPr="00EE4D2A" w:rsidRDefault="00926914" w:rsidP="00EE4D2A">
            <w:pPr>
              <w:bidi w:val="0"/>
              <w:spacing w:before="60" w:after="60" w:line="220" w:lineRule="exact"/>
              <w:rPr>
                <w:b/>
                <w:bCs/>
                <w:i/>
                <w:iCs/>
                <w:sz w:val="16"/>
                <w:szCs w:val="18"/>
              </w:rPr>
            </w:pPr>
            <w:r w:rsidRPr="00EE4D2A">
              <w:rPr>
                <w:b/>
                <w:bCs/>
                <w:i/>
                <w:iCs/>
                <w:sz w:val="16"/>
                <w:szCs w:val="18"/>
              </w:rPr>
              <w:t>t</w:t>
            </w:r>
          </w:p>
        </w:tc>
        <w:tc>
          <w:tcPr>
            <w:tcW w:w="0" w:type="auto"/>
            <w:tcBorders>
              <w:top w:val="single" w:sz="8" w:space="0" w:color="000000"/>
              <w:bottom w:val="single" w:sz="8" w:space="0" w:color="000000"/>
            </w:tcBorders>
            <w:shd w:val="clear" w:color="auto" w:fill="auto"/>
            <w:noWrap/>
            <w:vAlign w:val="center"/>
            <w:hideMark/>
          </w:tcPr>
          <w:p w14:paraId="6966396D" w14:textId="77777777" w:rsidR="00926914" w:rsidRPr="00EE4D2A" w:rsidRDefault="00926914" w:rsidP="00EE4D2A">
            <w:pPr>
              <w:bidi w:val="0"/>
              <w:spacing w:before="60" w:after="60" w:line="220" w:lineRule="exact"/>
              <w:rPr>
                <w:b/>
                <w:bCs/>
                <w:i/>
                <w:iCs/>
                <w:sz w:val="16"/>
                <w:szCs w:val="18"/>
              </w:rPr>
            </w:pPr>
            <w:r w:rsidRPr="00EE4D2A">
              <w:rPr>
                <w:b/>
                <w:bCs/>
                <w:i/>
                <w:iCs/>
                <w:sz w:val="16"/>
                <w:szCs w:val="18"/>
              </w:rPr>
              <w:t>p</w:t>
            </w:r>
          </w:p>
        </w:tc>
      </w:tr>
      <w:tr w:rsidR="00926914" w:rsidRPr="005270AD" w14:paraId="45F5C2CE" w14:textId="77777777" w:rsidTr="00EE4D2A">
        <w:trPr>
          <w:trHeight w:val="315"/>
          <w:jc w:val="center"/>
        </w:trPr>
        <w:tc>
          <w:tcPr>
            <w:tcW w:w="0" w:type="auto"/>
            <w:tcBorders>
              <w:top w:val="single" w:sz="8" w:space="0" w:color="000000"/>
            </w:tcBorders>
            <w:shd w:val="clear" w:color="auto" w:fill="auto"/>
            <w:noWrap/>
            <w:vAlign w:val="center"/>
            <w:hideMark/>
          </w:tcPr>
          <w:p w14:paraId="0D64E7B2" w14:textId="77777777" w:rsidR="00926914" w:rsidRPr="00EE4D2A" w:rsidRDefault="00926914" w:rsidP="00EE4D2A">
            <w:pPr>
              <w:bidi w:val="0"/>
              <w:spacing w:before="60" w:after="60" w:line="220" w:lineRule="exact"/>
              <w:rPr>
                <w:b/>
                <w:bCs/>
                <w:i/>
                <w:iCs/>
                <w:sz w:val="16"/>
                <w:szCs w:val="18"/>
              </w:rPr>
            </w:pPr>
          </w:p>
        </w:tc>
        <w:tc>
          <w:tcPr>
            <w:tcW w:w="0" w:type="auto"/>
            <w:tcBorders>
              <w:top w:val="single" w:sz="8" w:space="0" w:color="000000"/>
            </w:tcBorders>
            <w:shd w:val="clear" w:color="auto" w:fill="auto"/>
            <w:noWrap/>
            <w:vAlign w:val="center"/>
            <w:hideMark/>
          </w:tcPr>
          <w:p w14:paraId="7319461E" w14:textId="77777777" w:rsidR="00926914" w:rsidRPr="00EE4D2A" w:rsidRDefault="00926914" w:rsidP="00EE4D2A">
            <w:pPr>
              <w:spacing w:before="60" w:after="60" w:line="220" w:lineRule="exact"/>
              <w:rPr>
                <w:sz w:val="16"/>
                <w:szCs w:val="18"/>
              </w:rPr>
            </w:pPr>
            <w:r w:rsidRPr="00EE4D2A">
              <w:rPr>
                <w:sz w:val="16"/>
                <w:szCs w:val="18"/>
                <w:rtl/>
              </w:rPr>
              <w:t>קבוע</w:t>
            </w:r>
          </w:p>
        </w:tc>
        <w:tc>
          <w:tcPr>
            <w:tcW w:w="0" w:type="auto"/>
            <w:tcBorders>
              <w:top w:val="single" w:sz="8" w:space="0" w:color="000000"/>
            </w:tcBorders>
            <w:shd w:val="clear" w:color="auto" w:fill="auto"/>
            <w:noWrap/>
            <w:vAlign w:val="center"/>
            <w:hideMark/>
          </w:tcPr>
          <w:p w14:paraId="2BA3DE6B" w14:textId="77777777" w:rsidR="00926914" w:rsidRPr="005270AD" w:rsidRDefault="00926914" w:rsidP="00EE4D2A">
            <w:pPr>
              <w:spacing w:before="60" w:after="60" w:line="220" w:lineRule="exact"/>
              <w:rPr>
                <w:rFonts w:ascii="David" w:hAnsi="David"/>
                <w:sz w:val="18"/>
                <w:szCs w:val="18"/>
                <w:rtl/>
              </w:rPr>
            </w:pPr>
            <w:r w:rsidRPr="005270AD">
              <w:rPr>
                <w:rFonts w:ascii="David" w:hAnsi="David"/>
                <w:sz w:val="18"/>
                <w:szCs w:val="18"/>
              </w:rPr>
              <w:t>18.28</w:t>
            </w:r>
          </w:p>
        </w:tc>
        <w:tc>
          <w:tcPr>
            <w:tcW w:w="0" w:type="auto"/>
            <w:tcBorders>
              <w:top w:val="single" w:sz="8" w:space="0" w:color="000000"/>
            </w:tcBorders>
            <w:shd w:val="clear" w:color="auto" w:fill="auto"/>
            <w:noWrap/>
            <w:vAlign w:val="center"/>
            <w:hideMark/>
          </w:tcPr>
          <w:p w14:paraId="4898698A"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15.79</w:t>
            </w:r>
          </w:p>
        </w:tc>
        <w:tc>
          <w:tcPr>
            <w:tcW w:w="0" w:type="auto"/>
            <w:tcBorders>
              <w:top w:val="single" w:sz="8" w:space="0" w:color="000000"/>
            </w:tcBorders>
            <w:shd w:val="clear" w:color="auto" w:fill="auto"/>
            <w:noWrap/>
            <w:vAlign w:val="center"/>
            <w:hideMark/>
          </w:tcPr>
          <w:p w14:paraId="1A15B597"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1.16</w:t>
            </w:r>
          </w:p>
        </w:tc>
        <w:tc>
          <w:tcPr>
            <w:tcW w:w="0" w:type="auto"/>
            <w:tcBorders>
              <w:top w:val="single" w:sz="8" w:space="0" w:color="000000"/>
            </w:tcBorders>
            <w:shd w:val="clear" w:color="auto" w:fill="auto"/>
            <w:noWrap/>
            <w:vAlign w:val="center"/>
            <w:hideMark/>
          </w:tcPr>
          <w:p w14:paraId="4DE42F42"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.250</w:t>
            </w:r>
          </w:p>
        </w:tc>
      </w:tr>
      <w:tr w:rsidR="00926914" w:rsidRPr="005270AD" w14:paraId="73922A48" w14:textId="77777777" w:rsidTr="00EE4D2A">
        <w:trPr>
          <w:trHeight w:val="315"/>
          <w:jc w:val="center"/>
        </w:trPr>
        <w:tc>
          <w:tcPr>
            <w:tcW w:w="0" w:type="auto"/>
            <w:shd w:val="clear" w:color="auto" w:fill="auto"/>
            <w:noWrap/>
            <w:vAlign w:val="bottom"/>
            <w:hideMark/>
          </w:tcPr>
          <w:p w14:paraId="003F2BC9" w14:textId="77777777" w:rsidR="00926914" w:rsidRPr="00EE4D2A" w:rsidRDefault="00926914" w:rsidP="00EE4D2A">
            <w:pPr>
              <w:spacing w:before="60" w:after="60" w:line="220" w:lineRule="exact"/>
              <w:rPr>
                <w:sz w:val="16"/>
                <w:szCs w:val="18"/>
              </w:rPr>
            </w:pPr>
            <w:r w:rsidRPr="00EE4D2A">
              <w:rPr>
                <w:sz w:val="16"/>
                <w:szCs w:val="18"/>
                <w:rtl/>
              </w:rPr>
              <w:t>רקע</w:t>
            </w:r>
          </w:p>
        </w:tc>
        <w:tc>
          <w:tcPr>
            <w:tcW w:w="0" w:type="auto"/>
            <w:shd w:val="clear" w:color="auto" w:fill="auto"/>
            <w:noWrap/>
            <w:vAlign w:val="center"/>
            <w:hideMark/>
          </w:tcPr>
          <w:p w14:paraId="127F746C" w14:textId="77777777" w:rsidR="00926914" w:rsidRPr="00EE4D2A" w:rsidRDefault="00926914" w:rsidP="00EE4D2A">
            <w:pPr>
              <w:spacing w:before="60" w:after="60" w:line="220" w:lineRule="exact"/>
              <w:rPr>
                <w:sz w:val="16"/>
                <w:szCs w:val="18"/>
                <w:rtl/>
              </w:rPr>
            </w:pPr>
            <w:r w:rsidRPr="00EE4D2A">
              <w:rPr>
                <w:sz w:val="16"/>
                <w:szCs w:val="18"/>
                <w:rtl/>
              </w:rPr>
              <w:t>מין (אישה)</w:t>
            </w:r>
          </w:p>
        </w:tc>
        <w:tc>
          <w:tcPr>
            <w:tcW w:w="0" w:type="auto"/>
            <w:shd w:val="clear" w:color="auto" w:fill="auto"/>
            <w:noWrap/>
            <w:vAlign w:val="center"/>
            <w:hideMark/>
          </w:tcPr>
          <w:p w14:paraId="3EA201C4" w14:textId="77777777" w:rsidR="00926914" w:rsidRPr="005270AD" w:rsidRDefault="00926914" w:rsidP="00EE4D2A">
            <w:pPr>
              <w:spacing w:before="60" w:after="60" w:line="220" w:lineRule="exact"/>
              <w:rPr>
                <w:rFonts w:ascii="David" w:hAnsi="David"/>
                <w:sz w:val="18"/>
                <w:szCs w:val="18"/>
                <w:rtl/>
              </w:rPr>
            </w:pPr>
            <w:r w:rsidRPr="005270AD">
              <w:rPr>
                <w:rFonts w:ascii="David" w:hAnsi="David"/>
                <w:sz w:val="18"/>
                <w:szCs w:val="18"/>
              </w:rPr>
              <w:t>-16.45</w:t>
            </w:r>
          </w:p>
        </w:tc>
        <w:tc>
          <w:tcPr>
            <w:tcW w:w="0" w:type="auto"/>
            <w:shd w:val="clear" w:color="auto" w:fill="auto"/>
            <w:noWrap/>
            <w:vAlign w:val="center"/>
            <w:hideMark/>
          </w:tcPr>
          <w:p w14:paraId="682A9CB1"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7.48</w:t>
            </w:r>
          </w:p>
        </w:tc>
        <w:tc>
          <w:tcPr>
            <w:tcW w:w="0" w:type="auto"/>
            <w:shd w:val="clear" w:color="auto" w:fill="auto"/>
            <w:noWrap/>
            <w:vAlign w:val="center"/>
            <w:hideMark/>
          </w:tcPr>
          <w:p w14:paraId="45CA1235"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-2.20</w:t>
            </w:r>
          </w:p>
        </w:tc>
        <w:tc>
          <w:tcPr>
            <w:tcW w:w="0" w:type="auto"/>
            <w:shd w:val="clear" w:color="auto" w:fill="auto"/>
            <w:noWrap/>
            <w:vAlign w:val="center"/>
            <w:hideMark/>
          </w:tcPr>
          <w:p w14:paraId="74296846"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.031</w:t>
            </w:r>
          </w:p>
        </w:tc>
      </w:tr>
      <w:tr w:rsidR="00926914" w:rsidRPr="005270AD" w14:paraId="7B3BB861" w14:textId="77777777" w:rsidTr="00EE4D2A">
        <w:trPr>
          <w:trHeight w:val="315"/>
          <w:jc w:val="center"/>
        </w:trPr>
        <w:tc>
          <w:tcPr>
            <w:tcW w:w="0" w:type="auto"/>
            <w:shd w:val="clear" w:color="auto" w:fill="auto"/>
            <w:noWrap/>
            <w:vAlign w:val="bottom"/>
            <w:hideMark/>
          </w:tcPr>
          <w:p w14:paraId="496CF8E1" w14:textId="77777777" w:rsidR="00926914" w:rsidRPr="00EE4D2A" w:rsidRDefault="00926914" w:rsidP="00EE4D2A">
            <w:pPr>
              <w:bidi w:val="0"/>
              <w:spacing w:before="60" w:after="60" w:line="220" w:lineRule="exact"/>
              <w:rPr>
                <w:sz w:val="16"/>
                <w:szCs w:val="18"/>
              </w:rPr>
            </w:pPr>
          </w:p>
        </w:tc>
        <w:tc>
          <w:tcPr>
            <w:tcW w:w="0" w:type="auto"/>
            <w:shd w:val="clear" w:color="auto" w:fill="auto"/>
            <w:noWrap/>
            <w:vAlign w:val="center"/>
            <w:hideMark/>
          </w:tcPr>
          <w:p w14:paraId="749498CA" w14:textId="77777777" w:rsidR="00926914" w:rsidRPr="00EE4D2A" w:rsidRDefault="00926914" w:rsidP="00EE4D2A">
            <w:pPr>
              <w:spacing w:before="60" w:after="60" w:line="220" w:lineRule="exact"/>
              <w:rPr>
                <w:sz w:val="16"/>
                <w:szCs w:val="18"/>
              </w:rPr>
            </w:pPr>
            <w:r w:rsidRPr="00EE4D2A">
              <w:rPr>
                <w:sz w:val="16"/>
                <w:szCs w:val="18"/>
                <w:rtl/>
              </w:rPr>
              <w:t>גיל</w:t>
            </w:r>
          </w:p>
        </w:tc>
        <w:tc>
          <w:tcPr>
            <w:tcW w:w="0" w:type="auto"/>
            <w:shd w:val="clear" w:color="auto" w:fill="auto"/>
            <w:noWrap/>
            <w:vAlign w:val="center"/>
            <w:hideMark/>
          </w:tcPr>
          <w:p w14:paraId="03B68169" w14:textId="77777777" w:rsidR="00926914" w:rsidRPr="005270AD" w:rsidRDefault="00926914" w:rsidP="00EE4D2A">
            <w:pPr>
              <w:spacing w:before="60" w:after="60" w:line="220" w:lineRule="exact"/>
              <w:rPr>
                <w:rFonts w:ascii="David" w:hAnsi="David"/>
                <w:sz w:val="18"/>
                <w:szCs w:val="18"/>
                <w:rtl/>
              </w:rPr>
            </w:pPr>
            <w:r w:rsidRPr="005270AD">
              <w:rPr>
                <w:rFonts w:ascii="David" w:hAnsi="David"/>
                <w:sz w:val="18"/>
                <w:szCs w:val="18"/>
              </w:rPr>
              <w:t>0.52</w:t>
            </w:r>
          </w:p>
        </w:tc>
        <w:tc>
          <w:tcPr>
            <w:tcW w:w="0" w:type="auto"/>
            <w:shd w:val="clear" w:color="auto" w:fill="auto"/>
            <w:noWrap/>
            <w:vAlign w:val="center"/>
            <w:hideMark/>
          </w:tcPr>
          <w:p w14:paraId="0B8F4EB9"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0.22</w:t>
            </w:r>
          </w:p>
        </w:tc>
        <w:tc>
          <w:tcPr>
            <w:tcW w:w="0" w:type="auto"/>
            <w:shd w:val="clear" w:color="auto" w:fill="auto"/>
            <w:noWrap/>
            <w:vAlign w:val="center"/>
            <w:hideMark/>
          </w:tcPr>
          <w:p w14:paraId="13CBBDD1"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2.33</w:t>
            </w:r>
          </w:p>
        </w:tc>
        <w:tc>
          <w:tcPr>
            <w:tcW w:w="0" w:type="auto"/>
            <w:shd w:val="clear" w:color="auto" w:fill="auto"/>
            <w:noWrap/>
            <w:vAlign w:val="center"/>
            <w:hideMark/>
          </w:tcPr>
          <w:p w14:paraId="0A3DADA8"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.022</w:t>
            </w:r>
          </w:p>
        </w:tc>
      </w:tr>
      <w:tr w:rsidR="00926914" w:rsidRPr="005270AD" w14:paraId="5990A421" w14:textId="77777777" w:rsidTr="00EE4D2A">
        <w:trPr>
          <w:trHeight w:val="315"/>
          <w:jc w:val="center"/>
        </w:trPr>
        <w:tc>
          <w:tcPr>
            <w:tcW w:w="0" w:type="auto"/>
            <w:shd w:val="clear" w:color="auto" w:fill="auto"/>
            <w:noWrap/>
            <w:vAlign w:val="bottom"/>
            <w:hideMark/>
          </w:tcPr>
          <w:p w14:paraId="3D1D63D7" w14:textId="77777777" w:rsidR="00926914" w:rsidRPr="00EE4D2A" w:rsidRDefault="00926914" w:rsidP="00EE4D2A">
            <w:pPr>
              <w:bidi w:val="0"/>
              <w:spacing w:before="60" w:after="60" w:line="220" w:lineRule="exact"/>
              <w:rPr>
                <w:sz w:val="16"/>
                <w:szCs w:val="18"/>
              </w:rPr>
            </w:pPr>
          </w:p>
        </w:tc>
        <w:tc>
          <w:tcPr>
            <w:tcW w:w="0" w:type="auto"/>
            <w:shd w:val="clear" w:color="auto" w:fill="auto"/>
            <w:noWrap/>
            <w:vAlign w:val="center"/>
            <w:hideMark/>
          </w:tcPr>
          <w:p w14:paraId="2B8BF9A9" w14:textId="77777777" w:rsidR="00926914" w:rsidRPr="00EE4D2A" w:rsidRDefault="00926914" w:rsidP="00EE4D2A">
            <w:pPr>
              <w:spacing w:before="60" w:after="60" w:line="220" w:lineRule="exact"/>
              <w:rPr>
                <w:sz w:val="16"/>
                <w:szCs w:val="18"/>
              </w:rPr>
            </w:pPr>
            <w:r w:rsidRPr="00EE4D2A">
              <w:rPr>
                <w:sz w:val="16"/>
                <w:szCs w:val="18"/>
                <w:rtl/>
              </w:rPr>
              <w:t>מספר ילדים</w:t>
            </w:r>
          </w:p>
        </w:tc>
        <w:tc>
          <w:tcPr>
            <w:tcW w:w="0" w:type="auto"/>
            <w:shd w:val="clear" w:color="auto" w:fill="auto"/>
            <w:noWrap/>
            <w:vAlign w:val="center"/>
            <w:hideMark/>
          </w:tcPr>
          <w:p w14:paraId="33F597F8" w14:textId="77777777" w:rsidR="00926914" w:rsidRPr="005270AD" w:rsidRDefault="00926914" w:rsidP="00EE4D2A">
            <w:pPr>
              <w:spacing w:before="60" w:after="60" w:line="220" w:lineRule="exact"/>
              <w:rPr>
                <w:rFonts w:ascii="David" w:hAnsi="David"/>
                <w:sz w:val="18"/>
                <w:szCs w:val="18"/>
                <w:rtl/>
              </w:rPr>
            </w:pPr>
            <w:r w:rsidRPr="005270AD">
              <w:rPr>
                <w:rFonts w:ascii="David" w:hAnsi="David"/>
                <w:sz w:val="18"/>
                <w:szCs w:val="18"/>
              </w:rPr>
              <w:t>-1.01</w:t>
            </w:r>
          </w:p>
        </w:tc>
        <w:tc>
          <w:tcPr>
            <w:tcW w:w="0" w:type="auto"/>
            <w:shd w:val="clear" w:color="auto" w:fill="auto"/>
            <w:noWrap/>
            <w:vAlign w:val="center"/>
            <w:hideMark/>
          </w:tcPr>
          <w:p w14:paraId="6FD3DB2F"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0.88</w:t>
            </w:r>
          </w:p>
        </w:tc>
        <w:tc>
          <w:tcPr>
            <w:tcW w:w="0" w:type="auto"/>
            <w:shd w:val="clear" w:color="auto" w:fill="auto"/>
            <w:noWrap/>
            <w:vAlign w:val="center"/>
            <w:hideMark/>
          </w:tcPr>
          <w:p w14:paraId="2D8C8EF7"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-1.14</w:t>
            </w:r>
          </w:p>
        </w:tc>
        <w:tc>
          <w:tcPr>
            <w:tcW w:w="0" w:type="auto"/>
            <w:shd w:val="clear" w:color="auto" w:fill="auto"/>
            <w:noWrap/>
            <w:vAlign w:val="center"/>
            <w:hideMark/>
          </w:tcPr>
          <w:p w14:paraId="04555AFF"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.257</w:t>
            </w:r>
          </w:p>
        </w:tc>
      </w:tr>
      <w:tr w:rsidR="00926914" w:rsidRPr="005270AD" w14:paraId="4296E935" w14:textId="77777777" w:rsidTr="00EE4D2A">
        <w:trPr>
          <w:trHeight w:val="315"/>
          <w:jc w:val="center"/>
        </w:trPr>
        <w:tc>
          <w:tcPr>
            <w:tcW w:w="0" w:type="auto"/>
            <w:shd w:val="clear" w:color="auto" w:fill="auto"/>
            <w:noWrap/>
            <w:vAlign w:val="bottom"/>
            <w:hideMark/>
          </w:tcPr>
          <w:p w14:paraId="1CF5685F" w14:textId="77777777" w:rsidR="00926914" w:rsidRPr="00EE4D2A" w:rsidRDefault="00926914" w:rsidP="00EE4D2A">
            <w:pPr>
              <w:bidi w:val="0"/>
              <w:spacing w:before="60" w:after="60" w:line="220" w:lineRule="exact"/>
              <w:rPr>
                <w:sz w:val="16"/>
                <w:szCs w:val="18"/>
              </w:rPr>
            </w:pPr>
          </w:p>
        </w:tc>
        <w:tc>
          <w:tcPr>
            <w:tcW w:w="0" w:type="auto"/>
            <w:shd w:val="clear" w:color="auto" w:fill="auto"/>
            <w:noWrap/>
            <w:vAlign w:val="center"/>
            <w:hideMark/>
          </w:tcPr>
          <w:p w14:paraId="0DB1CAF3" w14:textId="77777777" w:rsidR="00926914" w:rsidRPr="00EE4D2A" w:rsidRDefault="00926914" w:rsidP="00EE4D2A">
            <w:pPr>
              <w:spacing w:before="60" w:after="60" w:line="220" w:lineRule="exact"/>
              <w:rPr>
                <w:sz w:val="16"/>
                <w:szCs w:val="18"/>
              </w:rPr>
            </w:pPr>
            <w:r w:rsidRPr="00EE4D2A">
              <w:rPr>
                <w:sz w:val="16"/>
                <w:szCs w:val="18"/>
                <w:rtl/>
              </w:rPr>
              <w:t>מקום לידה (ישראל)</w:t>
            </w:r>
          </w:p>
        </w:tc>
        <w:tc>
          <w:tcPr>
            <w:tcW w:w="0" w:type="auto"/>
            <w:shd w:val="clear" w:color="auto" w:fill="auto"/>
            <w:noWrap/>
            <w:vAlign w:val="center"/>
            <w:hideMark/>
          </w:tcPr>
          <w:p w14:paraId="78C375DC" w14:textId="77777777" w:rsidR="00926914" w:rsidRPr="005270AD" w:rsidRDefault="00926914" w:rsidP="00EE4D2A">
            <w:pPr>
              <w:spacing w:before="60" w:after="60" w:line="220" w:lineRule="exact"/>
              <w:rPr>
                <w:rFonts w:ascii="David" w:hAnsi="David"/>
                <w:sz w:val="18"/>
                <w:szCs w:val="18"/>
                <w:rtl/>
              </w:rPr>
            </w:pPr>
            <w:r w:rsidRPr="005270AD">
              <w:rPr>
                <w:rFonts w:ascii="David" w:hAnsi="David"/>
                <w:sz w:val="18"/>
                <w:szCs w:val="18"/>
              </w:rPr>
              <w:t>-5.25</w:t>
            </w:r>
          </w:p>
        </w:tc>
        <w:tc>
          <w:tcPr>
            <w:tcW w:w="0" w:type="auto"/>
            <w:shd w:val="clear" w:color="auto" w:fill="auto"/>
            <w:noWrap/>
            <w:vAlign w:val="center"/>
            <w:hideMark/>
          </w:tcPr>
          <w:p w14:paraId="7D8D71DA"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3.01</w:t>
            </w:r>
          </w:p>
        </w:tc>
        <w:tc>
          <w:tcPr>
            <w:tcW w:w="0" w:type="auto"/>
            <w:shd w:val="clear" w:color="auto" w:fill="auto"/>
            <w:noWrap/>
            <w:vAlign w:val="center"/>
            <w:hideMark/>
          </w:tcPr>
          <w:p w14:paraId="3655BEFE"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-1.74</w:t>
            </w:r>
          </w:p>
        </w:tc>
        <w:tc>
          <w:tcPr>
            <w:tcW w:w="0" w:type="auto"/>
            <w:shd w:val="clear" w:color="auto" w:fill="auto"/>
            <w:noWrap/>
            <w:vAlign w:val="center"/>
            <w:hideMark/>
          </w:tcPr>
          <w:p w14:paraId="128CE76D"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.085</w:t>
            </w:r>
          </w:p>
        </w:tc>
      </w:tr>
      <w:tr w:rsidR="00926914" w:rsidRPr="005270AD" w14:paraId="76431E1D" w14:textId="77777777" w:rsidTr="00EE4D2A">
        <w:trPr>
          <w:trHeight w:val="315"/>
          <w:jc w:val="center"/>
        </w:trPr>
        <w:tc>
          <w:tcPr>
            <w:tcW w:w="0" w:type="auto"/>
            <w:shd w:val="clear" w:color="auto" w:fill="auto"/>
            <w:noWrap/>
            <w:vAlign w:val="bottom"/>
            <w:hideMark/>
          </w:tcPr>
          <w:p w14:paraId="327D8154" w14:textId="77777777" w:rsidR="00926914" w:rsidRPr="00EE4D2A" w:rsidRDefault="00926914" w:rsidP="00EE4D2A">
            <w:pPr>
              <w:bidi w:val="0"/>
              <w:spacing w:before="60" w:after="60" w:line="220" w:lineRule="exact"/>
              <w:rPr>
                <w:sz w:val="16"/>
                <w:szCs w:val="18"/>
              </w:rPr>
            </w:pPr>
          </w:p>
        </w:tc>
        <w:tc>
          <w:tcPr>
            <w:tcW w:w="0" w:type="auto"/>
            <w:shd w:val="clear" w:color="auto" w:fill="auto"/>
            <w:noWrap/>
            <w:vAlign w:val="center"/>
            <w:hideMark/>
          </w:tcPr>
          <w:p w14:paraId="13D73CA6" w14:textId="77777777" w:rsidR="00926914" w:rsidRPr="00EE4D2A" w:rsidRDefault="00926914" w:rsidP="00EE4D2A">
            <w:pPr>
              <w:spacing w:before="60" w:after="60" w:line="220" w:lineRule="exact"/>
              <w:rPr>
                <w:sz w:val="16"/>
                <w:szCs w:val="18"/>
              </w:rPr>
            </w:pPr>
            <w:r w:rsidRPr="00EE4D2A">
              <w:rPr>
                <w:sz w:val="16"/>
                <w:szCs w:val="18"/>
                <w:rtl/>
              </w:rPr>
              <w:t>מצב משפחתי (בזוגיות)</w:t>
            </w:r>
          </w:p>
        </w:tc>
        <w:tc>
          <w:tcPr>
            <w:tcW w:w="0" w:type="auto"/>
            <w:shd w:val="clear" w:color="auto" w:fill="auto"/>
            <w:noWrap/>
            <w:vAlign w:val="center"/>
            <w:hideMark/>
          </w:tcPr>
          <w:p w14:paraId="433E6A92" w14:textId="77777777" w:rsidR="00926914" w:rsidRPr="005270AD" w:rsidRDefault="00926914" w:rsidP="00EE4D2A">
            <w:pPr>
              <w:spacing w:before="60" w:after="60" w:line="220" w:lineRule="exact"/>
              <w:rPr>
                <w:rFonts w:ascii="David" w:hAnsi="David"/>
                <w:sz w:val="18"/>
                <w:szCs w:val="18"/>
                <w:rtl/>
              </w:rPr>
            </w:pPr>
            <w:r w:rsidRPr="005270AD">
              <w:rPr>
                <w:rFonts w:ascii="David" w:hAnsi="David"/>
                <w:sz w:val="18"/>
                <w:szCs w:val="18"/>
              </w:rPr>
              <w:t>6.06</w:t>
            </w:r>
          </w:p>
        </w:tc>
        <w:tc>
          <w:tcPr>
            <w:tcW w:w="0" w:type="auto"/>
            <w:shd w:val="clear" w:color="auto" w:fill="auto"/>
            <w:noWrap/>
            <w:vAlign w:val="center"/>
            <w:hideMark/>
          </w:tcPr>
          <w:p w14:paraId="4C8B3AB4"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2.75</w:t>
            </w:r>
          </w:p>
        </w:tc>
        <w:tc>
          <w:tcPr>
            <w:tcW w:w="0" w:type="auto"/>
            <w:shd w:val="clear" w:color="auto" w:fill="auto"/>
            <w:noWrap/>
            <w:vAlign w:val="center"/>
            <w:hideMark/>
          </w:tcPr>
          <w:p w14:paraId="1457F92A"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2.20</w:t>
            </w:r>
          </w:p>
        </w:tc>
        <w:tc>
          <w:tcPr>
            <w:tcW w:w="0" w:type="auto"/>
            <w:shd w:val="clear" w:color="auto" w:fill="auto"/>
            <w:noWrap/>
            <w:vAlign w:val="center"/>
            <w:hideMark/>
          </w:tcPr>
          <w:p w14:paraId="0DFE77B5"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.030</w:t>
            </w:r>
          </w:p>
        </w:tc>
      </w:tr>
      <w:tr w:rsidR="00926914" w:rsidRPr="005270AD" w14:paraId="091C46C3" w14:textId="77777777" w:rsidTr="00EE4D2A">
        <w:trPr>
          <w:trHeight w:val="315"/>
          <w:jc w:val="center"/>
        </w:trPr>
        <w:tc>
          <w:tcPr>
            <w:tcW w:w="0" w:type="auto"/>
            <w:shd w:val="clear" w:color="auto" w:fill="auto"/>
            <w:noWrap/>
            <w:vAlign w:val="bottom"/>
            <w:hideMark/>
          </w:tcPr>
          <w:p w14:paraId="07E723B1" w14:textId="77777777" w:rsidR="00926914" w:rsidRPr="00EE4D2A" w:rsidRDefault="00926914" w:rsidP="00EE4D2A">
            <w:pPr>
              <w:bidi w:val="0"/>
              <w:spacing w:before="60" w:after="60" w:line="220" w:lineRule="exact"/>
              <w:rPr>
                <w:sz w:val="16"/>
                <w:szCs w:val="18"/>
              </w:rPr>
            </w:pPr>
          </w:p>
        </w:tc>
        <w:tc>
          <w:tcPr>
            <w:tcW w:w="0" w:type="auto"/>
            <w:shd w:val="clear" w:color="auto" w:fill="auto"/>
            <w:noWrap/>
            <w:vAlign w:val="center"/>
            <w:hideMark/>
          </w:tcPr>
          <w:p w14:paraId="4950F92B" w14:textId="77777777" w:rsidR="00926914" w:rsidRPr="00EE4D2A" w:rsidRDefault="00926914" w:rsidP="00EE4D2A">
            <w:pPr>
              <w:spacing w:before="60" w:after="60" w:line="220" w:lineRule="exact"/>
              <w:rPr>
                <w:sz w:val="16"/>
                <w:szCs w:val="18"/>
              </w:rPr>
            </w:pPr>
            <w:r w:rsidRPr="00EE4D2A">
              <w:rPr>
                <w:sz w:val="16"/>
                <w:szCs w:val="18"/>
                <w:rtl/>
              </w:rPr>
              <w:t>מצוקה בין-דורית (דור שני)</w:t>
            </w:r>
          </w:p>
        </w:tc>
        <w:tc>
          <w:tcPr>
            <w:tcW w:w="0" w:type="auto"/>
            <w:shd w:val="clear" w:color="auto" w:fill="auto"/>
            <w:noWrap/>
            <w:vAlign w:val="center"/>
            <w:hideMark/>
          </w:tcPr>
          <w:p w14:paraId="4273C57B" w14:textId="77777777" w:rsidR="00926914" w:rsidRPr="005270AD" w:rsidRDefault="00926914" w:rsidP="00EE4D2A">
            <w:pPr>
              <w:spacing w:before="60" w:after="60" w:line="220" w:lineRule="exact"/>
              <w:rPr>
                <w:rFonts w:ascii="David" w:hAnsi="David"/>
                <w:sz w:val="18"/>
                <w:szCs w:val="18"/>
                <w:rtl/>
              </w:rPr>
            </w:pPr>
            <w:r w:rsidRPr="005270AD">
              <w:rPr>
                <w:rFonts w:ascii="David" w:hAnsi="David"/>
                <w:sz w:val="18"/>
                <w:szCs w:val="18"/>
              </w:rPr>
              <w:t>-2.69</w:t>
            </w:r>
          </w:p>
        </w:tc>
        <w:tc>
          <w:tcPr>
            <w:tcW w:w="0" w:type="auto"/>
            <w:shd w:val="clear" w:color="auto" w:fill="auto"/>
            <w:noWrap/>
            <w:vAlign w:val="center"/>
            <w:hideMark/>
          </w:tcPr>
          <w:p w14:paraId="6E6BD7DF"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2.60</w:t>
            </w:r>
          </w:p>
        </w:tc>
        <w:tc>
          <w:tcPr>
            <w:tcW w:w="0" w:type="auto"/>
            <w:shd w:val="clear" w:color="auto" w:fill="auto"/>
            <w:noWrap/>
            <w:vAlign w:val="center"/>
            <w:hideMark/>
          </w:tcPr>
          <w:p w14:paraId="3A457E33"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-1.03</w:t>
            </w:r>
          </w:p>
        </w:tc>
        <w:tc>
          <w:tcPr>
            <w:tcW w:w="0" w:type="auto"/>
            <w:shd w:val="clear" w:color="auto" w:fill="auto"/>
            <w:noWrap/>
            <w:vAlign w:val="center"/>
            <w:hideMark/>
          </w:tcPr>
          <w:p w14:paraId="17072B7E"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.305</w:t>
            </w:r>
          </w:p>
        </w:tc>
      </w:tr>
      <w:tr w:rsidR="00926914" w:rsidRPr="005270AD" w14:paraId="1CD21E9C" w14:textId="77777777" w:rsidTr="00EE4D2A">
        <w:trPr>
          <w:trHeight w:val="315"/>
          <w:jc w:val="center"/>
        </w:trPr>
        <w:tc>
          <w:tcPr>
            <w:tcW w:w="0" w:type="auto"/>
            <w:shd w:val="clear" w:color="auto" w:fill="auto"/>
            <w:noWrap/>
            <w:vAlign w:val="bottom"/>
            <w:hideMark/>
          </w:tcPr>
          <w:p w14:paraId="1CD34CFB" w14:textId="77777777" w:rsidR="00926914" w:rsidRPr="00EE4D2A" w:rsidRDefault="00926914" w:rsidP="00EE4D2A">
            <w:pPr>
              <w:bidi w:val="0"/>
              <w:spacing w:before="60" w:after="60" w:line="220" w:lineRule="exact"/>
              <w:rPr>
                <w:sz w:val="16"/>
                <w:szCs w:val="18"/>
              </w:rPr>
            </w:pPr>
          </w:p>
        </w:tc>
        <w:tc>
          <w:tcPr>
            <w:tcW w:w="0" w:type="auto"/>
            <w:shd w:val="clear" w:color="auto" w:fill="auto"/>
            <w:noWrap/>
            <w:vAlign w:val="center"/>
            <w:hideMark/>
          </w:tcPr>
          <w:p w14:paraId="713CFE1D" w14:textId="77777777" w:rsidR="00926914" w:rsidRPr="00EE4D2A" w:rsidRDefault="00926914" w:rsidP="00EE4D2A">
            <w:pPr>
              <w:spacing w:before="60" w:after="60" w:line="220" w:lineRule="exact"/>
              <w:rPr>
                <w:sz w:val="16"/>
                <w:szCs w:val="18"/>
              </w:rPr>
            </w:pPr>
            <w:r w:rsidRPr="00EE4D2A">
              <w:rPr>
                <w:sz w:val="16"/>
                <w:szCs w:val="18"/>
                <w:rtl/>
              </w:rPr>
              <w:t>שנות לימוד</w:t>
            </w:r>
          </w:p>
        </w:tc>
        <w:tc>
          <w:tcPr>
            <w:tcW w:w="0" w:type="auto"/>
            <w:shd w:val="clear" w:color="auto" w:fill="auto"/>
            <w:noWrap/>
            <w:vAlign w:val="center"/>
            <w:hideMark/>
          </w:tcPr>
          <w:p w14:paraId="4BEDA2EF" w14:textId="77777777" w:rsidR="00926914" w:rsidRPr="005270AD" w:rsidRDefault="00926914" w:rsidP="00EE4D2A">
            <w:pPr>
              <w:spacing w:before="60" w:after="60" w:line="220" w:lineRule="exact"/>
              <w:rPr>
                <w:rFonts w:ascii="David" w:hAnsi="David"/>
                <w:sz w:val="18"/>
                <w:szCs w:val="18"/>
                <w:rtl/>
              </w:rPr>
            </w:pPr>
            <w:r w:rsidRPr="005270AD">
              <w:rPr>
                <w:rFonts w:ascii="David" w:hAnsi="David"/>
                <w:sz w:val="18"/>
                <w:szCs w:val="18"/>
              </w:rPr>
              <w:t>0.42</w:t>
            </w:r>
          </w:p>
        </w:tc>
        <w:tc>
          <w:tcPr>
            <w:tcW w:w="0" w:type="auto"/>
            <w:shd w:val="clear" w:color="auto" w:fill="auto"/>
            <w:noWrap/>
            <w:vAlign w:val="center"/>
            <w:hideMark/>
          </w:tcPr>
          <w:p w14:paraId="76908329"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0.82</w:t>
            </w:r>
          </w:p>
        </w:tc>
        <w:tc>
          <w:tcPr>
            <w:tcW w:w="0" w:type="auto"/>
            <w:shd w:val="clear" w:color="auto" w:fill="auto"/>
            <w:noWrap/>
            <w:vAlign w:val="center"/>
            <w:hideMark/>
          </w:tcPr>
          <w:p w14:paraId="2104C205"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0.52</w:t>
            </w:r>
          </w:p>
        </w:tc>
        <w:tc>
          <w:tcPr>
            <w:tcW w:w="0" w:type="auto"/>
            <w:shd w:val="clear" w:color="auto" w:fill="auto"/>
            <w:noWrap/>
            <w:vAlign w:val="center"/>
            <w:hideMark/>
          </w:tcPr>
          <w:p w14:paraId="4E93F2B0"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.605</w:t>
            </w:r>
          </w:p>
        </w:tc>
      </w:tr>
      <w:tr w:rsidR="00926914" w:rsidRPr="005270AD" w14:paraId="09138401" w14:textId="77777777" w:rsidTr="00EE4D2A">
        <w:trPr>
          <w:trHeight w:val="315"/>
          <w:jc w:val="center"/>
        </w:trPr>
        <w:tc>
          <w:tcPr>
            <w:tcW w:w="0" w:type="auto"/>
            <w:shd w:val="clear" w:color="auto" w:fill="auto"/>
            <w:noWrap/>
            <w:vAlign w:val="bottom"/>
            <w:hideMark/>
          </w:tcPr>
          <w:p w14:paraId="43ED03E3" w14:textId="77777777" w:rsidR="00926914" w:rsidRPr="00EE4D2A" w:rsidRDefault="00926914" w:rsidP="00EE4D2A">
            <w:pPr>
              <w:spacing w:before="60" w:after="60" w:line="220" w:lineRule="exact"/>
              <w:rPr>
                <w:sz w:val="16"/>
                <w:szCs w:val="18"/>
              </w:rPr>
            </w:pPr>
            <w:r w:rsidRPr="00EE4D2A">
              <w:rPr>
                <w:sz w:val="16"/>
                <w:szCs w:val="18"/>
                <w:rtl/>
              </w:rPr>
              <w:t>הון אנושי</w:t>
            </w:r>
          </w:p>
        </w:tc>
        <w:tc>
          <w:tcPr>
            <w:tcW w:w="0" w:type="auto"/>
            <w:shd w:val="clear" w:color="auto" w:fill="auto"/>
            <w:noWrap/>
            <w:vAlign w:val="center"/>
            <w:hideMark/>
          </w:tcPr>
          <w:p w14:paraId="76BB04A9" w14:textId="77777777" w:rsidR="00926914" w:rsidRPr="00EE4D2A" w:rsidRDefault="00926914" w:rsidP="00EE4D2A">
            <w:pPr>
              <w:spacing w:before="60" w:after="60" w:line="220" w:lineRule="exact"/>
              <w:rPr>
                <w:sz w:val="16"/>
                <w:szCs w:val="18"/>
                <w:rtl/>
              </w:rPr>
            </w:pPr>
            <w:r w:rsidRPr="00EE4D2A">
              <w:rPr>
                <w:sz w:val="16"/>
                <w:szCs w:val="18"/>
                <w:rtl/>
              </w:rPr>
              <w:t>הכשרה מקצועית (יש)</w:t>
            </w:r>
          </w:p>
        </w:tc>
        <w:tc>
          <w:tcPr>
            <w:tcW w:w="0" w:type="auto"/>
            <w:shd w:val="clear" w:color="auto" w:fill="auto"/>
            <w:noWrap/>
            <w:vAlign w:val="center"/>
            <w:hideMark/>
          </w:tcPr>
          <w:p w14:paraId="7FAEC87E" w14:textId="77777777" w:rsidR="00926914" w:rsidRPr="005270AD" w:rsidRDefault="00926914" w:rsidP="00EE4D2A">
            <w:pPr>
              <w:spacing w:before="60" w:after="60" w:line="220" w:lineRule="exact"/>
              <w:rPr>
                <w:rFonts w:ascii="David" w:hAnsi="David"/>
                <w:sz w:val="18"/>
                <w:szCs w:val="18"/>
                <w:rtl/>
              </w:rPr>
            </w:pPr>
            <w:r w:rsidRPr="005270AD">
              <w:rPr>
                <w:rFonts w:ascii="David" w:hAnsi="David"/>
                <w:sz w:val="18"/>
                <w:szCs w:val="18"/>
              </w:rPr>
              <w:t>1.86</w:t>
            </w:r>
          </w:p>
        </w:tc>
        <w:tc>
          <w:tcPr>
            <w:tcW w:w="0" w:type="auto"/>
            <w:shd w:val="clear" w:color="auto" w:fill="auto"/>
            <w:noWrap/>
            <w:vAlign w:val="center"/>
            <w:hideMark/>
          </w:tcPr>
          <w:p w14:paraId="6F4E88C6"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2.70</w:t>
            </w:r>
          </w:p>
        </w:tc>
        <w:tc>
          <w:tcPr>
            <w:tcW w:w="0" w:type="auto"/>
            <w:shd w:val="clear" w:color="auto" w:fill="auto"/>
            <w:noWrap/>
            <w:vAlign w:val="center"/>
            <w:hideMark/>
          </w:tcPr>
          <w:p w14:paraId="32E20FA3"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0.69</w:t>
            </w:r>
          </w:p>
        </w:tc>
        <w:tc>
          <w:tcPr>
            <w:tcW w:w="0" w:type="auto"/>
            <w:shd w:val="clear" w:color="auto" w:fill="auto"/>
            <w:noWrap/>
            <w:vAlign w:val="center"/>
            <w:hideMark/>
          </w:tcPr>
          <w:p w14:paraId="257EB5DC"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.494</w:t>
            </w:r>
          </w:p>
        </w:tc>
      </w:tr>
      <w:tr w:rsidR="00926914" w:rsidRPr="005270AD" w14:paraId="7C45528C" w14:textId="77777777" w:rsidTr="00EE4D2A">
        <w:trPr>
          <w:trHeight w:val="330"/>
          <w:jc w:val="center"/>
        </w:trPr>
        <w:tc>
          <w:tcPr>
            <w:tcW w:w="0" w:type="auto"/>
            <w:shd w:val="clear" w:color="auto" w:fill="auto"/>
            <w:noWrap/>
            <w:vAlign w:val="center"/>
            <w:hideMark/>
          </w:tcPr>
          <w:p w14:paraId="4CBBCDFD" w14:textId="77777777" w:rsidR="00926914" w:rsidRPr="00EE4D2A" w:rsidRDefault="00926914" w:rsidP="00EE4D2A">
            <w:pPr>
              <w:spacing w:before="60" w:after="60" w:line="220" w:lineRule="exact"/>
              <w:rPr>
                <w:sz w:val="16"/>
                <w:szCs w:val="18"/>
              </w:rPr>
            </w:pPr>
            <w:r w:rsidRPr="00EE4D2A">
              <w:rPr>
                <w:sz w:val="16"/>
                <w:szCs w:val="18"/>
                <w:rtl/>
              </w:rPr>
              <w:t>בריאות</w:t>
            </w:r>
          </w:p>
        </w:tc>
        <w:tc>
          <w:tcPr>
            <w:tcW w:w="0" w:type="auto"/>
            <w:shd w:val="clear" w:color="auto" w:fill="auto"/>
            <w:noWrap/>
            <w:vAlign w:val="center"/>
            <w:hideMark/>
          </w:tcPr>
          <w:p w14:paraId="5BDA4284" w14:textId="166BA83F" w:rsidR="00926914" w:rsidRPr="00EE4D2A" w:rsidRDefault="00926914" w:rsidP="00956340">
            <w:pPr>
              <w:spacing w:before="60" w:after="60" w:line="220" w:lineRule="exact"/>
              <w:rPr>
                <w:sz w:val="16"/>
                <w:szCs w:val="18"/>
                <w:rtl/>
              </w:rPr>
            </w:pPr>
            <w:r w:rsidRPr="00EE4D2A">
              <w:rPr>
                <w:sz w:val="16"/>
                <w:szCs w:val="18"/>
                <w:rtl/>
              </w:rPr>
              <w:t>מצב בריאות</w:t>
            </w:r>
          </w:p>
        </w:tc>
        <w:tc>
          <w:tcPr>
            <w:tcW w:w="0" w:type="auto"/>
            <w:shd w:val="clear" w:color="auto" w:fill="auto"/>
            <w:noWrap/>
            <w:vAlign w:val="center"/>
            <w:hideMark/>
          </w:tcPr>
          <w:p w14:paraId="5F36B976" w14:textId="77777777" w:rsidR="00926914" w:rsidRPr="005270AD" w:rsidRDefault="00926914" w:rsidP="00EE4D2A">
            <w:pPr>
              <w:spacing w:before="60" w:after="60" w:line="220" w:lineRule="exact"/>
              <w:rPr>
                <w:rFonts w:ascii="David" w:hAnsi="David"/>
                <w:sz w:val="18"/>
                <w:szCs w:val="18"/>
                <w:rtl/>
              </w:rPr>
            </w:pPr>
            <w:r w:rsidRPr="005270AD">
              <w:rPr>
                <w:rFonts w:ascii="David" w:hAnsi="David"/>
                <w:sz w:val="18"/>
                <w:szCs w:val="18"/>
              </w:rPr>
              <w:t>1.56</w:t>
            </w:r>
          </w:p>
        </w:tc>
        <w:tc>
          <w:tcPr>
            <w:tcW w:w="0" w:type="auto"/>
            <w:shd w:val="clear" w:color="auto" w:fill="auto"/>
            <w:noWrap/>
            <w:vAlign w:val="center"/>
            <w:hideMark/>
          </w:tcPr>
          <w:p w14:paraId="5175D934"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1.03</w:t>
            </w:r>
          </w:p>
        </w:tc>
        <w:tc>
          <w:tcPr>
            <w:tcW w:w="0" w:type="auto"/>
            <w:shd w:val="clear" w:color="auto" w:fill="auto"/>
            <w:noWrap/>
            <w:vAlign w:val="center"/>
            <w:hideMark/>
          </w:tcPr>
          <w:p w14:paraId="311A8AF7"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1.52</w:t>
            </w:r>
          </w:p>
        </w:tc>
        <w:tc>
          <w:tcPr>
            <w:tcW w:w="0" w:type="auto"/>
            <w:shd w:val="clear" w:color="auto" w:fill="auto"/>
            <w:noWrap/>
            <w:vAlign w:val="center"/>
            <w:hideMark/>
          </w:tcPr>
          <w:p w14:paraId="6251EEDC" w14:textId="77777777" w:rsidR="00926914" w:rsidRPr="005270AD" w:rsidRDefault="00926914" w:rsidP="00EE4D2A">
            <w:pPr>
              <w:spacing w:before="60" w:after="60" w:line="220" w:lineRule="exact"/>
              <w:rPr>
                <w:rFonts w:ascii="David" w:hAnsi="David"/>
                <w:sz w:val="18"/>
                <w:szCs w:val="18"/>
              </w:rPr>
            </w:pPr>
            <w:r w:rsidRPr="005270AD">
              <w:rPr>
                <w:rFonts w:ascii="David" w:hAnsi="David"/>
                <w:sz w:val="18"/>
                <w:szCs w:val="18"/>
              </w:rPr>
              <w:t>.132</w:t>
            </w:r>
          </w:p>
        </w:tc>
      </w:tr>
    </w:tbl>
    <w:p w14:paraId="1C8E3CCA" w14:textId="61D1D922" w:rsidR="00EE4D2A" w:rsidRPr="003B6BFE" w:rsidRDefault="00EE4D2A" w:rsidP="00EE4D2A">
      <w:pPr>
        <w:spacing w:before="60" w:after="60" w:line="220" w:lineRule="exact"/>
        <w:rPr>
          <w:i/>
          <w:iCs/>
          <w:sz w:val="16"/>
          <w:szCs w:val="18"/>
          <w:rtl/>
        </w:rPr>
      </w:pPr>
      <w:r w:rsidRPr="003B6BFE">
        <w:rPr>
          <w:b/>
          <w:bCs/>
          <w:sz w:val="16"/>
          <w:szCs w:val="18"/>
          <w:rtl/>
        </w:rPr>
        <w:t>הערה.</w:t>
      </w:r>
      <w:r w:rsidRPr="003B6BFE">
        <w:rPr>
          <w:i/>
          <w:iCs/>
          <w:sz w:val="16"/>
          <w:szCs w:val="18"/>
          <w:rtl/>
        </w:rPr>
        <w:t xml:space="preserve"> </w:t>
      </w:r>
      <w:r w:rsidR="003B6BFE" w:rsidRPr="003B6BFE">
        <w:rPr>
          <w:sz w:val="16"/>
          <w:szCs w:val="18"/>
          <w:rtl/>
        </w:rPr>
        <w:t>94</w:t>
      </w:r>
      <w:r w:rsidR="003B6BFE" w:rsidRPr="003B6BFE">
        <w:rPr>
          <w:i/>
          <w:iCs/>
          <w:sz w:val="16"/>
          <w:szCs w:val="18"/>
          <w:rtl/>
        </w:rPr>
        <w:t xml:space="preserve"> = </w:t>
      </w:r>
      <w:r w:rsidR="003B6BFE" w:rsidRPr="003B6BFE">
        <w:rPr>
          <w:i/>
          <w:iCs/>
          <w:sz w:val="16"/>
          <w:szCs w:val="18"/>
        </w:rPr>
        <w:t>N</w:t>
      </w:r>
      <w:r w:rsidR="003B6BFE" w:rsidRPr="003B6BFE">
        <w:rPr>
          <w:i/>
          <w:iCs/>
          <w:sz w:val="16"/>
          <w:szCs w:val="18"/>
          <w:rtl/>
        </w:rPr>
        <w:t xml:space="preserve"> </w:t>
      </w:r>
      <w:r w:rsidR="003B6BFE" w:rsidRPr="003B6BFE">
        <w:rPr>
          <w:i/>
          <w:iCs/>
          <w:sz w:val="16"/>
          <w:szCs w:val="18"/>
        </w:rPr>
        <w:t>R</w:t>
      </w:r>
      <w:r w:rsidR="003B6BFE" w:rsidRPr="003B6BFE">
        <w:rPr>
          <w:sz w:val="16"/>
          <w:szCs w:val="18"/>
          <w:vertAlign w:val="superscript"/>
        </w:rPr>
        <w:t>2</w:t>
      </w:r>
      <w:r w:rsidR="003B6BFE" w:rsidRPr="003B6BFE">
        <w:rPr>
          <w:i/>
          <w:iCs/>
          <w:sz w:val="16"/>
          <w:szCs w:val="18"/>
        </w:rPr>
        <w:t xml:space="preserve"> </w:t>
      </w:r>
      <w:r w:rsidR="003B6BFE" w:rsidRPr="003B6BFE">
        <w:rPr>
          <w:sz w:val="16"/>
          <w:szCs w:val="18"/>
        </w:rPr>
        <w:t>= .18,</w:t>
      </w:r>
    </w:p>
    <w:p w14:paraId="2DA952F7" w14:textId="1C948028" w:rsidR="00926914" w:rsidRPr="00926914" w:rsidRDefault="00926914" w:rsidP="00EA3DC8">
      <w:pPr>
        <w:pStyle w:val="KOT5"/>
        <w:spacing w:after="0"/>
        <w:ind w:right="0"/>
        <w:rPr>
          <w:rFonts w:cs="Guttman Aharoni"/>
          <w:color w:val="00B0F0"/>
          <w:rtl/>
        </w:rPr>
      </w:pPr>
      <w:bookmarkStart w:id="24" w:name="_Toc76380500"/>
      <w:r w:rsidRPr="00926914">
        <w:rPr>
          <w:rFonts w:cs="Guttman Aharoni"/>
          <w:color w:val="00B0F0"/>
          <w:rtl/>
        </w:rPr>
        <w:lastRenderedPageBreak/>
        <w:t>ניתוח הנתונים האיכותניים</w:t>
      </w:r>
      <w:bookmarkEnd w:id="24"/>
      <w:r w:rsidRPr="00926914">
        <w:rPr>
          <w:rFonts w:cs="Guttman Aharoni"/>
          <w:color w:val="00B0F0"/>
          <w:rtl/>
        </w:rPr>
        <w:t xml:space="preserve"> </w:t>
      </w:r>
    </w:p>
    <w:p w14:paraId="6C8B5433" w14:textId="77777777" w:rsidR="009F2897" w:rsidRPr="00EA3DC8" w:rsidRDefault="009F2897" w:rsidP="009F2897">
      <w:pPr>
        <w:spacing w:after="180" w:line="280" w:lineRule="exact"/>
        <w:jc w:val="both"/>
        <w:rPr>
          <w:sz w:val="18"/>
          <w:szCs w:val="20"/>
          <w:rtl/>
        </w:rPr>
      </w:pPr>
      <w:bookmarkStart w:id="25" w:name="_Toc76380501"/>
    </w:p>
    <w:p w14:paraId="53E09B35" w14:textId="361E19B3" w:rsidR="00926914" w:rsidRPr="00304F18" w:rsidRDefault="00926914" w:rsidP="00304F18">
      <w:pPr>
        <w:keepNext/>
        <w:keepLines/>
        <w:spacing w:line="280" w:lineRule="exact"/>
        <w:jc w:val="both"/>
        <w:rPr>
          <w:b/>
          <w:bCs/>
          <w:color w:val="00B0F0"/>
          <w:sz w:val="20"/>
          <w:szCs w:val="22"/>
          <w:rtl/>
        </w:rPr>
      </w:pPr>
      <w:r w:rsidRPr="00304F18">
        <w:rPr>
          <w:b/>
          <w:bCs/>
          <w:color w:val="00B0F0"/>
          <w:sz w:val="20"/>
          <w:szCs w:val="22"/>
          <w:rtl/>
        </w:rPr>
        <w:t>סיבות לאי-תעסוקה</w:t>
      </w:r>
      <w:bookmarkEnd w:id="25"/>
      <w:r w:rsidRPr="00304F18">
        <w:rPr>
          <w:b/>
          <w:bCs/>
          <w:color w:val="00B0F0"/>
          <w:sz w:val="20"/>
          <w:szCs w:val="22"/>
          <w:rtl/>
        </w:rPr>
        <w:t xml:space="preserve"> </w:t>
      </w:r>
    </w:p>
    <w:p w14:paraId="6AAF130C" w14:textId="4CDB2242" w:rsidR="00926914" w:rsidRDefault="00926914" w:rsidP="00EA3DC8">
      <w:pPr>
        <w:spacing w:after="180" w:line="280" w:lineRule="exact"/>
        <w:jc w:val="both"/>
        <w:rPr>
          <w:sz w:val="18"/>
          <w:szCs w:val="20"/>
          <w:rtl/>
        </w:rPr>
      </w:pPr>
      <w:r w:rsidRPr="00EA3DC8">
        <w:rPr>
          <w:sz w:val="18"/>
          <w:szCs w:val="20"/>
          <w:rtl/>
        </w:rPr>
        <w:t xml:space="preserve">כדי להבין את הסיבות לאי-תעסוקה התמקדנו בקבוצת הבלתי-מועסקים, ובחנו בתחילה את תשובותיהם לשאלה </w:t>
      </w:r>
      <w:r w:rsidRPr="00EA3DC8">
        <w:rPr>
          <w:rFonts w:hint="cs"/>
          <w:sz w:val="18"/>
          <w:szCs w:val="20"/>
          <w:rtl/>
        </w:rPr>
        <w:t>בדבר הגורמים לאי-תעסוקתם בכל אחת מנקודות המדידה.</w:t>
      </w:r>
      <w:r w:rsidRPr="00EA3DC8">
        <w:rPr>
          <w:sz w:val="18"/>
          <w:szCs w:val="20"/>
          <w:rtl/>
        </w:rPr>
        <w:t xml:space="preserve"> </w:t>
      </w:r>
      <w:r w:rsidRPr="00EA3DC8">
        <w:rPr>
          <w:rFonts w:hint="cs"/>
          <w:sz w:val="18"/>
          <w:szCs w:val="20"/>
          <w:rtl/>
        </w:rPr>
        <w:t>מ</w:t>
      </w:r>
      <w:r w:rsidRPr="00EA3DC8">
        <w:rPr>
          <w:sz w:val="18"/>
          <w:szCs w:val="20"/>
          <w:rtl/>
        </w:rPr>
        <w:t xml:space="preserve">לוח 3 </w:t>
      </w:r>
      <w:r w:rsidRPr="00EA3DC8">
        <w:rPr>
          <w:rFonts w:hint="cs"/>
          <w:sz w:val="18"/>
          <w:szCs w:val="20"/>
          <w:rtl/>
        </w:rPr>
        <w:t xml:space="preserve">עולה </w:t>
      </w:r>
      <w:r w:rsidRPr="00EA3DC8">
        <w:rPr>
          <w:sz w:val="18"/>
          <w:szCs w:val="20"/>
          <w:rtl/>
        </w:rPr>
        <w:t>כי הסיבות השכיחות לאי-תעסוקה בשתי נקודות הזמן היו טיפול בילדים, בעיות בריאות, קיצוץ בקצבה ובהטבות נלוות וקושי במציאת עבודה מתאימה. בנקודת הזמן השנייה בלטה סיבה</w:t>
      </w:r>
      <w:r w:rsidRPr="00EA3DC8">
        <w:rPr>
          <w:rFonts w:hint="cs"/>
          <w:sz w:val="18"/>
          <w:szCs w:val="20"/>
          <w:rtl/>
        </w:rPr>
        <w:t xml:space="preserve"> נוספת </w:t>
      </w:r>
      <w:r w:rsidRPr="00EA3DC8">
        <w:rPr>
          <w:sz w:val="18"/>
          <w:szCs w:val="20"/>
          <w:rtl/>
        </w:rPr>
        <w:t>–</w:t>
      </w:r>
      <w:r w:rsidRPr="00EA3DC8">
        <w:rPr>
          <w:rFonts w:hint="cs"/>
          <w:sz w:val="18"/>
          <w:szCs w:val="20"/>
          <w:rtl/>
        </w:rPr>
        <w:t xml:space="preserve"> </w:t>
      </w:r>
      <w:r w:rsidRPr="00EA3DC8">
        <w:rPr>
          <w:sz w:val="18"/>
          <w:szCs w:val="20"/>
          <w:rtl/>
        </w:rPr>
        <w:t xml:space="preserve">טיפול בבן משפחה המתמודד עם מגבלה רפואית. </w:t>
      </w:r>
    </w:p>
    <w:p w14:paraId="7A6474CE" w14:textId="77777777" w:rsidR="003B6BFE" w:rsidRPr="00EA3DC8" w:rsidRDefault="003B6BFE" w:rsidP="003B6BFE">
      <w:pPr>
        <w:spacing w:after="180" w:line="280" w:lineRule="exact"/>
        <w:jc w:val="both"/>
        <w:rPr>
          <w:sz w:val="18"/>
          <w:szCs w:val="20"/>
          <w:rtl/>
        </w:rPr>
      </w:pPr>
      <w:bookmarkStart w:id="26" w:name="_Toc76380502"/>
      <w:r w:rsidRPr="00EA3DC8">
        <w:rPr>
          <w:rFonts w:hint="cs"/>
          <w:sz w:val="18"/>
          <w:szCs w:val="20"/>
          <w:rtl/>
        </w:rPr>
        <w:t>בהמשך</w:t>
      </w:r>
      <w:r w:rsidRPr="00EA3DC8">
        <w:rPr>
          <w:sz w:val="18"/>
          <w:szCs w:val="20"/>
          <w:rtl/>
        </w:rPr>
        <w:t xml:space="preserve"> התבקשו המשתתפים להסביר </w:t>
      </w:r>
      <w:r w:rsidRPr="00EA3DC8">
        <w:rPr>
          <w:rFonts w:hint="cs"/>
          <w:sz w:val="18"/>
          <w:szCs w:val="20"/>
          <w:rtl/>
        </w:rPr>
        <w:t>את הסיבות לאי-תעסוקתם בתשובה</w:t>
      </w:r>
      <w:r w:rsidRPr="00EA3DC8">
        <w:rPr>
          <w:sz w:val="18"/>
          <w:szCs w:val="20"/>
          <w:rtl/>
        </w:rPr>
        <w:t xml:space="preserve"> </w:t>
      </w:r>
      <w:r w:rsidRPr="00EA3DC8">
        <w:rPr>
          <w:rFonts w:hint="cs"/>
          <w:sz w:val="18"/>
          <w:szCs w:val="20"/>
          <w:rtl/>
        </w:rPr>
        <w:t>ל</w:t>
      </w:r>
      <w:r w:rsidRPr="00EA3DC8">
        <w:rPr>
          <w:sz w:val="18"/>
          <w:szCs w:val="20"/>
          <w:rtl/>
        </w:rPr>
        <w:t>שאלה פתוחה ("מדוע אינך עובד</w:t>
      </w:r>
      <w:r w:rsidRPr="00EA3DC8">
        <w:rPr>
          <w:rFonts w:hint="cs"/>
          <w:sz w:val="18"/>
          <w:szCs w:val="20"/>
          <w:rtl/>
        </w:rPr>
        <w:t>?</w:t>
      </w:r>
      <w:r w:rsidRPr="00EA3DC8">
        <w:rPr>
          <w:sz w:val="18"/>
          <w:szCs w:val="20"/>
          <w:rtl/>
        </w:rPr>
        <w:t xml:space="preserve">"). ניתוח איכותני של תשובותיהם לשאלה זו חיזק את הממצאים </w:t>
      </w:r>
      <w:proofErr w:type="spellStart"/>
      <w:r w:rsidRPr="00EA3DC8">
        <w:rPr>
          <w:sz w:val="18"/>
          <w:szCs w:val="20"/>
          <w:rtl/>
        </w:rPr>
        <w:t>הכמותניים</w:t>
      </w:r>
      <w:proofErr w:type="spellEnd"/>
      <w:r w:rsidRPr="00EA3DC8">
        <w:rPr>
          <w:sz w:val="18"/>
          <w:szCs w:val="20"/>
          <w:rtl/>
        </w:rPr>
        <w:t xml:space="preserve">, והעמיק את הבנתנו בנוגע למערכת השיקולים של המשתתפים </w:t>
      </w:r>
      <w:r w:rsidRPr="00EA3DC8">
        <w:rPr>
          <w:rFonts w:hint="cs"/>
          <w:sz w:val="18"/>
          <w:szCs w:val="20"/>
          <w:rtl/>
        </w:rPr>
        <w:t>בהחלטה לצאת לעבודה</w:t>
      </w:r>
      <w:r w:rsidRPr="00EA3DC8">
        <w:rPr>
          <w:sz w:val="18"/>
          <w:szCs w:val="20"/>
          <w:rtl/>
        </w:rPr>
        <w:t xml:space="preserve">. מכיוון שמרבית המשתתפים שלא עבדו בשתי נקודות הזמן היו נשים, נציג את הממצאים בסעיף זה בלשון נקבה. </w:t>
      </w:r>
    </w:p>
    <w:p w14:paraId="49D25CDE" w14:textId="77777777" w:rsidR="003B6BFE" w:rsidRPr="00EA3DC8" w:rsidRDefault="003B6BFE" w:rsidP="003B6BFE">
      <w:pPr>
        <w:spacing w:after="180" w:line="280" w:lineRule="exact"/>
        <w:jc w:val="both"/>
        <w:rPr>
          <w:sz w:val="18"/>
          <w:szCs w:val="20"/>
          <w:u w:val="single"/>
          <w:rtl/>
        </w:rPr>
      </w:pPr>
      <w:r w:rsidRPr="00EA3DC8">
        <w:rPr>
          <w:sz w:val="18"/>
          <w:szCs w:val="20"/>
          <w:rtl/>
        </w:rPr>
        <w:t xml:space="preserve">לפני שנפנה להעמקה בסיבות, חשוב לציין כי מרבית המשתתפות </w:t>
      </w:r>
      <w:r w:rsidRPr="00EA3DC8">
        <w:rPr>
          <w:rFonts w:hint="cs"/>
          <w:sz w:val="18"/>
          <w:szCs w:val="20"/>
          <w:rtl/>
        </w:rPr>
        <w:t>ציינו כי הן</w:t>
      </w:r>
      <w:r w:rsidRPr="00EA3DC8">
        <w:rPr>
          <w:sz w:val="18"/>
          <w:szCs w:val="20"/>
          <w:rtl/>
        </w:rPr>
        <w:t xml:space="preserve"> </w:t>
      </w:r>
      <w:r w:rsidRPr="00EA3DC8">
        <w:rPr>
          <w:rFonts w:hint="cs"/>
          <w:sz w:val="18"/>
          <w:szCs w:val="20"/>
          <w:rtl/>
        </w:rPr>
        <w:t xml:space="preserve">מייחסות </w:t>
      </w:r>
      <w:r w:rsidRPr="00EA3DC8">
        <w:rPr>
          <w:sz w:val="18"/>
          <w:szCs w:val="20"/>
          <w:rtl/>
        </w:rPr>
        <w:t xml:space="preserve">ערך רב </w:t>
      </w:r>
      <w:r w:rsidRPr="00EA3DC8">
        <w:rPr>
          <w:rFonts w:hint="cs"/>
          <w:sz w:val="18"/>
          <w:szCs w:val="20"/>
          <w:rtl/>
        </w:rPr>
        <w:t>ל</w:t>
      </w:r>
      <w:r w:rsidRPr="00EA3DC8">
        <w:rPr>
          <w:sz w:val="18"/>
          <w:szCs w:val="20"/>
          <w:rtl/>
        </w:rPr>
        <w:t xml:space="preserve">יציאה לעבודה, וטענו כי העובדה שאינן עובדות פוגעת בהן רגשית, חברתית וכלכלית. </w:t>
      </w:r>
      <w:r w:rsidRPr="00EA3DC8">
        <w:rPr>
          <w:rFonts w:hint="cs"/>
          <w:sz w:val="18"/>
          <w:szCs w:val="20"/>
          <w:rtl/>
        </w:rPr>
        <w:t>במישור הרגשי</w:t>
      </w:r>
      <w:r w:rsidRPr="00EA3DC8">
        <w:rPr>
          <w:sz w:val="18"/>
          <w:szCs w:val="20"/>
          <w:rtl/>
        </w:rPr>
        <w:t xml:space="preserve">, המשתתפות הביעו כמיהה להשתלב בעבודה, כיוון שלדבריהן </w:t>
      </w:r>
      <w:r w:rsidRPr="00EA3DC8" w:rsidDel="00924BF7">
        <w:rPr>
          <w:sz w:val="18"/>
          <w:szCs w:val="20"/>
          <w:rtl/>
        </w:rPr>
        <w:t xml:space="preserve">השגרה בבית מאוסה ושוחקת ועבודות הבית מתישות, מייגעות </w:t>
      </w:r>
      <w:proofErr w:type="spellStart"/>
      <w:r w:rsidRPr="00EA3DC8">
        <w:rPr>
          <w:sz w:val="18"/>
          <w:szCs w:val="20"/>
          <w:rtl/>
        </w:rPr>
        <w:t>וחזרתיות</w:t>
      </w:r>
      <w:proofErr w:type="spellEnd"/>
      <w:r w:rsidRPr="00EA3DC8">
        <w:rPr>
          <w:sz w:val="18"/>
          <w:szCs w:val="20"/>
          <w:rtl/>
        </w:rPr>
        <w:t xml:space="preserve">. הן </w:t>
      </w:r>
      <w:r w:rsidRPr="00EA3DC8">
        <w:rPr>
          <w:rFonts w:hint="cs"/>
          <w:sz w:val="18"/>
          <w:szCs w:val="20"/>
          <w:rtl/>
        </w:rPr>
        <w:t xml:space="preserve">ביטאו </w:t>
      </w:r>
      <w:r w:rsidRPr="00EA3DC8" w:rsidDel="00924BF7">
        <w:rPr>
          <w:sz w:val="18"/>
          <w:szCs w:val="20"/>
          <w:rtl/>
        </w:rPr>
        <w:t xml:space="preserve">תחושות של ריקנות, תסכול, שעמום, </w:t>
      </w:r>
      <w:r w:rsidRPr="00EA3DC8">
        <w:rPr>
          <w:sz w:val="18"/>
          <w:szCs w:val="20"/>
          <w:rtl/>
        </w:rPr>
        <w:t xml:space="preserve">חוסר תוחלת </w:t>
      </w:r>
      <w:r w:rsidRPr="00EA3DC8" w:rsidDel="00924BF7">
        <w:rPr>
          <w:sz w:val="18"/>
          <w:szCs w:val="20"/>
          <w:rtl/>
        </w:rPr>
        <w:t>ואף מיאוס מהחיים</w:t>
      </w:r>
      <w:r w:rsidRPr="00EA3DC8">
        <w:rPr>
          <w:sz w:val="18"/>
          <w:szCs w:val="20"/>
          <w:rtl/>
        </w:rPr>
        <w:t xml:space="preserve">. </w:t>
      </w:r>
      <w:r w:rsidRPr="00EA3DC8">
        <w:rPr>
          <w:rFonts w:hint="cs"/>
          <w:sz w:val="18"/>
          <w:szCs w:val="20"/>
          <w:rtl/>
        </w:rPr>
        <w:t>במישור החברתי</w:t>
      </w:r>
      <w:r w:rsidRPr="00EA3DC8">
        <w:rPr>
          <w:sz w:val="18"/>
          <w:szCs w:val="20"/>
          <w:rtl/>
        </w:rPr>
        <w:t>, המשתתפות ציינו שהן חשות</w:t>
      </w:r>
      <w:r w:rsidRPr="00EA3DC8" w:rsidDel="00924BF7">
        <w:rPr>
          <w:sz w:val="18"/>
          <w:szCs w:val="20"/>
          <w:rtl/>
        </w:rPr>
        <w:t xml:space="preserve"> בידוד חברתי</w:t>
      </w:r>
      <w:r w:rsidRPr="00EA3DC8">
        <w:rPr>
          <w:sz w:val="18"/>
          <w:szCs w:val="20"/>
          <w:rtl/>
        </w:rPr>
        <w:t xml:space="preserve"> ויחס מתייג מהסביבה,</w:t>
      </w:r>
      <w:r w:rsidRPr="00EA3DC8" w:rsidDel="00924BF7">
        <w:rPr>
          <w:sz w:val="18"/>
          <w:szCs w:val="20"/>
          <w:rtl/>
        </w:rPr>
        <w:t xml:space="preserve"> </w:t>
      </w:r>
      <w:r w:rsidRPr="00EA3DC8">
        <w:rPr>
          <w:sz w:val="18"/>
          <w:szCs w:val="20"/>
          <w:rtl/>
        </w:rPr>
        <w:t>ו</w:t>
      </w:r>
      <w:r w:rsidRPr="00EA3DC8">
        <w:rPr>
          <w:rFonts w:hint="cs"/>
          <w:sz w:val="18"/>
          <w:szCs w:val="20"/>
          <w:rtl/>
        </w:rPr>
        <w:t xml:space="preserve">שהן </w:t>
      </w:r>
      <w:r w:rsidRPr="00EA3DC8">
        <w:rPr>
          <w:sz w:val="18"/>
          <w:szCs w:val="20"/>
          <w:rtl/>
        </w:rPr>
        <w:t>כמהות</w:t>
      </w:r>
      <w:r w:rsidRPr="00EA3DC8" w:rsidDel="00924BF7">
        <w:rPr>
          <w:sz w:val="18"/>
          <w:szCs w:val="20"/>
          <w:rtl/>
        </w:rPr>
        <w:t xml:space="preserve"> לעבוד כדי להיפגש עם אנשים, לצחוק </w:t>
      </w:r>
      <w:r w:rsidRPr="00EA3DC8">
        <w:rPr>
          <w:sz w:val="18"/>
          <w:szCs w:val="20"/>
          <w:rtl/>
        </w:rPr>
        <w:t xml:space="preserve">ולשנות אווירה. </w:t>
      </w:r>
      <w:r w:rsidRPr="00EA3DC8">
        <w:rPr>
          <w:rFonts w:hint="cs"/>
          <w:sz w:val="18"/>
          <w:szCs w:val="20"/>
          <w:rtl/>
        </w:rPr>
        <w:t>בהיבט הכלכלי</w:t>
      </w:r>
      <w:r w:rsidRPr="00EA3DC8">
        <w:rPr>
          <w:sz w:val="18"/>
          <w:szCs w:val="20"/>
          <w:rtl/>
        </w:rPr>
        <w:t xml:space="preserve"> המשתתפות ציינו כי הן מתמודדות עם מצוקה כלכלית קשה, ואינן רואות אופק לשיפור מצבן הכלכלי </w:t>
      </w:r>
      <w:r w:rsidRPr="00EA3DC8">
        <w:rPr>
          <w:rFonts w:hint="cs"/>
          <w:sz w:val="18"/>
          <w:szCs w:val="20"/>
          <w:rtl/>
        </w:rPr>
        <w:t>ל</w:t>
      </w:r>
      <w:r w:rsidRPr="00EA3DC8">
        <w:rPr>
          <w:sz w:val="18"/>
          <w:szCs w:val="20"/>
          <w:rtl/>
        </w:rPr>
        <w:t xml:space="preserve">לא עבודה. </w:t>
      </w:r>
    </w:p>
    <w:p w14:paraId="597AA88C" w14:textId="1C03FA4C" w:rsidR="00926914" w:rsidRPr="00EE4D2A" w:rsidRDefault="00926914" w:rsidP="00EE4D2A">
      <w:pPr>
        <w:pStyle w:val="tab-name"/>
        <w:spacing w:before="300" w:line="260" w:lineRule="exact"/>
        <w:ind w:right="0"/>
        <w:rPr>
          <w:rFonts w:cs="Guttman Aharoni"/>
          <w:color w:val="auto"/>
          <w:sz w:val="20"/>
          <w:szCs w:val="20"/>
        </w:rPr>
      </w:pPr>
      <w:r w:rsidRPr="00EE4D2A">
        <w:rPr>
          <w:rFonts w:cs="Guttman Aharoni"/>
          <w:color w:val="auto"/>
          <w:sz w:val="20"/>
          <w:szCs w:val="20"/>
          <w:rtl/>
        </w:rPr>
        <w:t xml:space="preserve">לוח </w:t>
      </w:r>
      <w:r w:rsidR="005270AD">
        <w:rPr>
          <w:rFonts w:cs="Guttman Aharoni" w:hint="cs"/>
          <w:color w:val="auto"/>
          <w:sz w:val="20"/>
          <w:szCs w:val="20"/>
          <w:rtl/>
        </w:rPr>
        <w:t>3:</w:t>
      </w:r>
      <w:r w:rsidRPr="00EE4D2A">
        <w:rPr>
          <w:rFonts w:cs="Guttman Aharoni"/>
          <w:color w:val="auto"/>
          <w:sz w:val="20"/>
          <w:szCs w:val="20"/>
          <w:rtl/>
        </w:rPr>
        <w:t xml:space="preserve"> סיבות לאי</w:t>
      </w:r>
      <w:r w:rsidRPr="00EE4D2A">
        <w:rPr>
          <w:rFonts w:ascii="David" w:hAnsi="David" w:cs="David"/>
          <w:color w:val="auto"/>
          <w:sz w:val="20"/>
          <w:szCs w:val="20"/>
          <w:rtl/>
        </w:rPr>
        <w:t>-</w:t>
      </w:r>
      <w:r w:rsidRPr="00EE4D2A">
        <w:rPr>
          <w:rFonts w:cs="Guttman Aharoni"/>
          <w:color w:val="auto"/>
          <w:sz w:val="20"/>
          <w:szCs w:val="20"/>
          <w:rtl/>
        </w:rPr>
        <w:t>תעסוקה בקרב קבוצת הבלתי</w:t>
      </w:r>
      <w:r w:rsidRPr="00EE4D2A">
        <w:rPr>
          <w:rFonts w:ascii="David" w:hAnsi="David" w:cs="David"/>
          <w:color w:val="auto"/>
          <w:sz w:val="20"/>
          <w:szCs w:val="20"/>
          <w:rtl/>
        </w:rPr>
        <w:t>-</w:t>
      </w:r>
      <w:r w:rsidRPr="00EE4D2A">
        <w:rPr>
          <w:rFonts w:cs="Guttman Aharoni"/>
          <w:color w:val="auto"/>
          <w:sz w:val="20"/>
          <w:szCs w:val="20"/>
          <w:rtl/>
        </w:rPr>
        <w:t>מועסקים</w:t>
      </w:r>
      <w:bookmarkEnd w:id="26"/>
    </w:p>
    <w:tbl>
      <w:tblPr>
        <w:bidiVisual/>
        <w:tblW w:w="6464" w:type="dxa"/>
        <w:jc w:val="center"/>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3153"/>
        <w:gridCol w:w="1725"/>
        <w:gridCol w:w="1586"/>
      </w:tblGrid>
      <w:tr w:rsidR="00A63F92" w:rsidRPr="00112363" w14:paraId="77642C04" w14:textId="77777777" w:rsidTr="00A63F92">
        <w:trPr>
          <w:tblHeader/>
          <w:jc w:val="center"/>
        </w:trPr>
        <w:tc>
          <w:tcPr>
            <w:tcW w:w="0" w:type="auto"/>
            <w:tcBorders>
              <w:top w:val="single" w:sz="8" w:space="0" w:color="auto"/>
              <w:bottom w:val="single" w:sz="8" w:space="0" w:color="auto"/>
            </w:tcBorders>
            <w:shd w:val="clear" w:color="auto" w:fill="auto"/>
            <w:noWrap/>
            <w:vAlign w:val="bottom"/>
          </w:tcPr>
          <w:p w14:paraId="51A0DFFF" w14:textId="0CA164E2" w:rsidR="00A63F92" w:rsidRPr="00112363" w:rsidRDefault="00A63F92" w:rsidP="00A63F92">
            <w:pPr>
              <w:spacing w:before="60" w:after="60" w:line="220" w:lineRule="exact"/>
              <w:rPr>
                <w:color w:val="000000"/>
              </w:rPr>
            </w:pPr>
          </w:p>
        </w:tc>
        <w:tc>
          <w:tcPr>
            <w:tcW w:w="0" w:type="auto"/>
            <w:tcBorders>
              <w:top w:val="single" w:sz="8" w:space="0" w:color="auto"/>
              <w:bottom w:val="single" w:sz="8" w:space="0" w:color="auto"/>
            </w:tcBorders>
            <w:shd w:val="clear" w:color="auto" w:fill="auto"/>
            <w:noWrap/>
            <w:vAlign w:val="bottom"/>
            <w:hideMark/>
          </w:tcPr>
          <w:p w14:paraId="23BE0B03" w14:textId="1FDBAE00" w:rsidR="00A63F92" w:rsidRPr="00112363" w:rsidRDefault="00A63F92" w:rsidP="005270AD">
            <w:pPr>
              <w:spacing w:before="60" w:after="60" w:line="220" w:lineRule="exact"/>
              <w:jc w:val="center"/>
              <w:rPr>
                <w:b/>
                <w:bCs/>
                <w:color w:val="000000"/>
                <w:rtl/>
              </w:rPr>
            </w:pPr>
            <w:r w:rsidRPr="00EA3DC8">
              <w:rPr>
                <w:b/>
                <w:bCs/>
                <w:color w:val="000000"/>
                <w:sz w:val="18"/>
                <w:szCs w:val="20"/>
                <w:rtl/>
              </w:rPr>
              <w:t>נקודת זמן ראשונה</w:t>
            </w:r>
            <w:r w:rsidR="005270AD">
              <w:rPr>
                <w:b/>
                <w:bCs/>
                <w:color w:val="000000"/>
                <w:sz w:val="18"/>
                <w:szCs w:val="20"/>
                <w:rtl/>
              </w:rPr>
              <w:br/>
            </w:r>
            <w:r w:rsidRPr="00EA3DC8">
              <w:rPr>
                <w:color w:val="000000"/>
                <w:sz w:val="18"/>
                <w:szCs w:val="20"/>
              </w:rPr>
              <w:t>(</w:t>
            </w:r>
            <w:r w:rsidRPr="00EA3DC8">
              <w:rPr>
                <w:i/>
                <w:iCs/>
                <w:color w:val="000000"/>
                <w:sz w:val="18"/>
                <w:szCs w:val="20"/>
              </w:rPr>
              <w:t xml:space="preserve">N </w:t>
            </w:r>
            <w:r w:rsidRPr="00EA3DC8">
              <w:rPr>
                <w:color w:val="000000"/>
                <w:sz w:val="18"/>
                <w:szCs w:val="20"/>
              </w:rPr>
              <w:t>= 51)</w:t>
            </w:r>
          </w:p>
        </w:tc>
        <w:tc>
          <w:tcPr>
            <w:tcW w:w="0" w:type="auto"/>
            <w:tcBorders>
              <w:top w:val="single" w:sz="8" w:space="0" w:color="auto"/>
              <w:bottom w:val="single" w:sz="8" w:space="0" w:color="auto"/>
            </w:tcBorders>
            <w:shd w:val="clear" w:color="auto" w:fill="auto"/>
            <w:noWrap/>
            <w:vAlign w:val="bottom"/>
            <w:hideMark/>
          </w:tcPr>
          <w:p w14:paraId="4CB92F9B" w14:textId="58A9C330" w:rsidR="00A63F92" w:rsidRPr="00112363" w:rsidRDefault="00A63F92" w:rsidP="005270AD">
            <w:pPr>
              <w:spacing w:before="60" w:after="60" w:line="220" w:lineRule="exact"/>
              <w:jc w:val="center"/>
              <w:rPr>
                <w:b/>
                <w:bCs/>
                <w:color w:val="000000"/>
                <w:rtl/>
              </w:rPr>
            </w:pPr>
            <w:r w:rsidRPr="00EA3DC8">
              <w:rPr>
                <w:b/>
                <w:bCs/>
                <w:color w:val="000000"/>
                <w:sz w:val="18"/>
                <w:szCs w:val="20"/>
                <w:rtl/>
              </w:rPr>
              <w:t>נקודת זמן שנייה</w:t>
            </w:r>
            <w:r w:rsidR="005270AD">
              <w:rPr>
                <w:b/>
                <w:bCs/>
                <w:color w:val="000000"/>
                <w:sz w:val="18"/>
                <w:szCs w:val="20"/>
                <w:rtl/>
              </w:rPr>
              <w:br/>
            </w:r>
            <w:r w:rsidRPr="00EA3DC8">
              <w:rPr>
                <w:color w:val="000000"/>
                <w:sz w:val="18"/>
                <w:szCs w:val="20"/>
              </w:rPr>
              <w:t>(</w:t>
            </w:r>
            <w:r w:rsidRPr="00EA3DC8">
              <w:rPr>
                <w:i/>
                <w:iCs/>
                <w:color w:val="000000"/>
                <w:sz w:val="18"/>
                <w:szCs w:val="20"/>
              </w:rPr>
              <w:t xml:space="preserve">N </w:t>
            </w:r>
            <w:r w:rsidRPr="00EA3DC8">
              <w:rPr>
                <w:color w:val="000000"/>
                <w:sz w:val="18"/>
                <w:szCs w:val="20"/>
              </w:rPr>
              <w:t>= 51)</w:t>
            </w:r>
          </w:p>
        </w:tc>
      </w:tr>
      <w:tr w:rsidR="00926914" w:rsidRPr="00112363" w14:paraId="73323B12" w14:textId="77777777" w:rsidTr="00A63F92">
        <w:trPr>
          <w:jc w:val="center"/>
        </w:trPr>
        <w:tc>
          <w:tcPr>
            <w:tcW w:w="0" w:type="auto"/>
            <w:tcBorders>
              <w:top w:val="single" w:sz="8" w:space="0" w:color="auto"/>
            </w:tcBorders>
            <w:shd w:val="clear" w:color="auto" w:fill="auto"/>
            <w:noWrap/>
            <w:vAlign w:val="center"/>
            <w:hideMark/>
          </w:tcPr>
          <w:p w14:paraId="18F1280D" w14:textId="77777777" w:rsidR="00926914" w:rsidRPr="00112363" w:rsidRDefault="00926914" w:rsidP="00EE4D2A">
            <w:pPr>
              <w:spacing w:before="60" w:after="60" w:line="220" w:lineRule="exact"/>
              <w:rPr>
                <w:color w:val="000000"/>
              </w:rPr>
            </w:pPr>
            <w:r w:rsidRPr="00EA3DC8">
              <w:rPr>
                <w:color w:val="000000"/>
                <w:sz w:val="18"/>
                <w:szCs w:val="20"/>
                <w:rtl/>
              </w:rPr>
              <w:t>טיפול בילדים</w:t>
            </w:r>
          </w:p>
        </w:tc>
        <w:tc>
          <w:tcPr>
            <w:tcW w:w="0" w:type="auto"/>
            <w:tcBorders>
              <w:top w:val="single" w:sz="8" w:space="0" w:color="auto"/>
            </w:tcBorders>
            <w:shd w:val="clear" w:color="auto" w:fill="auto"/>
            <w:noWrap/>
            <w:vAlign w:val="center"/>
            <w:hideMark/>
          </w:tcPr>
          <w:p w14:paraId="769A3025" w14:textId="77777777" w:rsidR="00926914" w:rsidRPr="00A63F92" w:rsidRDefault="00926914" w:rsidP="00EE4D2A">
            <w:pPr>
              <w:spacing w:before="60" w:after="60" w:line="220" w:lineRule="exact"/>
              <w:rPr>
                <w:rFonts w:ascii="David" w:hAnsi="David"/>
                <w:color w:val="000000"/>
                <w:rtl/>
              </w:rPr>
            </w:pPr>
            <w:r w:rsidRPr="00A63F92">
              <w:rPr>
                <w:rFonts w:ascii="David" w:hAnsi="David"/>
                <w:color w:val="000000"/>
                <w:sz w:val="18"/>
                <w:szCs w:val="20"/>
              </w:rPr>
              <w:t>56.90%</w:t>
            </w:r>
          </w:p>
        </w:tc>
        <w:tc>
          <w:tcPr>
            <w:tcW w:w="0" w:type="auto"/>
            <w:tcBorders>
              <w:top w:val="single" w:sz="8" w:space="0" w:color="auto"/>
            </w:tcBorders>
            <w:shd w:val="clear" w:color="auto" w:fill="auto"/>
            <w:noWrap/>
            <w:vAlign w:val="center"/>
            <w:hideMark/>
          </w:tcPr>
          <w:p w14:paraId="1435E8D7" w14:textId="77777777" w:rsidR="00926914" w:rsidRPr="00112363" w:rsidRDefault="00926914" w:rsidP="00EE4D2A">
            <w:pPr>
              <w:spacing w:before="60" w:after="60" w:line="220" w:lineRule="exact"/>
              <w:rPr>
                <w:color w:val="000000"/>
                <w:rtl/>
              </w:rPr>
            </w:pPr>
            <w:r w:rsidRPr="00EA3DC8">
              <w:rPr>
                <w:color w:val="000000"/>
                <w:sz w:val="18"/>
                <w:szCs w:val="20"/>
                <w:rtl/>
              </w:rPr>
              <w:t>49%</w:t>
            </w:r>
          </w:p>
        </w:tc>
      </w:tr>
      <w:tr w:rsidR="00926914" w:rsidRPr="00112363" w14:paraId="07925307" w14:textId="77777777" w:rsidTr="00A63F92">
        <w:trPr>
          <w:jc w:val="center"/>
        </w:trPr>
        <w:tc>
          <w:tcPr>
            <w:tcW w:w="0" w:type="auto"/>
            <w:shd w:val="clear" w:color="auto" w:fill="auto"/>
            <w:noWrap/>
            <w:vAlign w:val="center"/>
            <w:hideMark/>
          </w:tcPr>
          <w:p w14:paraId="69111FDE" w14:textId="77777777" w:rsidR="00926914" w:rsidRPr="00112363" w:rsidRDefault="00926914" w:rsidP="00EE4D2A">
            <w:pPr>
              <w:spacing w:before="60" w:after="60" w:line="220" w:lineRule="exact"/>
              <w:rPr>
                <w:color w:val="000000"/>
                <w:rtl/>
              </w:rPr>
            </w:pPr>
            <w:r w:rsidRPr="00EA3DC8">
              <w:rPr>
                <w:color w:val="000000"/>
                <w:sz w:val="18"/>
                <w:szCs w:val="20"/>
                <w:rtl/>
              </w:rPr>
              <w:t>בעיות בריאות</w:t>
            </w:r>
          </w:p>
        </w:tc>
        <w:tc>
          <w:tcPr>
            <w:tcW w:w="0" w:type="auto"/>
            <w:shd w:val="clear" w:color="auto" w:fill="auto"/>
            <w:noWrap/>
            <w:vAlign w:val="center"/>
            <w:hideMark/>
          </w:tcPr>
          <w:p w14:paraId="51006B14" w14:textId="77777777" w:rsidR="00926914" w:rsidRPr="00A63F92" w:rsidRDefault="00926914" w:rsidP="00EE4D2A">
            <w:pPr>
              <w:spacing w:before="60" w:after="60" w:line="220" w:lineRule="exact"/>
              <w:rPr>
                <w:rFonts w:ascii="David" w:hAnsi="David"/>
                <w:color w:val="000000"/>
                <w:rtl/>
              </w:rPr>
            </w:pPr>
            <w:r w:rsidRPr="00A63F92">
              <w:rPr>
                <w:rFonts w:ascii="David" w:hAnsi="David"/>
                <w:color w:val="000000"/>
                <w:sz w:val="18"/>
                <w:szCs w:val="20"/>
              </w:rPr>
              <w:t>29.40%</w:t>
            </w:r>
          </w:p>
        </w:tc>
        <w:tc>
          <w:tcPr>
            <w:tcW w:w="0" w:type="auto"/>
            <w:shd w:val="clear" w:color="auto" w:fill="auto"/>
            <w:noWrap/>
            <w:vAlign w:val="center"/>
            <w:hideMark/>
          </w:tcPr>
          <w:p w14:paraId="1818B988" w14:textId="77777777" w:rsidR="00926914" w:rsidRPr="00112363" w:rsidRDefault="00926914" w:rsidP="00EE4D2A">
            <w:pPr>
              <w:spacing w:before="60" w:after="60" w:line="220" w:lineRule="exact"/>
              <w:rPr>
                <w:color w:val="000000"/>
                <w:rtl/>
              </w:rPr>
            </w:pPr>
            <w:r w:rsidRPr="00EA3DC8">
              <w:rPr>
                <w:color w:val="000000"/>
                <w:sz w:val="18"/>
                <w:szCs w:val="20"/>
                <w:rtl/>
              </w:rPr>
              <w:t>43.10%</w:t>
            </w:r>
          </w:p>
        </w:tc>
      </w:tr>
      <w:tr w:rsidR="00926914" w:rsidRPr="00112363" w14:paraId="30633139" w14:textId="77777777" w:rsidTr="00A63F92">
        <w:trPr>
          <w:jc w:val="center"/>
        </w:trPr>
        <w:tc>
          <w:tcPr>
            <w:tcW w:w="0" w:type="auto"/>
            <w:shd w:val="clear" w:color="auto" w:fill="auto"/>
            <w:noWrap/>
            <w:vAlign w:val="center"/>
            <w:hideMark/>
          </w:tcPr>
          <w:p w14:paraId="1387E500" w14:textId="77777777" w:rsidR="00926914" w:rsidRPr="00112363" w:rsidRDefault="00926914" w:rsidP="00EE4D2A">
            <w:pPr>
              <w:spacing w:before="60" w:after="60" w:line="220" w:lineRule="exact"/>
              <w:rPr>
                <w:color w:val="000000"/>
                <w:rtl/>
              </w:rPr>
            </w:pPr>
            <w:r w:rsidRPr="00EA3DC8">
              <w:rPr>
                <w:color w:val="000000"/>
                <w:sz w:val="18"/>
                <w:szCs w:val="20"/>
                <w:rtl/>
              </w:rPr>
              <w:t>קיצוץ בקצבה ובהטבות נלוות</w:t>
            </w:r>
          </w:p>
        </w:tc>
        <w:tc>
          <w:tcPr>
            <w:tcW w:w="0" w:type="auto"/>
            <w:shd w:val="clear" w:color="auto" w:fill="auto"/>
            <w:noWrap/>
            <w:vAlign w:val="center"/>
            <w:hideMark/>
          </w:tcPr>
          <w:p w14:paraId="5F68DFFA" w14:textId="77777777" w:rsidR="00926914" w:rsidRPr="00A63F92" w:rsidRDefault="00926914" w:rsidP="00EE4D2A">
            <w:pPr>
              <w:spacing w:before="60" w:after="60" w:line="220" w:lineRule="exact"/>
              <w:rPr>
                <w:rFonts w:ascii="David" w:hAnsi="David"/>
                <w:color w:val="000000"/>
                <w:rtl/>
              </w:rPr>
            </w:pPr>
            <w:r w:rsidRPr="00A63F92">
              <w:rPr>
                <w:rFonts w:ascii="David" w:hAnsi="David"/>
                <w:color w:val="000000"/>
                <w:sz w:val="18"/>
                <w:szCs w:val="20"/>
                <w:rtl/>
              </w:rPr>
              <w:t>31%</w:t>
            </w:r>
          </w:p>
        </w:tc>
        <w:tc>
          <w:tcPr>
            <w:tcW w:w="0" w:type="auto"/>
            <w:shd w:val="clear" w:color="auto" w:fill="auto"/>
            <w:noWrap/>
            <w:vAlign w:val="center"/>
            <w:hideMark/>
          </w:tcPr>
          <w:p w14:paraId="556575C0" w14:textId="77777777" w:rsidR="00926914" w:rsidRPr="00112363" w:rsidRDefault="00926914" w:rsidP="00EE4D2A">
            <w:pPr>
              <w:spacing w:before="60" w:after="60" w:line="220" w:lineRule="exact"/>
              <w:rPr>
                <w:color w:val="000000"/>
                <w:rtl/>
              </w:rPr>
            </w:pPr>
            <w:r w:rsidRPr="00EA3DC8">
              <w:rPr>
                <w:color w:val="000000"/>
                <w:sz w:val="18"/>
                <w:szCs w:val="20"/>
                <w:rtl/>
              </w:rPr>
              <w:t>24.90%</w:t>
            </w:r>
          </w:p>
        </w:tc>
      </w:tr>
      <w:tr w:rsidR="00926914" w:rsidRPr="00112363" w14:paraId="49396EE4" w14:textId="77777777" w:rsidTr="00A63F92">
        <w:trPr>
          <w:jc w:val="center"/>
        </w:trPr>
        <w:tc>
          <w:tcPr>
            <w:tcW w:w="0" w:type="auto"/>
            <w:shd w:val="clear" w:color="auto" w:fill="auto"/>
            <w:noWrap/>
            <w:vAlign w:val="center"/>
            <w:hideMark/>
          </w:tcPr>
          <w:p w14:paraId="686435D1" w14:textId="77777777" w:rsidR="00926914" w:rsidRPr="00112363" w:rsidRDefault="00926914" w:rsidP="00EE4D2A">
            <w:pPr>
              <w:spacing w:before="60" w:after="60" w:line="220" w:lineRule="exact"/>
              <w:rPr>
                <w:color w:val="000000"/>
                <w:rtl/>
              </w:rPr>
            </w:pPr>
            <w:r w:rsidRPr="00EA3DC8">
              <w:rPr>
                <w:color w:val="000000"/>
                <w:sz w:val="18"/>
                <w:szCs w:val="20"/>
                <w:rtl/>
              </w:rPr>
              <w:t>קושי במציאת משרה מתאימה</w:t>
            </w:r>
          </w:p>
        </w:tc>
        <w:tc>
          <w:tcPr>
            <w:tcW w:w="0" w:type="auto"/>
            <w:shd w:val="clear" w:color="auto" w:fill="auto"/>
            <w:noWrap/>
            <w:vAlign w:val="center"/>
            <w:hideMark/>
          </w:tcPr>
          <w:p w14:paraId="67717228" w14:textId="77777777" w:rsidR="00926914" w:rsidRPr="00A63F92" w:rsidRDefault="00926914" w:rsidP="00EE4D2A">
            <w:pPr>
              <w:spacing w:before="60" w:after="60" w:line="220" w:lineRule="exact"/>
              <w:rPr>
                <w:rFonts w:ascii="David" w:hAnsi="David"/>
                <w:color w:val="000000"/>
                <w:rtl/>
              </w:rPr>
            </w:pPr>
            <w:r w:rsidRPr="00A63F92">
              <w:rPr>
                <w:rFonts w:ascii="David" w:hAnsi="David"/>
                <w:color w:val="000000"/>
                <w:sz w:val="18"/>
                <w:szCs w:val="20"/>
                <w:rtl/>
              </w:rPr>
              <w:t>11.80%</w:t>
            </w:r>
          </w:p>
        </w:tc>
        <w:tc>
          <w:tcPr>
            <w:tcW w:w="0" w:type="auto"/>
            <w:shd w:val="clear" w:color="auto" w:fill="auto"/>
            <w:noWrap/>
            <w:vAlign w:val="center"/>
            <w:hideMark/>
          </w:tcPr>
          <w:p w14:paraId="06356391" w14:textId="77777777" w:rsidR="00926914" w:rsidRPr="00112363" w:rsidRDefault="00926914" w:rsidP="00EE4D2A">
            <w:pPr>
              <w:spacing w:before="60" w:after="60" w:line="220" w:lineRule="exact"/>
              <w:rPr>
                <w:color w:val="000000"/>
                <w:rtl/>
              </w:rPr>
            </w:pPr>
            <w:r w:rsidRPr="00EA3DC8">
              <w:rPr>
                <w:color w:val="000000"/>
                <w:sz w:val="18"/>
                <w:szCs w:val="20"/>
                <w:rtl/>
              </w:rPr>
              <w:t>25.50%</w:t>
            </w:r>
          </w:p>
        </w:tc>
      </w:tr>
      <w:tr w:rsidR="00926914" w:rsidRPr="00112363" w14:paraId="3DEFF2A8" w14:textId="77777777" w:rsidTr="00A63F92">
        <w:trPr>
          <w:jc w:val="center"/>
        </w:trPr>
        <w:tc>
          <w:tcPr>
            <w:tcW w:w="0" w:type="auto"/>
            <w:shd w:val="clear" w:color="auto" w:fill="auto"/>
            <w:noWrap/>
            <w:vAlign w:val="center"/>
            <w:hideMark/>
          </w:tcPr>
          <w:p w14:paraId="3B600A07" w14:textId="77777777" w:rsidR="00926914" w:rsidRPr="00112363" w:rsidRDefault="00926914" w:rsidP="00EE4D2A">
            <w:pPr>
              <w:spacing w:before="60" w:after="60" w:line="220" w:lineRule="exact"/>
              <w:rPr>
                <w:color w:val="000000"/>
                <w:rtl/>
              </w:rPr>
            </w:pPr>
            <w:r w:rsidRPr="00EA3DC8">
              <w:rPr>
                <w:color w:val="000000"/>
                <w:sz w:val="18"/>
                <w:szCs w:val="20"/>
                <w:rtl/>
              </w:rPr>
              <w:t>טיפול בבן משפחה עם מגבלה רפואית</w:t>
            </w:r>
          </w:p>
        </w:tc>
        <w:tc>
          <w:tcPr>
            <w:tcW w:w="0" w:type="auto"/>
            <w:shd w:val="clear" w:color="auto" w:fill="auto"/>
            <w:noWrap/>
            <w:vAlign w:val="center"/>
            <w:hideMark/>
          </w:tcPr>
          <w:p w14:paraId="6E6D8947" w14:textId="77777777" w:rsidR="00926914" w:rsidRPr="00A63F92" w:rsidRDefault="00926914" w:rsidP="00EE4D2A">
            <w:pPr>
              <w:spacing w:before="60" w:after="60" w:line="220" w:lineRule="exact"/>
              <w:rPr>
                <w:rFonts w:ascii="David" w:hAnsi="David"/>
                <w:color w:val="000000"/>
                <w:rtl/>
              </w:rPr>
            </w:pPr>
            <w:r w:rsidRPr="00A63F92">
              <w:rPr>
                <w:rFonts w:ascii="David" w:hAnsi="David"/>
                <w:color w:val="000000"/>
                <w:sz w:val="18"/>
                <w:szCs w:val="20"/>
                <w:rtl/>
              </w:rPr>
              <w:t>11.80%</w:t>
            </w:r>
          </w:p>
        </w:tc>
        <w:tc>
          <w:tcPr>
            <w:tcW w:w="0" w:type="auto"/>
            <w:shd w:val="clear" w:color="auto" w:fill="auto"/>
            <w:noWrap/>
            <w:vAlign w:val="center"/>
            <w:hideMark/>
          </w:tcPr>
          <w:p w14:paraId="7B3867B8" w14:textId="77777777" w:rsidR="00926914" w:rsidRPr="00112363" w:rsidRDefault="00926914" w:rsidP="00EE4D2A">
            <w:pPr>
              <w:spacing w:before="60" w:after="60" w:line="220" w:lineRule="exact"/>
              <w:rPr>
                <w:color w:val="000000"/>
                <w:rtl/>
              </w:rPr>
            </w:pPr>
            <w:r w:rsidRPr="00EA3DC8">
              <w:rPr>
                <w:color w:val="000000"/>
                <w:sz w:val="18"/>
                <w:szCs w:val="20"/>
                <w:rtl/>
              </w:rPr>
              <w:t>21.60%</w:t>
            </w:r>
          </w:p>
        </w:tc>
      </w:tr>
      <w:tr w:rsidR="00926914" w:rsidRPr="00112363" w14:paraId="3BC5FAB0" w14:textId="77777777" w:rsidTr="00A63F92">
        <w:trPr>
          <w:jc w:val="center"/>
        </w:trPr>
        <w:tc>
          <w:tcPr>
            <w:tcW w:w="0" w:type="auto"/>
            <w:shd w:val="clear" w:color="auto" w:fill="auto"/>
            <w:noWrap/>
            <w:vAlign w:val="center"/>
            <w:hideMark/>
          </w:tcPr>
          <w:p w14:paraId="393CF7C4" w14:textId="77777777" w:rsidR="00926914" w:rsidRPr="00112363" w:rsidRDefault="00926914" w:rsidP="00EE4D2A">
            <w:pPr>
              <w:spacing w:before="60" w:after="60" w:line="220" w:lineRule="exact"/>
              <w:rPr>
                <w:color w:val="000000"/>
                <w:rtl/>
              </w:rPr>
            </w:pPr>
            <w:r w:rsidRPr="00EA3DC8">
              <w:rPr>
                <w:color w:val="000000"/>
                <w:sz w:val="18"/>
                <w:szCs w:val="20"/>
                <w:rtl/>
              </w:rPr>
              <w:t>היעדר הכשרה מקצועית</w:t>
            </w:r>
          </w:p>
        </w:tc>
        <w:tc>
          <w:tcPr>
            <w:tcW w:w="0" w:type="auto"/>
            <w:shd w:val="clear" w:color="auto" w:fill="auto"/>
            <w:noWrap/>
            <w:vAlign w:val="center"/>
            <w:hideMark/>
          </w:tcPr>
          <w:p w14:paraId="72F9E0C8" w14:textId="77777777" w:rsidR="00926914" w:rsidRPr="00A63F92" w:rsidRDefault="00926914" w:rsidP="00EE4D2A">
            <w:pPr>
              <w:spacing w:before="60" w:after="60" w:line="220" w:lineRule="exact"/>
              <w:rPr>
                <w:rFonts w:ascii="David" w:hAnsi="David"/>
                <w:color w:val="000000"/>
                <w:rtl/>
              </w:rPr>
            </w:pPr>
            <w:r w:rsidRPr="00A63F92">
              <w:rPr>
                <w:rFonts w:ascii="David" w:hAnsi="David"/>
                <w:color w:val="000000"/>
                <w:sz w:val="18"/>
                <w:szCs w:val="20"/>
                <w:rtl/>
              </w:rPr>
              <w:t>2%</w:t>
            </w:r>
          </w:p>
        </w:tc>
        <w:tc>
          <w:tcPr>
            <w:tcW w:w="0" w:type="auto"/>
            <w:shd w:val="clear" w:color="auto" w:fill="auto"/>
            <w:noWrap/>
            <w:vAlign w:val="center"/>
            <w:hideMark/>
          </w:tcPr>
          <w:p w14:paraId="77315CE7" w14:textId="77777777" w:rsidR="00926914" w:rsidRPr="00112363" w:rsidRDefault="00926914" w:rsidP="00EE4D2A">
            <w:pPr>
              <w:spacing w:before="60" w:after="60" w:line="220" w:lineRule="exact"/>
              <w:rPr>
                <w:color w:val="000000"/>
                <w:rtl/>
              </w:rPr>
            </w:pPr>
            <w:r w:rsidRPr="00EA3DC8">
              <w:rPr>
                <w:color w:val="000000"/>
                <w:sz w:val="18"/>
                <w:szCs w:val="20"/>
                <w:rtl/>
              </w:rPr>
              <w:t>7.80%</w:t>
            </w:r>
          </w:p>
        </w:tc>
      </w:tr>
      <w:tr w:rsidR="00926914" w:rsidRPr="00EA3DC8" w14:paraId="04540D33" w14:textId="77777777" w:rsidTr="00A63F92">
        <w:trPr>
          <w:jc w:val="center"/>
        </w:trPr>
        <w:tc>
          <w:tcPr>
            <w:tcW w:w="0" w:type="auto"/>
            <w:shd w:val="clear" w:color="auto" w:fill="auto"/>
            <w:noWrap/>
            <w:vAlign w:val="center"/>
            <w:hideMark/>
          </w:tcPr>
          <w:p w14:paraId="352EF3A7" w14:textId="77777777" w:rsidR="00926914" w:rsidRPr="00112363" w:rsidRDefault="00926914" w:rsidP="00EE4D2A">
            <w:pPr>
              <w:spacing w:before="60" w:after="60" w:line="220" w:lineRule="exact"/>
              <w:rPr>
                <w:color w:val="000000"/>
                <w:rtl/>
              </w:rPr>
            </w:pPr>
            <w:r w:rsidRPr="00EA3DC8">
              <w:rPr>
                <w:color w:val="000000"/>
                <w:sz w:val="18"/>
                <w:szCs w:val="20"/>
                <w:rtl/>
              </w:rPr>
              <w:t>קשיי הגעה</w:t>
            </w:r>
          </w:p>
        </w:tc>
        <w:tc>
          <w:tcPr>
            <w:tcW w:w="0" w:type="auto"/>
            <w:shd w:val="clear" w:color="auto" w:fill="auto"/>
            <w:noWrap/>
            <w:vAlign w:val="center"/>
            <w:hideMark/>
          </w:tcPr>
          <w:p w14:paraId="65460C9B" w14:textId="77777777" w:rsidR="00926914" w:rsidRPr="00A63F92" w:rsidRDefault="00926914" w:rsidP="00EE4D2A">
            <w:pPr>
              <w:spacing w:before="60" w:after="60" w:line="220" w:lineRule="exact"/>
              <w:rPr>
                <w:rFonts w:ascii="David" w:hAnsi="David"/>
                <w:color w:val="000000"/>
                <w:rtl/>
              </w:rPr>
            </w:pPr>
            <w:r w:rsidRPr="00A63F92">
              <w:rPr>
                <w:rFonts w:ascii="David" w:hAnsi="David"/>
                <w:color w:val="000000"/>
                <w:sz w:val="18"/>
                <w:szCs w:val="20"/>
                <w:rtl/>
              </w:rPr>
              <w:t>2%</w:t>
            </w:r>
          </w:p>
        </w:tc>
        <w:tc>
          <w:tcPr>
            <w:tcW w:w="0" w:type="auto"/>
            <w:shd w:val="clear" w:color="auto" w:fill="auto"/>
            <w:noWrap/>
            <w:vAlign w:val="center"/>
            <w:hideMark/>
          </w:tcPr>
          <w:p w14:paraId="4B5E8653" w14:textId="77777777" w:rsidR="00926914" w:rsidRPr="00EA3DC8" w:rsidRDefault="00926914" w:rsidP="00EE4D2A">
            <w:pPr>
              <w:spacing w:before="60" w:after="60" w:line="220" w:lineRule="exact"/>
              <w:rPr>
                <w:color w:val="000000"/>
                <w:sz w:val="18"/>
                <w:szCs w:val="20"/>
                <w:rtl/>
              </w:rPr>
            </w:pPr>
            <w:r w:rsidRPr="00EA3DC8">
              <w:rPr>
                <w:color w:val="000000"/>
                <w:sz w:val="18"/>
                <w:szCs w:val="20"/>
                <w:rtl/>
              </w:rPr>
              <w:t>2%</w:t>
            </w:r>
          </w:p>
        </w:tc>
      </w:tr>
    </w:tbl>
    <w:p w14:paraId="79462CF1" w14:textId="77777777" w:rsidR="00926914" w:rsidRPr="00EA3DC8" w:rsidRDefault="00926914" w:rsidP="003B6BFE">
      <w:pPr>
        <w:spacing w:before="240" w:after="180" w:line="280" w:lineRule="exact"/>
        <w:jc w:val="both"/>
        <w:rPr>
          <w:sz w:val="18"/>
          <w:szCs w:val="20"/>
          <w:rtl/>
        </w:rPr>
      </w:pPr>
      <w:r w:rsidRPr="00EA3DC8">
        <w:rPr>
          <w:b/>
          <w:bCs/>
          <w:sz w:val="18"/>
          <w:szCs w:val="20"/>
          <w:rtl/>
        </w:rPr>
        <w:lastRenderedPageBreak/>
        <w:t>טיפול בילדים.</w:t>
      </w:r>
      <w:r w:rsidRPr="00EA3DC8">
        <w:rPr>
          <w:sz w:val="18"/>
          <w:szCs w:val="20"/>
          <w:rtl/>
        </w:rPr>
        <w:t xml:space="preserve"> מלוח </w:t>
      </w:r>
      <w:r w:rsidRPr="00EA3DC8">
        <w:rPr>
          <w:rFonts w:hint="cs"/>
          <w:sz w:val="18"/>
          <w:szCs w:val="20"/>
          <w:rtl/>
        </w:rPr>
        <w:t>3</w:t>
      </w:r>
      <w:r w:rsidRPr="00EA3DC8">
        <w:rPr>
          <w:sz w:val="18"/>
          <w:szCs w:val="20"/>
          <w:rtl/>
        </w:rPr>
        <w:t xml:space="preserve"> עולה כי הסיבה הראשונה בשכיחותה לכך שהמשתתפות לא עבדו הייתה טיפול בילדים, ומהניתוח האיכותני לשאלה הפתוחה עלה כי המשתתפות מתקשות למצוא עבודה </w:t>
      </w:r>
      <w:r w:rsidRPr="00EA3DC8">
        <w:rPr>
          <w:rFonts w:hint="cs"/>
          <w:sz w:val="18"/>
          <w:szCs w:val="20"/>
          <w:rtl/>
        </w:rPr>
        <w:t>שהן יכולות לשלב ב</w:t>
      </w:r>
      <w:r w:rsidRPr="00EA3DC8">
        <w:rPr>
          <w:sz w:val="18"/>
          <w:szCs w:val="20"/>
          <w:rtl/>
        </w:rPr>
        <w:t xml:space="preserve">שעות </w:t>
      </w:r>
      <w:r w:rsidRPr="00EA3DC8">
        <w:rPr>
          <w:rFonts w:hint="cs"/>
          <w:sz w:val="18"/>
          <w:szCs w:val="20"/>
          <w:rtl/>
        </w:rPr>
        <w:t xml:space="preserve">הפעילות של </w:t>
      </w:r>
      <w:r w:rsidRPr="00EA3DC8">
        <w:rPr>
          <w:sz w:val="18"/>
          <w:szCs w:val="20"/>
          <w:rtl/>
        </w:rPr>
        <w:t>מסגרות</w:t>
      </w:r>
      <w:r w:rsidRPr="00EA3DC8">
        <w:rPr>
          <w:rFonts w:hint="cs"/>
          <w:sz w:val="18"/>
          <w:szCs w:val="20"/>
          <w:rtl/>
        </w:rPr>
        <w:t xml:space="preserve"> הטיפול והחינוך</w:t>
      </w:r>
      <w:r w:rsidRPr="00EA3DC8">
        <w:rPr>
          <w:sz w:val="18"/>
          <w:szCs w:val="20"/>
          <w:rtl/>
        </w:rPr>
        <w:t xml:space="preserve"> של הילדים. הדבר בלט במיוחד בקרב הנשים שמערכת התמיכה שלהן מוגבלת</w:t>
      </w:r>
      <w:r w:rsidRPr="00EA3DC8">
        <w:rPr>
          <w:rFonts w:hint="cs"/>
          <w:sz w:val="18"/>
          <w:szCs w:val="20"/>
          <w:rtl/>
        </w:rPr>
        <w:t>,</w:t>
      </w:r>
      <w:r w:rsidRPr="00EA3DC8">
        <w:rPr>
          <w:sz w:val="18"/>
          <w:szCs w:val="20"/>
          <w:rtl/>
        </w:rPr>
        <w:t xml:space="preserve"> או שהן המטפלות ה</w:t>
      </w:r>
      <w:r w:rsidRPr="00EA3DC8">
        <w:rPr>
          <w:rFonts w:hint="cs"/>
          <w:sz w:val="18"/>
          <w:szCs w:val="20"/>
          <w:rtl/>
        </w:rPr>
        <w:t xml:space="preserve">עיקריות </w:t>
      </w:r>
      <w:r w:rsidRPr="00EA3DC8">
        <w:rPr>
          <w:sz w:val="18"/>
          <w:szCs w:val="20"/>
          <w:rtl/>
        </w:rPr>
        <w:t xml:space="preserve">או היחידות: </w:t>
      </w:r>
    </w:p>
    <w:p w14:paraId="14370C7E" w14:textId="77777777" w:rsidR="00926914" w:rsidRPr="00EA3DC8" w:rsidRDefault="00926914" w:rsidP="00304F18">
      <w:pPr>
        <w:spacing w:after="180" w:line="260" w:lineRule="exact"/>
        <w:ind w:left="567"/>
        <w:jc w:val="both"/>
        <w:rPr>
          <w:sz w:val="18"/>
          <w:szCs w:val="20"/>
          <w:rtl/>
        </w:rPr>
      </w:pPr>
      <w:r w:rsidRPr="00EA3DC8">
        <w:rPr>
          <w:sz w:val="18"/>
          <w:szCs w:val="20"/>
          <w:rtl/>
        </w:rPr>
        <w:t>אני צריכה למצוא עבודה</w:t>
      </w:r>
      <w:r w:rsidRPr="00EA3DC8">
        <w:rPr>
          <w:rFonts w:hint="cs"/>
          <w:sz w:val="18"/>
          <w:szCs w:val="20"/>
          <w:rtl/>
        </w:rPr>
        <w:t xml:space="preserve"> ארבע-חמש</w:t>
      </w:r>
      <w:r w:rsidRPr="00EA3DC8">
        <w:rPr>
          <w:sz w:val="18"/>
          <w:szCs w:val="20"/>
          <w:rtl/>
        </w:rPr>
        <w:t xml:space="preserve"> שעות בבוקר לפני שכולם מגיעים מבית הספר, כי ב-13:30 כולם אצלי בבית. לא חסרות עבודות אבל אני לא יכולה לעשות עבודות במשמרות, אני יכולה לעבוד רק בבוקר כי את לא יכולה להשאיר ילדים לבד (שירי, בת 35, גרושה+3)</w:t>
      </w:r>
      <w:r w:rsidRPr="00EA3DC8">
        <w:rPr>
          <w:rFonts w:hint="cs"/>
          <w:sz w:val="18"/>
          <w:szCs w:val="20"/>
          <w:rtl/>
        </w:rPr>
        <w:t>.</w:t>
      </w:r>
    </w:p>
    <w:p w14:paraId="1EE709D4" w14:textId="77777777" w:rsidR="00926914" w:rsidRPr="00EA3DC8" w:rsidRDefault="00926914" w:rsidP="00EA3DC8">
      <w:pPr>
        <w:spacing w:after="180" w:line="280" w:lineRule="exact"/>
        <w:jc w:val="both"/>
        <w:rPr>
          <w:sz w:val="18"/>
          <w:szCs w:val="20"/>
          <w:rtl/>
        </w:rPr>
      </w:pPr>
      <w:r w:rsidRPr="00EA3DC8">
        <w:rPr>
          <w:sz w:val="18"/>
          <w:szCs w:val="20"/>
          <w:rtl/>
        </w:rPr>
        <w:t xml:space="preserve">לדבריהן, המשרות </w:t>
      </w:r>
      <w:r w:rsidRPr="00EA3DC8">
        <w:rPr>
          <w:rFonts w:hint="cs"/>
          <w:sz w:val="18"/>
          <w:szCs w:val="20"/>
          <w:rtl/>
        </w:rPr>
        <w:t>החופפות</w:t>
      </w:r>
      <w:r w:rsidRPr="00EA3DC8">
        <w:rPr>
          <w:sz w:val="18"/>
          <w:szCs w:val="20"/>
          <w:rtl/>
        </w:rPr>
        <w:t xml:space="preserve"> </w:t>
      </w:r>
      <w:r w:rsidRPr="00EA3DC8">
        <w:rPr>
          <w:rFonts w:hint="cs"/>
          <w:sz w:val="18"/>
          <w:szCs w:val="20"/>
          <w:rtl/>
        </w:rPr>
        <w:t>ל</w:t>
      </w:r>
      <w:r w:rsidRPr="00EA3DC8">
        <w:rPr>
          <w:sz w:val="18"/>
          <w:szCs w:val="20"/>
          <w:rtl/>
        </w:rPr>
        <w:t>שעות המסגרות של הילדים הן משרות ניקיון או טיפול בקשישים, אך עבודות אלו כרוכות במאמץ פיזי או נפשי ואינן מותירות להן כוחות לטפל בילדיהן ולהשלים את מטלות הבית: "יופי, יצאת לעבוד הבאתי כסף הביתה אבל מה אחרי זה? לחזור מהעבודה בריקנות בבאסה, את חוזרת מהעבודה בהרגשה כאילו עברת השפלה ואין לך כוח לכלום, לא לבית ולא לילדים" (</w:t>
      </w:r>
      <w:proofErr w:type="spellStart"/>
      <w:r w:rsidRPr="00EA3DC8">
        <w:rPr>
          <w:sz w:val="18"/>
          <w:szCs w:val="20"/>
          <w:rtl/>
        </w:rPr>
        <w:t>רוית</w:t>
      </w:r>
      <w:proofErr w:type="spellEnd"/>
      <w:r w:rsidRPr="00EA3DC8">
        <w:rPr>
          <w:sz w:val="18"/>
          <w:szCs w:val="20"/>
          <w:rtl/>
        </w:rPr>
        <w:t xml:space="preserve">, בת 33, נשואה+4). </w:t>
      </w:r>
    </w:p>
    <w:p w14:paraId="2070CB81" w14:textId="3B223188" w:rsidR="00926914" w:rsidRPr="00EA3DC8" w:rsidRDefault="00926914" w:rsidP="00956340">
      <w:pPr>
        <w:spacing w:after="180" w:line="280" w:lineRule="exact"/>
        <w:jc w:val="both"/>
        <w:rPr>
          <w:sz w:val="18"/>
          <w:szCs w:val="20"/>
          <w:rtl/>
        </w:rPr>
      </w:pPr>
      <w:r w:rsidRPr="00EA3DC8">
        <w:rPr>
          <w:b/>
          <w:bCs/>
          <w:sz w:val="18"/>
          <w:szCs w:val="20"/>
          <w:rtl/>
        </w:rPr>
        <w:t>בעיות בריאות.</w:t>
      </w:r>
      <w:r w:rsidRPr="00EA3DC8">
        <w:rPr>
          <w:sz w:val="18"/>
          <w:szCs w:val="20"/>
          <w:rtl/>
        </w:rPr>
        <w:t xml:space="preserve"> הסיבה השנייה בשכיחותה הייתה בעיות בריאות. מהניתוח האיכותני עלה כי בעיות בריאות קיימות או חשש </w:t>
      </w:r>
      <w:r w:rsidRPr="00EA3DC8">
        <w:rPr>
          <w:rFonts w:hint="cs"/>
          <w:sz w:val="18"/>
          <w:szCs w:val="20"/>
          <w:rtl/>
        </w:rPr>
        <w:t>מפני החמרה במצב הבריאות</w:t>
      </w:r>
      <w:r w:rsidRPr="00EA3DC8">
        <w:rPr>
          <w:sz w:val="18"/>
          <w:szCs w:val="20"/>
          <w:rtl/>
        </w:rPr>
        <w:t xml:space="preserve"> אם יעבדו מגבילים אותן</w:t>
      </w:r>
      <w:r w:rsidRPr="00EA3DC8">
        <w:rPr>
          <w:rFonts w:hint="cs"/>
          <w:sz w:val="18"/>
          <w:szCs w:val="20"/>
          <w:rtl/>
        </w:rPr>
        <w:t>,</w:t>
      </w:r>
      <w:r w:rsidRPr="00EA3DC8">
        <w:rPr>
          <w:sz w:val="18"/>
          <w:szCs w:val="20"/>
          <w:rtl/>
        </w:rPr>
        <w:t xml:space="preserve"> משום שהעבודות הפתוחות </w:t>
      </w:r>
      <w:r w:rsidRPr="00EA3DC8">
        <w:rPr>
          <w:rFonts w:hint="cs"/>
          <w:sz w:val="18"/>
          <w:szCs w:val="20"/>
          <w:rtl/>
        </w:rPr>
        <w:t xml:space="preserve">בפניהן </w:t>
      </w:r>
      <w:r w:rsidRPr="00EA3DC8">
        <w:rPr>
          <w:sz w:val="18"/>
          <w:szCs w:val="20"/>
          <w:rtl/>
        </w:rPr>
        <w:t>כרוכות לרוב במאמץ פיזי: "מקבלים רק לניקיון. אני עבדתי יותר מדי בניקיון והיום אני סובלת מהכתף שלי. האורתופד מסתכל עליי ואומר לי 'את ממש צעירה ובגיל כזה את צריכה כאלו בעיות עם הכתף שלך?'" (אסתר, בת 38, נשואה+4).</w:t>
      </w:r>
    </w:p>
    <w:p w14:paraId="223BE443" w14:textId="77777777" w:rsidR="00926914" w:rsidRPr="00EA3DC8" w:rsidRDefault="00926914" w:rsidP="00EA3DC8">
      <w:pPr>
        <w:spacing w:after="180" w:line="280" w:lineRule="exact"/>
        <w:jc w:val="both"/>
        <w:rPr>
          <w:sz w:val="18"/>
          <w:szCs w:val="20"/>
          <w:rtl/>
        </w:rPr>
      </w:pPr>
      <w:r w:rsidRPr="00EA3DC8">
        <w:rPr>
          <w:b/>
          <w:bCs/>
          <w:sz w:val="18"/>
          <w:szCs w:val="20"/>
          <w:rtl/>
        </w:rPr>
        <w:t xml:space="preserve">קיצוץ </w:t>
      </w:r>
      <w:r w:rsidRPr="00EA3DC8">
        <w:rPr>
          <w:rFonts w:hint="cs"/>
          <w:b/>
          <w:bCs/>
          <w:sz w:val="18"/>
          <w:szCs w:val="20"/>
          <w:rtl/>
        </w:rPr>
        <w:t>בגמלה</w:t>
      </w:r>
      <w:r w:rsidRPr="00EA3DC8">
        <w:rPr>
          <w:b/>
          <w:bCs/>
          <w:sz w:val="18"/>
          <w:szCs w:val="20"/>
          <w:rtl/>
        </w:rPr>
        <w:t xml:space="preserve"> ובהטבות נלוות.</w:t>
      </w:r>
      <w:r w:rsidRPr="00EA3DC8">
        <w:rPr>
          <w:sz w:val="18"/>
          <w:szCs w:val="20"/>
          <w:rtl/>
        </w:rPr>
        <w:t xml:space="preserve"> הסיבה השלישית בשכיחותה הייתה קיצוץ ב</w:t>
      </w:r>
      <w:r w:rsidRPr="00EA3DC8">
        <w:rPr>
          <w:rFonts w:hint="cs"/>
          <w:sz w:val="18"/>
          <w:szCs w:val="20"/>
          <w:rtl/>
        </w:rPr>
        <w:t>גמלה</w:t>
      </w:r>
      <w:r w:rsidRPr="00EA3DC8">
        <w:rPr>
          <w:sz w:val="18"/>
          <w:szCs w:val="20"/>
          <w:rtl/>
        </w:rPr>
        <w:t xml:space="preserve"> ובהטבות הנלוות. לדברי המשתתפות, יציאה לעבודה מובילה לקיצוץ ב</w:t>
      </w:r>
      <w:r w:rsidRPr="00EA3DC8">
        <w:rPr>
          <w:rFonts w:hint="cs"/>
          <w:sz w:val="18"/>
          <w:szCs w:val="20"/>
          <w:rtl/>
        </w:rPr>
        <w:t>גמל</w:t>
      </w:r>
      <w:r w:rsidRPr="00EA3DC8">
        <w:rPr>
          <w:sz w:val="18"/>
          <w:szCs w:val="20"/>
          <w:rtl/>
        </w:rPr>
        <w:t xml:space="preserve">ה, אך לא פחות </w:t>
      </w:r>
      <w:r w:rsidRPr="00EA3DC8">
        <w:rPr>
          <w:rFonts w:hint="cs"/>
          <w:sz w:val="18"/>
          <w:szCs w:val="20"/>
          <w:rtl/>
        </w:rPr>
        <w:t>חשוב</w:t>
      </w:r>
      <w:r w:rsidRPr="00EA3DC8">
        <w:rPr>
          <w:sz w:val="18"/>
          <w:szCs w:val="20"/>
          <w:rtl/>
        </w:rPr>
        <w:t> – לקיצוץ בהטבות הנלוות ל</w:t>
      </w:r>
      <w:r w:rsidRPr="00EA3DC8">
        <w:rPr>
          <w:rFonts w:hint="cs"/>
          <w:sz w:val="18"/>
          <w:szCs w:val="20"/>
          <w:rtl/>
        </w:rPr>
        <w:t>גמל</w:t>
      </w:r>
      <w:r w:rsidRPr="00EA3DC8">
        <w:rPr>
          <w:sz w:val="18"/>
          <w:szCs w:val="20"/>
          <w:rtl/>
        </w:rPr>
        <w:t>ה</w:t>
      </w:r>
      <w:r w:rsidRPr="00EA3DC8">
        <w:rPr>
          <w:rFonts w:hint="cs"/>
          <w:sz w:val="18"/>
          <w:szCs w:val="20"/>
          <w:rtl/>
        </w:rPr>
        <w:t>:</w:t>
      </w:r>
      <w:r w:rsidRPr="00EA3DC8">
        <w:rPr>
          <w:sz w:val="18"/>
          <w:szCs w:val="20"/>
          <w:rtl/>
        </w:rPr>
        <w:t xml:space="preserve"> הנחה בארנונה, בחשמל, בדיור הציבורי, בפשיטת רגל ועוד</w:t>
      </w:r>
      <w:r w:rsidRPr="00EA3DC8">
        <w:rPr>
          <w:rFonts w:hint="cs"/>
          <w:sz w:val="18"/>
          <w:szCs w:val="20"/>
          <w:rtl/>
        </w:rPr>
        <w:t xml:space="preserve"> </w:t>
      </w:r>
      <w:r w:rsidRPr="00EA3DC8">
        <w:rPr>
          <w:sz w:val="18"/>
          <w:szCs w:val="20"/>
          <w:rtl/>
        </w:rPr>
        <w:t xml:space="preserve">– ולכן אינה משתלמת כלכלית. מצב זה </w:t>
      </w:r>
      <w:r w:rsidRPr="00EA3DC8">
        <w:rPr>
          <w:rFonts w:hint="cs"/>
          <w:sz w:val="18"/>
          <w:szCs w:val="20"/>
          <w:rtl/>
        </w:rPr>
        <w:t xml:space="preserve">מחריף עוד </w:t>
      </w:r>
      <w:r w:rsidRPr="00EA3DC8">
        <w:rPr>
          <w:sz w:val="18"/>
          <w:szCs w:val="20"/>
          <w:rtl/>
        </w:rPr>
        <w:t xml:space="preserve">משום שהמשכורות הנמוכות המוצעות להן בשוק העבודה אינן </w:t>
      </w:r>
      <w:r w:rsidRPr="00EA3DC8">
        <w:rPr>
          <w:rFonts w:hint="cs"/>
          <w:sz w:val="18"/>
          <w:szCs w:val="20"/>
          <w:rtl/>
        </w:rPr>
        <w:t>נותנות פיצוי מספק להפחתה בגובה הגמלה</w:t>
      </w:r>
      <w:r w:rsidRPr="00EA3DC8">
        <w:rPr>
          <w:sz w:val="18"/>
          <w:szCs w:val="20"/>
          <w:rtl/>
        </w:rPr>
        <w:t xml:space="preserve"> ולאובדן ההטבות הנלוות, </w:t>
      </w:r>
      <w:r w:rsidRPr="00EA3DC8">
        <w:rPr>
          <w:rFonts w:hint="cs"/>
          <w:sz w:val="18"/>
          <w:szCs w:val="20"/>
          <w:rtl/>
        </w:rPr>
        <w:t>לא כל שכן</w:t>
      </w:r>
      <w:r w:rsidRPr="00EA3DC8">
        <w:rPr>
          <w:sz w:val="18"/>
          <w:szCs w:val="20"/>
          <w:rtl/>
        </w:rPr>
        <w:t xml:space="preserve"> </w:t>
      </w:r>
      <w:r w:rsidRPr="00EA3DC8">
        <w:rPr>
          <w:rFonts w:hint="cs"/>
          <w:sz w:val="18"/>
          <w:szCs w:val="20"/>
          <w:rtl/>
        </w:rPr>
        <w:t>ל</w:t>
      </w:r>
      <w:r w:rsidRPr="00EA3DC8">
        <w:rPr>
          <w:sz w:val="18"/>
          <w:szCs w:val="20"/>
          <w:rtl/>
        </w:rPr>
        <w:t>הוצאות הכרוכות ביציאה לעבודה (כגון עלות המסגרות החינוכיות):</w:t>
      </w:r>
    </w:p>
    <w:p w14:paraId="6EB0B45B" w14:textId="77777777" w:rsidR="00926914" w:rsidRPr="00EA3DC8" w:rsidRDefault="00926914" w:rsidP="00304F18">
      <w:pPr>
        <w:spacing w:after="180" w:line="260" w:lineRule="exact"/>
        <w:ind w:left="567"/>
        <w:jc w:val="both"/>
        <w:rPr>
          <w:sz w:val="18"/>
          <w:szCs w:val="20"/>
          <w:rtl/>
        </w:rPr>
      </w:pPr>
      <w:r w:rsidRPr="00EA3DC8">
        <w:rPr>
          <w:sz w:val="18"/>
          <w:szCs w:val="20"/>
          <w:rtl/>
        </w:rPr>
        <w:t>אם אני אלך לעבוד ייקחו לי מהקצבת מזונות, גם מעלים לי את הדיור הציבורי וגם את הכונס נכסים, אז מה עשיתי בזה? ובנוסף יש לך הרבה יותר הוצאות כשאת עובדת ואם אין לך סידור לילדים הם הולכים לצהרון</w:t>
      </w:r>
      <w:r w:rsidRPr="00EA3DC8">
        <w:rPr>
          <w:rFonts w:hint="cs"/>
          <w:sz w:val="18"/>
          <w:szCs w:val="20"/>
          <w:rtl/>
        </w:rPr>
        <w:t xml:space="preserve"> [...]</w:t>
      </w:r>
      <w:r w:rsidRPr="00EA3DC8">
        <w:rPr>
          <w:sz w:val="18"/>
          <w:szCs w:val="20"/>
          <w:rtl/>
        </w:rPr>
        <w:t xml:space="preserve"> אז את כבר מעדיפה לוותר כאילו זה כישלון מראש (דניאלה, בת 42, פרודה+3).</w:t>
      </w:r>
    </w:p>
    <w:p w14:paraId="0C03F4FB" w14:textId="3EA6A1DA" w:rsidR="00926914" w:rsidRDefault="00926914" w:rsidP="00EA3DC8">
      <w:pPr>
        <w:spacing w:after="180" w:line="280" w:lineRule="exact"/>
        <w:jc w:val="both"/>
        <w:rPr>
          <w:sz w:val="18"/>
          <w:szCs w:val="20"/>
        </w:rPr>
      </w:pPr>
      <w:r w:rsidRPr="00EA3DC8">
        <w:rPr>
          <w:b/>
          <w:bCs/>
          <w:sz w:val="18"/>
          <w:szCs w:val="20"/>
          <w:rtl/>
        </w:rPr>
        <w:t>קושי במציאת עבודה מתאימה.</w:t>
      </w:r>
      <w:r w:rsidRPr="00EA3DC8">
        <w:rPr>
          <w:sz w:val="18"/>
          <w:szCs w:val="20"/>
          <w:rtl/>
        </w:rPr>
        <w:t xml:space="preserve"> הסיבה הרביעית בשכיחותה לכך שהמשתתפות לא עבדו הייתה קושי במציאת עבודה מתאימה. המשתתפות הסבירו כי אינן שבעות רצון מאופי העבודות הפתוחות </w:t>
      </w:r>
      <w:r w:rsidRPr="00EA3DC8">
        <w:rPr>
          <w:rFonts w:hint="cs"/>
          <w:sz w:val="18"/>
          <w:szCs w:val="20"/>
          <w:rtl/>
        </w:rPr>
        <w:t>בפניהן</w:t>
      </w:r>
      <w:r w:rsidRPr="00EA3DC8">
        <w:rPr>
          <w:sz w:val="18"/>
          <w:szCs w:val="20"/>
          <w:rtl/>
        </w:rPr>
        <w:t>, וכי התקשו למצוא עבודה שתתאים לצורכיהן. סיבה זו בלטה בקרב הנשים שהתקשו למצ</w:t>
      </w:r>
      <w:r w:rsidRPr="00EA3DC8">
        <w:rPr>
          <w:rFonts w:hint="cs"/>
          <w:sz w:val="18"/>
          <w:szCs w:val="20"/>
          <w:rtl/>
        </w:rPr>
        <w:t>ו</w:t>
      </w:r>
      <w:r w:rsidRPr="00EA3DC8">
        <w:rPr>
          <w:sz w:val="18"/>
          <w:szCs w:val="20"/>
          <w:rtl/>
        </w:rPr>
        <w:t xml:space="preserve">א עבודה בשל השילוב </w:t>
      </w:r>
      <w:r w:rsidRPr="00EA3DC8">
        <w:rPr>
          <w:rFonts w:hint="cs"/>
          <w:sz w:val="18"/>
          <w:szCs w:val="20"/>
          <w:rtl/>
        </w:rPr>
        <w:t xml:space="preserve">בין </w:t>
      </w:r>
      <w:r w:rsidRPr="00EA3DC8">
        <w:rPr>
          <w:sz w:val="18"/>
          <w:szCs w:val="20"/>
          <w:rtl/>
        </w:rPr>
        <w:t xml:space="preserve">מגבלת השעות שיכלו לעבוד בהן </w:t>
      </w:r>
      <w:r w:rsidRPr="00EA3DC8">
        <w:rPr>
          <w:rFonts w:hint="cs"/>
          <w:sz w:val="18"/>
          <w:szCs w:val="20"/>
          <w:rtl/>
        </w:rPr>
        <w:t xml:space="preserve">לבין </w:t>
      </w:r>
      <w:r w:rsidRPr="00EA3DC8">
        <w:rPr>
          <w:sz w:val="18"/>
          <w:szCs w:val="20"/>
          <w:rtl/>
        </w:rPr>
        <w:lastRenderedPageBreak/>
        <w:t>היעדר הכשרה מקצועית. העבודות שהוצעו להן היו לרוב במשמרות</w:t>
      </w:r>
      <w:r w:rsidRPr="00EA3DC8">
        <w:rPr>
          <w:rFonts w:hint="cs"/>
          <w:sz w:val="18"/>
          <w:szCs w:val="20"/>
          <w:rtl/>
        </w:rPr>
        <w:t>,</w:t>
      </w:r>
      <w:r w:rsidRPr="00EA3DC8">
        <w:rPr>
          <w:sz w:val="18"/>
          <w:szCs w:val="20"/>
          <w:rtl/>
        </w:rPr>
        <w:t xml:space="preserve"> או ניקיון וטיפול בקשישים. </w:t>
      </w:r>
      <w:r w:rsidRPr="00EA3DC8">
        <w:rPr>
          <w:rFonts w:hint="cs"/>
          <w:sz w:val="18"/>
          <w:szCs w:val="20"/>
          <w:rtl/>
        </w:rPr>
        <w:t>עבודה במשמרות אינה משתלבת בשעות הפעילות של מסגרות הטיפול והחינוך</w:t>
      </w:r>
      <w:r w:rsidRPr="00EA3DC8">
        <w:rPr>
          <w:sz w:val="18"/>
          <w:szCs w:val="20"/>
          <w:rtl/>
        </w:rPr>
        <w:t>, ו</w:t>
      </w:r>
      <w:r w:rsidRPr="00EA3DC8">
        <w:rPr>
          <w:rFonts w:hint="cs"/>
          <w:sz w:val="18"/>
          <w:szCs w:val="20"/>
          <w:rtl/>
        </w:rPr>
        <w:t>ב</w:t>
      </w:r>
      <w:r w:rsidRPr="00EA3DC8">
        <w:rPr>
          <w:sz w:val="18"/>
          <w:szCs w:val="20"/>
          <w:rtl/>
        </w:rPr>
        <w:t>עבודות הניקיון והטיפול בקשישים הן מאסו, והתקשו להתמיד בהן בגלל קשיים פיזיים ונפשיים: "זו הרגשה ממש משפילה למרות שכל עבודה מכבדת את בעליה ולא גנבת ולא כלום, בזיעה הבאת פרנסה הביתה אבל זה משהו שכל הזמן התביישתי להגיד שאני עובדת במשק בית" (שירה, בת 34, נשואה+3).</w:t>
      </w:r>
    </w:p>
    <w:p w14:paraId="199BF1B4" w14:textId="77777777" w:rsidR="00A63F92" w:rsidRPr="00EA3DC8" w:rsidRDefault="00A63F92" w:rsidP="00EA3DC8">
      <w:pPr>
        <w:spacing w:after="180" w:line="280" w:lineRule="exact"/>
        <w:jc w:val="both"/>
        <w:rPr>
          <w:sz w:val="18"/>
          <w:szCs w:val="20"/>
          <w:rtl/>
        </w:rPr>
      </w:pPr>
    </w:p>
    <w:p w14:paraId="0EDA06A5" w14:textId="3BCCC9F6" w:rsidR="00926914" w:rsidRPr="00304F18" w:rsidRDefault="00926914" w:rsidP="00304F18">
      <w:pPr>
        <w:keepNext/>
        <w:keepLines/>
        <w:spacing w:line="280" w:lineRule="exact"/>
        <w:jc w:val="both"/>
        <w:rPr>
          <w:b/>
          <w:bCs/>
          <w:color w:val="00B0F0"/>
          <w:sz w:val="20"/>
          <w:szCs w:val="22"/>
          <w:rtl/>
        </w:rPr>
      </w:pPr>
      <w:bookmarkStart w:id="27" w:name="_Toc76380503"/>
      <w:r w:rsidRPr="00304F18">
        <w:rPr>
          <w:b/>
          <w:bCs/>
          <w:color w:val="00B0F0"/>
          <w:sz w:val="20"/>
          <w:szCs w:val="22"/>
          <w:rtl/>
        </w:rPr>
        <w:t>סיבות לעבודה במשרה חלקית (קבוצת המתמידים)</w:t>
      </w:r>
      <w:bookmarkEnd w:id="27"/>
      <w:r w:rsidRPr="00304F18">
        <w:rPr>
          <w:b/>
          <w:bCs/>
          <w:color w:val="00B0F0"/>
          <w:sz w:val="20"/>
          <w:szCs w:val="22"/>
          <w:rtl/>
        </w:rPr>
        <w:t xml:space="preserve"> </w:t>
      </w:r>
    </w:p>
    <w:p w14:paraId="5D3DAA07" w14:textId="77777777" w:rsidR="00926914" w:rsidRPr="00EA3DC8" w:rsidRDefault="00926914" w:rsidP="00EA3DC8">
      <w:pPr>
        <w:spacing w:after="180" w:line="280" w:lineRule="exact"/>
        <w:jc w:val="both"/>
        <w:rPr>
          <w:sz w:val="18"/>
          <w:szCs w:val="20"/>
        </w:rPr>
      </w:pPr>
      <w:r w:rsidRPr="00EA3DC8">
        <w:rPr>
          <w:sz w:val="18"/>
          <w:szCs w:val="20"/>
          <w:rtl/>
        </w:rPr>
        <w:t xml:space="preserve">מרבית המשתתפים (61.9%) בקבוצת המתמידים עבדו בנקודת הזמן הראשונה במשרה חלקית. בנקודת הזמן השנייה כמחציתם (52.2%) עבדו במשרה חלקית. </w:t>
      </w:r>
    </w:p>
    <w:p w14:paraId="21B0B054" w14:textId="21C7955A" w:rsidR="00926914" w:rsidRPr="00EA3DC8" w:rsidRDefault="00926914" w:rsidP="00956340">
      <w:pPr>
        <w:spacing w:after="180" w:line="280" w:lineRule="exact"/>
        <w:jc w:val="both"/>
        <w:rPr>
          <w:sz w:val="18"/>
          <w:szCs w:val="20"/>
          <w:rtl/>
        </w:rPr>
      </w:pPr>
      <w:r w:rsidRPr="00EA3DC8">
        <w:rPr>
          <w:sz w:val="18"/>
          <w:szCs w:val="20"/>
          <w:rtl/>
        </w:rPr>
        <w:t xml:space="preserve">כדי להתחקות אחר הסיבות לעבודה במשרה חלקית התמקדנו בתשובותיהם של המתמידים, שעבדו בצורה חלקית בלבד, לשאלה "מה מבין ההיגדים הבאים </w:t>
      </w:r>
      <w:r w:rsidRPr="00EA3DC8">
        <w:rPr>
          <w:rFonts w:hint="cs"/>
          <w:sz w:val="18"/>
          <w:szCs w:val="20"/>
          <w:rtl/>
        </w:rPr>
        <w:t xml:space="preserve">הוא </w:t>
      </w:r>
      <w:r w:rsidRPr="00EA3DC8">
        <w:rPr>
          <w:sz w:val="18"/>
          <w:szCs w:val="20"/>
          <w:rtl/>
        </w:rPr>
        <w:t>הסיבה שאתה עובד במשרה חלקית". תשובותיהם מוצגות בלוח 4</w:t>
      </w:r>
      <w:r w:rsidRPr="00EA3DC8">
        <w:rPr>
          <w:rFonts w:hint="cs"/>
          <w:sz w:val="18"/>
          <w:szCs w:val="20"/>
          <w:rtl/>
        </w:rPr>
        <w:t>, ובו אפשר לראות כי</w:t>
      </w:r>
      <w:r w:rsidRPr="00EA3DC8">
        <w:rPr>
          <w:sz w:val="18"/>
          <w:szCs w:val="20"/>
          <w:rtl/>
        </w:rPr>
        <w:t xml:space="preserve"> הסיבות המרכזיות הן טיפול בילדים, קיצוץ ב</w:t>
      </w:r>
      <w:r w:rsidRPr="00EA3DC8">
        <w:rPr>
          <w:rFonts w:hint="cs"/>
          <w:sz w:val="18"/>
          <w:szCs w:val="20"/>
          <w:rtl/>
        </w:rPr>
        <w:t>גמל</w:t>
      </w:r>
      <w:r w:rsidRPr="00EA3DC8">
        <w:rPr>
          <w:sz w:val="18"/>
          <w:szCs w:val="20"/>
          <w:rtl/>
        </w:rPr>
        <w:t>ה ובהטבות הנלוות וקושי במציאת עבודה במשרה מלאה. בנקודת הזמן השנייה עלה גם מצב הבריאות כסיבה שכיחה. לאור התשובות שקיבלנו לשאלה הפתוחה בנקודת הזמן הראשונה הוספנו לשאלון בנקודת הזמן השנייה את הסיבה "זה מה שהמעסיק יכול לתת", ואף היא נמצאה כמרכזית.</w:t>
      </w:r>
    </w:p>
    <w:p w14:paraId="12693B91" w14:textId="5C315969" w:rsidR="00926914" w:rsidRPr="003B6BFE" w:rsidRDefault="00926914" w:rsidP="003B6BFE">
      <w:pPr>
        <w:pStyle w:val="tab-name"/>
        <w:spacing w:before="300" w:line="260" w:lineRule="exact"/>
        <w:ind w:right="0"/>
        <w:rPr>
          <w:rFonts w:cs="Guttman Aharoni"/>
          <w:color w:val="auto"/>
          <w:sz w:val="20"/>
          <w:szCs w:val="20"/>
          <w:rtl/>
        </w:rPr>
      </w:pPr>
      <w:r w:rsidRPr="003B6BFE">
        <w:rPr>
          <w:rFonts w:cs="Guttman Aharoni"/>
          <w:color w:val="auto"/>
          <w:sz w:val="20"/>
          <w:szCs w:val="20"/>
          <w:rtl/>
        </w:rPr>
        <w:t>לוח 4</w:t>
      </w:r>
      <w:r w:rsidR="005C2ECC" w:rsidRPr="003B6BFE">
        <w:rPr>
          <w:rFonts w:cs="Guttman Aharoni" w:hint="cs"/>
          <w:color w:val="auto"/>
          <w:sz w:val="20"/>
          <w:szCs w:val="20"/>
          <w:rtl/>
        </w:rPr>
        <w:t>:</w:t>
      </w:r>
      <w:r w:rsidRPr="003B6BFE">
        <w:rPr>
          <w:rFonts w:cs="Guttman Aharoni"/>
          <w:color w:val="auto"/>
          <w:sz w:val="20"/>
          <w:szCs w:val="20"/>
          <w:rtl/>
        </w:rPr>
        <w:t xml:space="preserve"> סיבות לעבודה במשרה חלקית בקרב קבוצת המתמידים</w:t>
      </w:r>
    </w:p>
    <w:tbl>
      <w:tblPr>
        <w:bidiVisual/>
        <w:tblW w:w="6464" w:type="dxa"/>
        <w:jc w:val="center"/>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3625"/>
        <w:gridCol w:w="1572"/>
        <w:gridCol w:w="1445"/>
      </w:tblGrid>
      <w:tr w:rsidR="00DC2494" w:rsidRPr="00112363" w14:paraId="188383D1" w14:textId="77777777" w:rsidTr="00DC2494">
        <w:trPr>
          <w:tblHeader/>
          <w:jc w:val="center"/>
        </w:trPr>
        <w:tc>
          <w:tcPr>
            <w:tcW w:w="0" w:type="auto"/>
            <w:tcBorders>
              <w:top w:val="single" w:sz="8" w:space="0" w:color="auto"/>
              <w:bottom w:val="single" w:sz="8" w:space="0" w:color="auto"/>
            </w:tcBorders>
            <w:shd w:val="clear" w:color="auto" w:fill="auto"/>
            <w:noWrap/>
            <w:vAlign w:val="bottom"/>
          </w:tcPr>
          <w:p w14:paraId="6A1EF43A" w14:textId="49682A27" w:rsidR="00DC2494" w:rsidRPr="00112363" w:rsidRDefault="00DC2494" w:rsidP="00DC2494">
            <w:pPr>
              <w:spacing w:before="60" w:after="60" w:line="220" w:lineRule="exact"/>
              <w:rPr>
                <w:color w:val="000000"/>
              </w:rPr>
            </w:pPr>
          </w:p>
        </w:tc>
        <w:tc>
          <w:tcPr>
            <w:tcW w:w="0" w:type="auto"/>
            <w:tcBorders>
              <w:top w:val="single" w:sz="8" w:space="0" w:color="auto"/>
              <w:bottom w:val="single" w:sz="8" w:space="0" w:color="auto"/>
            </w:tcBorders>
            <w:shd w:val="clear" w:color="auto" w:fill="auto"/>
            <w:noWrap/>
            <w:vAlign w:val="bottom"/>
            <w:hideMark/>
          </w:tcPr>
          <w:p w14:paraId="408C4B02" w14:textId="7CFF8ABC" w:rsidR="00DC2494" w:rsidRPr="00112363" w:rsidRDefault="00DC2494" w:rsidP="005270AD">
            <w:pPr>
              <w:spacing w:before="60" w:after="60" w:line="220" w:lineRule="exact"/>
              <w:jc w:val="center"/>
              <w:rPr>
                <w:b/>
                <w:bCs/>
                <w:color w:val="000000"/>
                <w:rtl/>
              </w:rPr>
            </w:pPr>
            <w:r w:rsidRPr="00EA3DC8">
              <w:rPr>
                <w:b/>
                <w:bCs/>
                <w:color w:val="000000"/>
                <w:sz w:val="18"/>
                <w:szCs w:val="20"/>
                <w:rtl/>
              </w:rPr>
              <w:t>נקודת זמן ראשונה</w:t>
            </w:r>
            <w:r w:rsidR="005270AD">
              <w:rPr>
                <w:b/>
                <w:bCs/>
                <w:color w:val="000000"/>
                <w:sz w:val="18"/>
                <w:szCs w:val="20"/>
                <w:rtl/>
              </w:rPr>
              <w:br/>
            </w:r>
            <w:r w:rsidRPr="003B6BFE">
              <w:rPr>
                <w:rFonts w:ascii="David" w:hAnsi="David"/>
                <w:color w:val="000000"/>
                <w:sz w:val="18"/>
                <w:szCs w:val="20"/>
              </w:rPr>
              <w:t>(</w:t>
            </w:r>
            <w:r w:rsidRPr="00EA3DC8">
              <w:rPr>
                <w:i/>
                <w:iCs/>
                <w:color w:val="000000"/>
                <w:sz w:val="18"/>
                <w:szCs w:val="20"/>
              </w:rPr>
              <w:t xml:space="preserve">N </w:t>
            </w:r>
            <w:r w:rsidRPr="00EA3DC8">
              <w:rPr>
                <w:color w:val="000000"/>
                <w:sz w:val="18"/>
                <w:szCs w:val="20"/>
              </w:rPr>
              <w:t>= 44</w:t>
            </w:r>
            <w:r w:rsidRPr="003B6BFE">
              <w:rPr>
                <w:rFonts w:ascii="David" w:hAnsi="David"/>
                <w:color w:val="000000"/>
                <w:sz w:val="18"/>
                <w:szCs w:val="20"/>
              </w:rPr>
              <w:t>)</w:t>
            </w:r>
          </w:p>
        </w:tc>
        <w:tc>
          <w:tcPr>
            <w:tcW w:w="0" w:type="auto"/>
            <w:tcBorders>
              <w:top w:val="single" w:sz="8" w:space="0" w:color="auto"/>
              <w:bottom w:val="single" w:sz="8" w:space="0" w:color="auto"/>
            </w:tcBorders>
            <w:shd w:val="clear" w:color="auto" w:fill="auto"/>
            <w:noWrap/>
            <w:vAlign w:val="bottom"/>
            <w:hideMark/>
          </w:tcPr>
          <w:p w14:paraId="612661D1" w14:textId="59CBEEB1" w:rsidR="00DC2494" w:rsidRPr="00112363" w:rsidRDefault="00DC2494" w:rsidP="005270AD">
            <w:pPr>
              <w:spacing w:before="60" w:after="60" w:line="220" w:lineRule="exact"/>
              <w:jc w:val="center"/>
              <w:rPr>
                <w:b/>
                <w:bCs/>
                <w:color w:val="000000"/>
                <w:rtl/>
              </w:rPr>
            </w:pPr>
            <w:r w:rsidRPr="00EA3DC8">
              <w:rPr>
                <w:b/>
                <w:bCs/>
                <w:color w:val="000000"/>
                <w:sz w:val="18"/>
                <w:szCs w:val="20"/>
                <w:rtl/>
              </w:rPr>
              <w:t>נקודת זמן שנייה</w:t>
            </w:r>
            <w:r w:rsidR="005270AD">
              <w:rPr>
                <w:b/>
                <w:bCs/>
                <w:color w:val="000000"/>
                <w:sz w:val="18"/>
                <w:szCs w:val="20"/>
                <w:rtl/>
              </w:rPr>
              <w:br/>
            </w:r>
            <w:r w:rsidRPr="003B6BFE">
              <w:rPr>
                <w:rFonts w:ascii="David" w:hAnsi="David"/>
                <w:color w:val="000000"/>
                <w:sz w:val="18"/>
                <w:szCs w:val="20"/>
              </w:rPr>
              <w:t>(</w:t>
            </w:r>
            <w:r w:rsidRPr="00EA3DC8">
              <w:rPr>
                <w:i/>
                <w:iCs/>
                <w:color w:val="000000"/>
                <w:sz w:val="18"/>
                <w:szCs w:val="20"/>
              </w:rPr>
              <w:t xml:space="preserve">N </w:t>
            </w:r>
            <w:r w:rsidRPr="00EA3DC8">
              <w:rPr>
                <w:color w:val="000000"/>
                <w:sz w:val="18"/>
                <w:szCs w:val="20"/>
              </w:rPr>
              <w:t>= 38</w:t>
            </w:r>
            <w:r w:rsidRPr="003B6BFE">
              <w:rPr>
                <w:rFonts w:ascii="David" w:hAnsi="David"/>
                <w:color w:val="000000"/>
                <w:sz w:val="18"/>
                <w:szCs w:val="20"/>
              </w:rPr>
              <w:t>)</w:t>
            </w:r>
          </w:p>
        </w:tc>
      </w:tr>
      <w:tr w:rsidR="00926914" w:rsidRPr="00112363" w14:paraId="3C3914B5" w14:textId="77777777" w:rsidTr="00DC2494">
        <w:trPr>
          <w:jc w:val="center"/>
        </w:trPr>
        <w:tc>
          <w:tcPr>
            <w:tcW w:w="0" w:type="auto"/>
            <w:tcBorders>
              <w:top w:val="single" w:sz="8" w:space="0" w:color="auto"/>
            </w:tcBorders>
            <w:shd w:val="clear" w:color="auto" w:fill="auto"/>
            <w:noWrap/>
            <w:vAlign w:val="center"/>
            <w:hideMark/>
          </w:tcPr>
          <w:p w14:paraId="21603BAF" w14:textId="77777777" w:rsidR="00926914" w:rsidRPr="00112363" w:rsidRDefault="00926914" w:rsidP="00DC2494">
            <w:pPr>
              <w:spacing w:before="60" w:after="60" w:line="220" w:lineRule="exact"/>
              <w:rPr>
                <w:color w:val="000000"/>
              </w:rPr>
            </w:pPr>
            <w:r w:rsidRPr="00EA3DC8">
              <w:rPr>
                <w:color w:val="000000"/>
                <w:sz w:val="18"/>
                <w:szCs w:val="20"/>
                <w:rtl/>
              </w:rPr>
              <w:t>טיפול בילדים</w:t>
            </w:r>
          </w:p>
        </w:tc>
        <w:tc>
          <w:tcPr>
            <w:tcW w:w="0" w:type="auto"/>
            <w:tcBorders>
              <w:top w:val="single" w:sz="8" w:space="0" w:color="auto"/>
            </w:tcBorders>
            <w:shd w:val="clear" w:color="auto" w:fill="auto"/>
            <w:noWrap/>
            <w:vAlign w:val="center"/>
            <w:hideMark/>
          </w:tcPr>
          <w:p w14:paraId="03DE7B26"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tl/>
              </w:rPr>
              <w:t>58.10%</w:t>
            </w:r>
          </w:p>
        </w:tc>
        <w:tc>
          <w:tcPr>
            <w:tcW w:w="0" w:type="auto"/>
            <w:tcBorders>
              <w:top w:val="single" w:sz="8" w:space="0" w:color="auto"/>
            </w:tcBorders>
            <w:shd w:val="clear" w:color="auto" w:fill="auto"/>
            <w:noWrap/>
            <w:vAlign w:val="center"/>
            <w:hideMark/>
          </w:tcPr>
          <w:p w14:paraId="09271ABA"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Pr>
              <w:t>63.20%</w:t>
            </w:r>
          </w:p>
        </w:tc>
      </w:tr>
      <w:tr w:rsidR="00926914" w:rsidRPr="00112363" w14:paraId="6CBED55B" w14:textId="77777777" w:rsidTr="00DC2494">
        <w:trPr>
          <w:jc w:val="center"/>
        </w:trPr>
        <w:tc>
          <w:tcPr>
            <w:tcW w:w="0" w:type="auto"/>
            <w:shd w:val="clear" w:color="auto" w:fill="auto"/>
            <w:noWrap/>
            <w:vAlign w:val="center"/>
            <w:hideMark/>
          </w:tcPr>
          <w:p w14:paraId="74DC3400" w14:textId="77777777" w:rsidR="00926914" w:rsidRPr="00112363" w:rsidRDefault="00926914" w:rsidP="00DC2494">
            <w:pPr>
              <w:spacing w:before="60" w:after="60" w:line="220" w:lineRule="exact"/>
              <w:rPr>
                <w:color w:val="000000"/>
                <w:rtl/>
              </w:rPr>
            </w:pPr>
            <w:r w:rsidRPr="00EA3DC8">
              <w:rPr>
                <w:color w:val="000000"/>
                <w:sz w:val="18"/>
                <w:szCs w:val="20"/>
                <w:rtl/>
              </w:rPr>
              <w:t>קיצוץ בקצבה</w:t>
            </w:r>
          </w:p>
        </w:tc>
        <w:tc>
          <w:tcPr>
            <w:tcW w:w="0" w:type="auto"/>
            <w:shd w:val="clear" w:color="auto" w:fill="auto"/>
            <w:noWrap/>
            <w:vAlign w:val="center"/>
            <w:hideMark/>
          </w:tcPr>
          <w:p w14:paraId="3EC3D272"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Pr>
              <w:t>18.60%</w:t>
            </w:r>
          </w:p>
        </w:tc>
        <w:tc>
          <w:tcPr>
            <w:tcW w:w="0" w:type="auto"/>
            <w:shd w:val="clear" w:color="auto" w:fill="auto"/>
            <w:noWrap/>
            <w:vAlign w:val="center"/>
            <w:hideMark/>
          </w:tcPr>
          <w:p w14:paraId="796D2F5C"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Pr>
              <w:t>28.90%</w:t>
            </w:r>
          </w:p>
        </w:tc>
      </w:tr>
      <w:tr w:rsidR="00926914" w:rsidRPr="00112363" w14:paraId="08DB1CB3" w14:textId="77777777" w:rsidTr="00DC2494">
        <w:trPr>
          <w:jc w:val="center"/>
        </w:trPr>
        <w:tc>
          <w:tcPr>
            <w:tcW w:w="0" w:type="auto"/>
            <w:shd w:val="clear" w:color="auto" w:fill="auto"/>
            <w:noWrap/>
            <w:vAlign w:val="center"/>
            <w:hideMark/>
          </w:tcPr>
          <w:p w14:paraId="700BE47D" w14:textId="77777777" w:rsidR="00926914" w:rsidRPr="00112363" w:rsidRDefault="00926914" w:rsidP="00DC2494">
            <w:pPr>
              <w:spacing w:before="60" w:after="60" w:line="220" w:lineRule="exact"/>
              <w:rPr>
                <w:color w:val="000000"/>
                <w:rtl/>
              </w:rPr>
            </w:pPr>
            <w:r w:rsidRPr="00EA3DC8">
              <w:rPr>
                <w:color w:val="000000"/>
                <w:sz w:val="18"/>
                <w:szCs w:val="20"/>
                <w:rtl/>
              </w:rPr>
              <w:t>לא מצא עבודה מלאה</w:t>
            </w:r>
          </w:p>
        </w:tc>
        <w:tc>
          <w:tcPr>
            <w:tcW w:w="0" w:type="auto"/>
            <w:shd w:val="clear" w:color="auto" w:fill="auto"/>
            <w:noWrap/>
            <w:vAlign w:val="center"/>
            <w:hideMark/>
          </w:tcPr>
          <w:p w14:paraId="134986ED"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tl/>
              </w:rPr>
              <w:t>18.60%</w:t>
            </w:r>
          </w:p>
        </w:tc>
        <w:tc>
          <w:tcPr>
            <w:tcW w:w="0" w:type="auto"/>
            <w:shd w:val="clear" w:color="auto" w:fill="auto"/>
            <w:noWrap/>
            <w:vAlign w:val="center"/>
            <w:hideMark/>
          </w:tcPr>
          <w:p w14:paraId="06C9DACA"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Pr>
              <w:t>13.20%</w:t>
            </w:r>
          </w:p>
        </w:tc>
      </w:tr>
      <w:tr w:rsidR="00926914" w:rsidRPr="00112363" w14:paraId="0E41CFA5" w14:textId="77777777" w:rsidTr="00DC2494">
        <w:trPr>
          <w:jc w:val="center"/>
        </w:trPr>
        <w:tc>
          <w:tcPr>
            <w:tcW w:w="0" w:type="auto"/>
            <w:shd w:val="clear" w:color="auto" w:fill="auto"/>
            <w:noWrap/>
            <w:vAlign w:val="center"/>
            <w:hideMark/>
          </w:tcPr>
          <w:p w14:paraId="58E8C409" w14:textId="77777777" w:rsidR="00926914" w:rsidRPr="00112363" w:rsidRDefault="00926914" w:rsidP="00DC2494">
            <w:pPr>
              <w:spacing w:before="60" w:after="60" w:line="220" w:lineRule="exact"/>
              <w:rPr>
                <w:color w:val="000000"/>
                <w:rtl/>
              </w:rPr>
            </w:pPr>
            <w:r w:rsidRPr="00EA3DC8">
              <w:rPr>
                <w:color w:val="000000"/>
                <w:sz w:val="18"/>
                <w:szCs w:val="20"/>
                <w:rtl/>
              </w:rPr>
              <w:t>בעיות בריאות</w:t>
            </w:r>
          </w:p>
        </w:tc>
        <w:tc>
          <w:tcPr>
            <w:tcW w:w="0" w:type="auto"/>
            <w:shd w:val="clear" w:color="auto" w:fill="auto"/>
            <w:noWrap/>
            <w:vAlign w:val="center"/>
            <w:hideMark/>
          </w:tcPr>
          <w:p w14:paraId="74B57245"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tl/>
              </w:rPr>
              <w:t>7%</w:t>
            </w:r>
          </w:p>
        </w:tc>
        <w:tc>
          <w:tcPr>
            <w:tcW w:w="0" w:type="auto"/>
            <w:shd w:val="clear" w:color="auto" w:fill="auto"/>
            <w:noWrap/>
            <w:vAlign w:val="center"/>
            <w:hideMark/>
          </w:tcPr>
          <w:p w14:paraId="6FEDBB92"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Pr>
              <w:t>18.40%</w:t>
            </w:r>
          </w:p>
        </w:tc>
      </w:tr>
      <w:tr w:rsidR="00926914" w:rsidRPr="00112363" w14:paraId="03DDD892" w14:textId="77777777" w:rsidTr="00DC2494">
        <w:trPr>
          <w:jc w:val="center"/>
        </w:trPr>
        <w:tc>
          <w:tcPr>
            <w:tcW w:w="0" w:type="auto"/>
            <w:shd w:val="clear" w:color="auto" w:fill="auto"/>
            <w:noWrap/>
            <w:vAlign w:val="center"/>
            <w:hideMark/>
          </w:tcPr>
          <w:p w14:paraId="0DC7AD4F" w14:textId="77777777" w:rsidR="00926914" w:rsidRPr="00112363" w:rsidRDefault="00926914" w:rsidP="00DC2494">
            <w:pPr>
              <w:spacing w:before="60" w:after="60" w:line="220" w:lineRule="exact"/>
              <w:rPr>
                <w:color w:val="000000"/>
                <w:rtl/>
              </w:rPr>
            </w:pPr>
            <w:r w:rsidRPr="00EA3DC8">
              <w:rPr>
                <w:color w:val="000000"/>
                <w:sz w:val="18"/>
                <w:szCs w:val="20"/>
                <w:rtl/>
              </w:rPr>
              <w:t>טיפול בבן משפחה המתמודד עם מגבלה רפואית</w:t>
            </w:r>
          </w:p>
        </w:tc>
        <w:tc>
          <w:tcPr>
            <w:tcW w:w="0" w:type="auto"/>
            <w:shd w:val="clear" w:color="auto" w:fill="auto"/>
            <w:noWrap/>
            <w:vAlign w:val="center"/>
            <w:hideMark/>
          </w:tcPr>
          <w:p w14:paraId="4050644D"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tl/>
              </w:rPr>
              <w:t>9.30%</w:t>
            </w:r>
          </w:p>
        </w:tc>
        <w:tc>
          <w:tcPr>
            <w:tcW w:w="0" w:type="auto"/>
            <w:shd w:val="clear" w:color="auto" w:fill="auto"/>
            <w:noWrap/>
            <w:vAlign w:val="center"/>
            <w:hideMark/>
          </w:tcPr>
          <w:p w14:paraId="6724A514"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Pr>
              <w:t>7.90%</w:t>
            </w:r>
          </w:p>
        </w:tc>
      </w:tr>
      <w:tr w:rsidR="00926914" w:rsidRPr="00112363" w14:paraId="5CDF49B2" w14:textId="77777777" w:rsidTr="00DC2494">
        <w:trPr>
          <w:jc w:val="center"/>
        </w:trPr>
        <w:tc>
          <w:tcPr>
            <w:tcW w:w="0" w:type="auto"/>
            <w:shd w:val="clear" w:color="auto" w:fill="auto"/>
            <w:noWrap/>
            <w:vAlign w:val="center"/>
            <w:hideMark/>
          </w:tcPr>
          <w:p w14:paraId="70CA0685" w14:textId="77777777" w:rsidR="00926914" w:rsidRPr="00112363" w:rsidRDefault="00926914" w:rsidP="00DC2494">
            <w:pPr>
              <w:spacing w:before="60" w:after="60" w:line="220" w:lineRule="exact"/>
              <w:rPr>
                <w:color w:val="000000"/>
                <w:rtl/>
              </w:rPr>
            </w:pPr>
            <w:r w:rsidRPr="00EA3DC8">
              <w:rPr>
                <w:color w:val="000000"/>
                <w:sz w:val="18"/>
                <w:szCs w:val="20"/>
                <w:rtl/>
              </w:rPr>
              <w:t>קשיי הגעה</w:t>
            </w:r>
          </w:p>
        </w:tc>
        <w:tc>
          <w:tcPr>
            <w:tcW w:w="0" w:type="auto"/>
            <w:shd w:val="clear" w:color="auto" w:fill="auto"/>
            <w:noWrap/>
            <w:vAlign w:val="center"/>
            <w:hideMark/>
          </w:tcPr>
          <w:p w14:paraId="1168FFF9"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tl/>
              </w:rPr>
              <w:t>0%</w:t>
            </w:r>
          </w:p>
        </w:tc>
        <w:tc>
          <w:tcPr>
            <w:tcW w:w="0" w:type="auto"/>
            <w:shd w:val="clear" w:color="auto" w:fill="auto"/>
            <w:noWrap/>
            <w:vAlign w:val="center"/>
            <w:hideMark/>
          </w:tcPr>
          <w:p w14:paraId="0430BD6A"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Pr>
              <w:t>5.30%</w:t>
            </w:r>
          </w:p>
        </w:tc>
      </w:tr>
      <w:tr w:rsidR="00926914" w:rsidRPr="00112363" w14:paraId="76466C32" w14:textId="77777777" w:rsidTr="00DC2494">
        <w:trPr>
          <w:jc w:val="center"/>
        </w:trPr>
        <w:tc>
          <w:tcPr>
            <w:tcW w:w="0" w:type="auto"/>
            <w:shd w:val="clear" w:color="auto" w:fill="auto"/>
            <w:noWrap/>
            <w:vAlign w:val="center"/>
            <w:hideMark/>
          </w:tcPr>
          <w:p w14:paraId="7D1B28B9" w14:textId="77777777" w:rsidR="00926914" w:rsidRPr="00112363" w:rsidRDefault="00926914" w:rsidP="00DC2494">
            <w:pPr>
              <w:spacing w:before="60" w:after="60" w:line="220" w:lineRule="exact"/>
              <w:rPr>
                <w:color w:val="000000"/>
                <w:rtl/>
              </w:rPr>
            </w:pPr>
            <w:r w:rsidRPr="00EA3DC8">
              <w:rPr>
                <w:color w:val="000000"/>
                <w:sz w:val="18"/>
                <w:szCs w:val="20"/>
                <w:rtl/>
              </w:rPr>
              <w:t>היעדר הכשרה מקצועית</w:t>
            </w:r>
          </w:p>
        </w:tc>
        <w:tc>
          <w:tcPr>
            <w:tcW w:w="0" w:type="auto"/>
            <w:shd w:val="clear" w:color="auto" w:fill="auto"/>
            <w:noWrap/>
            <w:vAlign w:val="center"/>
            <w:hideMark/>
          </w:tcPr>
          <w:p w14:paraId="15F6331A"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tl/>
              </w:rPr>
              <w:t>4.70%</w:t>
            </w:r>
          </w:p>
        </w:tc>
        <w:tc>
          <w:tcPr>
            <w:tcW w:w="0" w:type="auto"/>
            <w:shd w:val="clear" w:color="auto" w:fill="auto"/>
            <w:noWrap/>
            <w:vAlign w:val="center"/>
            <w:hideMark/>
          </w:tcPr>
          <w:p w14:paraId="21132385"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Pr>
              <w:t>10.50%</w:t>
            </w:r>
          </w:p>
        </w:tc>
      </w:tr>
      <w:tr w:rsidR="00926914" w:rsidRPr="00112363" w14:paraId="275CC7E4" w14:textId="77777777" w:rsidTr="00DC2494">
        <w:trPr>
          <w:jc w:val="center"/>
        </w:trPr>
        <w:tc>
          <w:tcPr>
            <w:tcW w:w="0" w:type="auto"/>
            <w:shd w:val="clear" w:color="auto" w:fill="auto"/>
            <w:noWrap/>
            <w:vAlign w:val="center"/>
            <w:hideMark/>
          </w:tcPr>
          <w:p w14:paraId="06B1B3ED" w14:textId="77777777" w:rsidR="00926914" w:rsidRPr="00112363" w:rsidRDefault="00926914" w:rsidP="00DC2494">
            <w:pPr>
              <w:spacing w:before="60" w:after="60" w:line="220" w:lineRule="exact"/>
              <w:rPr>
                <w:color w:val="000000"/>
                <w:rtl/>
              </w:rPr>
            </w:pPr>
            <w:r w:rsidRPr="00EA3DC8">
              <w:rPr>
                <w:color w:val="000000"/>
                <w:sz w:val="18"/>
                <w:szCs w:val="20"/>
                <w:rtl/>
              </w:rPr>
              <w:t>לא מעוניין לעבוד יותר</w:t>
            </w:r>
          </w:p>
        </w:tc>
        <w:tc>
          <w:tcPr>
            <w:tcW w:w="0" w:type="auto"/>
            <w:shd w:val="clear" w:color="auto" w:fill="auto"/>
            <w:noWrap/>
            <w:vAlign w:val="center"/>
            <w:hideMark/>
          </w:tcPr>
          <w:p w14:paraId="6A504504"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tl/>
              </w:rPr>
              <w:t>7%</w:t>
            </w:r>
          </w:p>
        </w:tc>
        <w:tc>
          <w:tcPr>
            <w:tcW w:w="0" w:type="auto"/>
            <w:shd w:val="clear" w:color="auto" w:fill="auto"/>
            <w:noWrap/>
            <w:vAlign w:val="center"/>
            <w:hideMark/>
          </w:tcPr>
          <w:p w14:paraId="247493F4"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tl/>
              </w:rPr>
              <w:t>13%</w:t>
            </w:r>
          </w:p>
        </w:tc>
      </w:tr>
      <w:tr w:rsidR="00926914" w:rsidRPr="00EA3DC8" w14:paraId="3FD821E2" w14:textId="77777777" w:rsidTr="00DC2494">
        <w:trPr>
          <w:jc w:val="center"/>
        </w:trPr>
        <w:tc>
          <w:tcPr>
            <w:tcW w:w="0" w:type="auto"/>
            <w:shd w:val="clear" w:color="auto" w:fill="auto"/>
            <w:noWrap/>
            <w:vAlign w:val="center"/>
            <w:hideMark/>
          </w:tcPr>
          <w:p w14:paraId="2D6D3DE9" w14:textId="77777777" w:rsidR="00926914" w:rsidRPr="00112363" w:rsidRDefault="00926914" w:rsidP="00DC2494">
            <w:pPr>
              <w:spacing w:before="60" w:after="60" w:line="220" w:lineRule="exact"/>
              <w:rPr>
                <w:color w:val="000000"/>
                <w:rtl/>
              </w:rPr>
            </w:pPr>
            <w:r w:rsidRPr="00EA3DC8">
              <w:rPr>
                <w:color w:val="000000"/>
                <w:sz w:val="18"/>
                <w:szCs w:val="20"/>
                <w:rtl/>
              </w:rPr>
              <w:t>זה מה שהמעסיק יכול לתת</w:t>
            </w:r>
          </w:p>
        </w:tc>
        <w:tc>
          <w:tcPr>
            <w:tcW w:w="0" w:type="auto"/>
            <w:shd w:val="clear" w:color="auto" w:fill="auto"/>
            <w:noWrap/>
            <w:vAlign w:val="center"/>
            <w:hideMark/>
          </w:tcPr>
          <w:p w14:paraId="52ECE371" w14:textId="77777777" w:rsidR="00926914" w:rsidRPr="003B6BFE" w:rsidRDefault="00926914" w:rsidP="00DC2494">
            <w:pPr>
              <w:spacing w:before="60" w:after="60" w:line="220" w:lineRule="exact"/>
              <w:rPr>
                <w:rFonts w:ascii="David" w:hAnsi="David"/>
                <w:color w:val="000000"/>
                <w:sz w:val="20"/>
                <w:rtl/>
              </w:rPr>
            </w:pPr>
            <w:r w:rsidRPr="003B6BFE">
              <w:rPr>
                <w:rFonts w:ascii="David" w:hAnsi="David"/>
                <w:color w:val="000000"/>
                <w:sz w:val="20"/>
                <w:szCs w:val="20"/>
                <w:rtl/>
              </w:rPr>
              <w:t>-</w:t>
            </w:r>
          </w:p>
        </w:tc>
        <w:tc>
          <w:tcPr>
            <w:tcW w:w="0" w:type="auto"/>
            <w:shd w:val="clear" w:color="auto" w:fill="auto"/>
            <w:noWrap/>
            <w:vAlign w:val="center"/>
            <w:hideMark/>
          </w:tcPr>
          <w:p w14:paraId="64DE510C" w14:textId="77777777" w:rsidR="00926914" w:rsidRPr="003B6BFE" w:rsidRDefault="00926914" w:rsidP="00DC2494">
            <w:pPr>
              <w:spacing w:before="60" w:after="60" w:line="220" w:lineRule="exact"/>
              <w:rPr>
                <w:rFonts w:ascii="David" w:hAnsi="David"/>
                <w:color w:val="000000"/>
                <w:sz w:val="20"/>
                <w:szCs w:val="20"/>
                <w:rtl/>
              </w:rPr>
            </w:pPr>
            <w:r w:rsidRPr="003B6BFE">
              <w:rPr>
                <w:rFonts w:ascii="David" w:hAnsi="David"/>
                <w:color w:val="000000"/>
                <w:sz w:val="20"/>
                <w:szCs w:val="20"/>
              </w:rPr>
              <w:t>28.90%</w:t>
            </w:r>
          </w:p>
        </w:tc>
      </w:tr>
    </w:tbl>
    <w:p w14:paraId="3C9E597D" w14:textId="77777777" w:rsidR="00926914" w:rsidRPr="00EA3DC8" w:rsidRDefault="00926914" w:rsidP="003B6BFE">
      <w:pPr>
        <w:spacing w:before="240" w:after="180" w:line="280" w:lineRule="exact"/>
        <w:jc w:val="both"/>
        <w:rPr>
          <w:sz w:val="18"/>
          <w:szCs w:val="20"/>
          <w:rtl/>
        </w:rPr>
      </w:pPr>
      <w:r w:rsidRPr="00EA3DC8">
        <w:rPr>
          <w:sz w:val="18"/>
          <w:szCs w:val="20"/>
          <w:rtl/>
        </w:rPr>
        <w:lastRenderedPageBreak/>
        <w:t xml:space="preserve">לאחר השאלות הסגורות על הסיבות לכך שהם עובדים במשרה חלקית, </w:t>
      </w:r>
      <w:r w:rsidRPr="00EA3DC8">
        <w:rPr>
          <w:rFonts w:hint="cs"/>
          <w:sz w:val="18"/>
          <w:szCs w:val="20"/>
          <w:rtl/>
        </w:rPr>
        <w:t>הוצגה בפני ה</w:t>
      </w:r>
      <w:r w:rsidRPr="00EA3DC8">
        <w:rPr>
          <w:sz w:val="18"/>
          <w:szCs w:val="20"/>
          <w:rtl/>
        </w:rPr>
        <w:t xml:space="preserve">משתתפים שאלה פתוחה </w:t>
      </w:r>
      <w:r w:rsidRPr="00EA3DC8">
        <w:rPr>
          <w:rFonts w:hint="cs"/>
          <w:sz w:val="18"/>
          <w:szCs w:val="20"/>
          <w:rtl/>
        </w:rPr>
        <w:t xml:space="preserve">בדבר הסיבות שבגינן </w:t>
      </w:r>
      <w:r w:rsidRPr="00EA3DC8">
        <w:rPr>
          <w:sz w:val="18"/>
          <w:szCs w:val="20"/>
          <w:rtl/>
        </w:rPr>
        <w:t>אינם עובדים במשרה מלאה ("מדוע אינך עובד במשרה מלאה</w:t>
      </w:r>
      <w:r w:rsidRPr="00EA3DC8">
        <w:rPr>
          <w:rFonts w:hint="cs"/>
          <w:sz w:val="18"/>
          <w:szCs w:val="20"/>
          <w:rtl/>
        </w:rPr>
        <w:t>?</w:t>
      </w:r>
      <w:r w:rsidRPr="00EA3DC8">
        <w:rPr>
          <w:sz w:val="18"/>
          <w:szCs w:val="20"/>
          <w:rtl/>
        </w:rPr>
        <w:t xml:space="preserve">"). ניתוח איכותני של תשובותיהם לשאלה זו חיזק את הממצאים </w:t>
      </w:r>
      <w:proofErr w:type="spellStart"/>
      <w:r w:rsidRPr="00EA3DC8">
        <w:rPr>
          <w:sz w:val="18"/>
          <w:szCs w:val="20"/>
          <w:rtl/>
        </w:rPr>
        <w:t>הכמותניים</w:t>
      </w:r>
      <w:proofErr w:type="spellEnd"/>
      <w:r w:rsidRPr="00EA3DC8">
        <w:rPr>
          <w:sz w:val="18"/>
          <w:szCs w:val="20"/>
          <w:rtl/>
        </w:rPr>
        <w:t>, והעמיק את הבנתנו בנוגע למערכת השיקולים של המשתתפים בהחלטה ב</w:t>
      </w:r>
      <w:r w:rsidRPr="00EA3DC8">
        <w:rPr>
          <w:rFonts w:hint="cs"/>
          <w:sz w:val="18"/>
          <w:szCs w:val="20"/>
          <w:rtl/>
        </w:rPr>
        <w:t>דבר היקף המשרה שיעבדו בה.</w:t>
      </w:r>
      <w:r w:rsidRPr="00EA3DC8">
        <w:rPr>
          <w:sz w:val="18"/>
          <w:szCs w:val="20"/>
          <w:rtl/>
        </w:rPr>
        <w:t xml:space="preserve"> </w:t>
      </w:r>
    </w:p>
    <w:p w14:paraId="21DBDB57" w14:textId="4818E696" w:rsidR="00926914" w:rsidRPr="00EA3DC8" w:rsidRDefault="00926914" w:rsidP="00DC2494">
      <w:pPr>
        <w:spacing w:after="180" w:line="280" w:lineRule="exact"/>
        <w:jc w:val="both"/>
        <w:rPr>
          <w:sz w:val="18"/>
          <w:szCs w:val="20"/>
          <w:rtl/>
        </w:rPr>
      </w:pPr>
      <w:r w:rsidRPr="00EA3DC8">
        <w:rPr>
          <w:sz w:val="18"/>
          <w:szCs w:val="20"/>
          <w:rtl/>
        </w:rPr>
        <w:t xml:space="preserve">בדומה לקבוצת הבלתי-מועסקים, גם בקרב כלל קבוצת המתמידים (אלו שעבדו במשרה מלאה ואלו שעבדו במשרה חלקית) בלטה אי-שביעות </w:t>
      </w:r>
      <w:r w:rsidRPr="00EA3DC8">
        <w:rPr>
          <w:rFonts w:hint="cs"/>
          <w:sz w:val="18"/>
          <w:szCs w:val="20"/>
          <w:rtl/>
        </w:rPr>
        <w:t>ה</w:t>
      </w:r>
      <w:r w:rsidRPr="00EA3DC8">
        <w:rPr>
          <w:sz w:val="18"/>
          <w:szCs w:val="20"/>
          <w:rtl/>
        </w:rPr>
        <w:t>רצון ממצבם הכלכלי</w:t>
      </w:r>
      <w:r w:rsidR="00EE2514">
        <w:rPr>
          <w:rFonts w:hint="cs"/>
          <w:sz w:val="18"/>
          <w:szCs w:val="20"/>
          <w:rtl/>
        </w:rPr>
        <w:t>,</w:t>
      </w:r>
      <w:r w:rsidRPr="00EA3DC8">
        <w:rPr>
          <w:sz w:val="18"/>
          <w:szCs w:val="20"/>
          <w:rtl/>
        </w:rPr>
        <w:t xml:space="preserve"> ומהמחיר הרגשי והמשפחתי שהיציאה לעבודה גבתה. </w:t>
      </w:r>
      <w:r w:rsidRPr="00EA3DC8">
        <w:rPr>
          <w:rFonts w:hint="cs"/>
          <w:sz w:val="18"/>
          <w:szCs w:val="20"/>
          <w:rtl/>
        </w:rPr>
        <w:t>בהיבט ה</w:t>
      </w:r>
      <w:r w:rsidRPr="00EA3DC8">
        <w:rPr>
          <w:sz w:val="18"/>
          <w:szCs w:val="20"/>
          <w:rtl/>
        </w:rPr>
        <w:t xml:space="preserve">כלכלי, רבים מהמשתתפים הביעו תסכול </w:t>
      </w:r>
      <w:r w:rsidRPr="00EA3DC8">
        <w:rPr>
          <w:rFonts w:hint="cs"/>
          <w:sz w:val="18"/>
          <w:szCs w:val="20"/>
          <w:rtl/>
        </w:rPr>
        <w:t xml:space="preserve">על </w:t>
      </w:r>
      <w:r w:rsidRPr="00EA3DC8">
        <w:rPr>
          <w:sz w:val="18"/>
          <w:szCs w:val="20"/>
          <w:rtl/>
        </w:rPr>
        <w:t xml:space="preserve">שמצבם הכלכלי בכי רע </w:t>
      </w:r>
      <w:r w:rsidRPr="00EA3DC8">
        <w:rPr>
          <w:rFonts w:hint="cs"/>
          <w:sz w:val="18"/>
          <w:szCs w:val="20"/>
          <w:rtl/>
        </w:rPr>
        <w:t>אף שהם עובדים</w:t>
      </w:r>
      <w:r w:rsidRPr="00EA3DC8">
        <w:rPr>
          <w:sz w:val="18"/>
          <w:szCs w:val="20"/>
          <w:rtl/>
        </w:rPr>
        <w:t xml:space="preserve">. לדבריהם, המשכורות הנמוכות אינן מאפשרות להם לספק את צורכי הבית, והם </w:t>
      </w:r>
      <w:r w:rsidRPr="00EA3DC8">
        <w:rPr>
          <w:rFonts w:hint="cs"/>
          <w:sz w:val="18"/>
          <w:szCs w:val="20"/>
          <w:rtl/>
        </w:rPr>
        <w:t>ביטאו</w:t>
      </w:r>
      <w:r w:rsidRPr="00EA3DC8">
        <w:rPr>
          <w:sz w:val="18"/>
          <w:szCs w:val="20"/>
          <w:rtl/>
        </w:rPr>
        <w:t xml:space="preserve"> תרעומת </w:t>
      </w:r>
      <w:proofErr w:type="spellStart"/>
      <w:r w:rsidRPr="00EA3DC8">
        <w:rPr>
          <w:sz w:val="18"/>
          <w:szCs w:val="20"/>
          <w:rtl/>
        </w:rPr>
        <w:t>ומרמור</w:t>
      </w:r>
      <w:proofErr w:type="spellEnd"/>
      <w:r w:rsidRPr="00EA3DC8">
        <w:rPr>
          <w:sz w:val="18"/>
          <w:szCs w:val="20"/>
          <w:rtl/>
        </w:rPr>
        <w:t xml:space="preserve"> על כך ש</w:t>
      </w:r>
      <w:r w:rsidRPr="00EA3DC8">
        <w:rPr>
          <w:rFonts w:hint="cs"/>
          <w:sz w:val="18"/>
          <w:szCs w:val="20"/>
          <w:rtl/>
        </w:rPr>
        <w:t>אין הבדל ניכר בין ה</w:t>
      </w:r>
      <w:r w:rsidRPr="00EA3DC8">
        <w:rPr>
          <w:sz w:val="18"/>
          <w:szCs w:val="20"/>
          <w:rtl/>
        </w:rPr>
        <w:t>מצב</w:t>
      </w:r>
      <w:r w:rsidRPr="00EA3DC8">
        <w:rPr>
          <w:rFonts w:hint="cs"/>
          <w:sz w:val="18"/>
          <w:szCs w:val="20"/>
          <w:rtl/>
        </w:rPr>
        <w:t xml:space="preserve"> הכלכלי שלהם לבין המצב הכלכלי של </w:t>
      </w:r>
      <w:r w:rsidRPr="00EA3DC8">
        <w:rPr>
          <w:sz w:val="18"/>
          <w:szCs w:val="20"/>
          <w:rtl/>
        </w:rPr>
        <w:t>אנשים שאינם עובדים, לדבריהם –</w:t>
      </w:r>
      <w:r w:rsidRPr="00EA3DC8">
        <w:rPr>
          <w:rFonts w:hint="cs"/>
          <w:sz w:val="18"/>
          <w:szCs w:val="20"/>
          <w:rtl/>
        </w:rPr>
        <w:t xml:space="preserve"> </w:t>
      </w:r>
      <w:r w:rsidRPr="00EA3DC8">
        <w:rPr>
          <w:sz w:val="18"/>
          <w:szCs w:val="20"/>
          <w:rtl/>
        </w:rPr>
        <w:t xml:space="preserve">בגלל הפגיעה בקצבה ובהטבות הנלוות הכרוכה ביציאתם לעבודה. </w:t>
      </w:r>
      <w:r w:rsidRPr="00EA3DC8">
        <w:rPr>
          <w:rFonts w:hint="cs"/>
          <w:sz w:val="18"/>
          <w:szCs w:val="20"/>
          <w:rtl/>
        </w:rPr>
        <w:t>בהיבט הרגשי</w:t>
      </w:r>
      <w:r w:rsidRPr="00EA3DC8">
        <w:rPr>
          <w:sz w:val="18"/>
          <w:szCs w:val="20"/>
          <w:rtl/>
        </w:rPr>
        <w:t xml:space="preserve">, אחדים מן המשתתפים ציינו כי הם חשים מותשים ומתוסכלים משום שהעבודות הפתוחות </w:t>
      </w:r>
      <w:r w:rsidRPr="00EA3DC8">
        <w:rPr>
          <w:rFonts w:hint="cs"/>
          <w:sz w:val="18"/>
          <w:szCs w:val="20"/>
          <w:rtl/>
        </w:rPr>
        <w:t>בפניהם</w:t>
      </w:r>
      <w:r w:rsidRPr="00EA3DC8">
        <w:rPr>
          <w:sz w:val="18"/>
          <w:szCs w:val="20"/>
          <w:rtl/>
        </w:rPr>
        <w:t xml:space="preserve"> אינן מספקות, קשות, תובעניות וחסרות אופק קידום, ו</w:t>
      </w:r>
      <w:r w:rsidRPr="00EA3DC8">
        <w:rPr>
          <w:rFonts w:hint="cs"/>
          <w:sz w:val="18"/>
          <w:szCs w:val="20"/>
          <w:rtl/>
        </w:rPr>
        <w:t>ציינו</w:t>
      </w:r>
      <w:r w:rsidRPr="00EA3DC8">
        <w:rPr>
          <w:sz w:val="18"/>
          <w:szCs w:val="20"/>
          <w:rtl/>
        </w:rPr>
        <w:t xml:space="preserve"> כי הם נאלצים להמשיך לעבוד "בלית ברירה". </w:t>
      </w:r>
      <w:r w:rsidRPr="00EA3DC8">
        <w:rPr>
          <w:rFonts w:hint="cs"/>
          <w:sz w:val="18"/>
          <w:szCs w:val="20"/>
          <w:rtl/>
        </w:rPr>
        <w:t>בהיבט המשפחתי</w:t>
      </w:r>
      <w:r w:rsidRPr="00EA3DC8">
        <w:rPr>
          <w:sz w:val="18"/>
          <w:szCs w:val="20"/>
          <w:rtl/>
        </w:rPr>
        <w:t>, המשתתפים (בעיקר הנשים) ציינו כי העבודה פוגעת בטיפול בילדים, משום שהיא דורשת מה</w:t>
      </w:r>
      <w:r w:rsidRPr="00EA3DC8">
        <w:rPr>
          <w:rFonts w:hint="cs"/>
          <w:sz w:val="18"/>
          <w:szCs w:val="20"/>
          <w:rtl/>
        </w:rPr>
        <w:t>ן</w:t>
      </w:r>
      <w:r w:rsidRPr="00EA3DC8">
        <w:rPr>
          <w:sz w:val="18"/>
          <w:szCs w:val="20"/>
          <w:rtl/>
        </w:rPr>
        <w:t xml:space="preserve"> להיעדר מהבית שעות ארוכות והילדים נאלצים למלא תפקידים הוריים.</w:t>
      </w:r>
    </w:p>
    <w:p w14:paraId="0A7A64A9" w14:textId="77777777" w:rsidR="00926914" w:rsidRPr="00EA3DC8" w:rsidRDefault="00926914" w:rsidP="00EA3DC8">
      <w:pPr>
        <w:spacing w:after="180" w:line="280" w:lineRule="exact"/>
        <w:jc w:val="both"/>
        <w:rPr>
          <w:sz w:val="18"/>
          <w:szCs w:val="20"/>
          <w:rtl/>
        </w:rPr>
      </w:pPr>
      <w:r w:rsidRPr="00EA3DC8">
        <w:rPr>
          <w:b/>
          <w:bCs/>
          <w:sz w:val="18"/>
          <w:szCs w:val="20"/>
          <w:rtl/>
        </w:rPr>
        <w:t>טיפול בילדים.</w:t>
      </w:r>
      <w:r w:rsidRPr="00EA3DC8">
        <w:rPr>
          <w:sz w:val="18"/>
          <w:szCs w:val="20"/>
          <w:rtl/>
        </w:rPr>
        <w:t xml:space="preserve"> מלוח </w:t>
      </w:r>
      <w:r w:rsidRPr="00EA3DC8">
        <w:rPr>
          <w:rFonts w:hint="cs"/>
          <w:sz w:val="18"/>
          <w:szCs w:val="20"/>
          <w:rtl/>
        </w:rPr>
        <w:t>4</w:t>
      </w:r>
      <w:r w:rsidRPr="00EA3DC8">
        <w:rPr>
          <w:sz w:val="18"/>
          <w:szCs w:val="20"/>
          <w:rtl/>
        </w:rPr>
        <w:t xml:space="preserve"> עולה כי הסיבה השכיחה ביותר לעבודה במשרה חלקית הייתה טיפול בילדים. מהניתוח האיכותני עלה כי הנשים בעיקר הן שהזכירו סיבה זו. לדבריהן, מכיוון שהן המטפלות ה</w:t>
      </w:r>
      <w:r w:rsidRPr="00EA3DC8">
        <w:rPr>
          <w:rFonts w:hint="cs"/>
          <w:sz w:val="18"/>
          <w:szCs w:val="20"/>
          <w:rtl/>
        </w:rPr>
        <w:t xml:space="preserve">עיקריות </w:t>
      </w:r>
      <w:r w:rsidRPr="00EA3DC8">
        <w:rPr>
          <w:sz w:val="18"/>
          <w:szCs w:val="20"/>
          <w:rtl/>
        </w:rPr>
        <w:t xml:space="preserve">או היחידות הן נדרשות לתמרן בין העבודה לבין הטיפול בילדים, ולכן נאלצות לעבוד במשרה חלקית: "אין לי אפשרות לעבוד במשרה מלאה כי כל המשרות המלאות הן מ-7:30 ואני שולחת את הילדים לגן וצריך גם להוציא אותם אחר </w:t>
      </w:r>
      <w:r w:rsidRPr="00EA3DC8">
        <w:rPr>
          <w:rFonts w:hint="cs"/>
          <w:sz w:val="18"/>
          <w:szCs w:val="20"/>
          <w:rtl/>
        </w:rPr>
        <w:t>הצהריים</w:t>
      </w:r>
      <w:r w:rsidRPr="00EA3DC8">
        <w:rPr>
          <w:sz w:val="18"/>
          <w:szCs w:val="20"/>
          <w:rtl/>
        </w:rPr>
        <w:t>. הייתי רוצה לעבוד יותר שעות אבל פשוט לא יכולה. תשמעי זה סוג של מלכודת רצינית" (רחל, בת 37, פרודה+2).</w:t>
      </w:r>
    </w:p>
    <w:p w14:paraId="147468E3" w14:textId="77777777" w:rsidR="00926914" w:rsidRPr="00EA3DC8" w:rsidRDefault="00926914" w:rsidP="00DC2494">
      <w:pPr>
        <w:spacing w:after="180" w:line="280" w:lineRule="exact"/>
        <w:jc w:val="both"/>
        <w:rPr>
          <w:sz w:val="18"/>
          <w:szCs w:val="20"/>
          <w:rtl/>
        </w:rPr>
      </w:pPr>
      <w:r w:rsidRPr="00EA3DC8">
        <w:rPr>
          <w:sz w:val="18"/>
          <w:szCs w:val="20"/>
          <w:rtl/>
        </w:rPr>
        <w:t xml:space="preserve">רבות הדגישו </w:t>
      </w:r>
      <w:r w:rsidRPr="00EA3DC8">
        <w:rPr>
          <w:rFonts w:hint="cs"/>
          <w:sz w:val="18"/>
          <w:szCs w:val="20"/>
          <w:rtl/>
        </w:rPr>
        <w:t xml:space="preserve">את המחיר הכבד שהן משלמות על כך שהן </w:t>
      </w:r>
      <w:r w:rsidRPr="00EA3DC8">
        <w:rPr>
          <w:sz w:val="18"/>
          <w:szCs w:val="20"/>
          <w:rtl/>
        </w:rPr>
        <w:t>מוגבלות לעבודה במשרה חלקית בלבד, משום שעבודות אלו הן לרוב עבודות טיפול בקשישים</w:t>
      </w:r>
      <w:r w:rsidRPr="00EA3DC8">
        <w:rPr>
          <w:rFonts w:hint="cs"/>
          <w:sz w:val="18"/>
          <w:szCs w:val="20"/>
          <w:rtl/>
        </w:rPr>
        <w:t xml:space="preserve"> או </w:t>
      </w:r>
      <w:r w:rsidRPr="00EA3DC8">
        <w:rPr>
          <w:sz w:val="18"/>
          <w:szCs w:val="20"/>
          <w:rtl/>
        </w:rPr>
        <w:t>בניקיון</w:t>
      </w:r>
      <w:r w:rsidRPr="00EA3DC8">
        <w:rPr>
          <w:rFonts w:hint="cs"/>
          <w:sz w:val="18"/>
          <w:szCs w:val="20"/>
          <w:rtl/>
        </w:rPr>
        <w:t>,</w:t>
      </w:r>
      <w:r w:rsidRPr="00EA3DC8">
        <w:rPr>
          <w:sz w:val="18"/>
          <w:szCs w:val="20"/>
          <w:rtl/>
        </w:rPr>
        <w:t xml:space="preserve"> כולן עבודות שהיו מעדיפות להימנע מהן: </w:t>
      </w:r>
    </w:p>
    <w:p w14:paraId="50E87680" w14:textId="77777777" w:rsidR="00926914" w:rsidRPr="00EA3DC8" w:rsidRDefault="00926914" w:rsidP="00304F18">
      <w:pPr>
        <w:spacing w:after="180" w:line="260" w:lineRule="exact"/>
        <w:ind w:left="567"/>
        <w:jc w:val="both"/>
        <w:rPr>
          <w:sz w:val="18"/>
          <w:szCs w:val="20"/>
          <w:rtl/>
        </w:rPr>
      </w:pPr>
      <w:r w:rsidRPr="00EA3DC8">
        <w:rPr>
          <w:sz w:val="18"/>
          <w:szCs w:val="20"/>
          <w:rtl/>
        </w:rPr>
        <w:t>האופציה שלי לעבוד שעתיים ביום זה רק אצל קשישים, וזה לא משהו שאני רוצה לעשות בעתיד שלי, אבל בגלל שאני מוגבלת בעבודה אז אין לי הרבה ברירות. אני לא יודעת איזו עוד עבודה תעסיק אותי שעתיים ביום. אני חושבת שמדינת ישראל והביטוח הלאומי מגבילים נשים כמוני שרוצות לצאת ולהשתקם בחיים ולעבוד בעבודה נורמלית שמכבדת אותנו. אין לנו את האפשרות הזאת (נורית, בת 35, גרושה+3).</w:t>
      </w:r>
    </w:p>
    <w:p w14:paraId="0116E286" w14:textId="77777777" w:rsidR="00926914" w:rsidRPr="00EA3DC8" w:rsidRDefault="00926914" w:rsidP="00EA3DC8">
      <w:pPr>
        <w:spacing w:after="180" w:line="280" w:lineRule="exact"/>
        <w:jc w:val="both"/>
        <w:rPr>
          <w:sz w:val="18"/>
          <w:szCs w:val="20"/>
          <w:rtl/>
        </w:rPr>
      </w:pPr>
      <w:r w:rsidRPr="00EA3DC8">
        <w:rPr>
          <w:b/>
          <w:bCs/>
          <w:sz w:val="18"/>
          <w:szCs w:val="20"/>
          <w:rtl/>
        </w:rPr>
        <w:lastRenderedPageBreak/>
        <w:t>קיצוץ בקצבה ובהטבות הנלוות.</w:t>
      </w:r>
      <w:r w:rsidRPr="00EA3DC8">
        <w:rPr>
          <w:sz w:val="18"/>
          <w:szCs w:val="20"/>
          <w:rtl/>
        </w:rPr>
        <w:t xml:space="preserve"> הסיבה השנייה בשכיחותה הייתה קיצוץ בקצבה ובהטבות הנלוות. גם סיבה זו בלטה בעיקר בקרב הנשים, שלדבריהן מוגבלות בשעות עבודתן בגלל הפגיעה בקצבת המזונות </w:t>
      </w:r>
      <w:r w:rsidRPr="00EA3DC8">
        <w:rPr>
          <w:rFonts w:hint="cs"/>
          <w:sz w:val="18"/>
          <w:szCs w:val="20"/>
          <w:rtl/>
        </w:rPr>
        <w:t xml:space="preserve">עם היציאה </w:t>
      </w:r>
      <w:r w:rsidRPr="00EA3DC8">
        <w:rPr>
          <w:sz w:val="18"/>
          <w:szCs w:val="20"/>
          <w:rtl/>
        </w:rPr>
        <w:t xml:space="preserve">לעבודה. הן הביעו תרעומת </w:t>
      </w:r>
      <w:proofErr w:type="spellStart"/>
      <w:r w:rsidRPr="00EA3DC8">
        <w:rPr>
          <w:sz w:val="18"/>
          <w:szCs w:val="20"/>
          <w:rtl/>
        </w:rPr>
        <w:t>ומרמור</w:t>
      </w:r>
      <w:proofErr w:type="spellEnd"/>
      <w:r w:rsidRPr="00EA3DC8">
        <w:rPr>
          <w:sz w:val="18"/>
          <w:szCs w:val="20"/>
          <w:rtl/>
        </w:rPr>
        <w:t xml:space="preserve"> רב על </w:t>
      </w:r>
      <w:r w:rsidRPr="00EA3DC8">
        <w:rPr>
          <w:rFonts w:hint="cs"/>
          <w:sz w:val="18"/>
          <w:szCs w:val="20"/>
          <w:rtl/>
        </w:rPr>
        <w:t xml:space="preserve">היעדר </w:t>
      </w:r>
      <w:r w:rsidRPr="00EA3DC8">
        <w:rPr>
          <w:sz w:val="18"/>
          <w:szCs w:val="20"/>
          <w:rtl/>
        </w:rPr>
        <w:t xml:space="preserve">ההפרדה בין קצבת המזונות לבין הכנסותיהן מעבודה, שכן קצבת המזונות שייכת לילדים, והמדינה בלאו הכי גובה את התשלום מהפרודים שלהן. רבות </w:t>
      </w:r>
      <w:r w:rsidRPr="00EA3DC8">
        <w:rPr>
          <w:rFonts w:hint="cs"/>
          <w:sz w:val="18"/>
          <w:szCs w:val="20"/>
          <w:rtl/>
        </w:rPr>
        <w:t xml:space="preserve">מחו על </w:t>
      </w:r>
      <w:r w:rsidRPr="00EA3DC8">
        <w:rPr>
          <w:sz w:val="18"/>
          <w:szCs w:val="20"/>
          <w:rtl/>
        </w:rPr>
        <w:t>שהחוק אינו מאפשר להן לפרוס כנפיים ולכלכל את משפחתן בכבוד:</w:t>
      </w:r>
    </w:p>
    <w:p w14:paraId="65FCCFDF" w14:textId="77777777" w:rsidR="00926914" w:rsidRPr="00EA3DC8" w:rsidRDefault="00926914" w:rsidP="00304F18">
      <w:pPr>
        <w:spacing w:after="180" w:line="260" w:lineRule="exact"/>
        <w:ind w:left="567"/>
        <w:jc w:val="both"/>
        <w:rPr>
          <w:sz w:val="18"/>
          <w:szCs w:val="20"/>
          <w:rtl/>
        </w:rPr>
      </w:pPr>
      <w:r w:rsidRPr="00EA3DC8">
        <w:rPr>
          <w:sz w:val="18"/>
          <w:szCs w:val="20"/>
          <w:rtl/>
        </w:rPr>
        <w:t>אני מוגבלת בשעות העבודה בגלל שמקבלת מזונות מביטוח לאומי. אני רוצה לפרוס כנפיים במקצוע, אני רוצה להתפתח, אבל החוק עושה לי בעיות והגרוש שלי לא רוצה לשלם מזונות. המדינה חייבת להפריד. די, תנו לנו לחיות בשקט, זה כמו לעבור התעללות נפשית ומילולית על ידי הבעל, כאן זה התעללות על ידי המדינה (איה, בת 33, גרושה+2).</w:t>
      </w:r>
    </w:p>
    <w:p w14:paraId="2EBF89C3" w14:textId="77777777" w:rsidR="00926914" w:rsidRPr="00EA3DC8" w:rsidRDefault="00926914" w:rsidP="00EA3DC8">
      <w:pPr>
        <w:spacing w:after="180" w:line="280" w:lineRule="exact"/>
        <w:jc w:val="both"/>
        <w:rPr>
          <w:sz w:val="18"/>
          <w:szCs w:val="20"/>
          <w:rtl/>
        </w:rPr>
      </w:pPr>
      <w:r w:rsidRPr="00EA3DC8">
        <w:rPr>
          <w:sz w:val="18"/>
          <w:szCs w:val="20"/>
          <w:rtl/>
        </w:rPr>
        <w:t xml:space="preserve">הנשים ציינו גם כי הגדלת </w:t>
      </w:r>
      <w:r w:rsidRPr="00EA3DC8">
        <w:rPr>
          <w:rFonts w:hint="cs"/>
          <w:sz w:val="18"/>
          <w:szCs w:val="20"/>
          <w:rtl/>
        </w:rPr>
        <w:t xml:space="preserve">מספר </w:t>
      </w:r>
      <w:r w:rsidRPr="00EA3DC8">
        <w:rPr>
          <w:sz w:val="18"/>
          <w:szCs w:val="20"/>
          <w:rtl/>
        </w:rPr>
        <w:t>שעות העבודה אינה משתלמת בגלל הפגיעה בהטבות הנלוות, הכוללות הנחות וזכאויות במוסדות ציבוריים שונים. למשל, אחת המשתתפות ביטאה חשש לאבד את זכאותה לדיור ציבורי: "אני בהמתנה לדירה ציבורית, אז עד שאקבל דיור ציבורי אני לא יכולה לעבוד במשרה מלאה כי אני לא רוצה לאבד זכאות"</w:t>
      </w:r>
      <w:r w:rsidRPr="00EA3DC8">
        <w:rPr>
          <w:b/>
          <w:bCs/>
          <w:sz w:val="18"/>
          <w:szCs w:val="20"/>
          <w:rtl/>
        </w:rPr>
        <w:t xml:space="preserve"> </w:t>
      </w:r>
      <w:r w:rsidRPr="00EA3DC8">
        <w:rPr>
          <w:sz w:val="18"/>
          <w:szCs w:val="20"/>
          <w:rtl/>
        </w:rPr>
        <w:t xml:space="preserve">(דנה, </w:t>
      </w:r>
      <w:r w:rsidRPr="00EA3DC8">
        <w:rPr>
          <w:rFonts w:hint="cs"/>
          <w:sz w:val="18"/>
          <w:szCs w:val="20"/>
          <w:rtl/>
        </w:rPr>
        <w:t xml:space="preserve">בת 38, גרושה+3). </w:t>
      </w:r>
    </w:p>
    <w:p w14:paraId="0514C46D" w14:textId="77777777" w:rsidR="00926914" w:rsidRPr="00EA3DC8" w:rsidRDefault="00926914" w:rsidP="00EA3DC8">
      <w:pPr>
        <w:spacing w:after="180" w:line="280" w:lineRule="exact"/>
        <w:jc w:val="both"/>
        <w:rPr>
          <w:sz w:val="18"/>
          <w:szCs w:val="20"/>
          <w:rtl/>
        </w:rPr>
      </w:pPr>
      <w:r w:rsidRPr="00EA3DC8">
        <w:rPr>
          <w:b/>
          <w:bCs/>
          <w:sz w:val="18"/>
          <w:szCs w:val="20"/>
          <w:rtl/>
        </w:rPr>
        <w:t>בעיות בריאות.</w:t>
      </w:r>
      <w:r w:rsidRPr="00EA3DC8">
        <w:rPr>
          <w:sz w:val="18"/>
          <w:szCs w:val="20"/>
          <w:rtl/>
        </w:rPr>
        <w:t xml:space="preserve"> סיבה שכיחה פחות לעבודה במשרה חלקית הייתה בעיות בריאות. משתתפים מעטים ציינו כי בעיות בריאות שלהם או של אחד מבני משפחתם מקשות עליהם לעבוד במשרה מלאה:</w:t>
      </w:r>
    </w:p>
    <w:p w14:paraId="08C04120" w14:textId="77777777" w:rsidR="00926914" w:rsidRPr="00EA3DC8" w:rsidRDefault="00926914" w:rsidP="00304F18">
      <w:pPr>
        <w:spacing w:after="180" w:line="260" w:lineRule="exact"/>
        <w:ind w:left="567"/>
        <w:jc w:val="both"/>
        <w:rPr>
          <w:sz w:val="18"/>
          <w:szCs w:val="20"/>
          <w:rtl/>
        </w:rPr>
      </w:pPr>
      <w:r w:rsidRPr="00EA3DC8">
        <w:rPr>
          <w:sz w:val="18"/>
          <w:szCs w:val="20"/>
          <w:rtl/>
        </w:rPr>
        <w:t>אני לא רוצה לעבוד יותר כי צריכה להיות עם הילדים, הם מטופלים בהתפתחות הילד פעמיים בשבוע. אני צריכה ללכת איתם ברגל (אורלי, בת 31, נשואה+3).</w:t>
      </w:r>
    </w:p>
    <w:p w14:paraId="528F0C97" w14:textId="12FB1838" w:rsidR="00926914" w:rsidRPr="00EA3DC8" w:rsidRDefault="00926914" w:rsidP="00304F18">
      <w:pPr>
        <w:spacing w:after="180" w:line="260" w:lineRule="exact"/>
        <w:ind w:left="567"/>
        <w:jc w:val="both"/>
        <w:rPr>
          <w:sz w:val="18"/>
          <w:szCs w:val="20"/>
          <w:rtl/>
        </w:rPr>
      </w:pPr>
      <w:r w:rsidRPr="00EA3DC8">
        <w:rPr>
          <w:sz w:val="18"/>
          <w:szCs w:val="20"/>
          <w:rtl/>
        </w:rPr>
        <w:t>אני לא יודעת אם אני יכולה לעמוד בהמון שעות בגלל המצב הנפשי. אני מאוד מאוד רוצה. אני לא יכולה לעמוד בכל השעות האלה. אחרי ארבע שעות אני כבר מתפרצת ורוצה ללכת הביתה, איך אעמוד בשמונה שעות? זה חשוב בגלל הפרנסה (אפרת, בת 44, פרודה+4).</w:t>
      </w:r>
    </w:p>
    <w:p w14:paraId="54E2DDE3" w14:textId="5DA8CE10" w:rsidR="00926914" w:rsidRDefault="00926914" w:rsidP="00EA3DC8">
      <w:pPr>
        <w:spacing w:after="180" w:line="280" w:lineRule="exact"/>
        <w:ind w:left="284"/>
        <w:jc w:val="both"/>
        <w:rPr>
          <w:sz w:val="18"/>
          <w:szCs w:val="20"/>
          <w:rtl/>
        </w:rPr>
      </w:pPr>
    </w:p>
    <w:p w14:paraId="2FF6344C" w14:textId="77777777" w:rsidR="00F4272C" w:rsidRPr="00EA3DC8" w:rsidRDefault="00F4272C" w:rsidP="00EA3DC8">
      <w:pPr>
        <w:spacing w:after="180" w:line="280" w:lineRule="exact"/>
        <w:ind w:left="284"/>
        <w:jc w:val="both"/>
        <w:rPr>
          <w:sz w:val="18"/>
          <w:szCs w:val="20"/>
          <w:rtl/>
        </w:rPr>
      </w:pPr>
    </w:p>
    <w:p w14:paraId="1E672FEC" w14:textId="390E6C51" w:rsidR="00926914" w:rsidRPr="00926914" w:rsidRDefault="00926914" w:rsidP="00EA3DC8">
      <w:pPr>
        <w:pStyle w:val="KOT4"/>
        <w:spacing w:after="0"/>
        <w:ind w:left="397" w:right="0" w:hanging="397"/>
        <w:rPr>
          <w:rFonts w:cs="Guttman Aharoni"/>
          <w:color w:val="00B0F0"/>
          <w:sz w:val="32"/>
          <w:szCs w:val="32"/>
          <w:rtl/>
        </w:rPr>
      </w:pPr>
      <w:bookmarkStart w:id="28" w:name="_Toc76380504"/>
      <w:r w:rsidRPr="00926914">
        <w:rPr>
          <w:rFonts w:cs="Guttman Aharoni" w:hint="cs"/>
          <w:color w:val="00B0F0"/>
          <w:sz w:val="32"/>
          <w:szCs w:val="32"/>
          <w:rtl/>
        </w:rPr>
        <w:t>6.</w:t>
      </w:r>
      <w:r w:rsidRPr="00926914">
        <w:rPr>
          <w:rFonts w:cs="Guttman Aharoni"/>
          <w:color w:val="00B0F0"/>
          <w:sz w:val="32"/>
          <w:szCs w:val="32"/>
          <w:rtl/>
        </w:rPr>
        <w:t xml:space="preserve"> דיון</w:t>
      </w:r>
      <w:bookmarkEnd w:id="28"/>
      <w:r w:rsidRPr="00926914">
        <w:rPr>
          <w:rFonts w:cs="Guttman Aharoni"/>
          <w:color w:val="00B0F0"/>
          <w:sz w:val="32"/>
          <w:szCs w:val="32"/>
          <w:rtl/>
        </w:rPr>
        <w:t xml:space="preserve"> </w:t>
      </w:r>
    </w:p>
    <w:p w14:paraId="77A63E22" w14:textId="77777777" w:rsidR="00926914" w:rsidRPr="00EA3DC8" w:rsidRDefault="00926914" w:rsidP="00EA3DC8">
      <w:pPr>
        <w:spacing w:after="180" w:line="280" w:lineRule="exact"/>
        <w:jc w:val="both"/>
        <w:rPr>
          <w:sz w:val="18"/>
          <w:szCs w:val="20"/>
          <w:rtl/>
        </w:rPr>
      </w:pPr>
      <w:r w:rsidRPr="00EA3DC8">
        <w:rPr>
          <w:sz w:val="18"/>
          <w:szCs w:val="20"/>
          <w:rtl/>
        </w:rPr>
        <w:t xml:space="preserve">מאמר זה </w:t>
      </w:r>
      <w:r w:rsidRPr="00EA3DC8">
        <w:rPr>
          <w:rFonts w:hint="cs"/>
          <w:sz w:val="18"/>
          <w:szCs w:val="20"/>
          <w:rtl/>
        </w:rPr>
        <w:t>בחן את</w:t>
      </w:r>
      <w:r w:rsidRPr="00EA3DC8">
        <w:rPr>
          <w:sz w:val="18"/>
          <w:szCs w:val="20"/>
          <w:rtl/>
        </w:rPr>
        <w:t xml:space="preserve"> </w:t>
      </w:r>
      <w:r w:rsidRPr="00EA3DC8">
        <w:rPr>
          <w:rFonts w:hint="cs"/>
          <w:sz w:val="18"/>
          <w:szCs w:val="20"/>
          <w:rtl/>
        </w:rPr>
        <w:t>מצבם התעסוקתי</w:t>
      </w:r>
      <w:r w:rsidRPr="00EA3DC8">
        <w:rPr>
          <w:sz w:val="18"/>
          <w:szCs w:val="20"/>
          <w:rtl/>
        </w:rPr>
        <w:t xml:space="preserve"> של מקבלי שירות במחלקות לשירותים חברתיים החיים בעוני, </w:t>
      </w:r>
      <w:r w:rsidRPr="00EA3DC8">
        <w:rPr>
          <w:rFonts w:hint="cs"/>
          <w:sz w:val="18"/>
          <w:szCs w:val="20"/>
          <w:rtl/>
        </w:rPr>
        <w:t>וכן את מאפייניהם האישיים</w:t>
      </w:r>
      <w:r w:rsidRPr="00EA3DC8">
        <w:rPr>
          <w:sz w:val="18"/>
          <w:szCs w:val="20"/>
          <w:rtl/>
        </w:rPr>
        <w:t xml:space="preserve"> </w:t>
      </w:r>
      <w:r w:rsidRPr="00EA3DC8">
        <w:rPr>
          <w:rFonts w:hint="cs"/>
          <w:sz w:val="18"/>
          <w:szCs w:val="20"/>
          <w:rtl/>
        </w:rPr>
        <w:t>ה</w:t>
      </w:r>
      <w:r w:rsidRPr="00EA3DC8">
        <w:rPr>
          <w:sz w:val="18"/>
          <w:szCs w:val="20"/>
          <w:rtl/>
        </w:rPr>
        <w:t xml:space="preserve">מנבאים </w:t>
      </w:r>
      <w:r w:rsidRPr="00EA3DC8">
        <w:rPr>
          <w:rFonts w:hint="cs"/>
          <w:sz w:val="18"/>
          <w:szCs w:val="20"/>
          <w:rtl/>
        </w:rPr>
        <w:t xml:space="preserve">את </w:t>
      </w:r>
      <w:r w:rsidRPr="00EA3DC8">
        <w:rPr>
          <w:sz w:val="18"/>
          <w:szCs w:val="20"/>
          <w:rtl/>
        </w:rPr>
        <w:t>השתתפות</w:t>
      </w:r>
      <w:r w:rsidRPr="00EA3DC8">
        <w:rPr>
          <w:rFonts w:hint="cs"/>
          <w:sz w:val="18"/>
          <w:szCs w:val="20"/>
          <w:rtl/>
        </w:rPr>
        <w:t>ם</w:t>
      </w:r>
      <w:r w:rsidRPr="00EA3DC8">
        <w:rPr>
          <w:sz w:val="18"/>
          <w:szCs w:val="20"/>
          <w:rtl/>
        </w:rPr>
        <w:t xml:space="preserve"> בשוק העבודה</w:t>
      </w:r>
      <w:r w:rsidRPr="00EA3DC8">
        <w:rPr>
          <w:rFonts w:hint="cs"/>
          <w:sz w:val="18"/>
          <w:szCs w:val="20"/>
          <w:rtl/>
        </w:rPr>
        <w:t xml:space="preserve"> ואת </w:t>
      </w:r>
      <w:r w:rsidRPr="00EA3DC8">
        <w:rPr>
          <w:sz w:val="18"/>
          <w:szCs w:val="20"/>
          <w:rtl/>
        </w:rPr>
        <w:t>מספר שעות עבודתם</w:t>
      </w:r>
      <w:r w:rsidRPr="00EA3DC8">
        <w:rPr>
          <w:rFonts w:hint="cs"/>
          <w:sz w:val="18"/>
          <w:szCs w:val="20"/>
          <w:rtl/>
        </w:rPr>
        <w:t>. כן נבחנו תפיסותיהם באשר ל</w:t>
      </w:r>
      <w:r w:rsidRPr="00EA3DC8">
        <w:rPr>
          <w:sz w:val="18"/>
          <w:szCs w:val="20"/>
          <w:rtl/>
        </w:rPr>
        <w:t>סיבות למצבם התעסוקתי. שאלת המחקר הראשונה עסקה בדפוס התעסוקה. בניגוד להשערת המחקר, נמצא כי מרבית המשתתפים שמרו על דפוס תעסוקה יציב בשתי נקודות הזמן: כ-40% עבדו בשתי נקודות הזמן</w:t>
      </w:r>
      <w:r w:rsidRPr="00EA3DC8">
        <w:rPr>
          <w:rFonts w:hint="cs"/>
          <w:sz w:val="18"/>
          <w:szCs w:val="20"/>
          <w:rtl/>
        </w:rPr>
        <w:t>,</w:t>
      </w:r>
      <w:r w:rsidRPr="00EA3DC8">
        <w:rPr>
          <w:sz w:val="18"/>
          <w:szCs w:val="20"/>
          <w:rtl/>
        </w:rPr>
        <w:t xml:space="preserve"> וכ-20% </w:t>
      </w:r>
      <w:r w:rsidRPr="00EA3DC8">
        <w:rPr>
          <w:sz w:val="18"/>
          <w:szCs w:val="20"/>
          <w:rtl/>
        </w:rPr>
        <w:lastRenderedPageBreak/>
        <w:t>לא עבדו בשתיהן (</w:t>
      </w:r>
      <w:r w:rsidRPr="00EA3DC8">
        <w:rPr>
          <w:rFonts w:hint="cs"/>
          <w:sz w:val="18"/>
          <w:szCs w:val="20"/>
          <w:rtl/>
        </w:rPr>
        <w:t>ב</w:t>
      </w:r>
      <w:r w:rsidRPr="00EA3DC8">
        <w:rPr>
          <w:sz w:val="18"/>
          <w:szCs w:val="20"/>
          <w:rtl/>
        </w:rPr>
        <w:t>ס</w:t>
      </w:r>
      <w:r w:rsidRPr="00EA3DC8">
        <w:rPr>
          <w:rFonts w:hint="cs"/>
          <w:sz w:val="18"/>
          <w:szCs w:val="20"/>
          <w:rtl/>
        </w:rPr>
        <w:t>ך הכול</w:t>
      </w:r>
      <w:r w:rsidRPr="00EA3DC8">
        <w:rPr>
          <w:sz w:val="18"/>
          <w:szCs w:val="20"/>
          <w:rtl/>
        </w:rPr>
        <w:t xml:space="preserve"> כ-60%). עם זאת, כ-40% מהמשתתפים עבדו רק בנקודת זמן אחת. </w:t>
      </w:r>
    </w:p>
    <w:p w14:paraId="3FAA908B" w14:textId="77777777" w:rsidR="00926914" w:rsidRPr="00EA3DC8" w:rsidRDefault="00926914" w:rsidP="00EA3DC8">
      <w:pPr>
        <w:spacing w:after="180" w:line="280" w:lineRule="exact"/>
        <w:jc w:val="both"/>
        <w:rPr>
          <w:sz w:val="18"/>
          <w:szCs w:val="20"/>
          <w:rtl/>
        </w:rPr>
      </w:pPr>
      <w:r w:rsidRPr="00EA3DC8">
        <w:rPr>
          <w:sz w:val="18"/>
          <w:szCs w:val="20"/>
          <w:rtl/>
        </w:rPr>
        <w:t>שאלת המחקר השנייה ב</w:t>
      </w:r>
      <w:r w:rsidRPr="00EA3DC8">
        <w:rPr>
          <w:rFonts w:hint="cs"/>
          <w:sz w:val="18"/>
          <w:szCs w:val="20"/>
          <w:rtl/>
        </w:rPr>
        <w:t>יקשה לבחון אילו</w:t>
      </w:r>
      <w:r w:rsidRPr="00EA3DC8">
        <w:rPr>
          <w:sz w:val="18"/>
          <w:szCs w:val="20"/>
          <w:rtl/>
        </w:rPr>
        <w:t xml:space="preserve"> </w:t>
      </w:r>
      <w:r w:rsidRPr="00EA3DC8">
        <w:rPr>
          <w:rFonts w:hint="cs"/>
          <w:sz w:val="18"/>
          <w:szCs w:val="20"/>
          <w:rtl/>
        </w:rPr>
        <w:t>מאפיינים אישיים</w:t>
      </w:r>
      <w:r w:rsidRPr="00EA3DC8">
        <w:rPr>
          <w:sz w:val="18"/>
          <w:szCs w:val="20"/>
          <w:rtl/>
        </w:rPr>
        <w:t xml:space="preserve"> </w:t>
      </w:r>
      <w:r w:rsidRPr="00EA3DC8">
        <w:rPr>
          <w:rFonts w:hint="cs"/>
          <w:sz w:val="18"/>
          <w:szCs w:val="20"/>
          <w:rtl/>
        </w:rPr>
        <w:t>ה</w:t>
      </w:r>
      <w:r w:rsidRPr="00EA3DC8">
        <w:rPr>
          <w:sz w:val="18"/>
          <w:szCs w:val="20"/>
          <w:rtl/>
        </w:rPr>
        <w:t xml:space="preserve">מגדילים את הסיכוי להשתתפות </w:t>
      </w:r>
      <w:r w:rsidRPr="00EA3DC8">
        <w:rPr>
          <w:rFonts w:hint="cs"/>
          <w:sz w:val="18"/>
          <w:szCs w:val="20"/>
          <w:rtl/>
        </w:rPr>
        <w:t xml:space="preserve">רבה </w:t>
      </w:r>
      <w:r w:rsidRPr="00EA3DC8">
        <w:rPr>
          <w:sz w:val="18"/>
          <w:szCs w:val="20"/>
          <w:rtl/>
        </w:rPr>
        <w:t>יותר בשוק העבודה במשך תקופה של חמש שנים. לפי ממצאי הרגרסיה האורדינלית, השערת המחקר אוששה ב</w:t>
      </w:r>
      <w:r w:rsidRPr="00EA3DC8">
        <w:rPr>
          <w:rFonts w:hint="cs"/>
          <w:sz w:val="18"/>
          <w:szCs w:val="20"/>
          <w:rtl/>
        </w:rPr>
        <w:t>חלקה</w:t>
      </w:r>
      <w:r w:rsidRPr="00EA3DC8">
        <w:rPr>
          <w:sz w:val="18"/>
          <w:szCs w:val="20"/>
          <w:rtl/>
        </w:rPr>
        <w:t>. בהתאם להשערת המחקר, ובדומה לממצאי מחקרים קודמים (</w:t>
      </w:r>
      <w:proofErr w:type="spellStart"/>
      <w:r w:rsidRPr="00EA3DC8">
        <w:rPr>
          <w:sz w:val="18"/>
          <w:szCs w:val="20"/>
        </w:rPr>
        <w:t>Achdut</w:t>
      </w:r>
      <w:proofErr w:type="spellEnd"/>
      <w:r w:rsidRPr="00EA3DC8">
        <w:rPr>
          <w:sz w:val="18"/>
          <w:szCs w:val="20"/>
        </w:rPr>
        <w:t>, 2016;</w:t>
      </w:r>
      <w:r w:rsidRPr="00EA3DC8">
        <w:rPr>
          <w:rFonts w:eastAsia="Calibri"/>
          <w:sz w:val="18"/>
          <w:szCs w:val="20"/>
        </w:rPr>
        <w:t xml:space="preserve"> </w:t>
      </w:r>
      <w:proofErr w:type="spellStart"/>
      <w:r w:rsidRPr="00EA3DC8">
        <w:rPr>
          <w:rFonts w:eastAsia="Calibri"/>
          <w:sz w:val="18"/>
          <w:szCs w:val="20"/>
        </w:rPr>
        <w:t>Achdut</w:t>
      </w:r>
      <w:proofErr w:type="spellEnd"/>
      <w:r w:rsidRPr="00EA3DC8">
        <w:rPr>
          <w:rFonts w:eastAsia="Calibri"/>
          <w:sz w:val="18"/>
          <w:szCs w:val="20"/>
        </w:rPr>
        <w:t xml:space="preserve"> &amp; Stier, 2018</w:t>
      </w:r>
      <w:r w:rsidRPr="00EA3DC8">
        <w:rPr>
          <w:sz w:val="18"/>
          <w:szCs w:val="20"/>
          <w:shd w:val="clear" w:color="auto" w:fill="FFFFFF"/>
        </w:rPr>
        <w:t xml:space="preserve">; </w:t>
      </w:r>
      <w:proofErr w:type="spellStart"/>
      <w:r w:rsidRPr="00EA3DC8">
        <w:rPr>
          <w:sz w:val="18"/>
          <w:szCs w:val="20"/>
          <w:shd w:val="clear" w:color="auto" w:fill="FFFFFF"/>
        </w:rPr>
        <w:t>Bruckmeier</w:t>
      </w:r>
      <w:proofErr w:type="spellEnd"/>
      <w:r w:rsidRPr="00EA3DC8">
        <w:rPr>
          <w:sz w:val="18"/>
          <w:szCs w:val="20"/>
          <w:shd w:val="clear" w:color="auto" w:fill="FFFFFF"/>
        </w:rPr>
        <w:t xml:space="preserve"> et al., 2019</w:t>
      </w:r>
      <w:r w:rsidRPr="00EA3DC8">
        <w:rPr>
          <w:sz w:val="18"/>
          <w:szCs w:val="20"/>
          <w:rtl/>
        </w:rPr>
        <w:t xml:space="preserve">), הגורמים המנבאים השתתפות </w:t>
      </w:r>
      <w:r w:rsidRPr="00EA3DC8">
        <w:rPr>
          <w:rFonts w:hint="cs"/>
          <w:sz w:val="18"/>
          <w:szCs w:val="20"/>
          <w:rtl/>
        </w:rPr>
        <w:t>רבה יותר</w:t>
      </w:r>
      <w:r w:rsidRPr="00EA3DC8">
        <w:rPr>
          <w:sz w:val="18"/>
          <w:szCs w:val="20"/>
          <w:rtl/>
        </w:rPr>
        <w:t xml:space="preserve"> בשוק העבודה קשורים </w:t>
      </w:r>
      <w:r w:rsidRPr="00EA3DC8">
        <w:rPr>
          <w:rFonts w:hint="cs"/>
          <w:sz w:val="18"/>
          <w:szCs w:val="20"/>
          <w:rtl/>
        </w:rPr>
        <w:t>ל</w:t>
      </w:r>
      <w:r w:rsidRPr="00EA3DC8">
        <w:rPr>
          <w:sz w:val="18"/>
          <w:szCs w:val="20"/>
          <w:rtl/>
        </w:rPr>
        <w:t xml:space="preserve">מספר ילדים נמוך יותר, </w:t>
      </w:r>
      <w:r w:rsidRPr="00EA3DC8">
        <w:rPr>
          <w:rFonts w:hint="cs"/>
          <w:sz w:val="18"/>
          <w:szCs w:val="20"/>
          <w:rtl/>
        </w:rPr>
        <w:t>ארץ לידה שאינה ישראל</w:t>
      </w:r>
      <w:r w:rsidRPr="00EA3DC8">
        <w:rPr>
          <w:sz w:val="18"/>
          <w:szCs w:val="20"/>
          <w:rtl/>
        </w:rPr>
        <w:t xml:space="preserve">, </w:t>
      </w:r>
      <w:r w:rsidRPr="00EA3DC8">
        <w:rPr>
          <w:rFonts w:hint="cs"/>
          <w:sz w:val="18"/>
          <w:szCs w:val="20"/>
          <w:rtl/>
        </w:rPr>
        <w:t xml:space="preserve">קיום </w:t>
      </w:r>
      <w:r w:rsidRPr="00EA3DC8">
        <w:rPr>
          <w:sz w:val="18"/>
          <w:szCs w:val="20"/>
          <w:rtl/>
        </w:rPr>
        <w:t>הכשרה מקצועית, היעדר מצוקה בין-דורית ומצב בריאות טוב יותר. בניגוד להשערת המחקר ובניגוד לממצאי מחקרים קודמים, לא נמצא קשר מובהק בין מגדר, גיל, מצב משפחתי ומספר שנות הלימוד</w:t>
      </w:r>
      <w:r w:rsidRPr="00EA3DC8">
        <w:rPr>
          <w:rFonts w:hint="cs"/>
          <w:sz w:val="18"/>
          <w:szCs w:val="20"/>
          <w:rtl/>
        </w:rPr>
        <w:t xml:space="preserve"> הפורמליות</w:t>
      </w:r>
      <w:r w:rsidRPr="00EA3DC8">
        <w:rPr>
          <w:sz w:val="18"/>
          <w:szCs w:val="20"/>
          <w:rtl/>
        </w:rPr>
        <w:t xml:space="preserve"> לבין מידת ההשתתפות בשוק העבודה. </w:t>
      </w:r>
    </w:p>
    <w:p w14:paraId="0D77F772" w14:textId="77777777" w:rsidR="00926914" w:rsidRPr="00EA3DC8" w:rsidRDefault="00926914" w:rsidP="00EA3DC8">
      <w:pPr>
        <w:spacing w:after="180" w:line="280" w:lineRule="exact"/>
        <w:jc w:val="both"/>
        <w:rPr>
          <w:sz w:val="18"/>
          <w:szCs w:val="20"/>
          <w:rtl/>
        </w:rPr>
      </w:pPr>
      <w:r w:rsidRPr="00EA3DC8">
        <w:rPr>
          <w:sz w:val="18"/>
          <w:szCs w:val="20"/>
          <w:rtl/>
        </w:rPr>
        <w:t xml:space="preserve">באשר למשתתפים שלא עבדו בשתי נקודות הזמן, הספרות המחקרית מראה כי למצב של אי-תעסוקה מתמשך </w:t>
      </w:r>
      <w:r w:rsidRPr="00EA3DC8">
        <w:rPr>
          <w:rFonts w:hint="cs"/>
          <w:sz w:val="18"/>
          <w:szCs w:val="20"/>
          <w:rtl/>
        </w:rPr>
        <w:t xml:space="preserve">יש </w:t>
      </w:r>
      <w:r w:rsidRPr="00EA3DC8">
        <w:rPr>
          <w:sz w:val="18"/>
          <w:szCs w:val="20"/>
          <w:rtl/>
        </w:rPr>
        <w:t xml:space="preserve">השלכות קשות על איכות החיים של הפרט, </w:t>
      </w:r>
      <w:r w:rsidRPr="00EA3DC8">
        <w:rPr>
          <w:rFonts w:hint="cs"/>
          <w:sz w:val="18"/>
          <w:szCs w:val="20"/>
          <w:rtl/>
        </w:rPr>
        <w:t xml:space="preserve">ואלה </w:t>
      </w:r>
      <w:r w:rsidRPr="00EA3DC8">
        <w:rPr>
          <w:sz w:val="18"/>
          <w:szCs w:val="20"/>
          <w:rtl/>
        </w:rPr>
        <w:t>כוללות פגיעה במצב הכלכלי, הבריאותי, החברתי, המשפחתי והנפשי (</w:t>
      </w:r>
      <w:proofErr w:type="spellStart"/>
      <w:r w:rsidRPr="00EA3DC8">
        <w:rPr>
          <w:sz w:val="18"/>
          <w:szCs w:val="20"/>
          <w:shd w:val="clear" w:color="auto" w:fill="FFFFFF"/>
        </w:rPr>
        <w:t>Gans</w:t>
      </w:r>
      <w:proofErr w:type="spellEnd"/>
      <w:r w:rsidRPr="00EA3DC8">
        <w:rPr>
          <w:rFonts w:eastAsia="Calibri"/>
          <w:sz w:val="18"/>
          <w:szCs w:val="20"/>
        </w:rPr>
        <w:t>, 2009</w:t>
      </w:r>
      <w:r w:rsidRPr="00EA3DC8">
        <w:rPr>
          <w:sz w:val="18"/>
          <w:szCs w:val="20"/>
          <w:shd w:val="clear" w:color="auto" w:fill="FFFFFF"/>
        </w:rPr>
        <w:t>; De Graaf-</w:t>
      </w:r>
      <w:proofErr w:type="spellStart"/>
      <w:r w:rsidRPr="00EA3DC8">
        <w:rPr>
          <w:sz w:val="18"/>
          <w:szCs w:val="20"/>
          <w:shd w:val="clear" w:color="auto" w:fill="FFFFFF"/>
        </w:rPr>
        <w:t>Zijl</w:t>
      </w:r>
      <w:proofErr w:type="spellEnd"/>
      <w:r w:rsidRPr="00EA3DC8">
        <w:rPr>
          <w:sz w:val="18"/>
          <w:szCs w:val="20"/>
          <w:shd w:val="clear" w:color="auto" w:fill="FFFFFF"/>
        </w:rPr>
        <w:t xml:space="preserve"> &amp; Nolan, 2011; </w:t>
      </w:r>
      <w:proofErr w:type="spellStart"/>
      <w:r w:rsidRPr="00EA3DC8">
        <w:rPr>
          <w:sz w:val="18"/>
          <w:szCs w:val="20"/>
        </w:rPr>
        <w:t>Hanisch</w:t>
      </w:r>
      <w:proofErr w:type="spellEnd"/>
      <w:r w:rsidRPr="00EA3DC8">
        <w:rPr>
          <w:sz w:val="18"/>
          <w:szCs w:val="20"/>
        </w:rPr>
        <w:t>, 1999</w:t>
      </w:r>
      <w:r w:rsidRPr="00EA3DC8">
        <w:rPr>
          <w:sz w:val="18"/>
          <w:szCs w:val="20"/>
          <w:rtl/>
        </w:rPr>
        <w:t xml:space="preserve">). הממצאים האיכותניים </w:t>
      </w:r>
      <w:r w:rsidRPr="00EA3DC8">
        <w:rPr>
          <w:rFonts w:hint="cs"/>
          <w:sz w:val="18"/>
          <w:szCs w:val="20"/>
          <w:rtl/>
        </w:rPr>
        <w:t>ב</w:t>
      </w:r>
      <w:r w:rsidRPr="00EA3DC8">
        <w:rPr>
          <w:sz w:val="18"/>
          <w:szCs w:val="20"/>
          <w:rtl/>
        </w:rPr>
        <w:t xml:space="preserve">מחקר הנוכחי מחזקים זאת: מרבית המשתתפים שלא עבדו בשתי נקודות הזמן ציינו כי הם משלמים על כך מחיר כלכלי, חברתי ונפשי כבד. </w:t>
      </w:r>
    </w:p>
    <w:p w14:paraId="4E5C86D0" w14:textId="77777777" w:rsidR="00926914" w:rsidRPr="00EA3DC8" w:rsidRDefault="00926914" w:rsidP="00EA3DC8">
      <w:pPr>
        <w:spacing w:after="180" w:line="280" w:lineRule="exact"/>
        <w:jc w:val="both"/>
        <w:rPr>
          <w:sz w:val="18"/>
          <w:szCs w:val="20"/>
          <w:rtl/>
        </w:rPr>
      </w:pPr>
      <w:r w:rsidRPr="00EA3DC8">
        <w:rPr>
          <w:sz w:val="18"/>
          <w:szCs w:val="20"/>
          <w:rtl/>
        </w:rPr>
        <w:t xml:space="preserve">נשאלת השאלה מדוע, על אף </w:t>
      </w:r>
      <w:r w:rsidRPr="00EA3DC8">
        <w:rPr>
          <w:rFonts w:hint="cs"/>
          <w:sz w:val="18"/>
          <w:szCs w:val="20"/>
          <w:rtl/>
        </w:rPr>
        <w:t>ה</w:t>
      </w:r>
      <w:r w:rsidRPr="00EA3DC8">
        <w:rPr>
          <w:sz w:val="18"/>
          <w:szCs w:val="20"/>
          <w:rtl/>
        </w:rPr>
        <w:t xml:space="preserve">מחירים </w:t>
      </w:r>
      <w:r w:rsidRPr="00EA3DC8">
        <w:rPr>
          <w:rFonts w:hint="cs"/>
          <w:sz w:val="18"/>
          <w:szCs w:val="20"/>
          <w:rtl/>
        </w:rPr>
        <w:t xml:space="preserve">הללו, הם </w:t>
      </w:r>
      <w:r w:rsidRPr="00EA3DC8">
        <w:rPr>
          <w:sz w:val="18"/>
          <w:szCs w:val="20"/>
          <w:rtl/>
        </w:rPr>
        <w:t>לא השתלבו בעבודה. מודלים כלכליים של היצע עבודה עוסקים בגורמים המנבאים אם אדם כלשהו יעבוד, ומה יהיה היקף עבודתו. הנחת המוצא היא שהאדם יבחר באפשרות שיפיק ממנה את מרב התועלת הכלכלית. החלטתו על עתידו בשוק העבודה מורכבת משני שלבים</w:t>
      </w:r>
      <w:r w:rsidRPr="00EA3DC8">
        <w:rPr>
          <w:rFonts w:hint="cs"/>
          <w:sz w:val="18"/>
          <w:szCs w:val="20"/>
          <w:rtl/>
        </w:rPr>
        <w:t>:</w:t>
      </w:r>
      <w:r w:rsidRPr="00EA3DC8">
        <w:rPr>
          <w:sz w:val="18"/>
          <w:szCs w:val="20"/>
          <w:rtl/>
        </w:rPr>
        <w:t xml:space="preserve"> ראשית, האדם מחליט אם לעבוד או לא, ולאחר מכן, אם בחר לעבוד, הוא קובע את היקף השעות. שתי ההחלטות תלויות בגורמים שלהלן: השכר המוצע לו, מאפייניו האישיים (לרבות מאפייני ההון האנושי ומאפיינים דמוגרפיים) וגובה הכנסתו שלא מעבודה (מתשלומי העברה או הכנסות אחרות) (</w:t>
      </w:r>
      <w:r w:rsidRPr="00EA3DC8">
        <w:rPr>
          <w:rFonts w:hint="cs"/>
          <w:sz w:val="18"/>
          <w:szCs w:val="20"/>
          <w:rtl/>
        </w:rPr>
        <w:t xml:space="preserve">להרחבה ראו </w:t>
      </w:r>
      <w:r w:rsidRPr="00EA3DC8">
        <w:rPr>
          <w:sz w:val="18"/>
          <w:szCs w:val="20"/>
          <w:rtl/>
        </w:rPr>
        <w:t xml:space="preserve">אחדות, 2007). לעומת המודלים הכלכליים, המתמקדים בתועלת הכלכלית, מחקרים אחרים מצביעים </w:t>
      </w:r>
      <w:r w:rsidRPr="00EA3DC8">
        <w:rPr>
          <w:rFonts w:hint="cs"/>
          <w:sz w:val="18"/>
          <w:szCs w:val="20"/>
          <w:rtl/>
        </w:rPr>
        <w:t xml:space="preserve">על </w:t>
      </w:r>
      <w:r w:rsidRPr="00EA3DC8">
        <w:rPr>
          <w:sz w:val="18"/>
          <w:szCs w:val="20"/>
          <w:rtl/>
        </w:rPr>
        <w:t xml:space="preserve">שיקולי תועלת הוליסטיים, כלומר שיקולים המביאים בחשבון מכלול רחב של תחומים מלבד הכלכלי (בנימין וניסים, 2017; </w:t>
      </w:r>
      <w:proofErr w:type="spellStart"/>
      <w:r w:rsidRPr="00EA3DC8">
        <w:rPr>
          <w:sz w:val="18"/>
          <w:szCs w:val="20"/>
          <w:shd w:val="clear" w:color="auto" w:fill="FFFFFF"/>
        </w:rPr>
        <w:t>Albelda</w:t>
      </w:r>
      <w:proofErr w:type="spellEnd"/>
      <w:r w:rsidRPr="00EA3DC8">
        <w:rPr>
          <w:sz w:val="18"/>
          <w:szCs w:val="20"/>
          <w:shd w:val="clear" w:color="auto" w:fill="FFFFFF"/>
        </w:rPr>
        <w:t xml:space="preserve"> &amp; Shea, 2010; </w:t>
      </w:r>
      <w:proofErr w:type="spellStart"/>
      <w:r w:rsidRPr="00EA3DC8">
        <w:rPr>
          <w:sz w:val="18"/>
          <w:szCs w:val="20"/>
          <w:shd w:val="clear" w:color="auto" w:fill="FFFFFF"/>
        </w:rPr>
        <w:t>Loya</w:t>
      </w:r>
      <w:proofErr w:type="spellEnd"/>
      <w:r w:rsidRPr="00EA3DC8">
        <w:rPr>
          <w:sz w:val="18"/>
          <w:szCs w:val="20"/>
          <w:shd w:val="clear" w:color="auto" w:fill="FFFFFF"/>
        </w:rPr>
        <w:t xml:space="preserve">, Liberman, </w:t>
      </w:r>
      <w:proofErr w:type="spellStart"/>
      <w:r w:rsidRPr="00EA3DC8">
        <w:rPr>
          <w:sz w:val="18"/>
          <w:szCs w:val="20"/>
          <w:shd w:val="clear" w:color="auto" w:fill="FFFFFF"/>
        </w:rPr>
        <w:t>Albelda</w:t>
      </w:r>
      <w:proofErr w:type="spellEnd"/>
      <w:r w:rsidRPr="00EA3DC8">
        <w:rPr>
          <w:sz w:val="18"/>
          <w:szCs w:val="20"/>
          <w:shd w:val="clear" w:color="auto" w:fill="FFFFFF"/>
        </w:rPr>
        <w:t>, &amp; Babcock, 2008; Nicoll, 2017</w:t>
      </w:r>
      <w:r w:rsidRPr="00EA3DC8">
        <w:rPr>
          <w:sz w:val="18"/>
          <w:szCs w:val="20"/>
          <w:rtl/>
        </w:rPr>
        <w:t xml:space="preserve">). </w:t>
      </w:r>
    </w:p>
    <w:p w14:paraId="4EACAE75" w14:textId="77777777" w:rsidR="00926914" w:rsidRPr="00EA3DC8" w:rsidRDefault="00926914" w:rsidP="00EA3DC8">
      <w:pPr>
        <w:spacing w:after="180" w:line="280" w:lineRule="exact"/>
        <w:jc w:val="both"/>
        <w:rPr>
          <w:sz w:val="18"/>
          <w:szCs w:val="20"/>
          <w:rtl/>
        </w:rPr>
      </w:pPr>
      <w:r w:rsidRPr="00EA3DC8">
        <w:rPr>
          <w:sz w:val="18"/>
          <w:szCs w:val="20"/>
          <w:rtl/>
        </w:rPr>
        <w:t xml:space="preserve">הניתוח האיכותני שערכנו תומך בטענה כי שיקולי התועלת בהחלטה על תעסוקה הם הוליסטיים ולא רק כלכליים. למשל, מצאנו שהשיקולים בעד השתלבות בעבודה קשורים לצורך כלכלי, לצורך בחברה ולצורך נפשי בסיפוק ובהגשמה עצמית, ואילו השיקולים נגד </w:t>
      </w:r>
      <w:r w:rsidRPr="00EA3DC8">
        <w:rPr>
          <w:rFonts w:hint="cs"/>
          <w:sz w:val="18"/>
          <w:szCs w:val="20"/>
          <w:rtl/>
        </w:rPr>
        <w:t xml:space="preserve">השתלבות בעבודה </w:t>
      </w:r>
      <w:r w:rsidRPr="00EA3DC8">
        <w:rPr>
          <w:sz w:val="18"/>
          <w:szCs w:val="20"/>
          <w:rtl/>
        </w:rPr>
        <w:t xml:space="preserve">כוללים חשש מפגיעה במצב הבריאות הפיזי והנפשי, צורך לטפל בילדים, </w:t>
      </w:r>
      <w:r w:rsidRPr="00EA3DC8">
        <w:rPr>
          <w:rFonts w:hint="cs"/>
          <w:sz w:val="18"/>
          <w:szCs w:val="20"/>
          <w:rtl/>
        </w:rPr>
        <w:t>וכן שיקולים המתייחסים לאובדן הגמלה להבטחת הכנסה</w:t>
      </w:r>
      <w:r w:rsidRPr="00EA3DC8">
        <w:rPr>
          <w:sz w:val="18"/>
          <w:szCs w:val="20"/>
          <w:rtl/>
        </w:rPr>
        <w:t xml:space="preserve"> ו</w:t>
      </w:r>
      <w:r w:rsidRPr="00EA3DC8">
        <w:rPr>
          <w:rFonts w:hint="cs"/>
          <w:sz w:val="18"/>
          <w:szCs w:val="20"/>
          <w:rtl/>
        </w:rPr>
        <w:t>ה</w:t>
      </w:r>
      <w:r w:rsidRPr="00EA3DC8">
        <w:rPr>
          <w:sz w:val="18"/>
          <w:szCs w:val="20"/>
          <w:rtl/>
        </w:rPr>
        <w:t xml:space="preserve">הטבות הנלוות </w:t>
      </w:r>
      <w:r w:rsidRPr="00EA3DC8">
        <w:rPr>
          <w:rFonts w:hint="cs"/>
          <w:sz w:val="18"/>
          <w:szCs w:val="20"/>
          <w:rtl/>
        </w:rPr>
        <w:t>לה לצד הגידול בהוצאות הכרוכות ביציאה לעבודה</w:t>
      </w:r>
      <w:r w:rsidRPr="00EA3DC8">
        <w:rPr>
          <w:sz w:val="18"/>
          <w:szCs w:val="20"/>
          <w:rtl/>
        </w:rPr>
        <w:t xml:space="preserve">. </w:t>
      </w:r>
    </w:p>
    <w:p w14:paraId="51AD90A0" w14:textId="77777777" w:rsidR="00926914" w:rsidRPr="00EA3DC8" w:rsidRDefault="00926914" w:rsidP="00EA3DC8">
      <w:pPr>
        <w:spacing w:after="180" w:line="280" w:lineRule="exact"/>
        <w:jc w:val="both"/>
        <w:rPr>
          <w:sz w:val="18"/>
          <w:szCs w:val="20"/>
          <w:rtl/>
        </w:rPr>
      </w:pPr>
      <w:r w:rsidRPr="00EA3DC8">
        <w:rPr>
          <w:sz w:val="18"/>
          <w:szCs w:val="20"/>
          <w:rtl/>
        </w:rPr>
        <w:lastRenderedPageBreak/>
        <w:t>ממצאים אלו עולים בקנה אחד עם הספרות המראה כי ליציאה לעבודה יש השלכות בעלות כיוונים מנוגדים. מחד גיסא נמצא כי יציאה לעבודה משפיעה לחיוב על תחושת הערך העצמי (</w:t>
      </w:r>
      <w:proofErr w:type="spellStart"/>
      <w:r w:rsidRPr="00EA3DC8">
        <w:rPr>
          <w:sz w:val="18"/>
          <w:szCs w:val="20"/>
          <w:rtl/>
        </w:rPr>
        <w:t>סטריאר</w:t>
      </w:r>
      <w:proofErr w:type="spellEnd"/>
      <w:r w:rsidRPr="00EA3DC8">
        <w:rPr>
          <w:sz w:val="18"/>
          <w:szCs w:val="20"/>
          <w:rtl/>
        </w:rPr>
        <w:t xml:space="preserve"> ואחרים, 2011; </w:t>
      </w:r>
      <w:r w:rsidRPr="00EA3DC8">
        <w:rPr>
          <w:rFonts w:eastAsia="Calibri"/>
          <w:sz w:val="18"/>
          <w:szCs w:val="20"/>
        </w:rPr>
        <w:t>Perkins, 2008</w:t>
      </w:r>
      <w:r w:rsidRPr="00EA3DC8">
        <w:rPr>
          <w:sz w:val="18"/>
          <w:szCs w:val="20"/>
          <w:rtl/>
        </w:rPr>
        <w:t xml:space="preserve">), על </w:t>
      </w:r>
      <w:r w:rsidRPr="00EA3DC8">
        <w:rPr>
          <w:rFonts w:hint="cs"/>
          <w:sz w:val="18"/>
          <w:szCs w:val="20"/>
          <w:rtl/>
        </w:rPr>
        <w:t>ה</w:t>
      </w:r>
      <w:r w:rsidRPr="00EA3DC8">
        <w:rPr>
          <w:sz w:val="18"/>
          <w:szCs w:val="20"/>
          <w:rtl/>
        </w:rPr>
        <w:t>מצב הכלכלי (</w:t>
      </w:r>
      <w:proofErr w:type="spellStart"/>
      <w:r w:rsidRPr="00EA3DC8">
        <w:rPr>
          <w:sz w:val="18"/>
          <w:szCs w:val="20"/>
          <w:rtl/>
        </w:rPr>
        <w:t>סטריאר</w:t>
      </w:r>
      <w:proofErr w:type="spellEnd"/>
      <w:r w:rsidRPr="00EA3DC8">
        <w:rPr>
          <w:sz w:val="18"/>
          <w:szCs w:val="20"/>
          <w:rtl/>
        </w:rPr>
        <w:t xml:space="preserve"> ואחרים, 2011; </w:t>
      </w:r>
      <w:r w:rsidRPr="00EA3DC8">
        <w:rPr>
          <w:rStyle w:val="author"/>
          <w:sz w:val="18"/>
          <w:szCs w:val="20"/>
          <w:bdr w:val="none" w:sz="0" w:space="0" w:color="auto" w:frame="1"/>
          <w:shd w:val="clear" w:color="auto" w:fill="FFFFFF"/>
        </w:rPr>
        <w:t xml:space="preserve">Danziger et al., </w:t>
      </w:r>
      <w:r w:rsidRPr="00EA3DC8">
        <w:rPr>
          <w:sz w:val="18"/>
          <w:szCs w:val="20"/>
        </w:rPr>
        <w:t>2002</w:t>
      </w:r>
      <w:r w:rsidRPr="00EA3DC8">
        <w:rPr>
          <w:sz w:val="18"/>
          <w:szCs w:val="20"/>
          <w:rtl/>
        </w:rPr>
        <w:t xml:space="preserve">) ועל </w:t>
      </w:r>
      <w:r w:rsidRPr="00EA3DC8">
        <w:rPr>
          <w:rFonts w:hint="cs"/>
          <w:sz w:val="18"/>
          <w:szCs w:val="20"/>
          <w:rtl/>
        </w:rPr>
        <w:t>ה</w:t>
      </w:r>
      <w:r w:rsidRPr="00EA3DC8">
        <w:rPr>
          <w:sz w:val="18"/>
          <w:szCs w:val="20"/>
          <w:rtl/>
        </w:rPr>
        <w:t>קשרים החברתיים ו</w:t>
      </w:r>
      <w:r w:rsidRPr="00EA3DC8">
        <w:rPr>
          <w:rFonts w:hint="cs"/>
          <w:sz w:val="18"/>
          <w:szCs w:val="20"/>
          <w:rtl/>
        </w:rPr>
        <w:t>ה</w:t>
      </w:r>
      <w:r w:rsidRPr="00EA3DC8">
        <w:rPr>
          <w:sz w:val="18"/>
          <w:szCs w:val="20"/>
          <w:rtl/>
        </w:rPr>
        <w:t>מעורבות החברתית (</w:t>
      </w:r>
      <w:proofErr w:type="spellStart"/>
      <w:r w:rsidRPr="00EA3DC8">
        <w:rPr>
          <w:rFonts w:eastAsia="Calibri"/>
          <w:sz w:val="18"/>
          <w:szCs w:val="20"/>
        </w:rPr>
        <w:t>Haux</w:t>
      </w:r>
      <w:proofErr w:type="spellEnd"/>
      <w:r w:rsidRPr="00EA3DC8">
        <w:rPr>
          <w:rFonts w:eastAsia="Calibri"/>
          <w:sz w:val="18"/>
          <w:szCs w:val="20"/>
        </w:rPr>
        <w:t xml:space="preserve"> et al., 2012</w:t>
      </w:r>
      <w:r w:rsidRPr="00EA3DC8">
        <w:rPr>
          <w:sz w:val="18"/>
          <w:szCs w:val="20"/>
          <w:rtl/>
        </w:rPr>
        <w:t>). מאידך גיסא נמצא כי יציאה לעבודה אינה בהכרח מיטיבה את המצב הכללי (</w:t>
      </w:r>
      <w:proofErr w:type="spellStart"/>
      <w:r w:rsidRPr="00EA3DC8">
        <w:rPr>
          <w:sz w:val="18"/>
          <w:szCs w:val="20"/>
          <w:shd w:val="clear" w:color="auto" w:fill="FFFFFF"/>
        </w:rPr>
        <w:t>Albelda</w:t>
      </w:r>
      <w:proofErr w:type="spellEnd"/>
      <w:r w:rsidRPr="00EA3DC8">
        <w:rPr>
          <w:sz w:val="18"/>
          <w:szCs w:val="20"/>
          <w:shd w:val="clear" w:color="auto" w:fill="FFFFFF"/>
        </w:rPr>
        <w:t xml:space="preserve"> &amp; Shea, 2010; Boushey &amp; Gundersen, 2001</w:t>
      </w:r>
      <w:r w:rsidRPr="00EA3DC8">
        <w:rPr>
          <w:sz w:val="18"/>
          <w:szCs w:val="20"/>
          <w:rtl/>
        </w:rPr>
        <w:t>), משום שהיא עשויה להוביל לפגיעה במצב הבריאותי, הפיזי והנפשי (</w:t>
      </w:r>
      <w:proofErr w:type="spellStart"/>
      <w:r w:rsidRPr="00EA3DC8">
        <w:rPr>
          <w:sz w:val="18"/>
          <w:szCs w:val="20"/>
        </w:rPr>
        <w:t>Burgard</w:t>
      </w:r>
      <w:proofErr w:type="spellEnd"/>
      <w:r w:rsidRPr="00EA3DC8">
        <w:rPr>
          <w:sz w:val="18"/>
          <w:szCs w:val="20"/>
        </w:rPr>
        <w:t xml:space="preserve"> et al., 2012; McHardy, 2012; Sullivan &amp; </w:t>
      </w:r>
      <w:proofErr w:type="spellStart"/>
      <w:r w:rsidRPr="00EA3DC8">
        <w:rPr>
          <w:sz w:val="18"/>
          <w:szCs w:val="20"/>
        </w:rPr>
        <w:t>DeCoster</w:t>
      </w:r>
      <w:proofErr w:type="spellEnd"/>
      <w:r w:rsidRPr="00EA3DC8">
        <w:rPr>
          <w:sz w:val="18"/>
          <w:szCs w:val="20"/>
        </w:rPr>
        <w:t>, 2001</w:t>
      </w:r>
      <w:r w:rsidRPr="00EA3DC8">
        <w:rPr>
          <w:sz w:val="18"/>
          <w:szCs w:val="20"/>
          <w:rtl/>
        </w:rPr>
        <w:t>), לפגיעה בטיפול בילדים (</w:t>
      </w:r>
      <w:r w:rsidRPr="00EA3DC8">
        <w:rPr>
          <w:rFonts w:eastAsia="Calibri"/>
          <w:sz w:val="18"/>
          <w:szCs w:val="20"/>
        </w:rPr>
        <w:t xml:space="preserve">Cook, 2012; </w:t>
      </w:r>
      <w:r w:rsidRPr="00EA3DC8">
        <w:rPr>
          <w:sz w:val="18"/>
          <w:szCs w:val="20"/>
        </w:rPr>
        <w:t>Harden et al., 2012</w:t>
      </w:r>
      <w:r w:rsidRPr="00EA3DC8">
        <w:rPr>
          <w:sz w:val="18"/>
          <w:szCs w:val="20"/>
          <w:rtl/>
        </w:rPr>
        <w:t>) ובשביעות הרצון הכללית מהחיים (</w:t>
      </w:r>
      <w:r w:rsidRPr="00EA3DC8">
        <w:rPr>
          <w:rFonts w:eastAsia="Calibri"/>
          <w:sz w:val="18"/>
          <w:szCs w:val="20"/>
        </w:rPr>
        <w:t>Cook, 2012</w:t>
      </w:r>
      <w:r w:rsidRPr="00EA3DC8">
        <w:rPr>
          <w:sz w:val="18"/>
          <w:szCs w:val="20"/>
          <w:rtl/>
        </w:rPr>
        <w:t>).</w:t>
      </w:r>
    </w:p>
    <w:p w14:paraId="0A9226F7" w14:textId="628DFE15" w:rsidR="00926914" w:rsidRPr="00EA3DC8" w:rsidRDefault="00926914" w:rsidP="00606257">
      <w:pPr>
        <w:spacing w:after="180" w:line="280" w:lineRule="exact"/>
        <w:jc w:val="both"/>
        <w:rPr>
          <w:sz w:val="18"/>
          <w:szCs w:val="20"/>
          <w:rtl/>
        </w:rPr>
      </w:pPr>
      <w:r w:rsidRPr="00EA3DC8">
        <w:rPr>
          <w:sz w:val="18"/>
          <w:szCs w:val="20"/>
          <w:rtl/>
        </w:rPr>
        <w:t xml:space="preserve">הממצא </w:t>
      </w:r>
      <w:r w:rsidRPr="00EA3DC8">
        <w:rPr>
          <w:rFonts w:hint="cs"/>
          <w:sz w:val="18"/>
          <w:szCs w:val="20"/>
          <w:rtl/>
        </w:rPr>
        <w:t xml:space="preserve">ולפיו </w:t>
      </w:r>
      <w:r w:rsidRPr="00EA3DC8">
        <w:rPr>
          <w:sz w:val="18"/>
          <w:szCs w:val="20"/>
          <w:rtl/>
        </w:rPr>
        <w:t xml:space="preserve">ההעדפה התעסוקתית של המשתתפים היא תוצר של מערכת שיקולים הוליסטית הולם את התפיסה המקובלת בקרב חוקרים וקובעי מדיניות, </w:t>
      </w:r>
      <w:r w:rsidRPr="00EA3DC8">
        <w:rPr>
          <w:rFonts w:hint="cs"/>
          <w:sz w:val="18"/>
          <w:szCs w:val="20"/>
          <w:rtl/>
        </w:rPr>
        <w:t xml:space="preserve">ולפיה </w:t>
      </w:r>
      <w:r w:rsidRPr="00EA3DC8">
        <w:rPr>
          <w:sz w:val="18"/>
          <w:szCs w:val="20"/>
          <w:rtl/>
        </w:rPr>
        <w:t>עוני הוא תופעה רב-ממדית (</w:t>
      </w:r>
      <w:proofErr w:type="spellStart"/>
      <w:r w:rsidRPr="00EA3DC8">
        <w:rPr>
          <w:sz w:val="18"/>
          <w:szCs w:val="20"/>
          <w:shd w:val="clear" w:color="auto" w:fill="FFFFFF"/>
        </w:rPr>
        <w:t>Alkire</w:t>
      </w:r>
      <w:proofErr w:type="spellEnd"/>
      <w:r w:rsidRPr="00EA3DC8">
        <w:rPr>
          <w:sz w:val="18"/>
          <w:szCs w:val="20"/>
        </w:rPr>
        <w:t xml:space="preserve"> et al., 2015; Lister, 2004</w:t>
      </w:r>
      <w:r w:rsidRPr="00EA3DC8">
        <w:rPr>
          <w:sz w:val="18"/>
          <w:szCs w:val="20"/>
          <w:rtl/>
        </w:rPr>
        <w:t xml:space="preserve">). לתפיסה זו תרמה גישת היכולות שפיתח הכלכלן </w:t>
      </w:r>
      <w:proofErr w:type="spellStart"/>
      <w:r w:rsidRPr="00EA3DC8">
        <w:rPr>
          <w:sz w:val="18"/>
          <w:szCs w:val="20"/>
          <w:rtl/>
        </w:rPr>
        <w:t>אמרטייה</w:t>
      </w:r>
      <w:proofErr w:type="spellEnd"/>
      <w:r w:rsidRPr="00EA3DC8">
        <w:rPr>
          <w:sz w:val="18"/>
          <w:szCs w:val="20"/>
          <w:rtl/>
        </w:rPr>
        <w:t xml:space="preserve"> סן (</w:t>
      </w:r>
      <w:r w:rsidRPr="00EA3DC8">
        <w:rPr>
          <w:sz w:val="18"/>
          <w:szCs w:val="20"/>
        </w:rPr>
        <w:t>Sen, 1992</w:t>
      </w:r>
      <w:r w:rsidRPr="00EA3DC8">
        <w:rPr>
          <w:sz w:val="18"/>
          <w:szCs w:val="20"/>
          <w:rtl/>
        </w:rPr>
        <w:t>)</w:t>
      </w:r>
      <w:r w:rsidRPr="00EA3DC8">
        <w:rPr>
          <w:rFonts w:hint="cs"/>
          <w:sz w:val="18"/>
          <w:szCs w:val="20"/>
          <w:rtl/>
        </w:rPr>
        <w:t xml:space="preserve">, ולפיה </w:t>
      </w:r>
      <w:r w:rsidRPr="00304F18">
        <w:rPr>
          <w:b/>
          <w:bCs/>
          <w:sz w:val="18"/>
          <w:szCs w:val="20"/>
          <w:rtl/>
        </w:rPr>
        <w:t>עוני</w:t>
      </w:r>
      <w:r w:rsidRPr="00EA3DC8">
        <w:rPr>
          <w:sz w:val="18"/>
          <w:szCs w:val="20"/>
          <w:rtl/>
        </w:rPr>
        <w:t xml:space="preserve"> הוא חוסר יכולת בסיסית לרכוש רמת חיים מקובלת בסיסית במגוון תחומים: תנאי מחיה חומריים (הכנסה, צריכה ורכוש), בריאות, השכלה, פעילות אישית (לרבות עבודה והשתתפות פוליטית), קשרים ויחסים חברתיים, סביבה וביטחון כלכלי ופיזי (</w:t>
      </w:r>
      <w:r w:rsidRPr="00EA3DC8">
        <w:rPr>
          <w:sz w:val="18"/>
          <w:szCs w:val="20"/>
        </w:rPr>
        <w:t>Stiglitz, Sen, &amp; Fitoussi, 2009</w:t>
      </w:r>
      <w:r w:rsidRPr="00EA3DC8">
        <w:rPr>
          <w:sz w:val="18"/>
          <w:szCs w:val="20"/>
          <w:rtl/>
        </w:rPr>
        <w:t xml:space="preserve">). בהתאם לגישה הרב-ממדית, הרואה את כלל הממדים כחשובים לאיכות החיים, נראה כי גם החלטת המשתתפות </w:t>
      </w:r>
      <w:r w:rsidRPr="00EA3DC8">
        <w:rPr>
          <w:rFonts w:hint="cs"/>
          <w:sz w:val="18"/>
          <w:szCs w:val="20"/>
          <w:rtl/>
        </w:rPr>
        <w:t xml:space="preserve">לצאת לעבודה או להימנע מעבודה </w:t>
      </w:r>
      <w:r w:rsidRPr="00EA3DC8">
        <w:rPr>
          <w:sz w:val="18"/>
          <w:szCs w:val="20"/>
          <w:rtl/>
        </w:rPr>
        <w:t xml:space="preserve">מביאה בחשבון את מכלול ממדי החיים ואת ההשלכות ההוליסטיות שיהיו לכך על חייהן. אפשר לתאר מערך שיקולים זה כמטוטלת הנעה בין שיקולי </w:t>
      </w:r>
      <w:r w:rsidRPr="00EA3DC8">
        <w:rPr>
          <w:rFonts w:hint="cs"/>
          <w:sz w:val="18"/>
          <w:szCs w:val="20"/>
          <w:rtl/>
        </w:rPr>
        <w:t xml:space="preserve">לחיוב לשיקולים לשלילה. </w:t>
      </w:r>
      <w:r w:rsidRPr="00EA3DC8">
        <w:rPr>
          <w:sz w:val="18"/>
          <w:szCs w:val="20"/>
          <w:rtl/>
        </w:rPr>
        <w:t xml:space="preserve">ככל שהתועלת ההוליסטית מן היציאה לעבודה קטנה </w:t>
      </w:r>
      <w:r w:rsidRPr="00EA3DC8">
        <w:rPr>
          <w:rFonts w:hint="cs"/>
          <w:sz w:val="18"/>
          <w:szCs w:val="20"/>
          <w:rtl/>
        </w:rPr>
        <w:t xml:space="preserve">כך </w:t>
      </w:r>
      <w:r w:rsidRPr="00EA3DC8">
        <w:rPr>
          <w:sz w:val="18"/>
          <w:szCs w:val="20"/>
          <w:rtl/>
        </w:rPr>
        <w:t xml:space="preserve">מידת ההשתתפות בשוק העבודה קטנה, ולהפך: ככל שהתועלת ההוליסטית גדלה </w:t>
      </w:r>
      <w:r w:rsidRPr="00EA3DC8">
        <w:rPr>
          <w:rFonts w:hint="cs"/>
          <w:sz w:val="18"/>
          <w:szCs w:val="20"/>
          <w:rtl/>
        </w:rPr>
        <w:t xml:space="preserve">כך </w:t>
      </w:r>
      <w:r w:rsidRPr="00EA3DC8">
        <w:rPr>
          <w:sz w:val="18"/>
          <w:szCs w:val="20"/>
          <w:rtl/>
        </w:rPr>
        <w:t xml:space="preserve">מידת ההשתתפות גדלה. ממצאי </w:t>
      </w:r>
      <w:r w:rsidRPr="00EA3DC8">
        <w:rPr>
          <w:rFonts w:hint="cs"/>
          <w:sz w:val="18"/>
          <w:szCs w:val="20"/>
          <w:rtl/>
        </w:rPr>
        <w:t>הניתוח הרב-משתני</w:t>
      </w:r>
      <w:r w:rsidRPr="00EA3DC8">
        <w:rPr>
          <w:sz w:val="18"/>
          <w:szCs w:val="20"/>
          <w:rtl/>
        </w:rPr>
        <w:t xml:space="preserve"> מחזקים זאת, ומעידים כי יש קשר בין </w:t>
      </w:r>
      <w:r w:rsidRPr="00EA3DC8">
        <w:rPr>
          <w:rFonts w:hint="cs"/>
          <w:sz w:val="18"/>
          <w:szCs w:val="20"/>
          <w:rtl/>
        </w:rPr>
        <w:t xml:space="preserve">המאפיינים האישיים של הפרט </w:t>
      </w:r>
      <w:r w:rsidRPr="00EA3DC8">
        <w:rPr>
          <w:sz w:val="18"/>
          <w:szCs w:val="20"/>
          <w:rtl/>
        </w:rPr>
        <w:t>–</w:t>
      </w:r>
      <w:r w:rsidRPr="00EA3DC8">
        <w:rPr>
          <w:rFonts w:hint="cs"/>
          <w:sz w:val="18"/>
          <w:szCs w:val="20"/>
          <w:rtl/>
        </w:rPr>
        <w:t xml:space="preserve"> רקע, הון אנושי ומצב הבריאות </w:t>
      </w:r>
      <w:r w:rsidRPr="00EA3DC8">
        <w:rPr>
          <w:sz w:val="18"/>
          <w:szCs w:val="20"/>
          <w:rtl/>
        </w:rPr>
        <w:t>– לבין מידת ההשתתפות בשוק העבודה</w:t>
      </w:r>
      <w:r w:rsidRPr="00EA3DC8">
        <w:rPr>
          <w:rFonts w:hint="cs"/>
          <w:sz w:val="18"/>
          <w:szCs w:val="20"/>
          <w:rtl/>
        </w:rPr>
        <w:t>. מי שמאפייניו חזקים יותר הוא בעל הסתברות גבוהה יותר לעבוד באופן עקבי וממושך יותר.</w:t>
      </w:r>
      <w:r w:rsidRPr="00EA3DC8">
        <w:rPr>
          <w:sz w:val="18"/>
          <w:szCs w:val="20"/>
          <w:rtl/>
        </w:rPr>
        <w:t xml:space="preserve"> </w:t>
      </w:r>
    </w:p>
    <w:p w14:paraId="23ED873B" w14:textId="77777777" w:rsidR="00926914" w:rsidRPr="00EA3DC8" w:rsidRDefault="00926914" w:rsidP="00EA3DC8">
      <w:pPr>
        <w:spacing w:after="180" w:line="280" w:lineRule="exact"/>
        <w:jc w:val="both"/>
        <w:rPr>
          <w:sz w:val="18"/>
          <w:szCs w:val="20"/>
          <w:rtl/>
        </w:rPr>
      </w:pPr>
      <w:r w:rsidRPr="00EA3DC8">
        <w:rPr>
          <w:sz w:val="18"/>
          <w:szCs w:val="20"/>
          <w:rtl/>
        </w:rPr>
        <w:t xml:space="preserve">התבוננות הוליסטית זו מלמדת כי ניסיונם של </w:t>
      </w:r>
      <w:r w:rsidRPr="00EA3DC8">
        <w:rPr>
          <w:rFonts w:hint="cs"/>
          <w:sz w:val="18"/>
          <w:szCs w:val="20"/>
          <w:rtl/>
        </w:rPr>
        <w:t>ה</w:t>
      </w:r>
      <w:r w:rsidRPr="00EA3DC8">
        <w:rPr>
          <w:sz w:val="18"/>
          <w:szCs w:val="20"/>
          <w:rtl/>
        </w:rPr>
        <w:t>משתתפי</w:t>
      </w:r>
      <w:r w:rsidRPr="00EA3DC8">
        <w:rPr>
          <w:rFonts w:hint="cs"/>
          <w:sz w:val="18"/>
          <w:szCs w:val="20"/>
          <w:rtl/>
        </w:rPr>
        <w:t>ם ב</w:t>
      </w:r>
      <w:r w:rsidRPr="00EA3DC8">
        <w:rPr>
          <w:sz w:val="18"/>
          <w:szCs w:val="20"/>
          <w:rtl/>
        </w:rPr>
        <w:t xml:space="preserve">מחקר לשפר את מצבם התעסוקתי עשוי לפגוע בממדים אחרים הנחשבים מהותיים לאיכות חייהם. הבחירה שלא לעבוד אינה נובעת מנוֹחוּת, </w:t>
      </w:r>
      <w:r w:rsidRPr="00EA3DC8">
        <w:rPr>
          <w:rFonts w:hint="cs"/>
          <w:sz w:val="18"/>
          <w:szCs w:val="20"/>
          <w:rtl/>
        </w:rPr>
        <w:t>מ</w:t>
      </w:r>
      <w:r w:rsidRPr="00EA3DC8">
        <w:rPr>
          <w:sz w:val="18"/>
          <w:szCs w:val="20"/>
          <w:rtl/>
        </w:rPr>
        <w:t xml:space="preserve">עצלנות או </w:t>
      </w:r>
      <w:r w:rsidRPr="00EA3DC8">
        <w:rPr>
          <w:rFonts w:hint="cs"/>
          <w:sz w:val="18"/>
          <w:szCs w:val="20"/>
          <w:rtl/>
        </w:rPr>
        <w:t>מ</w:t>
      </w:r>
      <w:r w:rsidRPr="00EA3DC8">
        <w:rPr>
          <w:sz w:val="18"/>
          <w:szCs w:val="20"/>
          <w:rtl/>
        </w:rPr>
        <w:t>חוסר מוטיבציה, כפי שעולה לעיתים מהספרות ומהשיח הציבורי</w:t>
      </w:r>
      <w:r w:rsidRPr="00EA3DC8">
        <w:rPr>
          <w:rFonts w:hint="cs"/>
          <w:sz w:val="18"/>
          <w:szCs w:val="20"/>
          <w:rtl/>
        </w:rPr>
        <w:t xml:space="preserve"> </w:t>
      </w:r>
      <w:r w:rsidRPr="00EA3DC8">
        <w:rPr>
          <w:sz w:val="18"/>
          <w:szCs w:val="20"/>
          <w:rtl/>
        </w:rPr>
        <w:t>(</w:t>
      </w:r>
      <w:proofErr w:type="spellStart"/>
      <w:r w:rsidRPr="00EA3DC8">
        <w:rPr>
          <w:sz w:val="18"/>
          <w:szCs w:val="20"/>
          <w:shd w:val="clear" w:color="auto" w:fill="FFFFFF"/>
        </w:rPr>
        <w:t>Baumberg</w:t>
      </w:r>
      <w:proofErr w:type="spellEnd"/>
      <w:r w:rsidRPr="00EA3DC8">
        <w:rPr>
          <w:sz w:val="18"/>
          <w:szCs w:val="20"/>
          <w:shd w:val="clear" w:color="auto" w:fill="FFFFFF"/>
        </w:rPr>
        <w:t xml:space="preserve">, 2016; </w:t>
      </w:r>
      <w:proofErr w:type="spellStart"/>
      <w:r w:rsidRPr="00EA3DC8">
        <w:rPr>
          <w:sz w:val="18"/>
          <w:szCs w:val="20"/>
          <w:shd w:val="clear" w:color="auto" w:fill="FFFFFF"/>
        </w:rPr>
        <w:t>Gans</w:t>
      </w:r>
      <w:proofErr w:type="spellEnd"/>
      <w:r w:rsidRPr="00EA3DC8">
        <w:rPr>
          <w:rFonts w:eastAsia="Calibri"/>
          <w:sz w:val="18"/>
          <w:szCs w:val="20"/>
        </w:rPr>
        <w:t>, 2009;</w:t>
      </w:r>
      <w:r w:rsidRPr="00EA3DC8">
        <w:rPr>
          <w:sz w:val="18"/>
          <w:szCs w:val="20"/>
          <w:shd w:val="clear" w:color="auto" w:fill="FFFFFF"/>
        </w:rPr>
        <w:t xml:space="preserve"> Reutter et al., 2009</w:t>
      </w:r>
      <w:r w:rsidRPr="00EA3DC8">
        <w:rPr>
          <w:sz w:val="18"/>
          <w:szCs w:val="20"/>
          <w:rtl/>
        </w:rPr>
        <w:t xml:space="preserve">). </w:t>
      </w:r>
      <w:r w:rsidRPr="00EA3DC8" w:rsidDel="00790E6C">
        <w:rPr>
          <w:sz w:val="18"/>
          <w:szCs w:val="20"/>
          <w:rtl/>
        </w:rPr>
        <w:t>ממצאים אלו מ</w:t>
      </w:r>
      <w:r w:rsidRPr="00EA3DC8">
        <w:rPr>
          <w:rFonts w:hint="cs"/>
          <w:sz w:val="18"/>
          <w:szCs w:val="20"/>
          <w:rtl/>
        </w:rPr>
        <w:t xml:space="preserve">קבלים אישוש </w:t>
      </w:r>
      <w:r w:rsidRPr="00EA3DC8">
        <w:rPr>
          <w:sz w:val="18"/>
          <w:szCs w:val="20"/>
          <w:rtl/>
        </w:rPr>
        <w:t>ב</w:t>
      </w:r>
      <w:r w:rsidRPr="00EA3DC8" w:rsidDel="00790E6C">
        <w:rPr>
          <w:sz w:val="18"/>
          <w:szCs w:val="20"/>
          <w:rtl/>
        </w:rPr>
        <w:t>מחקרם של וולף ודה-שליט</w:t>
      </w:r>
      <w:r w:rsidRPr="00EA3DC8">
        <w:rPr>
          <w:sz w:val="18"/>
          <w:szCs w:val="20"/>
          <w:rtl/>
        </w:rPr>
        <w:t xml:space="preserve"> (</w:t>
      </w:r>
      <w:r w:rsidRPr="00EA3DC8">
        <w:rPr>
          <w:rFonts w:eastAsia="Calibri"/>
          <w:sz w:val="18"/>
          <w:szCs w:val="20"/>
        </w:rPr>
        <w:t>Wolff &amp;</w:t>
      </w:r>
      <w:r w:rsidRPr="00EA3DC8" w:rsidDel="00790E6C">
        <w:rPr>
          <w:rFonts w:eastAsia="Calibri"/>
          <w:sz w:val="18"/>
          <w:szCs w:val="20"/>
        </w:rPr>
        <w:t xml:space="preserve"> </w:t>
      </w:r>
      <w:r w:rsidRPr="00EA3DC8">
        <w:rPr>
          <w:rFonts w:eastAsia="Calibri"/>
          <w:sz w:val="18"/>
          <w:szCs w:val="20"/>
        </w:rPr>
        <w:t>d</w:t>
      </w:r>
      <w:r w:rsidRPr="00EA3DC8" w:rsidDel="00790E6C">
        <w:rPr>
          <w:rFonts w:eastAsia="Calibri"/>
          <w:sz w:val="18"/>
          <w:szCs w:val="20"/>
        </w:rPr>
        <w:t>e-Shalit, 2007</w:t>
      </w:r>
      <w:r w:rsidRPr="00EA3DC8">
        <w:rPr>
          <w:sz w:val="18"/>
          <w:szCs w:val="20"/>
          <w:rtl/>
        </w:rPr>
        <w:t>)</w:t>
      </w:r>
      <w:r w:rsidRPr="00EA3DC8">
        <w:rPr>
          <w:rFonts w:hint="cs"/>
          <w:sz w:val="18"/>
          <w:szCs w:val="20"/>
          <w:rtl/>
        </w:rPr>
        <w:t xml:space="preserve">. הללו </w:t>
      </w:r>
      <w:r w:rsidRPr="00EA3DC8" w:rsidDel="00790E6C">
        <w:rPr>
          <w:sz w:val="18"/>
          <w:szCs w:val="20"/>
          <w:rtl/>
        </w:rPr>
        <w:t>מרחיבים את גישת היכולות של סן</w:t>
      </w:r>
      <w:r w:rsidRPr="00EA3DC8">
        <w:rPr>
          <w:sz w:val="18"/>
          <w:szCs w:val="20"/>
          <w:rtl/>
        </w:rPr>
        <w:t>,</w:t>
      </w:r>
      <w:r w:rsidRPr="00EA3DC8" w:rsidDel="00790E6C">
        <w:rPr>
          <w:sz w:val="18"/>
          <w:szCs w:val="20"/>
          <w:rtl/>
        </w:rPr>
        <w:t xml:space="preserve"> </w:t>
      </w:r>
      <w:r w:rsidRPr="00EA3DC8">
        <w:rPr>
          <w:rFonts w:hint="cs"/>
          <w:sz w:val="18"/>
          <w:szCs w:val="20"/>
          <w:rtl/>
        </w:rPr>
        <w:t>המצביע</w:t>
      </w:r>
      <w:r w:rsidRPr="00EA3DC8" w:rsidDel="00790E6C">
        <w:rPr>
          <w:sz w:val="18"/>
          <w:szCs w:val="20"/>
          <w:rtl/>
        </w:rPr>
        <w:t xml:space="preserve"> על </w:t>
      </w:r>
      <w:r w:rsidRPr="00EA3DC8" w:rsidDel="00790E6C">
        <w:rPr>
          <w:rFonts w:eastAsia="Calibri"/>
          <w:sz w:val="18"/>
          <w:szCs w:val="20"/>
          <w:rtl/>
        </w:rPr>
        <w:t>קשר בין ממדים שונים</w:t>
      </w:r>
      <w:r w:rsidRPr="00EA3DC8">
        <w:rPr>
          <w:rFonts w:eastAsia="Calibri"/>
          <w:sz w:val="18"/>
          <w:szCs w:val="20"/>
          <w:rtl/>
        </w:rPr>
        <w:t xml:space="preserve"> </w:t>
      </w:r>
      <w:r w:rsidRPr="00EA3DC8">
        <w:rPr>
          <w:rFonts w:eastAsia="Calibri" w:hint="cs"/>
          <w:sz w:val="18"/>
          <w:szCs w:val="20"/>
          <w:rtl/>
        </w:rPr>
        <w:t>באופן שבו</w:t>
      </w:r>
      <w:r w:rsidRPr="00EA3DC8">
        <w:rPr>
          <w:rFonts w:eastAsia="Calibri"/>
          <w:sz w:val="18"/>
          <w:szCs w:val="20"/>
          <w:rtl/>
        </w:rPr>
        <w:t xml:space="preserve"> </w:t>
      </w:r>
      <w:r w:rsidRPr="00EA3DC8" w:rsidDel="00790E6C">
        <w:rPr>
          <w:rFonts w:eastAsia="Calibri"/>
          <w:sz w:val="18"/>
          <w:szCs w:val="20"/>
          <w:rtl/>
        </w:rPr>
        <w:t xml:space="preserve">שיפור בממד </w:t>
      </w:r>
      <w:r w:rsidRPr="00EA3DC8">
        <w:rPr>
          <w:rFonts w:eastAsia="Calibri"/>
          <w:sz w:val="18"/>
          <w:szCs w:val="20"/>
          <w:rtl/>
        </w:rPr>
        <w:t xml:space="preserve">אחד יכול </w:t>
      </w:r>
      <w:r w:rsidRPr="00EA3DC8" w:rsidDel="00790E6C">
        <w:rPr>
          <w:rFonts w:eastAsia="Calibri"/>
          <w:sz w:val="18"/>
          <w:szCs w:val="20"/>
          <w:rtl/>
        </w:rPr>
        <w:t xml:space="preserve">להוביל להטבה או </w:t>
      </w:r>
      <w:r w:rsidRPr="00EA3DC8">
        <w:rPr>
          <w:rFonts w:eastAsia="Calibri" w:hint="cs"/>
          <w:sz w:val="18"/>
          <w:szCs w:val="20"/>
          <w:rtl/>
        </w:rPr>
        <w:t>ל</w:t>
      </w:r>
      <w:r w:rsidRPr="00EA3DC8" w:rsidDel="00790E6C">
        <w:rPr>
          <w:rFonts w:eastAsia="Calibri"/>
          <w:sz w:val="18"/>
          <w:szCs w:val="20"/>
          <w:rtl/>
        </w:rPr>
        <w:t>החמרה בממדים אחרים. לטענתם</w:t>
      </w:r>
      <w:r w:rsidRPr="00EA3DC8">
        <w:rPr>
          <w:rFonts w:eastAsia="Calibri"/>
          <w:sz w:val="18"/>
          <w:szCs w:val="20"/>
          <w:rtl/>
        </w:rPr>
        <w:t>,</w:t>
      </w:r>
      <w:r w:rsidRPr="00EA3DC8" w:rsidDel="00790E6C">
        <w:rPr>
          <w:rFonts w:eastAsia="Calibri"/>
          <w:sz w:val="18"/>
          <w:szCs w:val="20"/>
          <w:rtl/>
        </w:rPr>
        <w:t xml:space="preserve"> </w:t>
      </w:r>
      <w:r w:rsidRPr="00EA3DC8">
        <w:rPr>
          <w:rFonts w:eastAsia="Calibri"/>
          <w:sz w:val="18"/>
          <w:szCs w:val="20"/>
          <w:rtl/>
        </w:rPr>
        <w:t xml:space="preserve">במצב של </w:t>
      </w:r>
      <w:r w:rsidRPr="00EA3DC8" w:rsidDel="00790E6C">
        <w:rPr>
          <w:rFonts w:eastAsia="Calibri"/>
          <w:sz w:val="18"/>
          <w:szCs w:val="20"/>
          <w:rtl/>
        </w:rPr>
        <w:t xml:space="preserve">עוני </w:t>
      </w:r>
      <w:r w:rsidRPr="00EA3DC8">
        <w:rPr>
          <w:rFonts w:eastAsia="Calibri"/>
          <w:sz w:val="18"/>
          <w:szCs w:val="20"/>
          <w:rtl/>
        </w:rPr>
        <w:t xml:space="preserve">פתרון </w:t>
      </w:r>
      <w:r w:rsidRPr="00EA3DC8" w:rsidDel="00790E6C">
        <w:rPr>
          <w:sz w:val="18"/>
          <w:szCs w:val="20"/>
          <w:shd w:val="clear" w:color="auto" w:fill="FFFFFF"/>
          <w:rtl/>
        </w:rPr>
        <w:t xml:space="preserve">בעיותיו הקיומיות </w:t>
      </w:r>
      <w:r w:rsidRPr="00EA3DC8">
        <w:rPr>
          <w:sz w:val="18"/>
          <w:szCs w:val="20"/>
          <w:shd w:val="clear" w:color="auto" w:fill="FFFFFF"/>
          <w:rtl/>
        </w:rPr>
        <w:t xml:space="preserve">של האדם מעורר </w:t>
      </w:r>
      <w:r w:rsidRPr="00EA3DC8" w:rsidDel="00790E6C">
        <w:rPr>
          <w:sz w:val="18"/>
          <w:szCs w:val="20"/>
          <w:shd w:val="clear" w:color="auto" w:fill="FFFFFF"/>
          <w:rtl/>
        </w:rPr>
        <w:t>בעיות אחרות. למשל</w:t>
      </w:r>
      <w:r w:rsidRPr="00EA3DC8">
        <w:rPr>
          <w:sz w:val="18"/>
          <w:szCs w:val="20"/>
          <w:shd w:val="clear" w:color="auto" w:fill="FFFFFF"/>
          <w:rtl/>
        </w:rPr>
        <w:t>,</w:t>
      </w:r>
      <w:r w:rsidRPr="00EA3DC8" w:rsidDel="00790E6C">
        <w:rPr>
          <w:sz w:val="18"/>
          <w:szCs w:val="20"/>
          <w:shd w:val="clear" w:color="auto" w:fill="FFFFFF"/>
          <w:rtl/>
        </w:rPr>
        <w:t xml:space="preserve"> כדי </w:t>
      </w:r>
      <w:r w:rsidRPr="00EA3DC8">
        <w:rPr>
          <w:sz w:val="18"/>
          <w:szCs w:val="20"/>
          <w:shd w:val="clear" w:color="auto" w:fill="FFFFFF"/>
          <w:rtl/>
        </w:rPr>
        <w:t xml:space="preserve">לקנות </w:t>
      </w:r>
      <w:r w:rsidRPr="00EA3DC8" w:rsidDel="00790E6C">
        <w:rPr>
          <w:sz w:val="18"/>
          <w:szCs w:val="20"/>
          <w:shd w:val="clear" w:color="auto" w:fill="FFFFFF"/>
          <w:rtl/>
        </w:rPr>
        <w:t xml:space="preserve">אוכל למשפחתו עלול </w:t>
      </w:r>
      <w:r w:rsidRPr="00EA3DC8">
        <w:rPr>
          <w:sz w:val="18"/>
          <w:szCs w:val="20"/>
          <w:shd w:val="clear" w:color="auto" w:fill="FFFFFF"/>
          <w:rtl/>
        </w:rPr>
        <w:t xml:space="preserve">האדם החי בעוני להימנע מתשלום </w:t>
      </w:r>
      <w:r w:rsidRPr="00EA3DC8" w:rsidDel="00790E6C">
        <w:rPr>
          <w:sz w:val="18"/>
          <w:szCs w:val="20"/>
          <w:shd w:val="clear" w:color="auto" w:fill="FFFFFF"/>
          <w:rtl/>
        </w:rPr>
        <w:t xml:space="preserve">חשבונות או </w:t>
      </w:r>
      <w:r w:rsidRPr="00EA3DC8">
        <w:rPr>
          <w:sz w:val="18"/>
          <w:szCs w:val="20"/>
          <w:shd w:val="clear" w:color="auto" w:fill="FFFFFF"/>
          <w:rtl/>
        </w:rPr>
        <w:t xml:space="preserve">מרכישת </w:t>
      </w:r>
      <w:r w:rsidRPr="00EA3DC8" w:rsidDel="00790E6C">
        <w:rPr>
          <w:sz w:val="18"/>
          <w:szCs w:val="20"/>
          <w:shd w:val="clear" w:color="auto" w:fill="FFFFFF"/>
          <w:rtl/>
        </w:rPr>
        <w:t>תרופות חיוניות, ובכך להחמיר את מצבו ומצב משפחתו. כשהמוחלשות מתפשטת מאובדן תפקוד אחד לשני ולשלישי</w:t>
      </w:r>
      <w:r w:rsidRPr="00EA3DC8">
        <w:rPr>
          <w:sz w:val="18"/>
          <w:szCs w:val="20"/>
          <w:shd w:val="clear" w:color="auto" w:fill="FFFFFF"/>
          <w:rtl/>
        </w:rPr>
        <w:t xml:space="preserve"> </w:t>
      </w:r>
      <w:r w:rsidRPr="00EA3DC8" w:rsidDel="00790E6C">
        <w:rPr>
          <w:sz w:val="18"/>
          <w:szCs w:val="20"/>
          <w:shd w:val="clear" w:color="auto" w:fill="FFFFFF"/>
          <w:rtl/>
        </w:rPr>
        <w:t>היא נעשית</w:t>
      </w:r>
      <w:r w:rsidRPr="00EA3DC8">
        <w:rPr>
          <w:sz w:val="18"/>
          <w:szCs w:val="20"/>
          <w:shd w:val="clear" w:color="auto" w:fill="FFFFFF"/>
          <w:rtl/>
        </w:rPr>
        <w:t xml:space="preserve"> </w:t>
      </w:r>
      <w:r w:rsidRPr="00EA3DC8">
        <w:rPr>
          <w:sz w:val="18"/>
          <w:szCs w:val="20"/>
          <w:shd w:val="clear" w:color="auto" w:fill="FFFFFF"/>
          <w:rtl/>
        </w:rPr>
        <w:lastRenderedPageBreak/>
        <w:t>מסוכנת</w:t>
      </w:r>
      <w:r w:rsidRPr="00EA3DC8" w:rsidDel="00790E6C">
        <w:rPr>
          <w:sz w:val="18"/>
          <w:szCs w:val="20"/>
          <w:shd w:val="clear" w:color="auto" w:fill="FFFFFF"/>
          <w:rtl/>
        </w:rPr>
        <w:t>, כיו</w:t>
      </w:r>
      <w:r w:rsidRPr="00EA3DC8">
        <w:rPr>
          <w:sz w:val="18"/>
          <w:szCs w:val="20"/>
          <w:shd w:val="clear" w:color="auto" w:fill="FFFFFF"/>
          <w:rtl/>
        </w:rPr>
        <w:t>ו</w:t>
      </w:r>
      <w:r w:rsidRPr="00EA3DC8" w:rsidDel="00790E6C">
        <w:rPr>
          <w:sz w:val="18"/>
          <w:szCs w:val="20"/>
          <w:shd w:val="clear" w:color="auto" w:fill="FFFFFF"/>
          <w:rtl/>
        </w:rPr>
        <w:t xml:space="preserve">ן שנוצרים מקבצים של מצבי מוחלשות שהפרט או המשפחה אינם מסוגלים להם. </w:t>
      </w:r>
      <w:r w:rsidRPr="00EA3DC8" w:rsidDel="00790E6C">
        <w:rPr>
          <w:sz w:val="18"/>
          <w:szCs w:val="20"/>
          <w:rtl/>
        </w:rPr>
        <w:t xml:space="preserve">מחקרם מצביע על הצורך בחשיבה הוליסטית ומערכתית </w:t>
      </w:r>
      <w:r w:rsidRPr="00EA3DC8">
        <w:rPr>
          <w:sz w:val="18"/>
          <w:szCs w:val="20"/>
          <w:rtl/>
        </w:rPr>
        <w:t>כדי להימנע מ</w:t>
      </w:r>
      <w:r w:rsidRPr="00EA3DC8" w:rsidDel="00790E6C">
        <w:rPr>
          <w:sz w:val="18"/>
          <w:szCs w:val="20"/>
          <w:rtl/>
        </w:rPr>
        <w:t xml:space="preserve">מצב </w:t>
      </w:r>
      <w:r w:rsidRPr="00EA3DC8">
        <w:rPr>
          <w:sz w:val="18"/>
          <w:szCs w:val="20"/>
          <w:rtl/>
        </w:rPr>
        <w:t>ש</w:t>
      </w:r>
      <w:r w:rsidRPr="00EA3DC8" w:rsidDel="00790E6C">
        <w:rPr>
          <w:sz w:val="18"/>
          <w:szCs w:val="20"/>
          <w:rtl/>
        </w:rPr>
        <w:t xml:space="preserve">בו ניסיון הפרט לשפר את מצב התעסוקה </w:t>
      </w:r>
      <w:r w:rsidRPr="00EA3DC8">
        <w:rPr>
          <w:sz w:val="18"/>
          <w:szCs w:val="20"/>
          <w:rtl/>
        </w:rPr>
        <w:t xml:space="preserve">שלו פוגע </w:t>
      </w:r>
      <w:r w:rsidRPr="00EA3DC8" w:rsidDel="00790E6C">
        <w:rPr>
          <w:sz w:val="18"/>
          <w:szCs w:val="20"/>
          <w:rtl/>
        </w:rPr>
        <w:t xml:space="preserve">בממדים </w:t>
      </w:r>
      <w:r w:rsidRPr="00EA3DC8">
        <w:rPr>
          <w:sz w:val="18"/>
          <w:szCs w:val="20"/>
          <w:rtl/>
        </w:rPr>
        <w:t>ה</w:t>
      </w:r>
      <w:r w:rsidRPr="00EA3DC8" w:rsidDel="00790E6C">
        <w:rPr>
          <w:sz w:val="18"/>
          <w:szCs w:val="20"/>
          <w:rtl/>
        </w:rPr>
        <w:t xml:space="preserve">אחרים. </w:t>
      </w:r>
    </w:p>
    <w:p w14:paraId="6A69B06F" w14:textId="77777777" w:rsidR="00926914" w:rsidRPr="00EA3DC8" w:rsidRDefault="00926914" w:rsidP="00EA3DC8">
      <w:pPr>
        <w:spacing w:after="180" w:line="280" w:lineRule="exact"/>
        <w:jc w:val="both"/>
        <w:rPr>
          <w:sz w:val="18"/>
          <w:szCs w:val="20"/>
          <w:rtl/>
        </w:rPr>
      </w:pPr>
      <w:r w:rsidRPr="00EA3DC8">
        <w:rPr>
          <w:rFonts w:hint="cs"/>
          <w:sz w:val="18"/>
          <w:szCs w:val="20"/>
          <w:rtl/>
        </w:rPr>
        <w:t>אשר</w:t>
      </w:r>
      <w:r w:rsidRPr="00EA3DC8">
        <w:rPr>
          <w:sz w:val="18"/>
          <w:szCs w:val="20"/>
          <w:rtl/>
        </w:rPr>
        <w:t xml:space="preserve"> לשעות העבודה של המשתתפים</w:t>
      </w:r>
      <w:r w:rsidRPr="00EA3DC8">
        <w:rPr>
          <w:rFonts w:hint="cs"/>
          <w:sz w:val="18"/>
          <w:szCs w:val="20"/>
          <w:rtl/>
        </w:rPr>
        <w:t>,</w:t>
      </w:r>
      <w:r w:rsidRPr="00EA3DC8">
        <w:rPr>
          <w:sz w:val="18"/>
          <w:szCs w:val="20"/>
          <w:rtl/>
        </w:rPr>
        <w:t xml:space="preserve"> נמצא כי בנקודת הזמן הראשונה עבדו מרביתם (60%) במשרה חלקית, ובנקודת הזמן השנייה – כמחציתם (52%). בהתאם להשערת המחקר, ממצאי </w:t>
      </w:r>
      <w:r w:rsidRPr="00EA3DC8">
        <w:rPr>
          <w:rFonts w:hint="cs"/>
          <w:sz w:val="18"/>
          <w:szCs w:val="20"/>
          <w:rtl/>
        </w:rPr>
        <w:t>הניתוח הרב-משתני</w:t>
      </w:r>
      <w:r w:rsidRPr="00EA3DC8">
        <w:rPr>
          <w:sz w:val="18"/>
          <w:szCs w:val="20"/>
          <w:rtl/>
        </w:rPr>
        <w:t xml:space="preserve"> מלמדים כי יש קשר בין המאפיינים האישיים מגדר, גיל ומצב משפחתי לבין </w:t>
      </w:r>
      <w:r w:rsidRPr="00EA3DC8">
        <w:rPr>
          <w:rFonts w:hint="cs"/>
          <w:sz w:val="18"/>
          <w:szCs w:val="20"/>
          <w:rtl/>
        </w:rPr>
        <w:t>מספר שעות העבודה השבועיות של המשתתפים.</w:t>
      </w:r>
      <w:r w:rsidRPr="00EA3DC8" w:rsidDel="00EF073C">
        <w:rPr>
          <w:sz w:val="18"/>
          <w:szCs w:val="20"/>
          <w:rtl/>
        </w:rPr>
        <w:t xml:space="preserve"> </w:t>
      </w:r>
      <w:r w:rsidRPr="00EA3DC8">
        <w:rPr>
          <w:sz w:val="18"/>
          <w:szCs w:val="20"/>
          <w:rtl/>
        </w:rPr>
        <w:t xml:space="preserve">גברים, </w:t>
      </w:r>
      <w:r w:rsidRPr="00EA3DC8">
        <w:rPr>
          <w:rFonts w:hint="cs"/>
          <w:sz w:val="18"/>
          <w:szCs w:val="20"/>
          <w:rtl/>
        </w:rPr>
        <w:t xml:space="preserve">מי </w:t>
      </w:r>
      <w:r w:rsidRPr="00EA3DC8">
        <w:rPr>
          <w:sz w:val="18"/>
          <w:szCs w:val="20"/>
          <w:rtl/>
        </w:rPr>
        <w:t xml:space="preserve">שגילם מבוגר יותר ומשתתפים החיים בזוגיות נוטים לעבוד שעות רבות יותר. הממצאים האיכותניים מחזקים זאת, ומלמדים כי הסיבות המרכזיות לעבודה במשרה חלקית הן טיפול בילדים וקיצוץ </w:t>
      </w:r>
      <w:r w:rsidRPr="00EA3DC8">
        <w:rPr>
          <w:rFonts w:hint="cs"/>
          <w:sz w:val="18"/>
          <w:szCs w:val="20"/>
          <w:rtl/>
        </w:rPr>
        <w:t>בגמלה להבטחת הכנסה ובגמלת דמי המזונות</w:t>
      </w:r>
      <w:r w:rsidRPr="00EA3DC8">
        <w:rPr>
          <w:sz w:val="18"/>
          <w:szCs w:val="20"/>
          <w:rtl/>
        </w:rPr>
        <w:t xml:space="preserve"> ובהטבות הנלוות</w:t>
      </w:r>
      <w:r w:rsidRPr="00EA3DC8">
        <w:rPr>
          <w:rFonts w:hint="cs"/>
          <w:sz w:val="18"/>
          <w:szCs w:val="20"/>
          <w:rtl/>
        </w:rPr>
        <w:t xml:space="preserve"> להן</w:t>
      </w:r>
      <w:r w:rsidRPr="00EA3DC8">
        <w:rPr>
          <w:sz w:val="18"/>
          <w:szCs w:val="20"/>
          <w:rtl/>
        </w:rPr>
        <w:t xml:space="preserve">. משתתפים רבים, ובעיקר נשים, ציינו כי </w:t>
      </w:r>
      <w:r w:rsidRPr="00EA3DC8">
        <w:rPr>
          <w:rFonts w:hint="cs"/>
          <w:sz w:val="18"/>
          <w:szCs w:val="20"/>
          <w:rtl/>
        </w:rPr>
        <w:t>הן חשות</w:t>
      </w:r>
      <w:r w:rsidRPr="00EA3DC8">
        <w:rPr>
          <w:sz w:val="18"/>
          <w:szCs w:val="20"/>
          <w:rtl/>
        </w:rPr>
        <w:t xml:space="preserve"> לכודות בעבודות במשרה חלקית, באין </w:t>
      </w:r>
      <w:r w:rsidRPr="00EA3DC8">
        <w:rPr>
          <w:rFonts w:hint="cs"/>
          <w:sz w:val="18"/>
          <w:szCs w:val="20"/>
          <w:rtl/>
        </w:rPr>
        <w:t>חלופה ט</w:t>
      </w:r>
      <w:r w:rsidRPr="00EA3DC8">
        <w:rPr>
          <w:sz w:val="18"/>
          <w:szCs w:val="20"/>
          <w:rtl/>
        </w:rPr>
        <w:t xml:space="preserve">ובה יותר, משום שהן המטפלות העיקריות או הבלעדיות בילדיהן. המשתתפות </w:t>
      </w:r>
      <w:r w:rsidRPr="00EA3DC8">
        <w:rPr>
          <w:rFonts w:hint="cs"/>
          <w:sz w:val="18"/>
          <w:szCs w:val="20"/>
          <w:rtl/>
        </w:rPr>
        <w:t xml:space="preserve">חשו </w:t>
      </w:r>
      <w:r w:rsidRPr="00EA3DC8">
        <w:rPr>
          <w:sz w:val="18"/>
          <w:szCs w:val="20"/>
          <w:rtl/>
        </w:rPr>
        <w:t xml:space="preserve">לכודות </w:t>
      </w:r>
      <w:r w:rsidRPr="00EA3DC8">
        <w:rPr>
          <w:rFonts w:hint="cs"/>
          <w:sz w:val="18"/>
          <w:szCs w:val="20"/>
          <w:rtl/>
        </w:rPr>
        <w:t xml:space="preserve">גם </w:t>
      </w:r>
      <w:r w:rsidRPr="00EA3DC8">
        <w:rPr>
          <w:sz w:val="18"/>
          <w:szCs w:val="20"/>
          <w:rtl/>
        </w:rPr>
        <w:t>משום שעבודה במשרה מלאה עשויה להיות לא כדאית כלכלית, בעקבות הפגיעה בקצבת המזונות ו</w:t>
      </w:r>
      <w:r w:rsidRPr="00EA3DC8">
        <w:rPr>
          <w:rFonts w:hint="cs"/>
          <w:sz w:val="18"/>
          <w:szCs w:val="20"/>
          <w:rtl/>
        </w:rPr>
        <w:t>ב</w:t>
      </w:r>
      <w:r w:rsidRPr="00EA3DC8">
        <w:rPr>
          <w:sz w:val="18"/>
          <w:szCs w:val="20"/>
          <w:rtl/>
        </w:rPr>
        <w:t xml:space="preserve">הטבות הנלוות. במבנה הגמלאות וההטבות הקיים בישראל, עבודה במשרה מלאה </w:t>
      </w:r>
      <w:r w:rsidRPr="00EA3DC8">
        <w:rPr>
          <w:rFonts w:hint="cs"/>
          <w:sz w:val="18"/>
          <w:szCs w:val="20"/>
          <w:rtl/>
        </w:rPr>
        <w:t>מובילה</w:t>
      </w:r>
      <w:r w:rsidRPr="00EA3DC8">
        <w:rPr>
          <w:sz w:val="18"/>
          <w:szCs w:val="20"/>
          <w:rtl/>
        </w:rPr>
        <w:t xml:space="preserve"> לקיצוץ בגובה הגמלה ואף </w:t>
      </w:r>
      <w:r w:rsidRPr="00EA3DC8">
        <w:rPr>
          <w:rFonts w:hint="cs"/>
          <w:sz w:val="18"/>
          <w:szCs w:val="20"/>
          <w:rtl/>
        </w:rPr>
        <w:t>לאובדן הזכאות לגמלה</w:t>
      </w:r>
      <w:r w:rsidRPr="00EA3DC8">
        <w:rPr>
          <w:sz w:val="18"/>
          <w:szCs w:val="20"/>
          <w:rtl/>
        </w:rPr>
        <w:t xml:space="preserve">, וכן </w:t>
      </w:r>
      <w:r w:rsidRPr="00EA3DC8">
        <w:rPr>
          <w:rFonts w:hint="cs"/>
          <w:sz w:val="18"/>
          <w:szCs w:val="20"/>
          <w:rtl/>
        </w:rPr>
        <w:t>לביטולן של</w:t>
      </w:r>
      <w:r w:rsidRPr="00EA3DC8">
        <w:rPr>
          <w:sz w:val="18"/>
          <w:szCs w:val="20"/>
          <w:rtl/>
        </w:rPr>
        <w:t xml:space="preserve"> הטבות אחרות</w:t>
      </w:r>
      <w:r w:rsidRPr="00EA3DC8">
        <w:rPr>
          <w:rFonts w:hint="cs"/>
          <w:sz w:val="18"/>
          <w:szCs w:val="20"/>
          <w:rtl/>
        </w:rPr>
        <w:t>.</w:t>
      </w:r>
      <w:r w:rsidRPr="00EA3DC8">
        <w:rPr>
          <w:sz w:val="18"/>
          <w:szCs w:val="20"/>
          <w:rtl/>
        </w:rPr>
        <w:t xml:space="preserve"> לפיכך הבחירה הכלכלית הנבונה ביותר היא לשלב גמלה </w:t>
      </w:r>
      <w:r w:rsidRPr="00EA3DC8">
        <w:rPr>
          <w:rFonts w:hint="cs"/>
          <w:sz w:val="18"/>
          <w:szCs w:val="20"/>
          <w:rtl/>
        </w:rPr>
        <w:t>ו</w:t>
      </w:r>
      <w:r w:rsidRPr="00EA3DC8">
        <w:rPr>
          <w:sz w:val="18"/>
          <w:szCs w:val="20"/>
          <w:rtl/>
        </w:rPr>
        <w:t xml:space="preserve">עבודה – דבר המגביל את שעות העבודה בשבוע. אייזיק, צדקה </w:t>
      </w:r>
      <w:proofErr w:type="spellStart"/>
      <w:r w:rsidRPr="00EA3DC8">
        <w:rPr>
          <w:sz w:val="18"/>
          <w:szCs w:val="20"/>
          <w:rtl/>
        </w:rPr>
        <w:t>וברמלי</w:t>
      </w:r>
      <w:proofErr w:type="spellEnd"/>
      <w:r w:rsidRPr="00EA3DC8">
        <w:rPr>
          <w:sz w:val="18"/>
          <w:szCs w:val="20"/>
          <w:rtl/>
        </w:rPr>
        <w:t xml:space="preserve">-גרינברג (2019) הראו כי המדיניות של מרבית משרדי הממשלה והמוסדות הציבוריים (משרד הבריאות, המוסד לביטוח לאומי, משרד הבינוי והשיכון, משרד הרווחה, משרד המשפטים, משרד החינוך, משרד האוצר, משרד התחבורה, רשויות מקומיות, חברת החשמל ובזק) מצמצמת את הסיוע ואת ההנחות וההטבות הניתנים לאנשים החיים בעוני או אף מבטלת אותם כליל בעת יציאתם לעבודה, או בעת </w:t>
      </w:r>
      <w:r w:rsidRPr="00EA3DC8">
        <w:rPr>
          <w:rFonts w:hint="cs"/>
          <w:sz w:val="18"/>
          <w:szCs w:val="20"/>
          <w:rtl/>
        </w:rPr>
        <w:t xml:space="preserve">שהם מרחיבים את </w:t>
      </w:r>
      <w:r w:rsidRPr="00EA3DC8">
        <w:rPr>
          <w:sz w:val="18"/>
          <w:szCs w:val="20"/>
          <w:rtl/>
        </w:rPr>
        <w:t>היקף עבודתם. מצב זה מקשה על אנשים החיים בעוני להתפתח מקצועית, ומאלץ רבים מהם לעסוק בעבודות במשרה חלקית.</w:t>
      </w:r>
    </w:p>
    <w:p w14:paraId="73A26F88" w14:textId="77777777" w:rsidR="00926914" w:rsidRPr="00EA3DC8" w:rsidRDefault="00926914" w:rsidP="00EA3DC8">
      <w:pPr>
        <w:spacing w:after="180" w:line="280" w:lineRule="exact"/>
        <w:jc w:val="both"/>
        <w:rPr>
          <w:sz w:val="18"/>
          <w:szCs w:val="20"/>
          <w:rtl/>
        </w:rPr>
      </w:pPr>
      <w:r w:rsidRPr="00EA3DC8">
        <w:rPr>
          <w:sz w:val="18"/>
          <w:szCs w:val="20"/>
          <w:rtl/>
        </w:rPr>
        <w:t xml:space="preserve">לסיכום, מן הדיון עולה כי העדפתם התעסוקתית של המשתתפים </w:t>
      </w:r>
      <w:r w:rsidRPr="00EA3DC8">
        <w:rPr>
          <w:rFonts w:hint="cs"/>
          <w:sz w:val="18"/>
          <w:szCs w:val="20"/>
          <w:rtl/>
        </w:rPr>
        <w:t xml:space="preserve">במחקר </w:t>
      </w:r>
      <w:r w:rsidRPr="00EA3DC8">
        <w:rPr>
          <w:sz w:val="18"/>
          <w:szCs w:val="20"/>
          <w:rtl/>
        </w:rPr>
        <w:t xml:space="preserve">היא תוצר של מערכת שיקולים הוליסטית וכי ניסיונם </w:t>
      </w:r>
      <w:r w:rsidRPr="00EA3DC8">
        <w:rPr>
          <w:rFonts w:hint="cs"/>
          <w:sz w:val="18"/>
          <w:szCs w:val="20"/>
          <w:rtl/>
        </w:rPr>
        <w:t>של המש</w:t>
      </w:r>
      <w:r w:rsidRPr="00EA3DC8">
        <w:rPr>
          <w:sz w:val="18"/>
          <w:szCs w:val="20"/>
          <w:rtl/>
        </w:rPr>
        <w:t>תתפי</w:t>
      </w:r>
      <w:r w:rsidRPr="00EA3DC8">
        <w:rPr>
          <w:rFonts w:hint="cs"/>
          <w:sz w:val="18"/>
          <w:szCs w:val="20"/>
          <w:rtl/>
        </w:rPr>
        <w:t xml:space="preserve">ם </w:t>
      </w:r>
      <w:r w:rsidRPr="00EA3DC8">
        <w:rPr>
          <w:sz w:val="18"/>
          <w:szCs w:val="20"/>
          <w:rtl/>
        </w:rPr>
        <w:t>– וביתר שאת אלו המתמודדים עם חסמים אישיים</w:t>
      </w:r>
      <w:r w:rsidRPr="00EA3DC8">
        <w:rPr>
          <w:rFonts w:hint="cs"/>
          <w:sz w:val="18"/>
          <w:szCs w:val="20"/>
          <w:rtl/>
        </w:rPr>
        <w:t xml:space="preserve"> </w:t>
      </w:r>
      <w:r w:rsidRPr="00EA3DC8">
        <w:rPr>
          <w:sz w:val="18"/>
          <w:szCs w:val="20"/>
          <w:rtl/>
        </w:rPr>
        <w:t>– לשפר את מצבם התעסוקתי עשוי לפגוע בממדים אחרים הנחשבים מהותיים לאיכות חייהם, ולכן חלקם נאלצים להימנע מכך. עוד עולה כי עבור משתתפים רבים, ובעיקר נשים, הבחירה הכלכלית הנבונה היא לעבוד בחלקיות משרה, דבר שלוכד אותן בעבודות ללא אופק מקצועי וללא תקווה לשיפור במצבן הכלכלי.</w:t>
      </w:r>
    </w:p>
    <w:p w14:paraId="399DB31C" w14:textId="77777777" w:rsidR="00926914" w:rsidRPr="00EA3DC8" w:rsidRDefault="00926914" w:rsidP="00EA3DC8">
      <w:pPr>
        <w:spacing w:after="180" w:line="280" w:lineRule="exact"/>
        <w:jc w:val="both"/>
        <w:rPr>
          <w:b/>
          <w:bCs/>
          <w:sz w:val="18"/>
          <w:szCs w:val="20"/>
          <w:rtl/>
        </w:rPr>
      </w:pPr>
    </w:p>
    <w:p w14:paraId="71ED1901" w14:textId="13523D00" w:rsidR="00926914" w:rsidRPr="00926914" w:rsidRDefault="00926914" w:rsidP="00C44D53">
      <w:pPr>
        <w:pStyle w:val="KOT5"/>
        <w:spacing w:after="0"/>
        <w:ind w:right="0"/>
        <w:rPr>
          <w:rFonts w:cs="Guttman Aharoni"/>
          <w:color w:val="00B0F0"/>
          <w:rtl/>
        </w:rPr>
      </w:pPr>
      <w:bookmarkStart w:id="29" w:name="_Toc76380505"/>
      <w:r w:rsidRPr="00926914">
        <w:rPr>
          <w:rFonts w:cs="Guttman Aharoni"/>
          <w:color w:val="00B0F0"/>
          <w:rtl/>
        </w:rPr>
        <w:t>מגבלות המחקר</w:t>
      </w:r>
      <w:bookmarkEnd w:id="29"/>
      <w:r w:rsidRPr="00926914">
        <w:rPr>
          <w:rFonts w:cs="Guttman Aharoni"/>
          <w:color w:val="00B0F0"/>
          <w:rtl/>
        </w:rPr>
        <w:t xml:space="preserve"> </w:t>
      </w:r>
    </w:p>
    <w:p w14:paraId="2FE5216B" w14:textId="77777777" w:rsidR="00926914" w:rsidRPr="00EA3DC8" w:rsidRDefault="00926914" w:rsidP="009F4991">
      <w:pPr>
        <w:keepNext/>
        <w:keepLines/>
        <w:spacing w:line="280" w:lineRule="exact"/>
        <w:jc w:val="both"/>
        <w:rPr>
          <w:sz w:val="18"/>
          <w:szCs w:val="20"/>
          <w:rtl/>
        </w:rPr>
      </w:pPr>
      <w:r w:rsidRPr="00EA3DC8">
        <w:rPr>
          <w:sz w:val="18"/>
          <w:szCs w:val="20"/>
          <w:rtl/>
        </w:rPr>
        <w:t xml:space="preserve">למחקר זה </w:t>
      </w:r>
      <w:r w:rsidRPr="00EA3DC8">
        <w:rPr>
          <w:rFonts w:hint="cs"/>
          <w:sz w:val="18"/>
          <w:szCs w:val="20"/>
          <w:rtl/>
        </w:rPr>
        <w:t>שלוש</w:t>
      </w:r>
      <w:r w:rsidRPr="00EA3DC8">
        <w:rPr>
          <w:sz w:val="18"/>
          <w:szCs w:val="20"/>
          <w:rtl/>
        </w:rPr>
        <w:t xml:space="preserve"> מגבלות </w:t>
      </w:r>
      <w:r w:rsidRPr="00EA3DC8">
        <w:rPr>
          <w:rFonts w:hint="cs"/>
          <w:sz w:val="18"/>
          <w:szCs w:val="20"/>
          <w:rtl/>
        </w:rPr>
        <w:t>עיקריות</w:t>
      </w:r>
      <w:r w:rsidRPr="00EA3DC8">
        <w:rPr>
          <w:sz w:val="18"/>
          <w:szCs w:val="20"/>
          <w:rtl/>
        </w:rPr>
        <w:t xml:space="preserve">: </w:t>
      </w:r>
    </w:p>
    <w:p w14:paraId="043FC8A3" w14:textId="319F9908" w:rsidR="00926914" w:rsidRPr="00EA3DC8" w:rsidRDefault="00926914" w:rsidP="003B6BFE">
      <w:pPr>
        <w:pStyle w:val="ListParagraph"/>
        <w:numPr>
          <w:ilvl w:val="0"/>
          <w:numId w:val="3"/>
        </w:numPr>
        <w:spacing w:after="0" w:line="280" w:lineRule="exact"/>
        <w:ind w:left="397" w:hanging="397"/>
        <w:jc w:val="both"/>
        <w:rPr>
          <w:rFonts w:ascii="Times New Roman" w:hAnsi="Times New Roman" w:cs="David"/>
          <w:sz w:val="18"/>
          <w:szCs w:val="20"/>
          <w:rtl/>
        </w:rPr>
      </w:pPr>
      <w:r w:rsidRPr="00EA3DC8">
        <w:rPr>
          <w:rFonts w:ascii="Times New Roman" w:hAnsi="Times New Roman" w:cs="David"/>
          <w:sz w:val="18"/>
          <w:szCs w:val="20"/>
          <w:rtl/>
        </w:rPr>
        <w:t>גודל המדגם</w:t>
      </w:r>
      <w:r w:rsidR="00DA425B">
        <w:rPr>
          <w:rFonts w:ascii="Times New Roman" w:hAnsi="Times New Roman" w:cs="David" w:hint="cs"/>
          <w:sz w:val="18"/>
          <w:szCs w:val="20"/>
          <w:rtl/>
        </w:rPr>
        <w:t>:</w:t>
      </w:r>
      <w:r w:rsidRPr="00EA3DC8">
        <w:rPr>
          <w:rFonts w:ascii="Times New Roman" w:hAnsi="Times New Roman" w:cs="David"/>
          <w:sz w:val="18"/>
          <w:szCs w:val="20"/>
          <w:rtl/>
        </w:rPr>
        <w:t xml:space="preserve"> גודלן של תת-הקבוצות אינו מאפשר לבחון </w:t>
      </w:r>
      <w:r w:rsidRPr="00EA3DC8">
        <w:rPr>
          <w:rFonts w:ascii="Times New Roman" w:hAnsi="Times New Roman" w:cs="David" w:hint="cs"/>
          <w:sz w:val="18"/>
          <w:szCs w:val="20"/>
          <w:rtl/>
        </w:rPr>
        <w:t xml:space="preserve">את הקשר בין מאפייני המשתתפים לבין הסתברות להשתייך לכל אחד ממצבי התעסוקה כפי שנמדד במשולב </w:t>
      </w:r>
      <w:r w:rsidRPr="00EA3DC8">
        <w:rPr>
          <w:rFonts w:ascii="Times New Roman" w:hAnsi="Times New Roman" w:cs="David" w:hint="cs"/>
          <w:sz w:val="18"/>
          <w:szCs w:val="20"/>
          <w:rtl/>
        </w:rPr>
        <w:lastRenderedPageBreak/>
        <w:t>בשתי נקודות המדידה (מתמידים, משתלבים, נושרים משוק העבודה, ולא עובדים כלל)</w:t>
      </w:r>
      <w:r w:rsidRPr="00EA3DC8">
        <w:rPr>
          <w:rFonts w:ascii="Times New Roman" w:hAnsi="Times New Roman" w:cs="David"/>
          <w:sz w:val="18"/>
          <w:szCs w:val="20"/>
          <w:rtl/>
        </w:rPr>
        <w:t xml:space="preserve">; </w:t>
      </w:r>
    </w:p>
    <w:p w14:paraId="1E00C2A0" w14:textId="77777777" w:rsidR="00926914" w:rsidRPr="00EA3DC8" w:rsidRDefault="00926914" w:rsidP="003B6BFE">
      <w:pPr>
        <w:pStyle w:val="ListParagraph"/>
        <w:numPr>
          <w:ilvl w:val="0"/>
          <w:numId w:val="3"/>
        </w:numPr>
        <w:spacing w:after="0" w:line="280" w:lineRule="exact"/>
        <w:ind w:left="397" w:hanging="397"/>
        <w:jc w:val="both"/>
        <w:rPr>
          <w:rFonts w:ascii="Times New Roman" w:hAnsi="Times New Roman" w:cs="David"/>
          <w:sz w:val="18"/>
          <w:szCs w:val="20"/>
          <w:rtl/>
        </w:rPr>
      </w:pPr>
      <w:r w:rsidRPr="00EA3DC8">
        <w:rPr>
          <w:rFonts w:ascii="Times New Roman" w:hAnsi="Times New Roman" w:cs="David"/>
          <w:sz w:val="18"/>
          <w:szCs w:val="20"/>
          <w:rtl/>
        </w:rPr>
        <w:t>ממחקר זה לא ניתן להכליל לכלל העניים העובדים</w:t>
      </w:r>
      <w:r w:rsidRPr="00EA3DC8">
        <w:rPr>
          <w:rFonts w:ascii="Times New Roman" w:hAnsi="Times New Roman" w:cs="David" w:hint="cs"/>
          <w:sz w:val="18"/>
          <w:szCs w:val="20"/>
          <w:rtl/>
        </w:rPr>
        <w:t>,</w:t>
      </w:r>
      <w:r w:rsidRPr="00EA3DC8">
        <w:rPr>
          <w:rFonts w:ascii="Times New Roman" w:hAnsi="Times New Roman" w:cs="David"/>
          <w:sz w:val="18"/>
          <w:szCs w:val="20"/>
          <w:rtl/>
        </w:rPr>
        <w:t xml:space="preserve"> אלא רק למקבלי השירות של המחלקות לשירותים חברתיים החיים בעוני, שמרביתם נשים. יש לסייג גם את יכולתנו להסיק מן המחקר מסקנות </w:t>
      </w:r>
      <w:r w:rsidRPr="00EA3DC8">
        <w:rPr>
          <w:rFonts w:ascii="Times New Roman" w:hAnsi="Times New Roman" w:cs="David" w:hint="cs"/>
          <w:sz w:val="18"/>
          <w:szCs w:val="20"/>
          <w:rtl/>
        </w:rPr>
        <w:t>באשר</w:t>
      </w:r>
      <w:r w:rsidRPr="00EA3DC8">
        <w:rPr>
          <w:rFonts w:ascii="Times New Roman" w:hAnsi="Times New Roman" w:cs="David"/>
          <w:sz w:val="18"/>
          <w:szCs w:val="20"/>
          <w:rtl/>
        </w:rPr>
        <w:t xml:space="preserve"> </w:t>
      </w:r>
      <w:r w:rsidRPr="00EA3DC8">
        <w:rPr>
          <w:rFonts w:ascii="Times New Roman" w:hAnsi="Times New Roman" w:cs="David" w:hint="cs"/>
          <w:sz w:val="18"/>
          <w:szCs w:val="20"/>
          <w:rtl/>
        </w:rPr>
        <w:t>ל</w:t>
      </w:r>
      <w:r w:rsidRPr="00EA3DC8">
        <w:rPr>
          <w:rFonts w:ascii="Times New Roman" w:hAnsi="Times New Roman" w:cs="David"/>
          <w:sz w:val="18"/>
          <w:szCs w:val="20"/>
          <w:rtl/>
        </w:rPr>
        <w:t xml:space="preserve">כלל אוכלוסיית מקבלי השירות במחלקות לשירותים חברתיים החיים בעוני, מאחר </w:t>
      </w:r>
      <w:r w:rsidRPr="00EA3DC8">
        <w:rPr>
          <w:rFonts w:ascii="Times New Roman" w:hAnsi="Times New Roman" w:cs="David" w:hint="cs"/>
          <w:sz w:val="18"/>
          <w:szCs w:val="20"/>
          <w:rtl/>
        </w:rPr>
        <w:t>שאין ביכולתנו להבטיח את ייצוגיות המדגם</w:t>
      </w:r>
      <w:r w:rsidRPr="00EA3DC8">
        <w:rPr>
          <w:rFonts w:ascii="Times New Roman" w:hAnsi="Times New Roman" w:cs="David"/>
          <w:sz w:val="18"/>
          <w:szCs w:val="20"/>
          <w:rtl/>
        </w:rPr>
        <w:t>;</w:t>
      </w:r>
    </w:p>
    <w:p w14:paraId="1E372A73" w14:textId="37BA98D9" w:rsidR="00926914" w:rsidRDefault="00926914" w:rsidP="00DC2494">
      <w:pPr>
        <w:pStyle w:val="ListParagraph"/>
        <w:numPr>
          <w:ilvl w:val="0"/>
          <w:numId w:val="3"/>
        </w:numPr>
        <w:spacing w:after="180" w:line="280" w:lineRule="exact"/>
        <w:ind w:left="397" w:hanging="397"/>
        <w:jc w:val="both"/>
        <w:rPr>
          <w:rFonts w:ascii="Times New Roman" w:hAnsi="Times New Roman" w:cs="David"/>
          <w:sz w:val="18"/>
          <w:szCs w:val="20"/>
        </w:rPr>
      </w:pPr>
      <w:r w:rsidRPr="00EA3DC8">
        <w:rPr>
          <w:rFonts w:ascii="Times New Roman" w:hAnsi="Times New Roman" w:cs="David"/>
          <w:sz w:val="18"/>
          <w:szCs w:val="20"/>
          <w:rtl/>
        </w:rPr>
        <w:t>המשתתפים נשאלו בכל נקודת זמן אם הם עובדים</w:t>
      </w:r>
      <w:r w:rsidRPr="00EA3DC8">
        <w:rPr>
          <w:rFonts w:ascii="Times New Roman" w:hAnsi="Times New Roman" w:cs="David" w:hint="cs"/>
          <w:sz w:val="18"/>
          <w:szCs w:val="20"/>
          <w:rtl/>
        </w:rPr>
        <w:t>,</w:t>
      </w:r>
      <w:r w:rsidRPr="00EA3DC8">
        <w:rPr>
          <w:rFonts w:ascii="Times New Roman" w:hAnsi="Times New Roman" w:cs="David"/>
          <w:sz w:val="18"/>
          <w:szCs w:val="20"/>
          <w:rtl/>
        </w:rPr>
        <w:t xml:space="preserve"> אך לא נשאלו באיזו מידה עבדו במהלך השנה, וייתכן שהחלוקה לתת-קבוצות הייתה שונה במקצת מ</w:t>
      </w:r>
      <w:r w:rsidRPr="00EA3DC8">
        <w:rPr>
          <w:rFonts w:ascii="Times New Roman" w:hAnsi="Times New Roman" w:cs="David" w:hint="cs"/>
          <w:sz w:val="18"/>
          <w:szCs w:val="20"/>
          <w:rtl/>
        </w:rPr>
        <w:t xml:space="preserve">זו </w:t>
      </w:r>
      <w:r w:rsidRPr="00EA3DC8">
        <w:rPr>
          <w:rFonts w:ascii="Times New Roman" w:hAnsi="Times New Roman" w:cs="David"/>
          <w:sz w:val="18"/>
          <w:szCs w:val="20"/>
          <w:rtl/>
        </w:rPr>
        <w:t>שהצגנו במחקר. מדובר במחקר ראשוני, וגם בתחום זה מחקר המשך יעשיר את הבנתנו בנוגע לדפוסי התעסוקה של מקבלי השירות במחלקות לשירותים חברתיים</w:t>
      </w:r>
      <w:r w:rsidRPr="00EA3DC8">
        <w:rPr>
          <w:rFonts w:ascii="Times New Roman" w:hAnsi="Times New Roman" w:cs="David" w:hint="cs"/>
          <w:sz w:val="18"/>
          <w:szCs w:val="20"/>
          <w:rtl/>
        </w:rPr>
        <w:t>.</w:t>
      </w:r>
    </w:p>
    <w:p w14:paraId="0C86831E" w14:textId="77777777" w:rsidR="00DC2494" w:rsidRPr="00EA3DC8" w:rsidRDefault="00DC2494" w:rsidP="00DC2494">
      <w:pPr>
        <w:pStyle w:val="ListParagraph"/>
        <w:spacing w:after="180" w:line="280" w:lineRule="exact"/>
        <w:ind w:left="0"/>
        <w:jc w:val="both"/>
        <w:rPr>
          <w:rFonts w:ascii="Times New Roman" w:hAnsi="Times New Roman" w:cs="David"/>
          <w:sz w:val="18"/>
          <w:szCs w:val="20"/>
          <w:rtl/>
        </w:rPr>
      </w:pPr>
    </w:p>
    <w:p w14:paraId="45644BB4" w14:textId="3D49A1EE" w:rsidR="00926914" w:rsidRPr="00926914" w:rsidRDefault="00926914" w:rsidP="00EA3DC8">
      <w:pPr>
        <w:pStyle w:val="KOT5"/>
        <w:spacing w:after="0"/>
        <w:ind w:right="0"/>
        <w:rPr>
          <w:rFonts w:cs="Guttman Aharoni"/>
          <w:color w:val="00B0F0"/>
          <w:rtl/>
        </w:rPr>
      </w:pPr>
      <w:bookmarkStart w:id="30" w:name="_Toc76380506"/>
      <w:r w:rsidRPr="00926914">
        <w:rPr>
          <w:rFonts w:cs="Guttman Aharoni"/>
          <w:color w:val="00B0F0"/>
          <w:rtl/>
        </w:rPr>
        <w:t>המלצות</w:t>
      </w:r>
      <w:bookmarkEnd w:id="30"/>
      <w:r w:rsidRPr="00926914">
        <w:rPr>
          <w:rFonts w:cs="Guttman Aharoni"/>
          <w:color w:val="00B0F0"/>
          <w:rtl/>
        </w:rPr>
        <w:t xml:space="preserve"> </w:t>
      </w:r>
    </w:p>
    <w:p w14:paraId="33B90EA2" w14:textId="498E132C" w:rsidR="00926914" w:rsidRDefault="00926914" w:rsidP="00EA3DC8">
      <w:pPr>
        <w:spacing w:after="180" w:line="280" w:lineRule="exact"/>
        <w:jc w:val="both"/>
        <w:rPr>
          <w:sz w:val="18"/>
          <w:szCs w:val="20"/>
          <w:rtl/>
        </w:rPr>
      </w:pPr>
      <w:r w:rsidRPr="00EA3DC8">
        <w:rPr>
          <w:sz w:val="18"/>
          <w:szCs w:val="20"/>
          <w:rtl/>
        </w:rPr>
        <w:t>ממחקר זה אפשר לגזור שתי המלצות מרכזיות למדיניות:</w:t>
      </w:r>
    </w:p>
    <w:p w14:paraId="6A826615" w14:textId="77777777" w:rsidR="00304F18" w:rsidRDefault="00304F18" w:rsidP="00EA3DC8">
      <w:pPr>
        <w:spacing w:after="180" w:line="280" w:lineRule="exact"/>
        <w:jc w:val="both"/>
        <w:rPr>
          <w:sz w:val="18"/>
          <w:szCs w:val="20"/>
        </w:rPr>
      </w:pPr>
    </w:p>
    <w:p w14:paraId="5D733950" w14:textId="79BCCC90" w:rsidR="00926914" w:rsidRPr="00304F18" w:rsidRDefault="00926914" w:rsidP="00304F18">
      <w:pPr>
        <w:keepNext/>
        <w:keepLines/>
        <w:spacing w:line="280" w:lineRule="exact"/>
        <w:jc w:val="both"/>
        <w:rPr>
          <w:b/>
          <w:bCs/>
          <w:color w:val="00B0F0"/>
          <w:sz w:val="20"/>
          <w:szCs w:val="22"/>
          <w:rtl/>
        </w:rPr>
      </w:pPr>
      <w:bookmarkStart w:id="31" w:name="_Toc76380507"/>
      <w:r w:rsidRPr="00304F18">
        <w:rPr>
          <w:b/>
          <w:bCs/>
          <w:color w:val="00B0F0"/>
          <w:sz w:val="20"/>
          <w:szCs w:val="22"/>
          <w:rtl/>
        </w:rPr>
        <w:t>דיוק המענים הטיפוליים</w:t>
      </w:r>
      <w:bookmarkEnd w:id="31"/>
      <w:r w:rsidRPr="00304F18">
        <w:rPr>
          <w:rFonts w:hint="cs"/>
          <w:b/>
          <w:bCs/>
          <w:color w:val="00B0F0"/>
          <w:sz w:val="20"/>
          <w:szCs w:val="22"/>
          <w:rtl/>
        </w:rPr>
        <w:t xml:space="preserve"> </w:t>
      </w:r>
    </w:p>
    <w:p w14:paraId="286A9173" w14:textId="77777777" w:rsidR="00926914" w:rsidRPr="00EA3DC8" w:rsidRDefault="00926914" w:rsidP="00EA3DC8">
      <w:pPr>
        <w:spacing w:after="180" w:line="280" w:lineRule="exact"/>
        <w:jc w:val="both"/>
        <w:rPr>
          <w:sz w:val="18"/>
          <w:szCs w:val="20"/>
          <w:rtl/>
        </w:rPr>
      </w:pPr>
      <w:r w:rsidRPr="00EA3DC8">
        <w:rPr>
          <w:sz w:val="18"/>
          <w:szCs w:val="20"/>
          <w:rtl/>
        </w:rPr>
        <w:t>בדומה למחקרים אחרים שבחנו את דפוס העבודה של אנשים החיים בעוני, הממצאים מלמדים כי גם בקרב מקבלי השירות של המחלקות לשירותים חברתיים החיים בעוני אין מדובר בקבוצה אחת, אלא בשלוש תת-קבוצות בעלות מאפיינים שונים: אנשים העובדים מרבית הזמן או כל הזמן, אנשים הנעים בין עבודה לאבטלה</w:t>
      </w:r>
      <w:r w:rsidRPr="00EA3DC8">
        <w:rPr>
          <w:rFonts w:hint="cs"/>
          <w:sz w:val="18"/>
          <w:szCs w:val="20"/>
          <w:rtl/>
        </w:rPr>
        <w:t>,</w:t>
      </w:r>
      <w:r w:rsidRPr="00EA3DC8">
        <w:rPr>
          <w:sz w:val="18"/>
          <w:szCs w:val="20"/>
          <w:rtl/>
        </w:rPr>
        <w:t xml:space="preserve"> ואנשים שאינם עובדים מרבית הזמן. כדי לשפר את המצב התעסוקתי של אנשים החיים בעוני הפונים למחלקות לשירותים חברתיים יש לדייק את המענים הניתנים לכל אחת מתת-הקבוצות:</w:t>
      </w:r>
    </w:p>
    <w:p w14:paraId="1B5AA506" w14:textId="5B00A054" w:rsidR="00926914" w:rsidRPr="00EA3DC8" w:rsidRDefault="00926914" w:rsidP="00DA425B">
      <w:pPr>
        <w:pStyle w:val="ListParagraph"/>
        <w:numPr>
          <w:ilvl w:val="0"/>
          <w:numId w:val="5"/>
        </w:numPr>
        <w:spacing w:after="180" w:line="280" w:lineRule="exact"/>
        <w:jc w:val="both"/>
        <w:rPr>
          <w:rFonts w:ascii="Times New Roman" w:hAnsi="Times New Roman" w:cs="David"/>
          <w:sz w:val="18"/>
          <w:szCs w:val="20"/>
          <w:rtl/>
        </w:rPr>
      </w:pPr>
      <w:r w:rsidRPr="00EA3DC8">
        <w:rPr>
          <w:rFonts w:ascii="Times New Roman" w:hAnsi="Times New Roman" w:cs="David"/>
          <w:sz w:val="18"/>
          <w:szCs w:val="20"/>
          <w:rtl/>
        </w:rPr>
        <w:t xml:space="preserve">בעת הטיפול בחברי הקבוצה הנוטה לעבוד יש לתת מענה הולם לחסמים המבניים המקשים עליהם להגדיל את שעות עבודתם ויוצרים מעין תקרת זכוכית – כובלים אותם לעבודות </w:t>
      </w:r>
      <w:r w:rsidRPr="00EA3DC8">
        <w:rPr>
          <w:rFonts w:ascii="Times New Roman" w:hAnsi="Times New Roman" w:cs="David" w:hint="cs"/>
          <w:sz w:val="18"/>
          <w:szCs w:val="20"/>
          <w:rtl/>
        </w:rPr>
        <w:t xml:space="preserve">מסוג אחד, </w:t>
      </w:r>
      <w:r w:rsidRPr="00EA3DC8">
        <w:rPr>
          <w:rFonts w:ascii="Times New Roman" w:hAnsi="Times New Roman" w:cs="David"/>
          <w:sz w:val="18"/>
          <w:szCs w:val="20"/>
          <w:rtl/>
        </w:rPr>
        <w:t xml:space="preserve">ומגבילים את יכולתם להשתחרר מהתלות במערכת הגמלאות. לקבוצה זו יש לסייע, למשל באמצעות התרת הקשר בין עבודה לבין גמלת המזונות. </w:t>
      </w:r>
    </w:p>
    <w:p w14:paraId="7F798C27" w14:textId="0B1DC374" w:rsidR="00926914" w:rsidRPr="00EA3DC8" w:rsidRDefault="00926914" w:rsidP="00606257">
      <w:pPr>
        <w:pStyle w:val="ListParagraph"/>
        <w:numPr>
          <w:ilvl w:val="0"/>
          <w:numId w:val="5"/>
        </w:numPr>
        <w:spacing w:after="180" w:line="280" w:lineRule="exact"/>
        <w:jc w:val="both"/>
        <w:rPr>
          <w:rFonts w:ascii="Times New Roman" w:hAnsi="Times New Roman" w:cs="David"/>
          <w:sz w:val="18"/>
          <w:szCs w:val="20"/>
        </w:rPr>
      </w:pPr>
      <w:r w:rsidRPr="00EA3DC8">
        <w:rPr>
          <w:rFonts w:ascii="Times New Roman" w:hAnsi="Times New Roman" w:cs="David"/>
          <w:sz w:val="18"/>
          <w:szCs w:val="20"/>
          <w:rtl/>
        </w:rPr>
        <w:t>בעת הטיפול בקבוצה הנוטה שלא לעבוד יש להביא בחשבון כי חברי קבוצה זו מתמודדים גם הם עם חסמים מרובים המקשים על</w:t>
      </w:r>
      <w:r w:rsidRPr="00EA3DC8">
        <w:rPr>
          <w:rFonts w:ascii="Times New Roman" w:hAnsi="Times New Roman" w:cs="David" w:hint="cs"/>
          <w:sz w:val="18"/>
          <w:szCs w:val="20"/>
          <w:rtl/>
        </w:rPr>
        <w:t xml:space="preserve">יהם להשתלב </w:t>
      </w:r>
      <w:r w:rsidRPr="00EA3DC8">
        <w:rPr>
          <w:rFonts w:ascii="Times New Roman" w:hAnsi="Times New Roman" w:cs="David"/>
          <w:sz w:val="18"/>
          <w:szCs w:val="20"/>
          <w:rtl/>
        </w:rPr>
        <w:t>בעבודה. המדיניות הנוכחית המתמרצת שילוב בתעסוקה באמצעות צמצום מערכת הגמלאות אינה מועילה להם, והם נותרים תלויים בגמלאות הקיום הזעומות, המביאות אותם לחיות בעוני קשה ביותר (</w:t>
      </w:r>
      <w:proofErr w:type="spellStart"/>
      <w:r w:rsidRPr="00EA3DC8">
        <w:rPr>
          <w:rFonts w:ascii="Times New Roman" w:hAnsi="Times New Roman" w:cs="David"/>
          <w:sz w:val="18"/>
          <w:szCs w:val="20"/>
          <w:rtl/>
        </w:rPr>
        <w:t>אנדלבד</w:t>
      </w:r>
      <w:proofErr w:type="spellEnd"/>
      <w:r w:rsidRPr="00EA3DC8">
        <w:rPr>
          <w:rFonts w:ascii="Times New Roman" w:hAnsi="Times New Roman" w:cs="David" w:hint="cs"/>
          <w:sz w:val="18"/>
          <w:szCs w:val="20"/>
          <w:rtl/>
        </w:rPr>
        <w:t xml:space="preserve"> ואחרים</w:t>
      </w:r>
      <w:r w:rsidRPr="00EA3DC8">
        <w:rPr>
          <w:rFonts w:ascii="Times New Roman" w:hAnsi="Times New Roman" w:cs="David"/>
          <w:sz w:val="18"/>
          <w:szCs w:val="20"/>
          <w:rtl/>
        </w:rPr>
        <w:t xml:space="preserve">, 2019). בטיפול בקבוצה זו יש לפתח מענים ספציפיים קצרי טווח וארוכי טווח. בין המענים לטווח הקצר יש לשקול להרחיב את התמיכה באמצעות מערכת </w:t>
      </w:r>
      <w:r w:rsidRPr="00EA3DC8">
        <w:rPr>
          <w:rFonts w:ascii="Times New Roman" w:hAnsi="Times New Roman" w:cs="David" w:hint="cs"/>
          <w:sz w:val="18"/>
          <w:szCs w:val="20"/>
          <w:rtl/>
        </w:rPr>
        <w:t>ה</w:t>
      </w:r>
      <w:r w:rsidRPr="00EA3DC8">
        <w:rPr>
          <w:rFonts w:ascii="Times New Roman" w:hAnsi="Times New Roman" w:cs="David"/>
          <w:sz w:val="18"/>
          <w:szCs w:val="20"/>
          <w:rtl/>
        </w:rPr>
        <w:t xml:space="preserve">ביטחון </w:t>
      </w:r>
      <w:r w:rsidRPr="00EA3DC8">
        <w:rPr>
          <w:rFonts w:ascii="Times New Roman" w:hAnsi="Times New Roman" w:cs="David" w:hint="cs"/>
          <w:sz w:val="18"/>
          <w:szCs w:val="20"/>
          <w:rtl/>
        </w:rPr>
        <w:t>ה</w:t>
      </w:r>
      <w:r w:rsidRPr="00EA3DC8">
        <w:rPr>
          <w:rFonts w:ascii="Times New Roman" w:hAnsi="Times New Roman" w:cs="David"/>
          <w:sz w:val="18"/>
          <w:szCs w:val="20"/>
          <w:rtl/>
        </w:rPr>
        <w:t xml:space="preserve">סוציאלי. בין המענים לטווח הארוך יש להביא בחשבון את </w:t>
      </w:r>
      <w:r w:rsidRPr="00EA3DC8">
        <w:rPr>
          <w:rFonts w:ascii="Times New Roman" w:hAnsi="Times New Roman" w:cs="David" w:hint="cs"/>
          <w:sz w:val="18"/>
          <w:szCs w:val="20"/>
          <w:rtl/>
        </w:rPr>
        <w:t>ה</w:t>
      </w:r>
      <w:r w:rsidRPr="00EA3DC8">
        <w:rPr>
          <w:rFonts w:ascii="Times New Roman" w:hAnsi="Times New Roman" w:cs="David"/>
          <w:sz w:val="18"/>
          <w:szCs w:val="20"/>
          <w:rtl/>
        </w:rPr>
        <w:t xml:space="preserve">חשיבות </w:t>
      </w:r>
      <w:r w:rsidRPr="00EA3DC8">
        <w:rPr>
          <w:rFonts w:ascii="Times New Roman" w:hAnsi="Times New Roman" w:cs="David" w:hint="cs"/>
          <w:sz w:val="18"/>
          <w:szCs w:val="20"/>
          <w:rtl/>
        </w:rPr>
        <w:t>שיש ב</w:t>
      </w:r>
      <w:r w:rsidRPr="00EA3DC8">
        <w:rPr>
          <w:rFonts w:ascii="Times New Roman" w:hAnsi="Times New Roman" w:cs="David"/>
          <w:sz w:val="18"/>
          <w:szCs w:val="20"/>
          <w:rtl/>
        </w:rPr>
        <w:t xml:space="preserve">השתתפות בשוק העבודה לאנשים החיים בעוני, כפי שעולה גם ממחקרים נוספים </w:t>
      </w:r>
      <w:r w:rsidRPr="00EA3DC8">
        <w:rPr>
          <w:rFonts w:ascii="Times New Roman" w:hAnsi="Times New Roman" w:cs="David"/>
          <w:sz w:val="18"/>
          <w:szCs w:val="20"/>
          <w:rtl/>
        </w:rPr>
        <w:lastRenderedPageBreak/>
        <w:t>(</w:t>
      </w:r>
      <w:r w:rsidRPr="00EA3DC8">
        <w:rPr>
          <w:rFonts w:ascii="Times New Roman" w:hAnsi="Times New Roman" w:cs="David"/>
          <w:sz w:val="18"/>
          <w:szCs w:val="20"/>
        </w:rPr>
        <w:t>Perkins, 2008</w:t>
      </w:r>
      <w:r w:rsidRPr="00EA3DC8">
        <w:rPr>
          <w:rFonts w:ascii="Times New Roman" w:hAnsi="Times New Roman" w:cs="David"/>
          <w:sz w:val="18"/>
          <w:szCs w:val="20"/>
          <w:rtl/>
        </w:rPr>
        <w:t>)</w:t>
      </w:r>
      <w:r w:rsidRPr="00EA3DC8">
        <w:rPr>
          <w:rFonts w:ascii="Times New Roman" w:hAnsi="Times New Roman" w:cs="David" w:hint="cs"/>
          <w:sz w:val="18"/>
          <w:szCs w:val="20"/>
          <w:rtl/>
        </w:rPr>
        <w:t>,</w:t>
      </w:r>
      <w:r w:rsidRPr="00EA3DC8">
        <w:rPr>
          <w:rFonts w:ascii="Times New Roman" w:hAnsi="Times New Roman" w:cs="David"/>
          <w:sz w:val="18"/>
          <w:szCs w:val="20"/>
          <w:rtl/>
        </w:rPr>
        <w:t xml:space="preserve"> ולהציע עבודה בהיקפים קטנים ביותר</w:t>
      </w:r>
      <w:r w:rsidRPr="00EA3DC8">
        <w:rPr>
          <w:rFonts w:ascii="Times New Roman" w:hAnsi="Times New Roman" w:cs="David" w:hint="cs"/>
          <w:sz w:val="18"/>
          <w:szCs w:val="20"/>
          <w:rtl/>
        </w:rPr>
        <w:t>,</w:t>
      </w:r>
      <w:r w:rsidRPr="00EA3DC8">
        <w:rPr>
          <w:rFonts w:ascii="Times New Roman" w:hAnsi="Times New Roman" w:cs="David"/>
          <w:sz w:val="18"/>
          <w:szCs w:val="20"/>
          <w:rtl/>
        </w:rPr>
        <w:t xml:space="preserve"> המותאמ</w:t>
      </w:r>
      <w:r w:rsidRPr="00EA3DC8">
        <w:rPr>
          <w:rFonts w:ascii="Times New Roman" w:hAnsi="Times New Roman" w:cs="David" w:hint="cs"/>
          <w:sz w:val="18"/>
          <w:szCs w:val="20"/>
          <w:rtl/>
        </w:rPr>
        <w:t>ת</w:t>
      </w:r>
      <w:r w:rsidRPr="00EA3DC8">
        <w:rPr>
          <w:rFonts w:ascii="Times New Roman" w:hAnsi="Times New Roman" w:cs="David"/>
          <w:sz w:val="18"/>
          <w:szCs w:val="20"/>
          <w:rtl/>
        </w:rPr>
        <w:t xml:space="preserve"> ליכולותיהם. ייתכן שמודל </w:t>
      </w:r>
      <w:r w:rsidRPr="00EA3DC8">
        <w:rPr>
          <w:rFonts w:ascii="Times New Roman" w:hAnsi="Times New Roman" w:cs="David" w:hint="cs"/>
          <w:sz w:val="18"/>
          <w:szCs w:val="20"/>
          <w:rtl/>
        </w:rPr>
        <w:t xml:space="preserve">של </w:t>
      </w:r>
      <w:r w:rsidRPr="00304F18">
        <w:rPr>
          <w:rFonts w:ascii="Times New Roman" w:hAnsi="Times New Roman" w:cs="David"/>
          <w:b/>
          <w:bCs/>
          <w:sz w:val="18"/>
          <w:szCs w:val="20"/>
          <w:rtl/>
        </w:rPr>
        <w:t>עבודת מעבר</w:t>
      </w:r>
      <w:r w:rsidRPr="00EA3DC8">
        <w:rPr>
          <w:rFonts w:ascii="Times New Roman" w:hAnsi="Times New Roman" w:cs="David"/>
          <w:sz w:val="18"/>
          <w:szCs w:val="20"/>
          <w:rtl/>
        </w:rPr>
        <w:t xml:space="preserve"> (</w:t>
      </w:r>
      <w:r w:rsidRPr="00EA3DC8">
        <w:rPr>
          <w:rFonts w:ascii="Times New Roman" w:hAnsi="Times New Roman" w:cs="David"/>
          <w:sz w:val="18"/>
          <w:szCs w:val="20"/>
        </w:rPr>
        <w:t>Transitional jobs</w:t>
      </w:r>
      <w:r w:rsidRPr="00EA3DC8">
        <w:rPr>
          <w:rFonts w:ascii="Times New Roman" w:hAnsi="Times New Roman" w:cs="David"/>
          <w:sz w:val="18"/>
          <w:szCs w:val="20"/>
          <w:rtl/>
        </w:rPr>
        <w:t xml:space="preserve">) במסגרות קהילתיות תמורת תשלום עשוי לתת מענה הן למצוקה הכלכלית הן לצורך בתעסוקה ובאינטראקציה אנושית. מודל זה קיים בכמה מדינות, והוכיח עצמו </w:t>
      </w:r>
      <w:r w:rsidRPr="00EA3DC8">
        <w:rPr>
          <w:rFonts w:ascii="Times New Roman" w:hAnsi="Times New Roman" w:cs="David" w:hint="cs"/>
          <w:sz w:val="18"/>
          <w:szCs w:val="20"/>
          <w:rtl/>
        </w:rPr>
        <w:t>כ</w:t>
      </w:r>
      <w:r w:rsidRPr="00EA3DC8">
        <w:rPr>
          <w:rFonts w:ascii="Times New Roman" w:hAnsi="Times New Roman" w:cs="David"/>
          <w:sz w:val="18"/>
          <w:szCs w:val="20"/>
          <w:rtl/>
        </w:rPr>
        <w:t xml:space="preserve">אפקטיבי </w:t>
      </w:r>
      <w:r w:rsidRPr="00EA3DC8">
        <w:rPr>
          <w:rFonts w:ascii="Times New Roman" w:hAnsi="Times New Roman" w:cs="David" w:hint="cs"/>
          <w:sz w:val="18"/>
          <w:szCs w:val="20"/>
          <w:rtl/>
        </w:rPr>
        <w:t xml:space="preserve">בקרב </w:t>
      </w:r>
      <w:r w:rsidRPr="00EA3DC8">
        <w:rPr>
          <w:rFonts w:ascii="Times New Roman" w:hAnsi="Times New Roman" w:cs="David"/>
          <w:sz w:val="18"/>
          <w:szCs w:val="20"/>
          <w:rtl/>
        </w:rPr>
        <w:t>אנשים בעלי חסמים מרובים</w:t>
      </w:r>
      <w:r w:rsidRPr="00EA3DC8">
        <w:rPr>
          <w:rFonts w:ascii="Times New Roman" w:hAnsi="Times New Roman" w:cs="David" w:hint="cs"/>
          <w:sz w:val="18"/>
          <w:szCs w:val="20"/>
          <w:rtl/>
        </w:rPr>
        <w:t>.</w:t>
      </w:r>
      <w:r w:rsidRPr="00EA3DC8">
        <w:rPr>
          <w:rFonts w:ascii="Times New Roman" w:hAnsi="Times New Roman" w:cs="David"/>
          <w:sz w:val="18"/>
          <w:szCs w:val="20"/>
          <w:rtl/>
        </w:rPr>
        <w:t xml:space="preserve"> </w:t>
      </w:r>
      <w:r w:rsidRPr="00EA3DC8">
        <w:rPr>
          <w:rFonts w:ascii="Times New Roman" w:hAnsi="Times New Roman" w:cs="David" w:hint="cs"/>
          <w:sz w:val="18"/>
          <w:szCs w:val="20"/>
          <w:rtl/>
        </w:rPr>
        <w:t xml:space="preserve">עם זאת, </w:t>
      </w:r>
      <w:r w:rsidRPr="00EA3DC8">
        <w:rPr>
          <w:rFonts w:ascii="Times New Roman" w:hAnsi="Times New Roman" w:cs="David"/>
          <w:sz w:val="18"/>
          <w:szCs w:val="20"/>
          <w:rtl/>
        </w:rPr>
        <w:t xml:space="preserve">אף שבמדינות אלו מטרתו </w:t>
      </w:r>
      <w:r w:rsidRPr="00EA3DC8">
        <w:rPr>
          <w:rFonts w:ascii="Times New Roman" w:hAnsi="Times New Roman" w:cs="David" w:hint="cs"/>
          <w:sz w:val="18"/>
          <w:szCs w:val="20"/>
          <w:rtl/>
        </w:rPr>
        <w:t xml:space="preserve">היא </w:t>
      </w:r>
      <w:r w:rsidRPr="00EA3DC8">
        <w:rPr>
          <w:rFonts w:ascii="Times New Roman" w:hAnsi="Times New Roman" w:cs="David"/>
          <w:sz w:val="18"/>
          <w:szCs w:val="20"/>
          <w:rtl/>
        </w:rPr>
        <w:t xml:space="preserve">לשמש מודל מעבר בין אי-עבודה לעבודה, מומלץ לבחון </w:t>
      </w:r>
      <w:r w:rsidRPr="00EA3DC8">
        <w:rPr>
          <w:rFonts w:ascii="Times New Roman" w:hAnsi="Times New Roman" w:cs="David" w:hint="cs"/>
          <w:sz w:val="18"/>
          <w:szCs w:val="20"/>
          <w:rtl/>
        </w:rPr>
        <w:t xml:space="preserve">את האפקטיביות שלו גם </w:t>
      </w:r>
      <w:r w:rsidRPr="00EA3DC8">
        <w:rPr>
          <w:rFonts w:ascii="Times New Roman" w:hAnsi="Times New Roman" w:cs="David"/>
          <w:sz w:val="18"/>
          <w:szCs w:val="20"/>
          <w:rtl/>
        </w:rPr>
        <w:t>כמודל ארוך טווח (</w:t>
      </w:r>
      <w:proofErr w:type="spellStart"/>
      <w:r w:rsidRPr="00EA3DC8">
        <w:rPr>
          <w:rFonts w:ascii="Times New Roman" w:hAnsi="Times New Roman" w:cs="David"/>
          <w:sz w:val="18"/>
          <w:szCs w:val="20"/>
        </w:rPr>
        <w:t>Baider</w:t>
      </w:r>
      <w:proofErr w:type="spellEnd"/>
      <w:r w:rsidRPr="00EA3DC8">
        <w:rPr>
          <w:rFonts w:ascii="Times New Roman" w:hAnsi="Times New Roman" w:cs="David"/>
          <w:sz w:val="18"/>
          <w:szCs w:val="20"/>
        </w:rPr>
        <w:t xml:space="preserve"> &amp; Frank, 2006; Hamilton, 2012; </w:t>
      </w:r>
      <w:r w:rsidRPr="00EA3DC8">
        <w:rPr>
          <w:rFonts w:ascii="Times New Roman" w:hAnsi="Times New Roman" w:cs="David"/>
          <w:sz w:val="18"/>
          <w:szCs w:val="20"/>
          <w:shd w:val="clear" w:color="auto" w:fill="FFFFFF"/>
        </w:rPr>
        <w:t xml:space="preserve">Zweig, Yahner, &amp; </w:t>
      </w:r>
      <w:proofErr w:type="spellStart"/>
      <w:r w:rsidRPr="00EA3DC8">
        <w:rPr>
          <w:rFonts w:ascii="Times New Roman" w:hAnsi="Times New Roman" w:cs="David"/>
          <w:sz w:val="18"/>
          <w:szCs w:val="20"/>
          <w:shd w:val="clear" w:color="auto" w:fill="FFFFFF"/>
        </w:rPr>
        <w:t>Redcross</w:t>
      </w:r>
      <w:proofErr w:type="spellEnd"/>
      <w:r w:rsidRPr="00EA3DC8">
        <w:rPr>
          <w:rFonts w:ascii="Times New Roman" w:hAnsi="Times New Roman" w:cs="David"/>
          <w:sz w:val="18"/>
          <w:szCs w:val="20"/>
        </w:rPr>
        <w:t>, 2011</w:t>
      </w:r>
      <w:r w:rsidRPr="00EA3DC8">
        <w:rPr>
          <w:rFonts w:ascii="Times New Roman" w:hAnsi="Times New Roman" w:cs="David"/>
          <w:sz w:val="18"/>
          <w:szCs w:val="20"/>
          <w:rtl/>
        </w:rPr>
        <w:t xml:space="preserve">). </w:t>
      </w:r>
    </w:p>
    <w:p w14:paraId="75029E1D" w14:textId="264124FB" w:rsidR="00926914" w:rsidRPr="00DC2494" w:rsidRDefault="00926914" w:rsidP="00DC2494">
      <w:pPr>
        <w:pStyle w:val="ListParagraph"/>
        <w:numPr>
          <w:ilvl w:val="0"/>
          <w:numId w:val="5"/>
        </w:numPr>
        <w:spacing w:after="180" w:line="280" w:lineRule="exact"/>
        <w:jc w:val="both"/>
        <w:rPr>
          <w:rFonts w:ascii="Times New Roman" w:hAnsi="Times New Roman" w:cs="David"/>
          <w:sz w:val="18"/>
          <w:szCs w:val="20"/>
        </w:rPr>
      </w:pPr>
      <w:r w:rsidRPr="00EA3DC8">
        <w:rPr>
          <w:rFonts w:ascii="Times New Roman" w:hAnsi="Times New Roman" w:cs="David" w:hint="cs"/>
          <w:sz w:val="18"/>
          <w:szCs w:val="20"/>
          <w:rtl/>
        </w:rPr>
        <w:t xml:space="preserve">יש לאמץ אמצעי מדיניות ותוכניות התערבות לפיתוח ההון האנושי של אנשים החיים בעוני </w:t>
      </w:r>
      <w:r w:rsidRPr="00EA3DC8">
        <w:rPr>
          <w:rFonts w:ascii="Times New Roman" w:hAnsi="Times New Roman" w:cs="David" w:hint="cs"/>
          <w:sz w:val="18"/>
          <w:szCs w:val="20"/>
          <w:rtl/>
          <w:lang w:val="en-GB"/>
        </w:rPr>
        <w:t>ו</w:t>
      </w:r>
      <w:r w:rsidRPr="00EA3DC8">
        <w:rPr>
          <w:rFonts w:ascii="Times New Roman" w:hAnsi="Times New Roman" w:cs="David" w:hint="cs"/>
          <w:sz w:val="18"/>
          <w:szCs w:val="20"/>
          <w:rtl/>
        </w:rPr>
        <w:t>מקבלי גמלאות קיום. התערבויות אלה כוללת בעיקר מסלולי הכשרה מקצועית, תוכניות לשכלול הכישורים והמיומנויות התעסוקתיו</w:t>
      </w:r>
      <w:r w:rsidRPr="00EA3DC8">
        <w:rPr>
          <w:rFonts w:ascii="Times New Roman" w:hAnsi="Times New Roman" w:cs="David" w:hint="eastAsia"/>
          <w:sz w:val="18"/>
          <w:szCs w:val="20"/>
          <w:rtl/>
        </w:rPr>
        <w:t>ת</w:t>
      </w:r>
      <w:r w:rsidRPr="00EA3DC8">
        <w:rPr>
          <w:rFonts w:ascii="Times New Roman" w:hAnsi="Times New Roman" w:cs="David" w:hint="cs"/>
          <w:sz w:val="18"/>
          <w:szCs w:val="20"/>
          <w:rtl/>
        </w:rPr>
        <w:t xml:space="preserve">, ושיתופי פעולה עם מעסיקים שיקלטו עובדים ויכשירו אותם לתפקידים שונים תוך כדי עבודתם. כל אלה כדי להגדיל את סיכוייהם להשתלב ב"עבודה טובה", הכוללת לא רק שכר גבוה יותר ושעות עבודה רבות יותר, אלא גם אתגר ועניין, אפשרויות ללמידה וקידום, לצד סביבת עבודה נאותה ואקלים חיובי ומאפשר. תוכניות המשלבות בין מתן הכשרה פורמלית למקצוע מסוים לצד התנסות בעבודה במקצוע הנלמד במהלך תקופת ההכשרה נמצאו כיעילות ביותר להשתלבות בתעסוקה ולהתמדה בה </w:t>
      </w:r>
      <w:r w:rsidRPr="00EA3DC8">
        <w:rPr>
          <w:rFonts w:ascii="Times New Roman" w:hAnsi="Times New Roman" w:cs="David" w:hint="cs"/>
          <w:sz w:val="18"/>
          <w:szCs w:val="20"/>
          <w:rtl/>
          <w:lang w:val="en-GB"/>
        </w:rPr>
        <w:t>(</w:t>
      </w:r>
      <w:r w:rsidRPr="00EA3DC8">
        <w:rPr>
          <w:rFonts w:ascii="Times New Roman" w:hAnsi="Times New Roman" w:cs="David" w:hint="cs"/>
          <w:sz w:val="18"/>
          <w:szCs w:val="20"/>
          <w:rtl/>
        </w:rPr>
        <w:t xml:space="preserve">לדיון ראו </w:t>
      </w:r>
      <w:proofErr w:type="spellStart"/>
      <w:r w:rsidRPr="00EA3DC8">
        <w:rPr>
          <w:rFonts w:ascii="Times New Roman" w:hAnsi="Times New Roman" w:cs="David"/>
          <w:sz w:val="18"/>
          <w:szCs w:val="20"/>
        </w:rPr>
        <w:t>Achdut</w:t>
      </w:r>
      <w:proofErr w:type="spellEnd"/>
      <w:r w:rsidRPr="00EA3DC8">
        <w:rPr>
          <w:rFonts w:ascii="Times New Roman" w:hAnsi="Times New Roman" w:cs="David"/>
          <w:sz w:val="18"/>
          <w:szCs w:val="20"/>
        </w:rPr>
        <w:t xml:space="preserve"> &amp; Stier, 2021</w:t>
      </w:r>
      <w:r w:rsidRPr="00EA3DC8">
        <w:rPr>
          <w:rFonts w:ascii="Times New Roman" w:hAnsi="Times New Roman" w:cs="David" w:hint="cs"/>
          <w:sz w:val="18"/>
          <w:szCs w:val="20"/>
          <w:rtl/>
          <w:lang w:val="en-GB"/>
        </w:rPr>
        <w:t>).</w:t>
      </w:r>
    </w:p>
    <w:p w14:paraId="49CA5BDA" w14:textId="77777777" w:rsidR="00304F18" w:rsidRDefault="00304F18" w:rsidP="00304F18">
      <w:pPr>
        <w:spacing w:after="180" w:line="280" w:lineRule="exact"/>
        <w:jc w:val="both"/>
        <w:rPr>
          <w:rFonts w:ascii="David" w:hAnsi="David"/>
          <w:sz w:val="22"/>
          <w:szCs w:val="22"/>
          <w:rtl/>
        </w:rPr>
      </w:pPr>
      <w:bookmarkStart w:id="32" w:name="_Toc76380508"/>
    </w:p>
    <w:p w14:paraId="0078B8BF" w14:textId="2B8C8B57" w:rsidR="00926914" w:rsidRPr="00304F18" w:rsidRDefault="00926914" w:rsidP="00304F18">
      <w:pPr>
        <w:keepNext/>
        <w:keepLines/>
        <w:spacing w:line="280" w:lineRule="exact"/>
        <w:jc w:val="both"/>
        <w:rPr>
          <w:b/>
          <w:bCs/>
          <w:color w:val="00B0F0"/>
          <w:sz w:val="20"/>
          <w:szCs w:val="22"/>
          <w:rtl/>
        </w:rPr>
      </w:pPr>
      <w:r w:rsidRPr="00304F18">
        <w:rPr>
          <w:b/>
          <w:bCs/>
          <w:color w:val="00B0F0"/>
          <w:sz w:val="20"/>
          <w:szCs w:val="22"/>
          <w:rtl/>
        </w:rPr>
        <w:t xml:space="preserve">הקמת גוף בין-משרדי אשר </w:t>
      </w:r>
      <w:proofErr w:type="spellStart"/>
      <w:r w:rsidRPr="00304F18">
        <w:rPr>
          <w:b/>
          <w:bCs/>
          <w:color w:val="00B0F0"/>
          <w:sz w:val="20"/>
          <w:szCs w:val="22"/>
          <w:rtl/>
        </w:rPr>
        <w:t>יתכלל</w:t>
      </w:r>
      <w:proofErr w:type="spellEnd"/>
      <w:r w:rsidRPr="00304F18">
        <w:rPr>
          <w:b/>
          <w:bCs/>
          <w:color w:val="00B0F0"/>
          <w:sz w:val="20"/>
          <w:szCs w:val="22"/>
          <w:rtl/>
        </w:rPr>
        <w:t xml:space="preserve"> את הטיפול באנשים שחיים בעוני</w:t>
      </w:r>
      <w:bookmarkEnd w:id="32"/>
    </w:p>
    <w:p w14:paraId="325434C1" w14:textId="79C68C45" w:rsidR="00926914" w:rsidRPr="00EA3DC8" w:rsidRDefault="00926914" w:rsidP="00DA425B">
      <w:pPr>
        <w:spacing w:after="180" w:line="280" w:lineRule="exact"/>
        <w:jc w:val="both"/>
        <w:rPr>
          <w:sz w:val="18"/>
          <w:szCs w:val="20"/>
          <w:rtl/>
        </w:rPr>
      </w:pPr>
      <w:r w:rsidRPr="00EA3DC8">
        <w:rPr>
          <w:rFonts w:hint="cs"/>
          <w:sz w:val="18"/>
          <w:szCs w:val="20"/>
          <w:rtl/>
        </w:rPr>
        <w:t>ה</w:t>
      </w:r>
      <w:r w:rsidRPr="00EA3DC8">
        <w:rPr>
          <w:sz w:val="18"/>
          <w:szCs w:val="20"/>
          <w:rtl/>
        </w:rPr>
        <w:t xml:space="preserve">מחקר </w:t>
      </w:r>
      <w:r w:rsidRPr="00EA3DC8">
        <w:rPr>
          <w:rFonts w:hint="cs"/>
          <w:sz w:val="18"/>
          <w:szCs w:val="20"/>
          <w:rtl/>
        </w:rPr>
        <w:t xml:space="preserve">הראה </w:t>
      </w:r>
      <w:r w:rsidRPr="00EA3DC8">
        <w:rPr>
          <w:sz w:val="18"/>
          <w:szCs w:val="20"/>
          <w:rtl/>
        </w:rPr>
        <w:t xml:space="preserve">כי </w:t>
      </w:r>
      <w:r w:rsidRPr="00EA3DC8">
        <w:rPr>
          <w:rFonts w:hint="cs"/>
          <w:sz w:val="18"/>
          <w:szCs w:val="20"/>
          <w:rtl/>
        </w:rPr>
        <w:t xml:space="preserve">בקרב </w:t>
      </w:r>
      <w:r w:rsidRPr="00EA3DC8">
        <w:rPr>
          <w:sz w:val="18"/>
          <w:szCs w:val="20"/>
          <w:rtl/>
        </w:rPr>
        <w:t xml:space="preserve">משתתפים המתמודדים עם חסמים מרובים, יציאה לעבודה עשויה להוביל לפגיעה בממדים אחרים </w:t>
      </w:r>
      <w:r w:rsidRPr="00EA3DC8">
        <w:rPr>
          <w:rFonts w:hint="cs"/>
          <w:sz w:val="18"/>
          <w:szCs w:val="20"/>
          <w:rtl/>
        </w:rPr>
        <w:t xml:space="preserve">שהם </w:t>
      </w:r>
      <w:r w:rsidRPr="00EA3DC8">
        <w:rPr>
          <w:sz w:val="18"/>
          <w:szCs w:val="20"/>
          <w:rtl/>
        </w:rPr>
        <w:t xml:space="preserve">מהותיים לאיכות חייהם, בין היתר בשל חוסר תיאום בין גופי הממשלה השונים. הדבר בולט במיוחד בתחום הקיצוץ בהטבות הנלוות. בנימין וניסים (2017) </w:t>
      </w:r>
      <w:r w:rsidR="00DA425B">
        <w:rPr>
          <w:rFonts w:hint="cs"/>
          <w:sz w:val="18"/>
          <w:szCs w:val="20"/>
          <w:rtl/>
        </w:rPr>
        <w:t xml:space="preserve">טענו </w:t>
      </w:r>
      <w:r w:rsidRPr="00EA3DC8">
        <w:rPr>
          <w:sz w:val="18"/>
          <w:szCs w:val="20"/>
          <w:rtl/>
        </w:rPr>
        <w:t xml:space="preserve">טענה דומה. לדבריהן, הגופים השונים המטפלים באנשים החיים בעוני נוטים להפריד בין תחומי הדיור, הבריאות, הרווחה, החינוך והתעסוקה, והפרדה זו מובילה ל"החמצת האופנים בהם החסמים בכל אחד מתחומים אלו, נוטים להזין זה את זה" (עמ' 70). למסקנה דומה הגיעו גם אייזיק ואחרים (2019). כדי לתת מענה הולם לבעיה אנו מחזקים את המלצתה של הוועדה למלחמה בעוני (2014) ושל חוקרים אחרים (אייזיק ואחרים, 2019), </w:t>
      </w:r>
      <w:r w:rsidRPr="00EA3DC8">
        <w:rPr>
          <w:rFonts w:hint="cs"/>
          <w:sz w:val="18"/>
          <w:szCs w:val="20"/>
          <w:rtl/>
        </w:rPr>
        <w:t xml:space="preserve">ולפיה יש </w:t>
      </w:r>
      <w:r w:rsidRPr="00EA3DC8">
        <w:rPr>
          <w:sz w:val="18"/>
          <w:szCs w:val="20"/>
          <w:rtl/>
        </w:rPr>
        <w:t xml:space="preserve">להקים גוף </w:t>
      </w:r>
      <w:proofErr w:type="spellStart"/>
      <w:r w:rsidRPr="00EA3DC8">
        <w:rPr>
          <w:sz w:val="18"/>
          <w:szCs w:val="20"/>
          <w:rtl/>
        </w:rPr>
        <w:t>שיתכלל</w:t>
      </w:r>
      <w:proofErr w:type="spellEnd"/>
      <w:r w:rsidRPr="00EA3DC8">
        <w:rPr>
          <w:sz w:val="18"/>
          <w:szCs w:val="20"/>
          <w:rtl/>
        </w:rPr>
        <w:t xml:space="preserve"> את הטיפול באנשים בעוני</w:t>
      </w:r>
      <w:r w:rsidRPr="00EA3DC8">
        <w:rPr>
          <w:rFonts w:hint="cs"/>
          <w:sz w:val="18"/>
          <w:szCs w:val="20"/>
          <w:rtl/>
        </w:rPr>
        <w:t xml:space="preserve">, </w:t>
      </w:r>
      <w:r w:rsidRPr="00EA3DC8">
        <w:rPr>
          <w:sz w:val="18"/>
          <w:szCs w:val="20"/>
          <w:rtl/>
        </w:rPr>
        <w:t>יסייע להתאים את שלל המענים של משרדי הממשלה, הרשויות מקומיות והגופים האחרים ויגשר בין המשרדים</w:t>
      </w:r>
      <w:r w:rsidRPr="00EA3DC8">
        <w:rPr>
          <w:rFonts w:hint="cs"/>
          <w:sz w:val="18"/>
          <w:szCs w:val="20"/>
          <w:rtl/>
        </w:rPr>
        <w:t>,</w:t>
      </w:r>
      <w:r w:rsidRPr="00EA3DC8">
        <w:rPr>
          <w:sz w:val="18"/>
          <w:szCs w:val="20"/>
          <w:rtl/>
        </w:rPr>
        <w:t xml:space="preserve"> כדי שיציאת האנשים החיים בעוני לעבודה תיטיב </w:t>
      </w:r>
      <w:r w:rsidRPr="00EA3DC8">
        <w:rPr>
          <w:rFonts w:hint="cs"/>
          <w:sz w:val="18"/>
          <w:szCs w:val="20"/>
          <w:rtl/>
        </w:rPr>
        <w:t xml:space="preserve">עם </w:t>
      </w:r>
      <w:r w:rsidRPr="00EA3DC8">
        <w:rPr>
          <w:sz w:val="18"/>
          <w:szCs w:val="20"/>
          <w:rtl/>
        </w:rPr>
        <w:t xml:space="preserve">ממדים אחרים בחייהם ותאפשר להם ליצור שינוי הוליסטי באיכות החיים. </w:t>
      </w:r>
    </w:p>
    <w:p w14:paraId="6378A0E3" w14:textId="77777777" w:rsidR="00926914" w:rsidRPr="00EA3DC8" w:rsidRDefault="00926914" w:rsidP="00EA3DC8">
      <w:pPr>
        <w:spacing w:after="180" w:line="280" w:lineRule="exact"/>
        <w:jc w:val="both"/>
        <w:rPr>
          <w:sz w:val="18"/>
          <w:szCs w:val="20"/>
          <w:rtl/>
        </w:rPr>
      </w:pPr>
    </w:p>
    <w:p w14:paraId="25C10277" w14:textId="77777777" w:rsidR="00926914" w:rsidRPr="00831829" w:rsidRDefault="00926914" w:rsidP="00EA3DC8">
      <w:pPr>
        <w:pStyle w:val="KOT4"/>
        <w:spacing w:after="0"/>
        <w:ind w:left="397" w:right="0" w:hanging="397"/>
        <w:rPr>
          <w:rFonts w:cs="Guttman Aharoni"/>
          <w:color w:val="00B0F0"/>
          <w:sz w:val="32"/>
          <w:szCs w:val="32"/>
          <w:rtl/>
        </w:rPr>
      </w:pPr>
      <w:bookmarkStart w:id="33" w:name="_Toc76380509"/>
      <w:r w:rsidRPr="00831829">
        <w:rPr>
          <w:rFonts w:cs="Guttman Aharoni"/>
          <w:color w:val="00B0F0"/>
          <w:sz w:val="32"/>
          <w:szCs w:val="32"/>
          <w:rtl/>
        </w:rPr>
        <w:lastRenderedPageBreak/>
        <w:t>מקורות</w:t>
      </w:r>
      <w:bookmarkEnd w:id="33"/>
      <w:r w:rsidRPr="00831829">
        <w:rPr>
          <w:rFonts w:cs="Guttman Aharoni"/>
          <w:color w:val="00B0F0"/>
          <w:sz w:val="32"/>
          <w:szCs w:val="32"/>
          <w:rtl/>
        </w:rPr>
        <w:t xml:space="preserve"> </w:t>
      </w:r>
    </w:p>
    <w:p w14:paraId="788850DD" w14:textId="77777777" w:rsidR="00926914" w:rsidRPr="00EA3DC8" w:rsidRDefault="00926914" w:rsidP="003F2F7D">
      <w:pPr>
        <w:spacing w:after="120"/>
        <w:ind w:left="397" w:hanging="397"/>
        <w:mirrorIndents/>
        <w:jc w:val="both"/>
        <w:rPr>
          <w:sz w:val="18"/>
          <w:szCs w:val="20"/>
          <w:rtl/>
        </w:rPr>
      </w:pPr>
      <w:r w:rsidRPr="00EA3DC8">
        <w:rPr>
          <w:sz w:val="18"/>
          <w:szCs w:val="20"/>
          <w:rtl/>
        </w:rPr>
        <w:t xml:space="preserve">אחדות, נ' (2007). </w:t>
      </w:r>
      <w:proofErr w:type="spellStart"/>
      <w:r w:rsidRPr="00EA3DC8">
        <w:rPr>
          <w:sz w:val="18"/>
          <w:szCs w:val="20"/>
          <w:rtl/>
        </w:rPr>
        <w:t>התכנית</w:t>
      </w:r>
      <w:proofErr w:type="spellEnd"/>
      <w:r w:rsidRPr="00EA3DC8">
        <w:rPr>
          <w:sz w:val="18"/>
          <w:szCs w:val="20"/>
          <w:rtl/>
        </w:rPr>
        <w:t xml:space="preserve"> לשילוב הורים יחידים בשוק העבודה: משאבים וחסמים להשתלבות בתעסוקה. </w:t>
      </w:r>
      <w:r w:rsidRPr="00EA3DC8">
        <w:rPr>
          <w:b/>
          <w:bCs/>
          <w:sz w:val="18"/>
          <w:szCs w:val="20"/>
          <w:rtl/>
        </w:rPr>
        <w:t>ביטחון סוציאלי</w:t>
      </w:r>
      <w:r w:rsidRPr="00EA3DC8">
        <w:rPr>
          <w:sz w:val="18"/>
          <w:szCs w:val="20"/>
          <w:rtl/>
        </w:rPr>
        <w:t xml:space="preserve">, </w:t>
      </w:r>
      <w:r w:rsidRPr="00EA3DC8">
        <w:rPr>
          <w:b/>
          <w:bCs/>
          <w:sz w:val="18"/>
          <w:szCs w:val="20"/>
          <w:rtl/>
        </w:rPr>
        <w:t>73</w:t>
      </w:r>
      <w:r w:rsidRPr="00EA3DC8">
        <w:rPr>
          <w:sz w:val="18"/>
          <w:szCs w:val="20"/>
          <w:rtl/>
        </w:rPr>
        <w:t>, 69–111.</w:t>
      </w:r>
    </w:p>
    <w:p w14:paraId="209332FC" w14:textId="77777777" w:rsidR="00926914" w:rsidRPr="00EA3DC8" w:rsidRDefault="00926914" w:rsidP="003F2F7D">
      <w:pPr>
        <w:spacing w:after="120"/>
        <w:ind w:left="397" w:hanging="397"/>
        <w:mirrorIndents/>
        <w:jc w:val="both"/>
        <w:rPr>
          <w:sz w:val="18"/>
          <w:szCs w:val="20"/>
          <w:rtl/>
        </w:rPr>
      </w:pPr>
      <w:r w:rsidRPr="00EA3DC8">
        <w:rPr>
          <w:rFonts w:hint="cs"/>
          <w:sz w:val="18"/>
          <w:szCs w:val="20"/>
          <w:rtl/>
        </w:rPr>
        <w:t xml:space="preserve">אחדות, נ' (2011). </w:t>
      </w:r>
      <w:r w:rsidRPr="00EA3DC8">
        <w:rPr>
          <w:rFonts w:hint="cs"/>
          <w:b/>
          <w:bCs/>
          <w:sz w:val="18"/>
          <w:szCs w:val="20"/>
          <w:rtl/>
        </w:rPr>
        <w:t>מדיניות הרווחה והיצע עבודה: המקרה של אימהות חד הוריות בישראל</w:t>
      </w:r>
      <w:r w:rsidRPr="00EA3DC8">
        <w:rPr>
          <w:rFonts w:hint="cs"/>
          <w:sz w:val="18"/>
          <w:szCs w:val="20"/>
          <w:rtl/>
        </w:rPr>
        <w:t xml:space="preserve"> (עבודת דוקטורט שלא פורסמה). תל אביב: אוניברסיטת תל אביב.</w:t>
      </w:r>
    </w:p>
    <w:p w14:paraId="4A17BB66" w14:textId="77777777" w:rsidR="00926914" w:rsidRPr="00EA3DC8" w:rsidRDefault="00926914" w:rsidP="003F2F7D">
      <w:pPr>
        <w:spacing w:after="120"/>
        <w:ind w:left="397" w:hanging="397"/>
        <w:mirrorIndents/>
        <w:jc w:val="both"/>
        <w:rPr>
          <w:sz w:val="18"/>
          <w:szCs w:val="20"/>
          <w:rtl/>
        </w:rPr>
      </w:pPr>
      <w:r w:rsidRPr="00EA3DC8">
        <w:rPr>
          <w:sz w:val="18"/>
          <w:szCs w:val="20"/>
          <w:rtl/>
        </w:rPr>
        <w:t xml:space="preserve">אייזיק, ע', צדקה, ט' </w:t>
      </w:r>
      <w:proofErr w:type="spellStart"/>
      <w:r w:rsidRPr="00EA3DC8">
        <w:rPr>
          <w:sz w:val="18"/>
          <w:szCs w:val="20"/>
          <w:rtl/>
        </w:rPr>
        <w:t>וברמלי</w:t>
      </w:r>
      <w:proofErr w:type="spellEnd"/>
      <w:r w:rsidRPr="00EA3DC8">
        <w:rPr>
          <w:sz w:val="18"/>
          <w:szCs w:val="20"/>
          <w:rtl/>
        </w:rPr>
        <w:t xml:space="preserve">-גרינברג, ש' (2019). </w:t>
      </w:r>
      <w:r w:rsidRPr="00EA3DC8">
        <w:rPr>
          <w:b/>
          <w:bCs/>
          <w:sz w:val="18"/>
          <w:szCs w:val="20"/>
          <w:rtl/>
        </w:rPr>
        <w:t>עובדים החיים בעוני: מיפוי צרכים ומענים</w:t>
      </w:r>
      <w:r w:rsidRPr="00EA3DC8">
        <w:rPr>
          <w:rFonts w:hint="cs"/>
          <w:b/>
          <w:bCs/>
          <w:sz w:val="18"/>
          <w:szCs w:val="20"/>
          <w:rtl/>
        </w:rPr>
        <w:t>: מחקר מקדמי לצורך קבלת החלטה</w:t>
      </w:r>
      <w:r w:rsidRPr="00EA3DC8">
        <w:rPr>
          <w:sz w:val="18"/>
          <w:szCs w:val="20"/>
          <w:rtl/>
        </w:rPr>
        <w:t xml:space="preserve">. </w:t>
      </w:r>
      <w:r w:rsidRPr="00EA3DC8">
        <w:rPr>
          <w:rFonts w:hint="cs"/>
          <w:sz w:val="18"/>
          <w:szCs w:val="20"/>
          <w:rtl/>
        </w:rPr>
        <w:t xml:space="preserve">ירושלים: </w:t>
      </w:r>
      <w:r w:rsidRPr="00EA3DC8">
        <w:rPr>
          <w:sz w:val="18"/>
          <w:szCs w:val="20"/>
          <w:rtl/>
        </w:rPr>
        <w:t xml:space="preserve">מכון </w:t>
      </w:r>
      <w:proofErr w:type="spellStart"/>
      <w:r w:rsidRPr="00EA3DC8">
        <w:rPr>
          <w:sz w:val="18"/>
          <w:szCs w:val="20"/>
          <w:rtl/>
        </w:rPr>
        <w:t>מאיירס</w:t>
      </w:r>
      <w:proofErr w:type="spellEnd"/>
      <w:r w:rsidRPr="00EA3DC8">
        <w:rPr>
          <w:sz w:val="18"/>
          <w:szCs w:val="20"/>
          <w:rtl/>
        </w:rPr>
        <w:t>-ג'וינט-</w:t>
      </w:r>
      <w:proofErr w:type="spellStart"/>
      <w:r w:rsidRPr="00EA3DC8">
        <w:rPr>
          <w:sz w:val="18"/>
          <w:szCs w:val="20"/>
          <w:rtl/>
        </w:rPr>
        <w:t>ברוקדייל</w:t>
      </w:r>
      <w:proofErr w:type="spellEnd"/>
      <w:r w:rsidRPr="00EA3DC8">
        <w:rPr>
          <w:sz w:val="18"/>
          <w:szCs w:val="20"/>
          <w:rtl/>
        </w:rPr>
        <w:t>.</w:t>
      </w:r>
    </w:p>
    <w:p w14:paraId="0B7D0755" w14:textId="77777777" w:rsidR="00926914" w:rsidRPr="00EA3DC8" w:rsidRDefault="00926914" w:rsidP="003F2F7D">
      <w:pPr>
        <w:spacing w:after="120"/>
        <w:ind w:left="397" w:hanging="397"/>
        <w:mirrorIndents/>
        <w:jc w:val="both"/>
        <w:rPr>
          <w:sz w:val="18"/>
          <w:szCs w:val="20"/>
          <w:rtl/>
        </w:rPr>
      </w:pPr>
      <w:proofErr w:type="spellStart"/>
      <w:r w:rsidRPr="00EA3DC8">
        <w:rPr>
          <w:rFonts w:eastAsia="Calibri"/>
          <w:sz w:val="18"/>
          <w:szCs w:val="20"/>
          <w:rtl/>
        </w:rPr>
        <w:t>אנדלבד</w:t>
      </w:r>
      <w:proofErr w:type="spellEnd"/>
      <w:r w:rsidRPr="00EA3DC8">
        <w:rPr>
          <w:rFonts w:eastAsia="Calibri"/>
          <w:sz w:val="18"/>
          <w:szCs w:val="20"/>
          <w:rtl/>
        </w:rPr>
        <w:t xml:space="preserve">, מ', גוטליב, ד', הלר, א' </w:t>
      </w:r>
      <w:proofErr w:type="spellStart"/>
      <w:r w:rsidRPr="00EA3DC8">
        <w:rPr>
          <w:rFonts w:eastAsia="Calibri"/>
          <w:sz w:val="18"/>
          <w:szCs w:val="20"/>
          <w:rtl/>
        </w:rPr>
        <w:t>וכראדי</w:t>
      </w:r>
      <w:proofErr w:type="spellEnd"/>
      <w:r w:rsidRPr="00EA3DC8">
        <w:rPr>
          <w:rFonts w:eastAsia="Calibri"/>
          <w:sz w:val="18"/>
          <w:szCs w:val="20"/>
          <w:rtl/>
        </w:rPr>
        <w:t xml:space="preserve">, ל' </w:t>
      </w:r>
      <w:r w:rsidRPr="00EA3DC8">
        <w:rPr>
          <w:rFonts w:eastAsia="Calibri" w:hint="cs"/>
          <w:sz w:val="18"/>
          <w:szCs w:val="20"/>
          <w:rtl/>
        </w:rPr>
        <w:t xml:space="preserve">(2017). </w:t>
      </w:r>
      <w:r w:rsidRPr="00EA3DC8">
        <w:rPr>
          <w:b/>
          <w:bCs/>
          <w:sz w:val="18"/>
          <w:szCs w:val="20"/>
          <w:rtl/>
        </w:rPr>
        <w:t xml:space="preserve">ממדי העוני והפערים החברתיים: דוח שנתי, </w:t>
      </w:r>
      <w:r w:rsidRPr="00EA3DC8">
        <w:rPr>
          <w:rFonts w:hint="cs"/>
          <w:b/>
          <w:bCs/>
          <w:sz w:val="18"/>
          <w:szCs w:val="20"/>
          <w:rtl/>
        </w:rPr>
        <w:t>2016</w:t>
      </w:r>
      <w:r w:rsidRPr="00EA3DC8">
        <w:rPr>
          <w:sz w:val="18"/>
          <w:szCs w:val="20"/>
          <w:rtl/>
        </w:rPr>
        <w:t xml:space="preserve">. </w:t>
      </w:r>
      <w:r w:rsidRPr="00EA3DC8">
        <w:rPr>
          <w:rFonts w:hint="cs"/>
          <w:sz w:val="18"/>
          <w:szCs w:val="20"/>
          <w:rtl/>
        </w:rPr>
        <w:t xml:space="preserve">ירושלים: </w:t>
      </w:r>
      <w:r w:rsidRPr="00EA3DC8">
        <w:rPr>
          <w:sz w:val="18"/>
          <w:szCs w:val="20"/>
          <w:rtl/>
        </w:rPr>
        <w:t>המוסד לביטוח לאומי.</w:t>
      </w:r>
    </w:p>
    <w:p w14:paraId="568F0219" w14:textId="77777777" w:rsidR="00926914" w:rsidRPr="00EA3DC8" w:rsidRDefault="00926914" w:rsidP="003F2F7D">
      <w:pPr>
        <w:spacing w:after="120"/>
        <w:ind w:left="397" w:hanging="397"/>
        <w:mirrorIndents/>
        <w:jc w:val="both"/>
        <w:rPr>
          <w:sz w:val="18"/>
          <w:szCs w:val="20"/>
          <w:rtl/>
        </w:rPr>
      </w:pPr>
      <w:proofErr w:type="spellStart"/>
      <w:r w:rsidRPr="00EA3DC8">
        <w:rPr>
          <w:rFonts w:eastAsia="Calibri"/>
          <w:sz w:val="18"/>
          <w:szCs w:val="20"/>
          <w:rtl/>
        </w:rPr>
        <w:t>אנדלבד</w:t>
      </w:r>
      <w:proofErr w:type="spellEnd"/>
      <w:r w:rsidRPr="00EA3DC8">
        <w:rPr>
          <w:rFonts w:eastAsia="Calibri"/>
          <w:sz w:val="18"/>
          <w:szCs w:val="20"/>
          <w:rtl/>
        </w:rPr>
        <w:t xml:space="preserve">, מ', גוטליב, ד', הלר, א' </w:t>
      </w:r>
      <w:proofErr w:type="spellStart"/>
      <w:r w:rsidRPr="00EA3DC8">
        <w:rPr>
          <w:rFonts w:eastAsia="Calibri"/>
          <w:sz w:val="18"/>
          <w:szCs w:val="20"/>
          <w:rtl/>
        </w:rPr>
        <w:t>וכראדי</w:t>
      </w:r>
      <w:proofErr w:type="spellEnd"/>
      <w:r w:rsidRPr="00EA3DC8">
        <w:rPr>
          <w:rFonts w:eastAsia="Calibri"/>
          <w:sz w:val="18"/>
          <w:szCs w:val="20"/>
          <w:rtl/>
        </w:rPr>
        <w:t>, ל' (2019).</w:t>
      </w:r>
      <w:r w:rsidRPr="00EA3DC8">
        <w:rPr>
          <w:sz w:val="18"/>
          <w:szCs w:val="20"/>
          <w:rtl/>
        </w:rPr>
        <w:t xml:space="preserve"> </w:t>
      </w:r>
      <w:r w:rsidRPr="00EA3DC8">
        <w:rPr>
          <w:b/>
          <w:bCs/>
          <w:sz w:val="18"/>
          <w:szCs w:val="20"/>
          <w:rtl/>
        </w:rPr>
        <w:t>ממדי העוני והפערים החברתיים: דוח שנתי, 2018</w:t>
      </w:r>
      <w:r w:rsidRPr="00EA3DC8">
        <w:rPr>
          <w:sz w:val="18"/>
          <w:szCs w:val="20"/>
          <w:rtl/>
        </w:rPr>
        <w:t xml:space="preserve">. </w:t>
      </w:r>
      <w:r w:rsidRPr="00EA3DC8">
        <w:rPr>
          <w:rFonts w:hint="cs"/>
          <w:sz w:val="18"/>
          <w:szCs w:val="20"/>
          <w:rtl/>
        </w:rPr>
        <w:t xml:space="preserve">ירושלים: </w:t>
      </w:r>
      <w:r w:rsidRPr="00EA3DC8">
        <w:rPr>
          <w:sz w:val="18"/>
          <w:szCs w:val="20"/>
          <w:rtl/>
        </w:rPr>
        <w:t>המוסד לביטוח לאומי.</w:t>
      </w:r>
    </w:p>
    <w:p w14:paraId="47505817" w14:textId="77777777" w:rsidR="00926914" w:rsidRPr="00EA3DC8" w:rsidRDefault="00926914" w:rsidP="003F2F7D">
      <w:pPr>
        <w:spacing w:after="120"/>
        <w:ind w:left="397" w:hanging="397"/>
        <w:mirrorIndents/>
        <w:jc w:val="both"/>
        <w:rPr>
          <w:sz w:val="18"/>
          <w:szCs w:val="20"/>
          <w:rtl/>
        </w:rPr>
      </w:pPr>
      <w:r w:rsidRPr="00EA3DC8">
        <w:rPr>
          <w:sz w:val="18"/>
          <w:szCs w:val="20"/>
          <w:rtl/>
        </w:rPr>
        <w:t xml:space="preserve">בנימין, א' וניסים, ש' (2017). </w:t>
      </w:r>
      <w:r w:rsidRPr="00EA3DC8">
        <w:rPr>
          <w:b/>
          <w:bCs/>
          <w:sz w:val="18"/>
          <w:szCs w:val="20"/>
          <w:rtl/>
        </w:rPr>
        <w:t>הבנת חסמים לחילוץ מעוני במיקומים חברתיים שונים: חסמי תעסוקה וחסמים במימוש זכויות וקבלת שירותים</w:t>
      </w:r>
      <w:r w:rsidRPr="00EA3DC8">
        <w:rPr>
          <w:sz w:val="18"/>
          <w:szCs w:val="20"/>
          <w:rtl/>
        </w:rPr>
        <w:t xml:space="preserve">. </w:t>
      </w:r>
      <w:r w:rsidRPr="00EA3DC8">
        <w:rPr>
          <w:rFonts w:hint="cs"/>
          <w:sz w:val="18"/>
          <w:szCs w:val="20"/>
          <w:rtl/>
        </w:rPr>
        <w:t xml:space="preserve">רמת גן: </w:t>
      </w:r>
      <w:r w:rsidRPr="00EA3DC8">
        <w:rPr>
          <w:sz w:val="18"/>
          <w:szCs w:val="20"/>
          <w:rtl/>
        </w:rPr>
        <w:t>אוניברסיטת בר-אילן, יחידת המחקר בנושא העוני.</w:t>
      </w:r>
    </w:p>
    <w:p w14:paraId="7050507B" w14:textId="51001EF6" w:rsidR="00926914" w:rsidRPr="00EA3DC8" w:rsidRDefault="00926914" w:rsidP="003F2F7D">
      <w:pPr>
        <w:spacing w:after="120"/>
        <w:ind w:left="397" w:hanging="397"/>
        <w:mirrorIndents/>
        <w:jc w:val="both"/>
        <w:rPr>
          <w:sz w:val="18"/>
          <w:szCs w:val="20"/>
          <w:rtl/>
        </w:rPr>
      </w:pPr>
      <w:proofErr w:type="spellStart"/>
      <w:r w:rsidRPr="00EA3DC8">
        <w:rPr>
          <w:sz w:val="18"/>
          <w:szCs w:val="20"/>
          <w:rtl/>
        </w:rPr>
        <w:t>ברששת</w:t>
      </w:r>
      <w:proofErr w:type="spellEnd"/>
      <w:r w:rsidRPr="00EA3DC8">
        <w:rPr>
          <w:sz w:val="18"/>
          <w:szCs w:val="20"/>
          <w:rtl/>
        </w:rPr>
        <w:t xml:space="preserve">, ד' (2018). העובד הסוציאלי התעסוקתי: תפקיד בהתפתחות. </w:t>
      </w:r>
      <w:r w:rsidRPr="00EA3DC8">
        <w:rPr>
          <w:b/>
          <w:bCs/>
          <w:sz w:val="18"/>
          <w:szCs w:val="20"/>
          <w:rtl/>
        </w:rPr>
        <w:t>אדם ועבודה</w:t>
      </w:r>
      <w:r w:rsidRPr="00EA3DC8">
        <w:rPr>
          <w:sz w:val="18"/>
          <w:szCs w:val="20"/>
          <w:rtl/>
        </w:rPr>
        <w:t xml:space="preserve">, </w:t>
      </w:r>
      <w:r w:rsidRPr="00EA3DC8">
        <w:rPr>
          <w:b/>
          <w:bCs/>
          <w:sz w:val="18"/>
          <w:szCs w:val="20"/>
          <w:rtl/>
        </w:rPr>
        <w:t>11</w:t>
      </w:r>
      <w:r w:rsidRPr="00EA3DC8">
        <w:rPr>
          <w:sz w:val="18"/>
          <w:szCs w:val="20"/>
          <w:rtl/>
        </w:rPr>
        <w:t xml:space="preserve">, </w:t>
      </w:r>
      <w:r w:rsidR="003B6BFE">
        <w:rPr>
          <w:sz w:val="18"/>
          <w:szCs w:val="20"/>
        </w:rPr>
        <w:br/>
      </w:r>
      <w:r w:rsidRPr="00EA3DC8">
        <w:rPr>
          <w:sz w:val="18"/>
          <w:szCs w:val="20"/>
          <w:rtl/>
        </w:rPr>
        <w:t>11–18.</w:t>
      </w:r>
    </w:p>
    <w:p w14:paraId="3DC691D3" w14:textId="50B37D3E" w:rsidR="00C11554" w:rsidRPr="00907B78" w:rsidRDefault="00926914" w:rsidP="00907B78">
      <w:pPr>
        <w:spacing w:after="120"/>
        <w:ind w:left="397" w:hanging="397"/>
        <w:mirrorIndents/>
        <w:jc w:val="both"/>
        <w:rPr>
          <w:sz w:val="16"/>
          <w:szCs w:val="16"/>
          <w:rtl/>
        </w:rPr>
      </w:pPr>
      <w:r w:rsidRPr="00907B78">
        <w:rPr>
          <w:sz w:val="18"/>
          <w:szCs w:val="20"/>
          <w:rtl/>
        </w:rPr>
        <w:t xml:space="preserve">הוועדה למלחמה בעוני בישראל (2014). </w:t>
      </w:r>
      <w:r w:rsidRPr="00907B78">
        <w:rPr>
          <w:b/>
          <w:bCs/>
          <w:sz w:val="18"/>
          <w:szCs w:val="20"/>
          <w:rtl/>
        </w:rPr>
        <w:t>דוח המליאה</w:t>
      </w:r>
      <w:r w:rsidRPr="00907B78">
        <w:rPr>
          <w:sz w:val="18"/>
          <w:szCs w:val="20"/>
          <w:rtl/>
        </w:rPr>
        <w:t xml:space="preserve">. חלק 1. </w:t>
      </w:r>
      <w:hyperlink r:id="rId8" w:history="1">
        <w:r w:rsidR="00C11554" w:rsidRPr="00907B78">
          <w:rPr>
            <w:rStyle w:val="Hyperlink"/>
            <w:color w:val="auto"/>
            <w:sz w:val="16"/>
            <w:szCs w:val="16"/>
            <w:u w:val="none"/>
          </w:rPr>
          <w:t>https://did.li/EWvlC</w:t>
        </w:r>
      </w:hyperlink>
    </w:p>
    <w:p w14:paraId="479CD85A" w14:textId="77777777" w:rsidR="00926914" w:rsidRPr="00907B78" w:rsidRDefault="00926914" w:rsidP="003F2F7D">
      <w:pPr>
        <w:ind w:left="397" w:hanging="397"/>
        <w:mirrorIndents/>
        <w:jc w:val="both"/>
        <w:rPr>
          <w:sz w:val="18"/>
          <w:szCs w:val="20"/>
          <w:rtl/>
        </w:rPr>
      </w:pPr>
      <w:r w:rsidRPr="00907B78">
        <w:rPr>
          <w:rFonts w:hint="cs"/>
          <w:sz w:val="18"/>
          <w:szCs w:val="20"/>
          <w:rtl/>
        </w:rPr>
        <w:t xml:space="preserve">הלשכה המרכזית לסטטיסטיקה (2013). </w:t>
      </w:r>
      <w:r w:rsidRPr="00907B78">
        <w:rPr>
          <w:rFonts w:hint="cs"/>
          <w:b/>
          <w:bCs/>
          <w:sz w:val="18"/>
          <w:szCs w:val="20"/>
          <w:rtl/>
        </w:rPr>
        <w:t>שאלון הסקר החברתי לשנת 2013</w:t>
      </w:r>
      <w:r w:rsidRPr="00907B78">
        <w:rPr>
          <w:rFonts w:hint="cs"/>
          <w:sz w:val="18"/>
          <w:szCs w:val="20"/>
          <w:rtl/>
        </w:rPr>
        <w:t xml:space="preserve">. ירושלים: הלשכה המרכזית לסטטיסטיקה. </w:t>
      </w:r>
    </w:p>
    <w:p w14:paraId="6724C192" w14:textId="77777777" w:rsidR="00926914" w:rsidRPr="00907B78" w:rsidRDefault="00D16A00" w:rsidP="003F2F7D">
      <w:pPr>
        <w:bidi w:val="0"/>
        <w:spacing w:after="120"/>
        <w:mirrorIndents/>
        <w:rPr>
          <w:rStyle w:val="Hyperlink"/>
          <w:color w:val="auto"/>
          <w:sz w:val="16"/>
          <w:szCs w:val="18"/>
          <w:u w:val="none"/>
        </w:rPr>
      </w:pPr>
      <w:hyperlink r:id="rId9" w:history="1">
        <w:r w:rsidR="00926914" w:rsidRPr="00907B78">
          <w:rPr>
            <w:rStyle w:val="Hyperlink"/>
            <w:color w:val="auto"/>
            <w:sz w:val="16"/>
            <w:szCs w:val="18"/>
            <w:u w:val="none"/>
          </w:rPr>
          <w:t>https://www.cbs.gov.il/he/publications/doclib/2015/seker_hevrati13_1594/pdf/app1_h.pdf</w:t>
        </w:r>
      </w:hyperlink>
    </w:p>
    <w:p w14:paraId="36E02408" w14:textId="3BAD5D79" w:rsidR="00812A20" w:rsidRPr="00907B78" w:rsidRDefault="00926914" w:rsidP="00907B78">
      <w:pPr>
        <w:spacing w:after="120"/>
        <w:ind w:left="397" w:hanging="397"/>
        <w:mirrorIndents/>
        <w:jc w:val="both"/>
        <w:rPr>
          <w:rStyle w:val="Hyperlink"/>
          <w:color w:val="auto"/>
          <w:sz w:val="16"/>
          <w:szCs w:val="16"/>
          <w:u w:val="none"/>
          <w:rtl/>
        </w:rPr>
      </w:pPr>
      <w:proofErr w:type="spellStart"/>
      <w:r w:rsidRPr="00907B78">
        <w:rPr>
          <w:sz w:val="18"/>
          <w:szCs w:val="20"/>
          <w:rtl/>
        </w:rPr>
        <w:t>טולידנו</w:t>
      </w:r>
      <w:proofErr w:type="spellEnd"/>
      <w:r w:rsidRPr="00907B78">
        <w:rPr>
          <w:sz w:val="18"/>
          <w:szCs w:val="20"/>
          <w:rtl/>
        </w:rPr>
        <w:t>, א' וגוטליב, ד</w:t>
      </w:r>
      <w:r w:rsidRPr="00907B78">
        <w:rPr>
          <w:rFonts w:hint="cs"/>
          <w:sz w:val="18"/>
          <w:szCs w:val="20"/>
          <w:rtl/>
        </w:rPr>
        <w:t>'</w:t>
      </w:r>
      <w:r w:rsidRPr="00907B78">
        <w:rPr>
          <w:sz w:val="18"/>
          <w:szCs w:val="20"/>
          <w:rtl/>
        </w:rPr>
        <w:t xml:space="preserve"> (2015). </w:t>
      </w:r>
      <w:r w:rsidRPr="00907B78">
        <w:rPr>
          <w:b/>
          <w:bCs/>
          <w:sz w:val="18"/>
          <w:szCs w:val="20"/>
          <w:rtl/>
        </w:rPr>
        <w:t>שכירים במשרה חלקית ואבטלה מורחבת</w:t>
      </w:r>
      <w:r w:rsidRPr="00907B78">
        <w:rPr>
          <w:sz w:val="18"/>
          <w:szCs w:val="20"/>
          <w:rtl/>
        </w:rPr>
        <w:t xml:space="preserve">. </w:t>
      </w:r>
      <w:r w:rsidRPr="00907B78">
        <w:rPr>
          <w:rFonts w:hint="cs"/>
          <w:sz w:val="18"/>
          <w:szCs w:val="20"/>
          <w:rtl/>
        </w:rPr>
        <w:t xml:space="preserve">ירושלים: </w:t>
      </w:r>
      <w:r w:rsidRPr="00907B78">
        <w:rPr>
          <w:sz w:val="18"/>
          <w:szCs w:val="20"/>
          <w:rtl/>
        </w:rPr>
        <w:t xml:space="preserve">המוסד לביטוח לאומי. </w:t>
      </w:r>
      <w:hyperlink r:id="rId10" w:history="1">
        <w:r w:rsidR="00812A20" w:rsidRPr="00907B78">
          <w:rPr>
            <w:rStyle w:val="Hyperlink"/>
            <w:color w:val="auto"/>
            <w:sz w:val="16"/>
            <w:szCs w:val="16"/>
            <w:u w:val="none"/>
          </w:rPr>
          <w:t>https://did.li/KFkTY</w:t>
        </w:r>
      </w:hyperlink>
    </w:p>
    <w:p w14:paraId="07991933" w14:textId="77777777" w:rsidR="00926914" w:rsidRPr="00907B78" w:rsidRDefault="00926914" w:rsidP="003F2F7D">
      <w:pPr>
        <w:spacing w:after="120"/>
        <w:ind w:left="397" w:hanging="397"/>
        <w:mirrorIndents/>
        <w:jc w:val="both"/>
        <w:rPr>
          <w:sz w:val="18"/>
          <w:szCs w:val="20"/>
          <w:rtl/>
        </w:rPr>
      </w:pPr>
      <w:proofErr w:type="spellStart"/>
      <w:r w:rsidRPr="00907B78">
        <w:rPr>
          <w:sz w:val="18"/>
          <w:szCs w:val="20"/>
          <w:rtl/>
        </w:rPr>
        <w:t>ליבליך</w:t>
      </w:r>
      <w:proofErr w:type="spellEnd"/>
      <w:r w:rsidRPr="00907B78">
        <w:rPr>
          <w:sz w:val="18"/>
          <w:szCs w:val="20"/>
          <w:rtl/>
        </w:rPr>
        <w:t xml:space="preserve">, ע', תובל-משיח, ר' וזילבר, ת' (2010). בין השלם לחלקיו, ובין תוכן לצורה. בתוך ל' </w:t>
      </w:r>
      <w:proofErr w:type="spellStart"/>
      <w:r w:rsidRPr="00907B78">
        <w:rPr>
          <w:sz w:val="18"/>
          <w:szCs w:val="20"/>
          <w:rtl/>
        </w:rPr>
        <w:t>קסן</w:t>
      </w:r>
      <w:proofErr w:type="spellEnd"/>
      <w:r w:rsidRPr="00907B78">
        <w:rPr>
          <w:sz w:val="18"/>
          <w:szCs w:val="20"/>
          <w:rtl/>
        </w:rPr>
        <w:t xml:space="preserve"> ומ' </w:t>
      </w:r>
      <w:proofErr w:type="spellStart"/>
      <w:r w:rsidRPr="00907B78">
        <w:rPr>
          <w:sz w:val="18"/>
          <w:szCs w:val="20"/>
          <w:rtl/>
        </w:rPr>
        <w:t>קרומר</w:t>
      </w:r>
      <w:proofErr w:type="spellEnd"/>
      <w:r w:rsidRPr="00907B78">
        <w:rPr>
          <w:sz w:val="18"/>
          <w:szCs w:val="20"/>
          <w:rtl/>
        </w:rPr>
        <w:t xml:space="preserve">-נבו (עורכות), </w:t>
      </w:r>
      <w:r w:rsidRPr="00907B78">
        <w:rPr>
          <w:b/>
          <w:bCs/>
          <w:sz w:val="18"/>
          <w:szCs w:val="20"/>
          <w:rtl/>
        </w:rPr>
        <w:t>ניתוח נתונים במחקר איכותני</w:t>
      </w:r>
      <w:r w:rsidRPr="00907B78">
        <w:rPr>
          <w:sz w:val="18"/>
          <w:szCs w:val="20"/>
          <w:rtl/>
        </w:rPr>
        <w:t xml:space="preserve"> (עמ' 21–42). </w:t>
      </w:r>
      <w:r w:rsidRPr="00907B78">
        <w:rPr>
          <w:rFonts w:hint="cs"/>
          <w:sz w:val="18"/>
          <w:szCs w:val="20"/>
          <w:rtl/>
        </w:rPr>
        <w:t xml:space="preserve">באר שבע: </w:t>
      </w:r>
      <w:r w:rsidRPr="00907B78">
        <w:rPr>
          <w:sz w:val="18"/>
          <w:szCs w:val="20"/>
          <w:rtl/>
        </w:rPr>
        <w:t>אוניברסיטת בן-גוריון בנגב.</w:t>
      </w:r>
    </w:p>
    <w:p w14:paraId="25845C64" w14:textId="77777777" w:rsidR="003F2F7D" w:rsidRPr="00907B78" w:rsidRDefault="00926914" w:rsidP="003F2F7D">
      <w:pPr>
        <w:ind w:left="397" w:hanging="397"/>
        <w:mirrorIndents/>
        <w:jc w:val="both"/>
        <w:rPr>
          <w:sz w:val="18"/>
          <w:szCs w:val="20"/>
        </w:rPr>
      </w:pPr>
      <w:r w:rsidRPr="00907B78">
        <w:rPr>
          <w:sz w:val="18"/>
          <w:szCs w:val="20"/>
          <w:rtl/>
        </w:rPr>
        <w:t xml:space="preserve">משרד העבודה, הרווחה והשירותים החברתיים (2017). </w:t>
      </w:r>
      <w:r w:rsidRPr="00907B78" w:rsidDel="00ED45F8">
        <w:rPr>
          <w:b/>
          <w:bCs/>
          <w:sz w:val="18"/>
          <w:szCs w:val="20"/>
          <w:rtl/>
        </w:rPr>
        <w:t>סקירת השירותים החברתיים 2016</w:t>
      </w:r>
      <w:r w:rsidRPr="00907B78" w:rsidDel="00ED45F8">
        <w:rPr>
          <w:sz w:val="18"/>
          <w:szCs w:val="20"/>
          <w:rtl/>
        </w:rPr>
        <w:t>.</w:t>
      </w:r>
    </w:p>
    <w:p w14:paraId="20573BC2" w14:textId="254EB8CE" w:rsidR="00DC3FA1" w:rsidRPr="00907B78" w:rsidRDefault="00D16A00" w:rsidP="00907B78">
      <w:pPr>
        <w:bidi w:val="0"/>
        <w:spacing w:after="120"/>
        <w:ind w:left="397" w:hanging="397"/>
        <w:mirrorIndents/>
        <w:jc w:val="both"/>
        <w:rPr>
          <w:rStyle w:val="Hyperlink"/>
          <w:color w:val="auto"/>
          <w:sz w:val="16"/>
          <w:szCs w:val="18"/>
          <w:u w:val="none"/>
          <w:rtl/>
        </w:rPr>
      </w:pPr>
      <w:hyperlink r:id="rId11" w:history="1">
        <w:r w:rsidR="00DC3FA1" w:rsidRPr="00907B78">
          <w:rPr>
            <w:rStyle w:val="Hyperlink"/>
            <w:color w:val="auto"/>
            <w:sz w:val="16"/>
            <w:szCs w:val="18"/>
            <w:u w:val="none"/>
          </w:rPr>
          <w:t>https://did.li/tuSfT</w:t>
        </w:r>
      </w:hyperlink>
    </w:p>
    <w:p w14:paraId="1F1E8F06" w14:textId="77777777" w:rsidR="00926914" w:rsidRPr="00EA3DC8" w:rsidRDefault="00926914" w:rsidP="003F2F7D">
      <w:pPr>
        <w:spacing w:after="120"/>
        <w:ind w:left="397" w:hanging="397"/>
        <w:mirrorIndents/>
        <w:jc w:val="both"/>
        <w:rPr>
          <w:sz w:val="18"/>
          <w:szCs w:val="20"/>
          <w:rtl/>
        </w:rPr>
      </w:pPr>
      <w:proofErr w:type="spellStart"/>
      <w:r w:rsidRPr="00907B78">
        <w:rPr>
          <w:sz w:val="18"/>
          <w:szCs w:val="20"/>
          <w:rtl/>
        </w:rPr>
        <w:t>סטריאר</w:t>
      </w:r>
      <w:proofErr w:type="spellEnd"/>
      <w:r w:rsidRPr="00907B78">
        <w:rPr>
          <w:sz w:val="18"/>
          <w:szCs w:val="20"/>
          <w:rtl/>
        </w:rPr>
        <w:t xml:space="preserve">, ר', </w:t>
      </w:r>
      <w:proofErr w:type="spellStart"/>
      <w:r w:rsidRPr="00907B78">
        <w:rPr>
          <w:sz w:val="18"/>
          <w:szCs w:val="20"/>
          <w:rtl/>
        </w:rPr>
        <w:t>איזיקוביץ</w:t>
      </w:r>
      <w:proofErr w:type="spellEnd"/>
      <w:r w:rsidRPr="00907B78">
        <w:rPr>
          <w:sz w:val="18"/>
          <w:szCs w:val="20"/>
          <w:rtl/>
        </w:rPr>
        <w:t xml:space="preserve">, צ' </w:t>
      </w:r>
      <w:proofErr w:type="spellStart"/>
      <w:r w:rsidRPr="00907B78">
        <w:rPr>
          <w:sz w:val="18"/>
          <w:szCs w:val="20"/>
          <w:rtl/>
        </w:rPr>
        <w:t>ובוכבינדר</w:t>
      </w:r>
      <w:proofErr w:type="spellEnd"/>
      <w:r w:rsidRPr="00907B78">
        <w:rPr>
          <w:sz w:val="18"/>
          <w:szCs w:val="20"/>
          <w:rtl/>
        </w:rPr>
        <w:t xml:space="preserve">, א'. (2011). </w:t>
      </w:r>
      <w:r w:rsidRPr="00907B78">
        <w:rPr>
          <w:b/>
          <w:bCs/>
          <w:sz w:val="18"/>
          <w:szCs w:val="20"/>
          <w:rtl/>
        </w:rPr>
        <w:t xml:space="preserve">פני העוני: על חוויית העוני של אנשים </w:t>
      </w:r>
      <w:r w:rsidRPr="00EA3DC8">
        <w:rPr>
          <w:b/>
          <w:bCs/>
          <w:sz w:val="18"/>
          <w:szCs w:val="20"/>
          <w:rtl/>
        </w:rPr>
        <w:t>עובדים בישראל: דו"ח מסכם</w:t>
      </w:r>
      <w:r w:rsidRPr="00EA3DC8">
        <w:rPr>
          <w:sz w:val="18"/>
          <w:szCs w:val="20"/>
          <w:rtl/>
        </w:rPr>
        <w:t xml:space="preserve">. </w:t>
      </w:r>
      <w:r w:rsidRPr="00EA3DC8">
        <w:rPr>
          <w:rFonts w:hint="cs"/>
          <w:sz w:val="18"/>
          <w:szCs w:val="20"/>
          <w:rtl/>
        </w:rPr>
        <w:t xml:space="preserve">חיפה: </w:t>
      </w:r>
      <w:r w:rsidRPr="00EA3DC8">
        <w:rPr>
          <w:sz w:val="18"/>
          <w:szCs w:val="20"/>
          <w:rtl/>
        </w:rPr>
        <w:t>אוניברסיטת חיפה.</w:t>
      </w:r>
    </w:p>
    <w:p w14:paraId="7261A8E7" w14:textId="54FAF01B"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Achdut</w:t>
      </w:r>
      <w:proofErr w:type="spellEnd"/>
      <w:r w:rsidRPr="00EA3DC8">
        <w:rPr>
          <w:sz w:val="18"/>
          <w:szCs w:val="20"/>
          <w:shd w:val="clear" w:color="auto" w:fill="FFFFFF"/>
        </w:rPr>
        <w:t xml:space="preserve">, N. (2016). The differential role of human capital and health in explaining welfare exit‐route and </w:t>
      </w:r>
      <w:proofErr w:type="spellStart"/>
      <w:r w:rsidRPr="00EA3DC8">
        <w:rPr>
          <w:sz w:val="18"/>
          <w:szCs w:val="20"/>
          <w:shd w:val="clear" w:color="auto" w:fill="FFFFFF"/>
        </w:rPr>
        <w:t>labour</w:t>
      </w:r>
      <w:proofErr w:type="spellEnd"/>
      <w:r w:rsidRPr="00EA3DC8">
        <w:rPr>
          <w:sz w:val="18"/>
          <w:szCs w:val="20"/>
          <w:shd w:val="clear" w:color="auto" w:fill="FFFFFF"/>
        </w:rPr>
        <w:t xml:space="preserve"> outcomes. </w:t>
      </w:r>
      <w:r w:rsidRPr="00EA3DC8">
        <w:rPr>
          <w:i/>
          <w:iCs/>
          <w:sz w:val="18"/>
          <w:szCs w:val="20"/>
          <w:shd w:val="clear" w:color="auto" w:fill="FFFFFF"/>
        </w:rPr>
        <w:t>International Journal of Social Welfare</w:t>
      </w:r>
      <w:r w:rsidRPr="00EA3DC8">
        <w:rPr>
          <w:sz w:val="18"/>
          <w:szCs w:val="20"/>
          <w:shd w:val="clear" w:color="auto" w:fill="FFFFFF"/>
        </w:rPr>
        <w:t xml:space="preserve">, </w:t>
      </w:r>
      <w:r w:rsidRPr="00EA3DC8">
        <w:rPr>
          <w:i/>
          <w:iCs/>
          <w:sz w:val="18"/>
          <w:szCs w:val="20"/>
          <w:shd w:val="clear" w:color="auto" w:fill="FFFFFF"/>
        </w:rPr>
        <w:t>25</w:t>
      </w:r>
      <w:r w:rsidRPr="00EA3DC8">
        <w:rPr>
          <w:sz w:val="18"/>
          <w:szCs w:val="20"/>
          <w:shd w:val="clear" w:color="auto" w:fill="FFFFFF"/>
        </w:rPr>
        <w:t>(3),</w:t>
      </w:r>
      <w:r w:rsidR="003B6BFE">
        <w:rPr>
          <w:sz w:val="18"/>
          <w:szCs w:val="20"/>
          <w:shd w:val="clear" w:color="auto" w:fill="FFFFFF"/>
        </w:rPr>
        <w:br/>
      </w:r>
      <w:r w:rsidRPr="00EA3DC8">
        <w:rPr>
          <w:sz w:val="18"/>
          <w:szCs w:val="20"/>
          <w:shd w:val="clear" w:color="auto" w:fill="FFFFFF"/>
        </w:rPr>
        <w:t xml:space="preserve"> 235–246.</w:t>
      </w:r>
    </w:p>
    <w:p w14:paraId="279989F3"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rPr>
        <w:t>Achdut</w:t>
      </w:r>
      <w:proofErr w:type="spellEnd"/>
      <w:r w:rsidRPr="00EA3DC8">
        <w:rPr>
          <w:sz w:val="18"/>
          <w:szCs w:val="20"/>
        </w:rPr>
        <w:t xml:space="preserve">, N., &amp; </w:t>
      </w:r>
      <w:proofErr w:type="spellStart"/>
      <w:r w:rsidRPr="00EA3DC8">
        <w:rPr>
          <w:sz w:val="18"/>
          <w:szCs w:val="20"/>
        </w:rPr>
        <w:t>Endveld</w:t>
      </w:r>
      <w:proofErr w:type="spellEnd"/>
      <w:r w:rsidRPr="00EA3DC8">
        <w:rPr>
          <w:sz w:val="18"/>
          <w:szCs w:val="20"/>
        </w:rPr>
        <w:t xml:space="preserve">, M. (In press). Employment and earnings mobility among income support recipients, 2005–2015. </w:t>
      </w:r>
      <w:r w:rsidRPr="00EA3DC8">
        <w:rPr>
          <w:i/>
          <w:iCs/>
          <w:sz w:val="18"/>
          <w:szCs w:val="20"/>
        </w:rPr>
        <w:t>Israel Economic Review</w:t>
      </w:r>
      <w:r w:rsidRPr="00EA3DC8">
        <w:rPr>
          <w:sz w:val="18"/>
          <w:szCs w:val="20"/>
        </w:rPr>
        <w:t>.</w:t>
      </w:r>
    </w:p>
    <w:p w14:paraId="484DF5A3" w14:textId="61D92924"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lastRenderedPageBreak/>
        <w:t>Achdut</w:t>
      </w:r>
      <w:proofErr w:type="spellEnd"/>
      <w:r w:rsidRPr="00EA3DC8">
        <w:rPr>
          <w:sz w:val="18"/>
          <w:szCs w:val="20"/>
          <w:shd w:val="clear" w:color="auto" w:fill="FFFFFF"/>
        </w:rPr>
        <w:t xml:space="preserve">, N., &amp; Stier, H. (2016). Long-term employment and earnings patterns of welfare recipients: The role of the local labor market. </w:t>
      </w:r>
      <w:r w:rsidRPr="00EA3DC8">
        <w:rPr>
          <w:i/>
          <w:iCs/>
          <w:sz w:val="18"/>
          <w:szCs w:val="20"/>
          <w:shd w:val="clear" w:color="auto" w:fill="FFFFFF"/>
        </w:rPr>
        <w:t>Social Service Review</w:t>
      </w:r>
      <w:r w:rsidRPr="00EA3DC8">
        <w:rPr>
          <w:sz w:val="18"/>
          <w:szCs w:val="20"/>
          <w:shd w:val="clear" w:color="auto" w:fill="FFFFFF"/>
        </w:rPr>
        <w:t xml:space="preserve">, </w:t>
      </w:r>
      <w:r w:rsidRPr="00EA3DC8">
        <w:rPr>
          <w:i/>
          <w:iCs/>
          <w:sz w:val="18"/>
          <w:szCs w:val="20"/>
          <w:shd w:val="clear" w:color="auto" w:fill="FFFFFF"/>
        </w:rPr>
        <w:t>90</w:t>
      </w:r>
      <w:r w:rsidRPr="00EA3DC8">
        <w:rPr>
          <w:sz w:val="18"/>
          <w:szCs w:val="20"/>
          <w:shd w:val="clear" w:color="auto" w:fill="FFFFFF"/>
        </w:rPr>
        <w:t xml:space="preserve">(4), </w:t>
      </w:r>
      <w:r w:rsidR="003F2F7D">
        <w:rPr>
          <w:sz w:val="18"/>
          <w:szCs w:val="20"/>
          <w:shd w:val="clear" w:color="auto" w:fill="FFFFFF"/>
        </w:rPr>
        <w:br/>
      </w:r>
      <w:r w:rsidRPr="00EA3DC8">
        <w:rPr>
          <w:sz w:val="18"/>
          <w:szCs w:val="20"/>
          <w:shd w:val="clear" w:color="auto" w:fill="FFFFFF"/>
        </w:rPr>
        <w:t>647–682.</w:t>
      </w:r>
    </w:p>
    <w:p w14:paraId="71D53731"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Achdut</w:t>
      </w:r>
      <w:proofErr w:type="spellEnd"/>
      <w:r w:rsidRPr="00EA3DC8">
        <w:rPr>
          <w:sz w:val="18"/>
          <w:szCs w:val="20"/>
          <w:shd w:val="clear" w:color="auto" w:fill="FFFFFF"/>
        </w:rPr>
        <w:t xml:space="preserve">, N., &amp; Stier, H. (2018). Welfare-use accumulation and chronic dependency in Israel: The role of structural factors. </w:t>
      </w:r>
      <w:r w:rsidRPr="00EA3DC8">
        <w:rPr>
          <w:i/>
          <w:iCs/>
          <w:sz w:val="18"/>
          <w:szCs w:val="20"/>
          <w:shd w:val="clear" w:color="auto" w:fill="FFFFFF"/>
        </w:rPr>
        <w:t>Journal of Social Policy</w:t>
      </w:r>
      <w:r w:rsidRPr="00EA3DC8">
        <w:rPr>
          <w:sz w:val="18"/>
          <w:szCs w:val="20"/>
          <w:shd w:val="clear" w:color="auto" w:fill="FFFFFF"/>
        </w:rPr>
        <w:t xml:space="preserve">, </w:t>
      </w:r>
      <w:r w:rsidRPr="00EA3DC8">
        <w:rPr>
          <w:i/>
          <w:iCs/>
          <w:sz w:val="18"/>
          <w:szCs w:val="20"/>
          <w:shd w:val="clear" w:color="auto" w:fill="FFFFFF"/>
        </w:rPr>
        <w:t>49</w:t>
      </w:r>
      <w:r w:rsidRPr="00EA3DC8">
        <w:rPr>
          <w:sz w:val="18"/>
          <w:szCs w:val="20"/>
          <w:shd w:val="clear" w:color="auto" w:fill="FFFFFF"/>
        </w:rPr>
        <w:t>(1), 1–21.</w:t>
      </w:r>
    </w:p>
    <w:p w14:paraId="1BB34FDC"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Achdut</w:t>
      </w:r>
      <w:proofErr w:type="spellEnd"/>
      <w:r w:rsidRPr="00EA3DC8">
        <w:rPr>
          <w:sz w:val="18"/>
          <w:szCs w:val="20"/>
          <w:shd w:val="clear" w:color="auto" w:fill="FFFFFF"/>
        </w:rPr>
        <w:t>, N., &amp; Stier, H. (2021). The role of monetary and non-monetary job quality components in determining welfare exit. </w:t>
      </w:r>
      <w:r w:rsidRPr="00EA3DC8">
        <w:rPr>
          <w:i/>
          <w:iCs/>
          <w:sz w:val="18"/>
          <w:szCs w:val="20"/>
          <w:shd w:val="clear" w:color="auto" w:fill="FFFFFF"/>
        </w:rPr>
        <w:t>Journal of Social Policy</w:t>
      </w:r>
      <w:r w:rsidRPr="00EA3DC8">
        <w:rPr>
          <w:sz w:val="18"/>
          <w:szCs w:val="20"/>
          <w:shd w:val="clear" w:color="auto" w:fill="FFFFFF"/>
        </w:rPr>
        <w:t>, </w:t>
      </w:r>
      <w:r w:rsidRPr="00EA3DC8">
        <w:rPr>
          <w:i/>
          <w:iCs/>
          <w:sz w:val="18"/>
          <w:szCs w:val="20"/>
          <w:shd w:val="clear" w:color="auto" w:fill="FFFFFF"/>
        </w:rPr>
        <w:t>50</w:t>
      </w:r>
      <w:r w:rsidRPr="00EA3DC8">
        <w:rPr>
          <w:sz w:val="18"/>
          <w:szCs w:val="20"/>
          <w:shd w:val="clear" w:color="auto" w:fill="FFFFFF"/>
        </w:rPr>
        <w:t>(1), 79–103.</w:t>
      </w:r>
    </w:p>
    <w:p w14:paraId="490B648B"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Albelda</w:t>
      </w:r>
      <w:proofErr w:type="spellEnd"/>
      <w:r w:rsidRPr="00EA3DC8">
        <w:rPr>
          <w:sz w:val="18"/>
          <w:szCs w:val="20"/>
          <w:shd w:val="clear" w:color="auto" w:fill="FFFFFF"/>
        </w:rPr>
        <w:t xml:space="preserve">, R., &amp; Shea, J. (2010). To work more or not to work more: Difficult choices, complex decisions for low-wage parents. </w:t>
      </w:r>
      <w:r w:rsidRPr="00EA3DC8">
        <w:rPr>
          <w:i/>
          <w:iCs/>
          <w:sz w:val="18"/>
          <w:szCs w:val="20"/>
          <w:shd w:val="clear" w:color="auto" w:fill="FFFFFF"/>
        </w:rPr>
        <w:t>Journal of Poverty</w:t>
      </w:r>
      <w:r w:rsidRPr="00EA3DC8">
        <w:rPr>
          <w:sz w:val="18"/>
          <w:szCs w:val="20"/>
          <w:shd w:val="clear" w:color="auto" w:fill="FFFFFF"/>
        </w:rPr>
        <w:t xml:space="preserve">, </w:t>
      </w:r>
      <w:r w:rsidRPr="00EA3DC8">
        <w:rPr>
          <w:i/>
          <w:iCs/>
          <w:sz w:val="18"/>
          <w:szCs w:val="20"/>
          <w:shd w:val="clear" w:color="auto" w:fill="FFFFFF"/>
        </w:rPr>
        <w:t>14</w:t>
      </w:r>
      <w:r w:rsidRPr="00EA3DC8">
        <w:rPr>
          <w:sz w:val="18"/>
          <w:szCs w:val="20"/>
          <w:shd w:val="clear" w:color="auto" w:fill="FFFFFF"/>
        </w:rPr>
        <w:t>(3), 245–265.</w:t>
      </w:r>
      <w:r w:rsidRPr="00EA3DC8">
        <w:rPr>
          <w:sz w:val="18"/>
          <w:szCs w:val="20"/>
          <w:shd w:val="clear" w:color="auto" w:fill="FFFFFF"/>
          <w:rtl/>
        </w:rPr>
        <w:t>‏</w:t>
      </w:r>
    </w:p>
    <w:p w14:paraId="551CF61F"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rPr>
        <w:t>Alfred</w:t>
      </w:r>
      <w:r w:rsidRPr="00EA3DC8">
        <w:rPr>
          <w:rStyle w:val="author"/>
          <w:sz w:val="18"/>
          <w:szCs w:val="20"/>
          <w:bdr w:val="none" w:sz="0" w:space="0" w:color="auto" w:frame="1"/>
          <w:shd w:val="clear" w:color="auto" w:fill="FFFFFF"/>
        </w:rPr>
        <w:t>, M. V.</w:t>
      </w:r>
      <w:r w:rsidRPr="00EA3DC8">
        <w:rPr>
          <w:rStyle w:val="apple-converted-space"/>
          <w:sz w:val="18"/>
          <w:szCs w:val="20"/>
          <w:shd w:val="clear" w:color="auto" w:fill="FFFFFF"/>
        </w:rPr>
        <w:t xml:space="preserve"> </w:t>
      </w:r>
      <w:r w:rsidRPr="00EA3DC8">
        <w:rPr>
          <w:sz w:val="18"/>
          <w:szCs w:val="20"/>
          <w:shd w:val="clear" w:color="auto" w:fill="FFFFFF"/>
        </w:rPr>
        <w:t>(</w:t>
      </w:r>
      <w:r w:rsidRPr="00EA3DC8">
        <w:rPr>
          <w:rStyle w:val="pubyear"/>
          <w:sz w:val="18"/>
          <w:szCs w:val="20"/>
          <w:bdr w:val="none" w:sz="0" w:space="0" w:color="auto" w:frame="1"/>
          <w:shd w:val="clear" w:color="auto" w:fill="FFFFFF"/>
        </w:rPr>
        <w:t>2005</w:t>
      </w:r>
      <w:r w:rsidRPr="00EA3DC8">
        <w:rPr>
          <w:sz w:val="18"/>
          <w:szCs w:val="20"/>
          <w:shd w:val="clear" w:color="auto" w:fill="FFFFFF"/>
        </w:rPr>
        <w:t xml:space="preserve">). </w:t>
      </w:r>
      <w:r w:rsidRPr="00EA3DC8">
        <w:rPr>
          <w:rStyle w:val="articletitle"/>
          <w:sz w:val="18"/>
          <w:szCs w:val="20"/>
          <w:bdr w:val="none" w:sz="0" w:space="0" w:color="auto" w:frame="1"/>
          <w:shd w:val="clear" w:color="auto" w:fill="FFFFFF"/>
        </w:rPr>
        <w:t xml:space="preserve">Does Wisconsin </w:t>
      </w:r>
      <w:proofErr w:type="gramStart"/>
      <w:r w:rsidRPr="00EA3DC8">
        <w:rPr>
          <w:rStyle w:val="articletitle"/>
          <w:sz w:val="18"/>
          <w:szCs w:val="20"/>
          <w:bdr w:val="none" w:sz="0" w:space="0" w:color="auto" w:frame="1"/>
          <w:shd w:val="clear" w:color="auto" w:fill="FFFFFF"/>
        </w:rPr>
        <w:t>works</w:t>
      </w:r>
      <w:proofErr w:type="gramEnd"/>
      <w:r w:rsidRPr="00EA3DC8">
        <w:rPr>
          <w:rStyle w:val="articletitle"/>
          <w:sz w:val="18"/>
          <w:szCs w:val="20"/>
          <w:bdr w:val="none" w:sz="0" w:space="0" w:color="auto" w:frame="1"/>
          <w:shd w:val="clear" w:color="auto" w:fill="FFFFFF"/>
        </w:rPr>
        <w:t xml:space="preserve"> work? Perspectives of participating women and their employers</w:t>
      </w:r>
      <w:r w:rsidRPr="00EA3DC8">
        <w:rPr>
          <w:sz w:val="18"/>
          <w:szCs w:val="20"/>
          <w:shd w:val="clear" w:color="auto" w:fill="FFFFFF"/>
        </w:rPr>
        <w:t>.</w:t>
      </w:r>
      <w:r w:rsidRPr="00EA3DC8">
        <w:rPr>
          <w:rStyle w:val="apple-converted-space"/>
          <w:sz w:val="18"/>
          <w:szCs w:val="20"/>
          <w:shd w:val="clear" w:color="auto" w:fill="FFFFFF"/>
        </w:rPr>
        <w:t xml:space="preserve"> </w:t>
      </w:r>
      <w:r w:rsidRPr="00EA3DC8">
        <w:rPr>
          <w:rStyle w:val="journaltitle"/>
          <w:i/>
          <w:iCs/>
          <w:sz w:val="18"/>
          <w:szCs w:val="20"/>
          <w:bdr w:val="none" w:sz="0" w:space="0" w:color="auto" w:frame="1"/>
          <w:shd w:val="clear" w:color="auto" w:fill="FFFFFF"/>
        </w:rPr>
        <w:t>Journal of Family and Economic Issues</w:t>
      </w:r>
      <w:r w:rsidRPr="00EA3DC8">
        <w:rPr>
          <w:sz w:val="18"/>
          <w:szCs w:val="20"/>
          <w:shd w:val="clear" w:color="auto" w:fill="FFFFFF"/>
        </w:rPr>
        <w:t>,</w:t>
      </w:r>
      <w:r w:rsidRPr="00EA3DC8">
        <w:rPr>
          <w:rStyle w:val="apple-converted-space"/>
          <w:sz w:val="18"/>
          <w:szCs w:val="20"/>
          <w:shd w:val="clear" w:color="auto" w:fill="FFFFFF"/>
        </w:rPr>
        <w:t xml:space="preserve"> </w:t>
      </w:r>
      <w:r w:rsidRPr="00EA3DC8">
        <w:rPr>
          <w:rStyle w:val="vol"/>
          <w:i/>
          <w:iCs/>
          <w:sz w:val="18"/>
          <w:szCs w:val="20"/>
          <w:bdr w:val="none" w:sz="0" w:space="0" w:color="auto" w:frame="1"/>
          <w:shd w:val="clear" w:color="auto" w:fill="FFFFFF"/>
        </w:rPr>
        <w:t>26</w:t>
      </w:r>
      <w:r w:rsidRPr="00EA3DC8">
        <w:rPr>
          <w:sz w:val="18"/>
          <w:szCs w:val="20"/>
          <w:shd w:val="clear" w:color="auto" w:fill="FFFFFF"/>
        </w:rPr>
        <w:t>(3),</w:t>
      </w:r>
      <w:r w:rsidRPr="00EA3DC8">
        <w:rPr>
          <w:rStyle w:val="apple-converted-space"/>
          <w:sz w:val="18"/>
          <w:szCs w:val="20"/>
          <w:shd w:val="clear" w:color="auto" w:fill="FFFFFF"/>
        </w:rPr>
        <w:t xml:space="preserve"> </w:t>
      </w:r>
      <w:r w:rsidRPr="00EA3DC8">
        <w:rPr>
          <w:rStyle w:val="pagefirst"/>
          <w:sz w:val="18"/>
          <w:szCs w:val="20"/>
          <w:bdr w:val="none" w:sz="0" w:space="0" w:color="auto" w:frame="1"/>
          <w:shd w:val="clear" w:color="auto" w:fill="FFFFFF"/>
        </w:rPr>
        <w:t>345</w:t>
      </w:r>
      <w:r w:rsidRPr="00EA3DC8">
        <w:rPr>
          <w:sz w:val="18"/>
          <w:szCs w:val="20"/>
          <w:shd w:val="clear" w:color="auto" w:fill="FFFFFF"/>
        </w:rPr>
        <w:t>–3</w:t>
      </w:r>
      <w:r w:rsidRPr="00EA3DC8">
        <w:rPr>
          <w:rStyle w:val="pagelast"/>
          <w:sz w:val="18"/>
          <w:szCs w:val="20"/>
          <w:bdr w:val="none" w:sz="0" w:space="0" w:color="auto" w:frame="1"/>
          <w:shd w:val="clear" w:color="auto" w:fill="FFFFFF"/>
        </w:rPr>
        <w:t>70</w:t>
      </w:r>
      <w:r w:rsidRPr="00EA3DC8">
        <w:rPr>
          <w:sz w:val="18"/>
          <w:szCs w:val="20"/>
          <w:shd w:val="clear" w:color="auto" w:fill="FFFFFF"/>
        </w:rPr>
        <w:t>.</w:t>
      </w:r>
    </w:p>
    <w:p w14:paraId="531AE3FE" w14:textId="77777777" w:rsidR="00926914" w:rsidRPr="00EA3DC8" w:rsidRDefault="00926914" w:rsidP="003F2F7D">
      <w:pPr>
        <w:bidi w:val="0"/>
        <w:spacing w:after="120"/>
        <w:ind w:left="397" w:hanging="397"/>
        <w:mirrorIndents/>
        <w:jc w:val="both"/>
        <w:rPr>
          <w:sz w:val="18"/>
          <w:szCs w:val="20"/>
        </w:rPr>
      </w:pPr>
      <w:r w:rsidRPr="00EA3DC8">
        <w:rPr>
          <w:sz w:val="18"/>
          <w:szCs w:val="20"/>
          <w:shd w:val="clear" w:color="auto" w:fill="FFFFFF"/>
        </w:rPr>
        <w:t>Alfred</w:t>
      </w:r>
      <w:r w:rsidRPr="00EA3DC8">
        <w:rPr>
          <w:sz w:val="18"/>
          <w:szCs w:val="20"/>
        </w:rPr>
        <w:t xml:space="preserve">, M. V., &amp; Martin, L. G. (2007). The development of economic self-sufficiency among former welfare recipients: Lessons learned from Wisconsin's welfare to work program. </w:t>
      </w:r>
      <w:r w:rsidRPr="00EA3DC8">
        <w:rPr>
          <w:i/>
          <w:iCs/>
          <w:sz w:val="18"/>
          <w:szCs w:val="20"/>
        </w:rPr>
        <w:t>International Journal of Training and Development</w:t>
      </w:r>
      <w:r w:rsidRPr="00EA3DC8">
        <w:rPr>
          <w:sz w:val="18"/>
          <w:szCs w:val="20"/>
        </w:rPr>
        <w:t>,</w:t>
      </w:r>
      <w:r w:rsidRPr="00EA3DC8">
        <w:rPr>
          <w:i/>
          <w:iCs/>
          <w:sz w:val="18"/>
          <w:szCs w:val="20"/>
        </w:rPr>
        <w:t xml:space="preserve"> 11</w:t>
      </w:r>
      <w:r w:rsidRPr="00EA3DC8">
        <w:rPr>
          <w:sz w:val="18"/>
          <w:szCs w:val="20"/>
        </w:rPr>
        <w:t>(1), 2–20.</w:t>
      </w:r>
    </w:p>
    <w:p w14:paraId="49A97438" w14:textId="77777777" w:rsidR="00926914" w:rsidRPr="00EA3DC8" w:rsidRDefault="00926914" w:rsidP="003F2F7D">
      <w:pPr>
        <w:bidi w:val="0"/>
        <w:spacing w:after="120"/>
        <w:ind w:left="397" w:hanging="397"/>
        <w:mirrorIndents/>
        <w:jc w:val="both"/>
        <w:rPr>
          <w:sz w:val="18"/>
          <w:szCs w:val="20"/>
        </w:rPr>
      </w:pPr>
      <w:proofErr w:type="spellStart"/>
      <w:r w:rsidRPr="00EA3DC8">
        <w:rPr>
          <w:sz w:val="18"/>
          <w:szCs w:val="20"/>
          <w:shd w:val="clear" w:color="auto" w:fill="FFFFFF"/>
        </w:rPr>
        <w:t>Alkire</w:t>
      </w:r>
      <w:proofErr w:type="spellEnd"/>
      <w:r w:rsidRPr="00EA3DC8">
        <w:rPr>
          <w:sz w:val="18"/>
          <w:szCs w:val="20"/>
        </w:rPr>
        <w:t xml:space="preserve">, S., Foster, J. Seth, S., Santos, M. E., Roche, J. M., &amp; </w:t>
      </w:r>
      <w:proofErr w:type="spellStart"/>
      <w:r w:rsidRPr="00EA3DC8">
        <w:rPr>
          <w:sz w:val="18"/>
          <w:szCs w:val="20"/>
        </w:rPr>
        <w:t>Ballon</w:t>
      </w:r>
      <w:proofErr w:type="spellEnd"/>
      <w:r w:rsidRPr="00EA3DC8">
        <w:rPr>
          <w:sz w:val="18"/>
          <w:szCs w:val="20"/>
        </w:rPr>
        <w:t xml:space="preserve">, P. (2015). </w:t>
      </w:r>
      <w:r w:rsidRPr="00EA3DC8">
        <w:rPr>
          <w:i/>
          <w:iCs/>
          <w:sz w:val="18"/>
          <w:szCs w:val="20"/>
        </w:rPr>
        <w:t>Multidimensional poverty measurement and analysis.</w:t>
      </w:r>
      <w:r w:rsidRPr="00EA3DC8">
        <w:rPr>
          <w:sz w:val="18"/>
          <w:szCs w:val="20"/>
        </w:rPr>
        <w:t xml:space="preserve"> Oxford, UK: Oxford University Press.</w:t>
      </w:r>
      <w:r w:rsidRPr="00EA3DC8">
        <w:rPr>
          <w:sz w:val="18"/>
          <w:szCs w:val="20"/>
          <w:shd w:val="clear" w:color="auto" w:fill="FFFFFF"/>
          <w:rtl/>
        </w:rPr>
        <w:t>‏</w:t>
      </w:r>
    </w:p>
    <w:p w14:paraId="04DC663C"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Andreβ, H.-J., &amp; Lohmann, H. (Eds.) (2008). </w:t>
      </w:r>
      <w:r w:rsidRPr="00EA3DC8">
        <w:rPr>
          <w:i/>
          <w:iCs/>
          <w:sz w:val="18"/>
          <w:szCs w:val="20"/>
          <w:shd w:val="clear" w:color="auto" w:fill="FFFFFF"/>
        </w:rPr>
        <w:t xml:space="preserve">The working poor in Europe: Employment, poverty and </w:t>
      </w:r>
      <w:proofErr w:type="spellStart"/>
      <w:r w:rsidRPr="00EA3DC8">
        <w:rPr>
          <w:i/>
          <w:iCs/>
          <w:sz w:val="18"/>
          <w:szCs w:val="20"/>
          <w:shd w:val="clear" w:color="auto" w:fill="FFFFFF"/>
        </w:rPr>
        <w:t>globalisation</w:t>
      </w:r>
      <w:proofErr w:type="spellEnd"/>
      <w:r w:rsidRPr="00EA3DC8">
        <w:rPr>
          <w:sz w:val="18"/>
          <w:szCs w:val="20"/>
          <w:shd w:val="clear" w:color="auto" w:fill="FFFFFF"/>
        </w:rPr>
        <w:t>. Cheltenham, UK: Edward Elgar Publishing.</w:t>
      </w:r>
    </w:p>
    <w:p w14:paraId="164AAFC4"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Aybas</w:t>
      </w:r>
      <w:proofErr w:type="spellEnd"/>
      <w:r w:rsidRPr="00EA3DC8">
        <w:rPr>
          <w:sz w:val="18"/>
          <w:szCs w:val="20"/>
          <w:shd w:val="clear" w:color="auto" w:fill="FFFFFF"/>
        </w:rPr>
        <w:t xml:space="preserve">, M., </w:t>
      </w:r>
      <w:proofErr w:type="spellStart"/>
      <w:r w:rsidRPr="00EA3DC8">
        <w:rPr>
          <w:sz w:val="18"/>
          <w:szCs w:val="20"/>
          <w:shd w:val="clear" w:color="auto" w:fill="FFFFFF"/>
        </w:rPr>
        <w:t>Elmas-Atay</w:t>
      </w:r>
      <w:proofErr w:type="spellEnd"/>
      <w:r w:rsidRPr="00EA3DC8">
        <w:rPr>
          <w:sz w:val="18"/>
          <w:szCs w:val="20"/>
          <w:shd w:val="clear" w:color="auto" w:fill="FFFFFF"/>
        </w:rPr>
        <w:t xml:space="preserve">, S., &amp; Dündar, G. (2015). Job insecurity and burnout: The moderating role of employability. </w:t>
      </w:r>
      <w:r w:rsidRPr="00EA3DC8">
        <w:rPr>
          <w:i/>
          <w:iCs/>
          <w:sz w:val="18"/>
          <w:szCs w:val="20"/>
          <w:shd w:val="clear" w:color="auto" w:fill="FFFFFF"/>
        </w:rPr>
        <w:t>European Journal of Business and Management</w:t>
      </w:r>
      <w:r w:rsidRPr="00EA3DC8">
        <w:rPr>
          <w:sz w:val="18"/>
          <w:szCs w:val="20"/>
          <w:shd w:val="clear" w:color="auto" w:fill="FFFFFF"/>
        </w:rPr>
        <w:t xml:space="preserve">, </w:t>
      </w:r>
      <w:r w:rsidRPr="00EA3DC8">
        <w:rPr>
          <w:i/>
          <w:iCs/>
          <w:sz w:val="18"/>
          <w:szCs w:val="20"/>
          <w:shd w:val="clear" w:color="auto" w:fill="FFFFFF"/>
        </w:rPr>
        <w:t>7</w:t>
      </w:r>
      <w:r w:rsidRPr="00EA3DC8">
        <w:rPr>
          <w:sz w:val="18"/>
          <w:szCs w:val="20"/>
          <w:shd w:val="clear" w:color="auto" w:fill="FFFFFF"/>
        </w:rPr>
        <w:t>(9), 195–203.</w:t>
      </w:r>
    </w:p>
    <w:p w14:paraId="647A1827" w14:textId="77777777" w:rsidR="003F2F7D" w:rsidRDefault="00926914" w:rsidP="003F2F7D">
      <w:pPr>
        <w:bidi w:val="0"/>
        <w:ind w:left="397" w:hanging="397"/>
        <w:mirrorIndents/>
        <w:jc w:val="both"/>
        <w:rPr>
          <w:i/>
          <w:iCs/>
          <w:sz w:val="18"/>
          <w:szCs w:val="20"/>
          <w:shd w:val="clear" w:color="auto" w:fill="FFFFFF"/>
        </w:rPr>
      </w:pPr>
      <w:proofErr w:type="spellStart"/>
      <w:r w:rsidRPr="00EA3DC8">
        <w:rPr>
          <w:sz w:val="18"/>
          <w:szCs w:val="20"/>
          <w:shd w:val="clear" w:color="auto" w:fill="FFFFFF"/>
        </w:rPr>
        <w:t>Baider</w:t>
      </w:r>
      <w:proofErr w:type="spellEnd"/>
      <w:r w:rsidRPr="00EA3DC8">
        <w:rPr>
          <w:sz w:val="18"/>
          <w:szCs w:val="20"/>
          <w:shd w:val="clear" w:color="auto" w:fill="FFFFFF"/>
        </w:rPr>
        <w:t xml:space="preserve">, A., &amp; Frank, A. (2006). Transitional jobs: Helping TANF recipients with barriers to employment succeed in the labor market. </w:t>
      </w:r>
      <w:r w:rsidRPr="00EA3DC8">
        <w:rPr>
          <w:i/>
          <w:iCs/>
          <w:sz w:val="18"/>
          <w:szCs w:val="20"/>
          <w:shd w:val="clear" w:color="auto" w:fill="FFFFFF"/>
        </w:rPr>
        <w:t>Center for Law and Social Policy</w:t>
      </w:r>
      <w:r w:rsidRPr="00EA3DC8">
        <w:rPr>
          <w:sz w:val="18"/>
          <w:szCs w:val="20"/>
          <w:shd w:val="clear" w:color="auto" w:fill="FFFFFF"/>
        </w:rPr>
        <w:t>.</w:t>
      </w:r>
      <w:r w:rsidRPr="00EA3DC8">
        <w:rPr>
          <w:i/>
          <w:iCs/>
          <w:sz w:val="18"/>
          <w:szCs w:val="20"/>
          <w:shd w:val="clear" w:color="auto" w:fill="FFFFFF"/>
        </w:rPr>
        <w:t xml:space="preserve"> </w:t>
      </w:r>
    </w:p>
    <w:p w14:paraId="4A45ACDF" w14:textId="2B69BB27" w:rsidR="00926914" w:rsidRPr="00180DB4" w:rsidRDefault="00D16A00" w:rsidP="003F2F7D">
      <w:pPr>
        <w:bidi w:val="0"/>
        <w:spacing w:after="120"/>
        <w:mirrorIndents/>
        <w:rPr>
          <w:rStyle w:val="Hyperlink"/>
          <w:color w:val="000000"/>
          <w:sz w:val="16"/>
          <w:szCs w:val="18"/>
          <w:u w:val="none"/>
        </w:rPr>
      </w:pPr>
      <w:hyperlink r:id="rId12" w:history="1">
        <w:r w:rsidR="003F2F7D" w:rsidRPr="00180DB4">
          <w:rPr>
            <w:rStyle w:val="Hyperlink"/>
            <w:color w:val="000000"/>
            <w:sz w:val="16"/>
            <w:szCs w:val="18"/>
            <w:u w:val="none"/>
          </w:rPr>
          <w:t>http://hdl.voced.edu.au/10707/66908</w:t>
        </w:r>
      </w:hyperlink>
      <w:r w:rsidR="00926914" w:rsidRPr="00180DB4">
        <w:rPr>
          <w:rStyle w:val="Hyperlink"/>
          <w:color w:val="000000"/>
          <w:sz w:val="16"/>
          <w:szCs w:val="18"/>
          <w:u w:val="none"/>
        </w:rPr>
        <w:t xml:space="preserve"> </w:t>
      </w:r>
    </w:p>
    <w:p w14:paraId="6E05C977" w14:textId="77777777" w:rsidR="00926914" w:rsidRPr="00EA3DC8" w:rsidRDefault="00926914" w:rsidP="003F2F7D">
      <w:pPr>
        <w:bidi w:val="0"/>
        <w:spacing w:after="120"/>
        <w:ind w:left="397" w:hanging="397"/>
        <w:mirrorIndents/>
        <w:jc w:val="both"/>
        <w:rPr>
          <w:sz w:val="18"/>
          <w:szCs w:val="20"/>
          <w:rtl/>
        </w:rPr>
      </w:pPr>
      <w:proofErr w:type="spellStart"/>
      <w:r w:rsidRPr="00EA3DC8">
        <w:rPr>
          <w:sz w:val="18"/>
          <w:szCs w:val="20"/>
        </w:rPr>
        <w:t>Barusch</w:t>
      </w:r>
      <w:proofErr w:type="spellEnd"/>
      <w:r w:rsidRPr="00EA3DC8">
        <w:rPr>
          <w:sz w:val="18"/>
          <w:szCs w:val="20"/>
        </w:rPr>
        <w:t xml:space="preserve">, A. S., </w:t>
      </w:r>
      <w:proofErr w:type="spellStart"/>
      <w:r w:rsidRPr="00EA3DC8">
        <w:rPr>
          <w:sz w:val="18"/>
          <w:szCs w:val="20"/>
        </w:rPr>
        <w:t>Luptak</w:t>
      </w:r>
      <w:proofErr w:type="spellEnd"/>
      <w:r w:rsidRPr="00EA3DC8">
        <w:rPr>
          <w:sz w:val="18"/>
          <w:szCs w:val="20"/>
        </w:rPr>
        <w:t xml:space="preserve">, M., &amp; Hurtado, M. (2009). </w:t>
      </w:r>
      <w:r w:rsidRPr="00EA3DC8">
        <w:rPr>
          <w:rStyle w:val="nlmarticle-title"/>
          <w:sz w:val="18"/>
          <w:szCs w:val="20"/>
        </w:rPr>
        <w:t xml:space="preserve">Supporting the labor force participation of older adults: An international survey of policy options. </w:t>
      </w:r>
      <w:r w:rsidRPr="00EA3DC8">
        <w:rPr>
          <w:rStyle w:val="nlmarticle-title"/>
          <w:i/>
          <w:iCs/>
          <w:sz w:val="18"/>
          <w:szCs w:val="20"/>
        </w:rPr>
        <w:t>Journal of Gerontological of Social Work</w:t>
      </w:r>
      <w:r w:rsidRPr="00EA3DC8">
        <w:rPr>
          <w:rStyle w:val="nlmarticle-title"/>
          <w:sz w:val="18"/>
          <w:szCs w:val="20"/>
        </w:rPr>
        <w:t xml:space="preserve">, </w:t>
      </w:r>
      <w:r w:rsidRPr="003B6BFE">
        <w:rPr>
          <w:rStyle w:val="nlmarticle-title"/>
          <w:i/>
          <w:iCs/>
          <w:sz w:val="18"/>
          <w:szCs w:val="20"/>
        </w:rPr>
        <w:t>52</w:t>
      </w:r>
      <w:r w:rsidRPr="00EA3DC8">
        <w:rPr>
          <w:rStyle w:val="nlmarticle-title"/>
          <w:sz w:val="18"/>
          <w:szCs w:val="20"/>
        </w:rPr>
        <w:t>(6), 584–599.</w:t>
      </w:r>
    </w:p>
    <w:p w14:paraId="6F0ECDFE"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Baumberg</w:t>
      </w:r>
      <w:proofErr w:type="spellEnd"/>
      <w:r w:rsidRPr="00EA3DC8">
        <w:rPr>
          <w:sz w:val="18"/>
          <w:szCs w:val="20"/>
          <w:shd w:val="clear" w:color="auto" w:fill="FFFFFF"/>
        </w:rPr>
        <w:t xml:space="preserve">, B. (2016). The stigma of claiming benefits: A quantitative study. </w:t>
      </w:r>
      <w:r w:rsidRPr="00EA3DC8">
        <w:rPr>
          <w:i/>
          <w:iCs/>
          <w:sz w:val="18"/>
          <w:szCs w:val="20"/>
          <w:shd w:val="clear" w:color="auto" w:fill="FFFFFF"/>
        </w:rPr>
        <w:t>Journal of Social Policy</w:t>
      </w:r>
      <w:r w:rsidRPr="00EA3DC8">
        <w:rPr>
          <w:sz w:val="18"/>
          <w:szCs w:val="20"/>
          <w:shd w:val="clear" w:color="auto" w:fill="FFFFFF"/>
        </w:rPr>
        <w:t xml:space="preserve">, </w:t>
      </w:r>
      <w:r w:rsidRPr="00EA3DC8">
        <w:rPr>
          <w:i/>
          <w:iCs/>
          <w:sz w:val="18"/>
          <w:szCs w:val="20"/>
          <w:shd w:val="clear" w:color="auto" w:fill="FFFFFF"/>
        </w:rPr>
        <w:t>45</w:t>
      </w:r>
      <w:r w:rsidRPr="00EA3DC8">
        <w:rPr>
          <w:sz w:val="18"/>
          <w:szCs w:val="20"/>
          <w:shd w:val="clear" w:color="auto" w:fill="FFFFFF"/>
        </w:rPr>
        <w:t>(2), 181–199.</w:t>
      </w:r>
    </w:p>
    <w:p w14:paraId="26017B8A" w14:textId="77777777" w:rsidR="00926914" w:rsidRPr="00EA3DC8" w:rsidRDefault="00926914" w:rsidP="003F2F7D">
      <w:pPr>
        <w:bidi w:val="0"/>
        <w:spacing w:after="120"/>
        <w:ind w:left="397" w:hanging="397"/>
        <w:mirrorIndents/>
        <w:jc w:val="both"/>
        <w:rPr>
          <w:sz w:val="18"/>
          <w:szCs w:val="20"/>
          <w:shd w:val="clear" w:color="auto" w:fill="FFFFFF"/>
          <w:rtl/>
        </w:rPr>
      </w:pPr>
      <w:proofErr w:type="spellStart"/>
      <w:r w:rsidRPr="00EA3DC8">
        <w:rPr>
          <w:sz w:val="18"/>
          <w:szCs w:val="20"/>
          <w:shd w:val="clear" w:color="auto" w:fill="FFFFFF"/>
        </w:rPr>
        <w:t>Berloffa</w:t>
      </w:r>
      <w:proofErr w:type="spellEnd"/>
      <w:r w:rsidRPr="00EA3DC8">
        <w:rPr>
          <w:sz w:val="18"/>
          <w:szCs w:val="20"/>
          <w:shd w:val="clear" w:color="auto" w:fill="FFFFFF"/>
        </w:rPr>
        <w:t xml:space="preserve">, G., </w:t>
      </w:r>
      <w:proofErr w:type="spellStart"/>
      <w:r w:rsidRPr="00EA3DC8">
        <w:rPr>
          <w:sz w:val="18"/>
          <w:szCs w:val="20"/>
          <w:shd w:val="clear" w:color="auto" w:fill="FFFFFF"/>
        </w:rPr>
        <w:t>Matteazzi</w:t>
      </w:r>
      <w:proofErr w:type="spellEnd"/>
      <w:r w:rsidRPr="00EA3DC8">
        <w:rPr>
          <w:sz w:val="18"/>
          <w:szCs w:val="20"/>
          <w:shd w:val="clear" w:color="auto" w:fill="FFFFFF"/>
        </w:rPr>
        <w:t xml:space="preserve">, E., &amp; Villa, P. (2016). </w:t>
      </w:r>
      <w:r w:rsidRPr="00EA3DC8">
        <w:rPr>
          <w:i/>
          <w:iCs/>
          <w:sz w:val="18"/>
          <w:szCs w:val="20"/>
          <w:shd w:val="clear" w:color="auto" w:fill="FFFFFF"/>
        </w:rPr>
        <w:t xml:space="preserve">Family background and youth </w:t>
      </w:r>
      <w:proofErr w:type="spellStart"/>
      <w:r w:rsidRPr="00EA3DC8">
        <w:rPr>
          <w:i/>
          <w:iCs/>
          <w:sz w:val="18"/>
          <w:szCs w:val="20"/>
          <w:shd w:val="clear" w:color="auto" w:fill="FFFFFF"/>
        </w:rPr>
        <w:t>labour</w:t>
      </w:r>
      <w:proofErr w:type="spellEnd"/>
      <w:r w:rsidRPr="00EA3DC8">
        <w:rPr>
          <w:i/>
          <w:iCs/>
          <w:sz w:val="18"/>
          <w:szCs w:val="20"/>
          <w:shd w:val="clear" w:color="auto" w:fill="FFFFFF"/>
        </w:rPr>
        <w:t xml:space="preserve"> market outcomes across Europe</w:t>
      </w:r>
      <w:r w:rsidRPr="00EA3DC8">
        <w:rPr>
          <w:sz w:val="18"/>
          <w:szCs w:val="20"/>
          <w:shd w:val="clear" w:color="auto" w:fill="FFFFFF"/>
        </w:rPr>
        <w:t xml:space="preserve"> (Working Paper). ECINEQ. </w:t>
      </w:r>
    </w:p>
    <w:p w14:paraId="21ED3720" w14:textId="77777777" w:rsidR="00926914" w:rsidRPr="00EA3DC8" w:rsidRDefault="00926914" w:rsidP="003F2F7D">
      <w:pPr>
        <w:bidi w:val="0"/>
        <w:spacing w:after="120"/>
        <w:ind w:left="397" w:hanging="397"/>
        <w:mirrorIndents/>
        <w:jc w:val="both"/>
        <w:rPr>
          <w:sz w:val="18"/>
          <w:szCs w:val="20"/>
        </w:rPr>
      </w:pPr>
      <w:r w:rsidRPr="00EA3DC8">
        <w:rPr>
          <w:sz w:val="18"/>
          <w:szCs w:val="20"/>
        </w:rPr>
        <w:t xml:space="preserve">Bloom, D., </w:t>
      </w:r>
      <w:proofErr w:type="spellStart"/>
      <w:r w:rsidRPr="00EA3DC8">
        <w:rPr>
          <w:sz w:val="18"/>
          <w:szCs w:val="20"/>
        </w:rPr>
        <w:t>Loprest</w:t>
      </w:r>
      <w:proofErr w:type="spellEnd"/>
      <w:r w:rsidRPr="00EA3DC8">
        <w:rPr>
          <w:sz w:val="18"/>
          <w:szCs w:val="20"/>
        </w:rPr>
        <w:t xml:space="preserve">, P. J., &amp; </w:t>
      </w:r>
      <w:proofErr w:type="spellStart"/>
      <w:r w:rsidRPr="00EA3DC8">
        <w:rPr>
          <w:sz w:val="18"/>
          <w:szCs w:val="20"/>
        </w:rPr>
        <w:t>Zedlewski</w:t>
      </w:r>
      <w:proofErr w:type="spellEnd"/>
      <w:r w:rsidRPr="00EA3DC8">
        <w:rPr>
          <w:sz w:val="18"/>
          <w:szCs w:val="20"/>
        </w:rPr>
        <w:t xml:space="preserve">, S. R. (2011). </w:t>
      </w:r>
      <w:bookmarkStart w:id="34" w:name="_Hlk37675860"/>
      <w:r w:rsidRPr="00EA3DC8">
        <w:rPr>
          <w:i/>
          <w:iCs/>
          <w:sz w:val="18"/>
          <w:szCs w:val="20"/>
        </w:rPr>
        <w:t>TANF recipients with barriers to employment</w:t>
      </w:r>
      <w:r w:rsidRPr="00EA3DC8">
        <w:rPr>
          <w:sz w:val="18"/>
          <w:szCs w:val="20"/>
        </w:rPr>
        <w:t xml:space="preserve"> (Brief No. 1).</w:t>
      </w:r>
      <w:bookmarkEnd w:id="34"/>
      <w:r w:rsidRPr="00180DB4">
        <w:rPr>
          <w:rStyle w:val="Hyperlink"/>
          <w:color w:val="000000"/>
          <w:sz w:val="16"/>
          <w:szCs w:val="18"/>
          <w:u w:val="none"/>
        </w:rPr>
        <w:t xml:space="preserve"> </w:t>
      </w:r>
      <w:hyperlink r:id="rId13" w:history="1">
        <w:r w:rsidRPr="00180DB4">
          <w:rPr>
            <w:rStyle w:val="Hyperlink"/>
            <w:color w:val="000000"/>
            <w:sz w:val="16"/>
            <w:szCs w:val="18"/>
            <w:u w:val="none"/>
          </w:rPr>
          <w:t>https://did.li/84A5q</w:t>
        </w:r>
      </w:hyperlink>
    </w:p>
    <w:p w14:paraId="24687FDF"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lastRenderedPageBreak/>
        <w:t xml:space="preserve">Bosman, J., </w:t>
      </w:r>
      <w:proofErr w:type="spellStart"/>
      <w:r w:rsidRPr="00EA3DC8">
        <w:rPr>
          <w:sz w:val="18"/>
          <w:szCs w:val="20"/>
          <w:shd w:val="clear" w:color="auto" w:fill="FFFFFF"/>
        </w:rPr>
        <w:t>Buitendach</w:t>
      </w:r>
      <w:proofErr w:type="spellEnd"/>
      <w:r w:rsidRPr="00EA3DC8">
        <w:rPr>
          <w:sz w:val="18"/>
          <w:szCs w:val="20"/>
          <w:shd w:val="clear" w:color="auto" w:fill="FFFFFF"/>
        </w:rPr>
        <w:t xml:space="preserve">, J. H., &amp; </w:t>
      </w:r>
      <w:proofErr w:type="spellStart"/>
      <w:r w:rsidRPr="00EA3DC8">
        <w:rPr>
          <w:sz w:val="18"/>
          <w:szCs w:val="20"/>
          <w:shd w:val="clear" w:color="auto" w:fill="FFFFFF"/>
        </w:rPr>
        <w:t>Laba</w:t>
      </w:r>
      <w:proofErr w:type="spellEnd"/>
      <w:r w:rsidRPr="00EA3DC8">
        <w:rPr>
          <w:sz w:val="18"/>
          <w:szCs w:val="20"/>
          <w:shd w:val="clear" w:color="auto" w:fill="FFFFFF"/>
        </w:rPr>
        <w:t xml:space="preserve">, K. (2005). Job insecurity, burnout and </w:t>
      </w:r>
      <w:proofErr w:type="spellStart"/>
      <w:r w:rsidRPr="00EA3DC8">
        <w:rPr>
          <w:sz w:val="18"/>
          <w:szCs w:val="20"/>
          <w:shd w:val="clear" w:color="auto" w:fill="FFFFFF"/>
        </w:rPr>
        <w:t>organisational</w:t>
      </w:r>
      <w:proofErr w:type="spellEnd"/>
      <w:r w:rsidRPr="00EA3DC8">
        <w:rPr>
          <w:sz w:val="18"/>
          <w:szCs w:val="20"/>
          <w:shd w:val="clear" w:color="auto" w:fill="FFFFFF"/>
        </w:rPr>
        <w:t xml:space="preserve"> commitment among employees of a financial institution in Gauteng. </w:t>
      </w:r>
      <w:r w:rsidRPr="00EA3DC8">
        <w:rPr>
          <w:i/>
          <w:iCs/>
          <w:sz w:val="18"/>
          <w:szCs w:val="20"/>
          <w:shd w:val="clear" w:color="auto" w:fill="FFFFFF"/>
        </w:rPr>
        <w:t>SA Journal of Industrial Psychology</w:t>
      </w:r>
      <w:r w:rsidRPr="00EA3DC8">
        <w:rPr>
          <w:sz w:val="18"/>
          <w:szCs w:val="20"/>
          <w:shd w:val="clear" w:color="auto" w:fill="FFFFFF"/>
        </w:rPr>
        <w:t xml:space="preserve">, </w:t>
      </w:r>
      <w:r w:rsidRPr="00EA3DC8">
        <w:rPr>
          <w:i/>
          <w:iCs/>
          <w:sz w:val="18"/>
          <w:szCs w:val="20"/>
          <w:shd w:val="clear" w:color="auto" w:fill="FFFFFF"/>
        </w:rPr>
        <w:t>31</w:t>
      </w:r>
      <w:r w:rsidRPr="00EA3DC8">
        <w:rPr>
          <w:sz w:val="18"/>
          <w:szCs w:val="20"/>
          <w:shd w:val="clear" w:color="auto" w:fill="FFFFFF"/>
        </w:rPr>
        <w:t>(4), 32–40.</w:t>
      </w:r>
    </w:p>
    <w:p w14:paraId="57FE5F28"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rPr>
        <w:t>Boushey</w:t>
      </w:r>
      <w:r w:rsidRPr="00EA3DC8">
        <w:rPr>
          <w:sz w:val="18"/>
          <w:szCs w:val="20"/>
          <w:shd w:val="clear" w:color="auto" w:fill="FFFFFF"/>
        </w:rPr>
        <w:t xml:space="preserve">, H., &amp; Gundersen, B. (2001). </w:t>
      </w:r>
      <w:r w:rsidRPr="00EA3DC8">
        <w:rPr>
          <w:i/>
          <w:iCs/>
          <w:sz w:val="18"/>
          <w:szCs w:val="20"/>
          <w:shd w:val="clear" w:color="auto" w:fill="FFFFFF"/>
        </w:rPr>
        <w:t>When work just isn't enough: Measuring hardships faced by families after moving from welfare to work</w:t>
      </w:r>
      <w:r w:rsidRPr="00EA3DC8">
        <w:rPr>
          <w:sz w:val="18"/>
          <w:szCs w:val="20"/>
          <w:shd w:val="clear" w:color="auto" w:fill="FFFFFF"/>
        </w:rPr>
        <w:t xml:space="preserve"> (Briefing Paper). Economic Policy Institute. </w:t>
      </w:r>
    </w:p>
    <w:p w14:paraId="549576DE"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Bruckmeier</w:t>
      </w:r>
      <w:proofErr w:type="spellEnd"/>
      <w:r w:rsidRPr="00EA3DC8">
        <w:rPr>
          <w:sz w:val="18"/>
          <w:szCs w:val="20"/>
          <w:shd w:val="clear" w:color="auto" w:fill="FFFFFF"/>
        </w:rPr>
        <w:t xml:space="preserve">, K., </w:t>
      </w:r>
      <w:proofErr w:type="spellStart"/>
      <w:r w:rsidRPr="00EA3DC8">
        <w:rPr>
          <w:sz w:val="18"/>
          <w:szCs w:val="20"/>
          <w:shd w:val="clear" w:color="auto" w:fill="FFFFFF"/>
        </w:rPr>
        <w:t>Lietzmann</w:t>
      </w:r>
      <w:proofErr w:type="spellEnd"/>
      <w:r w:rsidRPr="00EA3DC8">
        <w:rPr>
          <w:sz w:val="18"/>
          <w:szCs w:val="20"/>
          <w:shd w:val="clear" w:color="auto" w:fill="FFFFFF"/>
        </w:rPr>
        <w:t xml:space="preserve">, T., &amp; </w:t>
      </w:r>
      <w:proofErr w:type="spellStart"/>
      <w:r w:rsidRPr="00EA3DC8">
        <w:rPr>
          <w:sz w:val="18"/>
          <w:szCs w:val="20"/>
          <w:shd w:val="clear" w:color="auto" w:fill="FFFFFF"/>
        </w:rPr>
        <w:t>Saile</w:t>
      </w:r>
      <w:proofErr w:type="spellEnd"/>
      <w:r w:rsidRPr="00EA3DC8">
        <w:rPr>
          <w:sz w:val="18"/>
          <w:szCs w:val="20"/>
          <w:shd w:val="clear" w:color="auto" w:fill="FFFFFF"/>
        </w:rPr>
        <w:t xml:space="preserve">, A. T. (2019). Welfare dynamics and employment: Heterogeneous paths through means-tested basic income in Germany. </w:t>
      </w:r>
      <w:r w:rsidRPr="00EA3DC8">
        <w:rPr>
          <w:i/>
          <w:iCs/>
          <w:sz w:val="18"/>
          <w:szCs w:val="20"/>
          <w:shd w:val="clear" w:color="auto" w:fill="FFFFFF"/>
        </w:rPr>
        <w:t>Journal of Social Policy</w:t>
      </w:r>
      <w:r w:rsidRPr="00EA3DC8">
        <w:rPr>
          <w:sz w:val="18"/>
          <w:szCs w:val="20"/>
          <w:shd w:val="clear" w:color="auto" w:fill="FFFFFF"/>
        </w:rPr>
        <w:t xml:space="preserve">, </w:t>
      </w:r>
      <w:r w:rsidRPr="00EA3DC8">
        <w:rPr>
          <w:i/>
          <w:iCs/>
          <w:sz w:val="18"/>
          <w:szCs w:val="20"/>
          <w:shd w:val="clear" w:color="auto" w:fill="FFFFFF"/>
        </w:rPr>
        <w:t>49</w:t>
      </w:r>
      <w:r w:rsidRPr="00EA3DC8">
        <w:rPr>
          <w:sz w:val="18"/>
          <w:szCs w:val="20"/>
          <w:shd w:val="clear" w:color="auto" w:fill="FFFFFF"/>
        </w:rPr>
        <w:t>(2), 271–297.</w:t>
      </w:r>
      <w:r w:rsidRPr="00EA3DC8">
        <w:rPr>
          <w:sz w:val="18"/>
          <w:szCs w:val="20"/>
          <w:shd w:val="clear" w:color="auto" w:fill="FFFFFF"/>
          <w:rtl/>
        </w:rPr>
        <w:t>‏</w:t>
      </w:r>
    </w:p>
    <w:p w14:paraId="04FE0DBA"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Burgard</w:t>
      </w:r>
      <w:proofErr w:type="spellEnd"/>
      <w:r w:rsidRPr="00EA3DC8">
        <w:rPr>
          <w:sz w:val="18"/>
          <w:szCs w:val="20"/>
          <w:shd w:val="clear" w:color="auto" w:fill="FFFFFF"/>
        </w:rPr>
        <w:t xml:space="preserve">, S. A., </w:t>
      </w:r>
      <w:proofErr w:type="spellStart"/>
      <w:r w:rsidRPr="00EA3DC8">
        <w:rPr>
          <w:sz w:val="18"/>
          <w:szCs w:val="20"/>
          <w:shd w:val="clear" w:color="auto" w:fill="FFFFFF"/>
        </w:rPr>
        <w:t>Kalousova</w:t>
      </w:r>
      <w:proofErr w:type="spellEnd"/>
      <w:r w:rsidRPr="00EA3DC8">
        <w:rPr>
          <w:sz w:val="18"/>
          <w:szCs w:val="20"/>
          <w:shd w:val="clear" w:color="auto" w:fill="FFFFFF"/>
        </w:rPr>
        <w:t xml:space="preserve">, L., &amp; </w:t>
      </w:r>
      <w:proofErr w:type="spellStart"/>
      <w:r w:rsidRPr="00EA3DC8">
        <w:rPr>
          <w:sz w:val="18"/>
          <w:szCs w:val="20"/>
          <w:shd w:val="clear" w:color="auto" w:fill="FFFFFF"/>
        </w:rPr>
        <w:t>Seefeldt</w:t>
      </w:r>
      <w:proofErr w:type="spellEnd"/>
      <w:r w:rsidRPr="00EA3DC8">
        <w:rPr>
          <w:sz w:val="18"/>
          <w:szCs w:val="20"/>
          <w:shd w:val="clear" w:color="auto" w:fill="FFFFFF"/>
        </w:rPr>
        <w:t xml:space="preserve">, K. S. (2012). Perceived job insecurity and health: The Michigan recession and recovery study. </w:t>
      </w:r>
      <w:r w:rsidRPr="00EA3DC8">
        <w:rPr>
          <w:i/>
          <w:iCs/>
          <w:sz w:val="18"/>
          <w:szCs w:val="20"/>
          <w:shd w:val="clear" w:color="auto" w:fill="FFFFFF"/>
        </w:rPr>
        <w:t>Journal of Occupational and Environmental Medicine</w:t>
      </w:r>
      <w:r w:rsidRPr="00EA3DC8">
        <w:rPr>
          <w:sz w:val="18"/>
          <w:szCs w:val="20"/>
          <w:shd w:val="clear" w:color="auto" w:fill="FFFFFF"/>
        </w:rPr>
        <w:t xml:space="preserve">, </w:t>
      </w:r>
      <w:r w:rsidRPr="00EA3DC8">
        <w:rPr>
          <w:i/>
          <w:iCs/>
          <w:sz w:val="18"/>
          <w:szCs w:val="20"/>
          <w:shd w:val="clear" w:color="auto" w:fill="FFFFFF"/>
        </w:rPr>
        <w:t>54</w:t>
      </w:r>
      <w:r w:rsidRPr="00EA3DC8">
        <w:rPr>
          <w:sz w:val="18"/>
          <w:szCs w:val="20"/>
          <w:shd w:val="clear" w:color="auto" w:fill="FFFFFF"/>
        </w:rPr>
        <w:t>(9), 1101–1106.</w:t>
      </w:r>
    </w:p>
    <w:p w14:paraId="21613B57"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Cancian</w:t>
      </w:r>
      <w:proofErr w:type="spellEnd"/>
      <w:r w:rsidRPr="00EA3DC8">
        <w:rPr>
          <w:sz w:val="18"/>
          <w:szCs w:val="20"/>
          <w:shd w:val="clear" w:color="auto" w:fill="FFFFFF"/>
        </w:rPr>
        <w:t xml:space="preserve">, M., </w:t>
      </w:r>
      <w:proofErr w:type="spellStart"/>
      <w:r w:rsidRPr="00EA3DC8">
        <w:rPr>
          <w:sz w:val="18"/>
          <w:szCs w:val="20"/>
          <w:shd w:val="clear" w:color="auto" w:fill="FFFFFF"/>
        </w:rPr>
        <w:t>Haveman</w:t>
      </w:r>
      <w:proofErr w:type="spellEnd"/>
      <w:r w:rsidRPr="00EA3DC8">
        <w:rPr>
          <w:sz w:val="18"/>
          <w:szCs w:val="20"/>
          <w:shd w:val="clear" w:color="auto" w:fill="FFFFFF"/>
        </w:rPr>
        <w:t xml:space="preserve">, R., Meyer, D. R., &amp; Wolfe, B. (2003). </w:t>
      </w:r>
      <w:r w:rsidRPr="00EA3DC8">
        <w:rPr>
          <w:i/>
          <w:iCs/>
          <w:sz w:val="18"/>
          <w:szCs w:val="20"/>
          <w:shd w:val="clear" w:color="auto" w:fill="FFFFFF"/>
        </w:rPr>
        <w:t>The employment, earnings, and income of single mothers in Wisconsin who left cash assistance: Comparisons among three cohorts</w:t>
      </w:r>
      <w:r w:rsidRPr="00EA3DC8">
        <w:rPr>
          <w:sz w:val="18"/>
          <w:szCs w:val="20"/>
          <w:shd w:val="clear" w:color="auto" w:fill="FFFFFF"/>
        </w:rPr>
        <w:t xml:space="preserve"> (Special Report No. 85). University of Wisconsin-Madison: Institute for Research on Poverty. </w:t>
      </w:r>
      <w:hyperlink r:id="rId14" w:history="1">
        <w:r w:rsidRPr="00180DB4">
          <w:rPr>
            <w:rStyle w:val="Hyperlink"/>
            <w:color w:val="000000"/>
            <w:sz w:val="16"/>
            <w:szCs w:val="18"/>
            <w:u w:val="none"/>
          </w:rPr>
          <w:t>https://did.li/cNpCN</w:t>
        </w:r>
      </w:hyperlink>
    </w:p>
    <w:p w14:paraId="2A2E36DF" w14:textId="77777777" w:rsidR="00926914" w:rsidRPr="00EA3DC8" w:rsidRDefault="00926914" w:rsidP="003F2F7D">
      <w:pPr>
        <w:bidi w:val="0"/>
        <w:spacing w:after="120"/>
        <w:ind w:left="397" w:hanging="397"/>
        <w:mirrorIndents/>
        <w:jc w:val="both"/>
        <w:rPr>
          <w:sz w:val="18"/>
          <w:szCs w:val="20"/>
        </w:rPr>
      </w:pPr>
      <w:r w:rsidRPr="00EA3DC8">
        <w:rPr>
          <w:sz w:val="18"/>
          <w:szCs w:val="20"/>
        </w:rPr>
        <w:t xml:space="preserve">Cohen, Y., &amp; Stier, H. (2006). The rise in involuntary part-time employment in Israel. </w:t>
      </w:r>
      <w:r w:rsidRPr="00EA3DC8">
        <w:rPr>
          <w:i/>
          <w:iCs/>
          <w:sz w:val="18"/>
          <w:szCs w:val="20"/>
        </w:rPr>
        <w:t>Research in Social Stratification and Mobility</w:t>
      </w:r>
      <w:r w:rsidRPr="00EA3DC8">
        <w:rPr>
          <w:sz w:val="18"/>
          <w:szCs w:val="20"/>
        </w:rPr>
        <w:t xml:space="preserve">, </w:t>
      </w:r>
      <w:r w:rsidRPr="00EA3DC8">
        <w:rPr>
          <w:i/>
          <w:iCs/>
          <w:sz w:val="18"/>
          <w:szCs w:val="20"/>
        </w:rPr>
        <w:t>24</w:t>
      </w:r>
      <w:r w:rsidRPr="00EA3DC8">
        <w:rPr>
          <w:sz w:val="18"/>
          <w:szCs w:val="20"/>
        </w:rPr>
        <w:t>(1), 41–54.</w:t>
      </w:r>
    </w:p>
    <w:p w14:paraId="49FBE0AD" w14:textId="77777777" w:rsidR="00926914" w:rsidRPr="00EA3DC8" w:rsidRDefault="00926914" w:rsidP="003F2F7D">
      <w:pPr>
        <w:bidi w:val="0"/>
        <w:spacing w:after="120"/>
        <w:ind w:left="397" w:hanging="397"/>
        <w:mirrorIndents/>
        <w:jc w:val="both"/>
        <w:rPr>
          <w:sz w:val="18"/>
          <w:szCs w:val="20"/>
        </w:rPr>
      </w:pPr>
      <w:r w:rsidRPr="00EA3DC8">
        <w:rPr>
          <w:sz w:val="18"/>
          <w:szCs w:val="20"/>
        </w:rPr>
        <w:t xml:space="preserve">Collins, J. L., &amp; Mayer, V. (2010). </w:t>
      </w:r>
      <w:r w:rsidRPr="00EA3DC8">
        <w:rPr>
          <w:i/>
          <w:iCs/>
          <w:sz w:val="18"/>
          <w:szCs w:val="20"/>
        </w:rPr>
        <w:t xml:space="preserve">Both hands tied: </w:t>
      </w:r>
      <w:r w:rsidRPr="00EA3DC8">
        <w:rPr>
          <w:i/>
          <w:iCs/>
          <w:sz w:val="18"/>
          <w:szCs w:val="20"/>
          <w:shd w:val="clear" w:color="auto" w:fill="F3F3F3"/>
        </w:rPr>
        <w:t>Welfare reform and the race to the bottom in the low-wage labor market</w:t>
      </w:r>
      <w:r w:rsidRPr="00EA3DC8">
        <w:rPr>
          <w:sz w:val="18"/>
          <w:szCs w:val="20"/>
        </w:rPr>
        <w:t>. Chicago: University of Chicago Press.</w:t>
      </w:r>
    </w:p>
    <w:p w14:paraId="5EE73A9E"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rStyle w:val="hlfld-contribauthor"/>
          <w:sz w:val="18"/>
          <w:szCs w:val="20"/>
        </w:rPr>
        <w:t>Cook,</w:t>
      </w:r>
      <w:r w:rsidRPr="00EA3DC8">
        <w:rPr>
          <w:rStyle w:val="apple-converted-space"/>
          <w:sz w:val="18"/>
          <w:szCs w:val="20"/>
        </w:rPr>
        <w:t xml:space="preserve"> </w:t>
      </w:r>
      <w:r w:rsidRPr="00EA3DC8">
        <w:rPr>
          <w:rStyle w:val="nlmgiven-names"/>
          <w:sz w:val="18"/>
          <w:szCs w:val="20"/>
        </w:rPr>
        <w:t>K.</w:t>
      </w:r>
      <w:r w:rsidRPr="00EA3DC8">
        <w:rPr>
          <w:rStyle w:val="apple-converted-space"/>
          <w:sz w:val="18"/>
          <w:szCs w:val="20"/>
          <w:shd w:val="clear" w:color="auto" w:fill="FFFFFF"/>
        </w:rPr>
        <w:t xml:space="preserve"> E. </w:t>
      </w:r>
      <w:r w:rsidRPr="00EA3DC8">
        <w:rPr>
          <w:sz w:val="18"/>
          <w:szCs w:val="20"/>
          <w:shd w:val="clear" w:color="auto" w:fill="FFFFFF"/>
        </w:rPr>
        <w:t>(</w:t>
      </w:r>
      <w:r w:rsidRPr="00EA3DC8">
        <w:rPr>
          <w:rStyle w:val="nlmyear"/>
          <w:sz w:val="18"/>
          <w:szCs w:val="20"/>
        </w:rPr>
        <w:t>2012</w:t>
      </w:r>
      <w:r w:rsidRPr="00EA3DC8">
        <w:rPr>
          <w:sz w:val="18"/>
          <w:szCs w:val="20"/>
          <w:shd w:val="clear" w:color="auto" w:fill="FFFFFF"/>
        </w:rPr>
        <w:t>).</w:t>
      </w:r>
      <w:r w:rsidRPr="00EA3DC8">
        <w:rPr>
          <w:rStyle w:val="apple-converted-space"/>
          <w:sz w:val="18"/>
          <w:szCs w:val="20"/>
          <w:shd w:val="clear" w:color="auto" w:fill="FFFFFF"/>
        </w:rPr>
        <w:t xml:space="preserve"> </w:t>
      </w:r>
      <w:r w:rsidRPr="00EA3DC8">
        <w:rPr>
          <w:rStyle w:val="nlmarticle-title"/>
          <w:sz w:val="18"/>
          <w:szCs w:val="20"/>
        </w:rPr>
        <w:t>Single parents’ subjective wellbeing over the welfare to work transition</w:t>
      </w:r>
      <w:r w:rsidRPr="00EA3DC8">
        <w:rPr>
          <w:sz w:val="18"/>
          <w:szCs w:val="20"/>
          <w:shd w:val="clear" w:color="auto" w:fill="FFFFFF"/>
        </w:rPr>
        <w:t>.</w:t>
      </w:r>
      <w:r w:rsidRPr="00EA3DC8">
        <w:rPr>
          <w:rStyle w:val="apple-converted-space"/>
          <w:sz w:val="18"/>
          <w:szCs w:val="20"/>
          <w:shd w:val="clear" w:color="auto" w:fill="FFFFFF"/>
        </w:rPr>
        <w:t xml:space="preserve"> </w:t>
      </w:r>
      <w:r w:rsidRPr="00EA3DC8">
        <w:rPr>
          <w:i/>
          <w:iCs/>
          <w:sz w:val="18"/>
          <w:szCs w:val="20"/>
        </w:rPr>
        <w:t>Social Policy and Society</w:t>
      </w:r>
      <w:r w:rsidRPr="00EA3DC8">
        <w:rPr>
          <w:sz w:val="18"/>
          <w:szCs w:val="20"/>
          <w:shd w:val="clear" w:color="auto" w:fill="FFFFFF"/>
        </w:rPr>
        <w:t>,</w:t>
      </w:r>
      <w:r w:rsidRPr="00EA3DC8">
        <w:rPr>
          <w:rStyle w:val="apple-converted-space"/>
          <w:sz w:val="18"/>
          <w:szCs w:val="20"/>
          <w:shd w:val="clear" w:color="auto" w:fill="FFFFFF"/>
        </w:rPr>
        <w:t xml:space="preserve"> </w:t>
      </w:r>
      <w:r w:rsidRPr="00EA3DC8">
        <w:rPr>
          <w:i/>
          <w:iCs/>
          <w:sz w:val="18"/>
          <w:szCs w:val="20"/>
        </w:rPr>
        <w:t>11</w:t>
      </w:r>
      <w:r w:rsidRPr="00EA3DC8">
        <w:rPr>
          <w:sz w:val="18"/>
          <w:szCs w:val="20"/>
          <w:shd w:val="clear" w:color="auto" w:fill="FFFFFF"/>
        </w:rPr>
        <w:t>(2),</w:t>
      </w:r>
      <w:r w:rsidRPr="00EA3DC8">
        <w:rPr>
          <w:rStyle w:val="apple-converted-space"/>
          <w:sz w:val="18"/>
          <w:szCs w:val="20"/>
          <w:shd w:val="clear" w:color="auto" w:fill="FFFFFF"/>
        </w:rPr>
        <w:t xml:space="preserve"> </w:t>
      </w:r>
      <w:r w:rsidRPr="00EA3DC8">
        <w:rPr>
          <w:rStyle w:val="nlmfpage"/>
          <w:sz w:val="18"/>
          <w:szCs w:val="20"/>
        </w:rPr>
        <w:t>143</w:t>
      </w:r>
      <w:r w:rsidRPr="00EA3DC8">
        <w:rPr>
          <w:sz w:val="18"/>
          <w:szCs w:val="20"/>
          <w:shd w:val="clear" w:color="auto" w:fill="FFFFFF"/>
        </w:rPr>
        <w:t>–</w:t>
      </w:r>
      <w:r w:rsidRPr="00EA3DC8">
        <w:rPr>
          <w:rStyle w:val="nlmlpage"/>
          <w:sz w:val="18"/>
          <w:szCs w:val="20"/>
        </w:rPr>
        <w:t>155</w:t>
      </w:r>
      <w:r w:rsidRPr="00EA3DC8">
        <w:rPr>
          <w:sz w:val="18"/>
          <w:szCs w:val="20"/>
          <w:shd w:val="clear" w:color="auto" w:fill="FFFFFF"/>
        </w:rPr>
        <w:t>.</w:t>
      </w:r>
    </w:p>
    <w:p w14:paraId="67C09D35"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Cooke, M. (2009). A welfare </w:t>
      </w:r>
      <w:proofErr w:type="gramStart"/>
      <w:r w:rsidRPr="00EA3DC8">
        <w:rPr>
          <w:sz w:val="18"/>
          <w:szCs w:val="20"/>
          <w:shd w:val="clear" w:color="auto" w:fill="FFFFFF"/>
        </w:rPr>
        <w:t>trap</w:t>
      </w:r>
      <w:proofErr w:type="gramEnd"/>
      <w:r w:rsidRPr="00EA3DC8">
        <w:rPr>
          <w:sz w:val="18"/>
          <w:szCs w:val="20"/>
          <w:shd w:val="clear" w:color="auto" w:fill="FFFFFF"/>
        </w:rPr>
        <w:t xml:space="preserve">? The duration and dynamics of social assistance use among lone mothers in Canada. </w:t>
      </w:r>
      <w:r w:rsidRPr="00EA3DC8">
        <w:rPr>
          <w:i/>
          <w:iCs/>
          <w:sz w:val="18"/>
          <w:szCs w:val="20"/>
          <w:shd w:val="clear" w:color="auto" w:fill="FFFFFF"/>
        </w:rPr>
        <w:t xml:space="preserve">Canadian Review of Sociology/Revue Canadienne de </w:t>
      </w:r>
      <w:proofErr w:type="spellStart"/>
      <w:r w:rsidRPr="00EA3DC8">
        <w:rPr>
          <w:i/>
          <w:iCs/>
          <w:sz w:val="18"/>
          <w:szCs w:val="20"/>
          <w:shd w:val="clear" w:color="auto" w:fill="FFFFFF"/>
        </w:rPr>
        <w:t>sociologie</w:t>
      </w:r>
      <w:proofErr w:type="spellEnd"/>
      <w:r w:rsidRPr="00EA3DC8">
        <w:rPr>
          <w:sz w:val="18"/>
          <w:szCs w:val="20"/>
          <w:shd w:val="clear" w:color="auto" w:fill="FFFFFF"/>
        </w:rPr>
        <w:t xml:space="preserve">, </w:t>
      </w:r>
      <w:r w:rsidRPr="00EA3DC8">
        <w:rPr>
          <w:i/>
          <w:iCs/>
          <w:sz w:val="18"/>
          <w:szCs w:val="20"/>
          <w:shd w:val="clear" w:color="auto" w:fill="FFFFFF"/>
        </w:rPr>
        <w:t>46</w:t>
      </w:r>
      <w:r w:rsidRPr="00EA3DC8">
        <w:rPr>
          <w:sz w:val="18"/>
          <w:szCs w:val="20"/>
          <w:shd w:val="clear" w:color="auto" w:fill="FFFFFF"/>
        </w:rPr>
        <w:t>(3), 179–206.</w:t>
      </w:r>
      <w:r w:rsidRPr="00EA3DC8">
        <w:rPr>
          <w:sz w:val="18"/>
          <w:szCs w:val="20"/>
          <w:shd w:val="clear" w:color="auto" w:fill="FFFFFF"/>
          <w:rtl/>
        </w:rPr>
        <w:t>‏</w:t>
      </w:r>
    </w:p>
    <w:p w14:paraId="635BE3FA" w14:textId="77777777" w:rsidR="00926914" w:rsidRPr="00EA3DC8" w:rsidRDefault="00926914" w:rsidP="003F2F7D">
      <w:pPr>
        <w:bidi w:val="0"/>
        <w:spacing w:after="120"/>
        <w:ind w:left="397" w:hanging="397"/>
        <w:mirrorIndents/>
        <w:jc w:val="both"/>
        <w:rPr>
          <w:sz w:val="18"/>
          <w:szCs w:val="20"/>
          <w:shd w:val="clear" w:color="auto" w:fill="FFFFFF"/>
          <w:rtl/>
        </w:rPr>
      </w:pPr>
      <w:proofErr w:type="spellStart"/>
      <w:r w:rsidRPr="00EA3DC8">
        <w:rPr>
          <w:sz w:val="18"/>
          <w:szCs w:val="20"/>
          <w:shd w:val="clear" w:color="auto" w:fill="FFFFFF"/>
        </w:rPr>
        <w:t>Crettaz</w:t>
      </w:r>
      <w:proofErr w:type="spellEnd"/>
      <w:r w:rsidRPr="00EA3DC8">
        <w:rPr>
          <w:sz w:val="18"/>
          <w:szCs w:val="20"/>
          <w:shd w:val="clear" w:color="auto" w:fill="FFFFFF"/>
        </w:rPr>
        <w:t xml:space="preserve">, E. (2011). </w:t>
      </w:r>
      <w:r w:rsidRPr="00EA3DC8">
        <w:rPr>
          <w:i/>
          <w:iCs/>
          <w:sz w:val="18"/>
          <w:szCs w:val="20"/>
          <w:shd w:val="clear" w:color="auto" w:fill="FFFFFF"/>
        </w:rPr>
        <w:t>Fighting working poverty in post-industrial economies: Causes, trade-offs and policy solutions</w:t>
      </w:r>
      <w:r w:rsidRPr="00EA3DC8">
        <w:rPr>
          <w:sz w:val="18"/>
          <w:szCs w:val="20"/>
          <w:shd w:val="clear" w:color="auto" w:fill="FFFFFF"/>
        </w:rPr>
        <w:t>. Cheltenham, UK: Edward Elgar Publishing.</w:t>
      </w:r>
    </w:p>
    <w:p w14:paraId="5745D2F9" w14:textId="77777777" w:rsidR="00926914" w:rsidRPr="00EA3DC8" w:rsidRDefault="00926914" w:rsidP="003F2F7D">
      <w:pPr>
        <w:bidi w:val="0"/>
        <w:spacing w:after="120"/>
        <w:ind w:left="397" w:hanging="397"/>
        <w:mirrorIndents/>
        <w:jc w:val="both"/>
        <w:rPr>
          <w:sz w:val="18"/>
          <w:szCs w:val="20"/>
        </w:rPr>
      </w:pPr>
      <w:r w:rsidRPr="00EA3DC8">
        <w:rPr>
          <w:rStyle w:val="author"/>
          <w:sz w:val="18"/>
          <w:szCs w:val="20"/>
          <w:bdr w:val="none" w:sz="0" w:space="0" w:color="auto" w:frame="1"/>
          <w:shd w:val="clear" w:color="auto" w:fill="FFFFFF"/>
        </w:rPr>
        <w:t>Danziger, S.</w:t>
      </w:r>
      <w:r w:rsidRPr="00EA3DC8">
        <w:rPr>
          <w:sz w:val="18"/>
          <w:szCs w:val="20"/>
          <w:shd w:val="clear" w:color="auto" w:fill="FFFFFF"/>
        </w:rPr>
        <w:t>,</w:t>
      </w:r>
      <w:r w:rsidRPr="00EA3DC8">
        <w:rPr>
          <w:rStyle w:val="apple-converted-space"/>
          <w:sz w:val="18"/>
          <w:szCs w:val="20"/>
          <w:shd w:val="clear" w:color="auto" w:fill="FFFFFF"/>
        </w:rPr>
        <w:t xml:space="preserve"> </w:t>
      </w:r>
      <w:r w:rsidRPr="00EA3DC8">
        <w:rPr>
          <w:rStyle w:val="author"/>
          <w:sz w:val="18"/>
          <w:szCs w:val="20"/>
          <w:bdr w:val="none" w:sz="0" w:space="0" w:color="auto" w:frame="1"/>
          <w:shd w:val="clear" w:color="auto" w:fill="FFFFFF"/>
        </w:rPr>
        <w:t>Heflin, C. M.</w:t>
      </w:r>
      <w:r w:rsidRPr="00EA3DC8">
        <w:rPr>
          <w:sz w:val="18"/>
          <w:szCs w:val="20"/>
          <w:shd w:val="clear" w:color="auto" w:fill="FFFFFF"/>
        </w:rPr>
        <w:t>,</w:t>
      </w:r>
      <w:r w:rsidRPr="00EA3DC8">
        <w:rPr>
          <w:rStyle w:val="apple-converted-space"/>
          <w:sz w:val="18"/>
          <w:szCs w:val="20"/>
          <w:shd w:val="clear" w:color="auto" w:fill="FFFFFF"/>
        </w:rPr>
        <w:t xml:space="preserve"> </w:t>
      </w:r>
      <w:r w:rsidRPr="00EA3DC8">
        <w:rPr>
          <w:rStyle w:val="author"/>
          <w:sz w:val="18"/>
          <w:szCs w:val="20"/>
          <w:bdr w:val="none" w:sz="0" w:space="0" w:color="auto" w:frame="1"/>
          <w:shd w:val="clear" w:color="auto" w:fill="FFFFFF"/>
        </w:rPr>
        <w:t>Corcoran, M. E.</w:t>
      </w:r>
      <w:r w:rsidRPr="00EA3DC8">
        <w:rPr>
          <w:sz w:val="18"/>
          <w:szCs w:val="20"/>
          <w:shd w:val="clear" w:color="auto" w:fill="FFFFFF"/>
        </w:rPr>
        <w:t>,</w:t>
      </w:r>
      <w:r w:rsidRPr="00EA3DC8">
        <w:rPr>
          <w:rStyle w:val="apple-converted-space"/>
          <w:sz w:val="18"/>
          <w:szCs w:val="20"/>
          <w:shd w:val="clear" w:color="auto" w:fill="FFFFFF"/>
        </w:rPr>
        <w:t xml:space="preserve"> </w:t>
      </w:r>
      <w:r w:rsidRPr="00EA3DC8">
        <w:rPr>
          <w:rStyle w:val="author"/>
          <w:sz w:val="18"/>
          <w:szCs w:val="20"/>
          <w:bdr w:val="none" w:sz="0" w:space="0" w:color="auto" w:frame="1"/>
          <w:shd w:val="clear" w:color="auto" w:fill="FFFFFF"/>
        </w:rPr>
        <w:t>Oltmans, E.,</w:t>
      </w:r>
      <w:r w:rsidRPr="00EA3DC8">
        <w:rPr>
          <w:rStyle w:val="apple-converted-space"/>
          <w:sz w:val="18"/>
          <w:szCs w:val="20"/>
          <w:shd w:val="clear" w:color="auto" w:fill="FFFFFF"/>
        </w:rPr>
        <w:t xml:space="preserve"> </w:t>
      </w:r>
      <w:r w:rsidRPr="00EA3DC8">
        <w:rPr>
          <w:sz w:val="18"/>
          <w:szCs w:val="20"/>
          <w:shd w:val="clear" w:color="auto" w:fill="FFFFFF"/>
        </w:rPr>
        <w:t>&amp;</w:t>
      </w:r>
      <w:r w:rsidRPr="00EA3DC8">
        <w:rPr>
          <w:rStyle w:val="apple-converted-space"/>
          <w:sz w:val="18"/>
          <w:szCs w:val="20"/>
          <w:shd w:val="clear" w:color="auto" w:fill="FFFFFF"/>
        </w:rPr>
        <w:t xml:space="preserve"> </w:t>
      </w:r>
      <w:r w:rsidRPr="00EA3DC8">
        <w:rPr>
          <w:rStyle w:val="author"/>
          <w:sz w:val="18"/>
          <w:szCs w:val="20"/>
          <w:bdr w:val="none" w:sz="0" w:space="0" w:color="auto" w:frame="1"/>
          <w:shd w:val="clear" w:color="auto" w:fill="FFFFFF"/>
        </w:rPr>
        <w:t>Wang, H.-C.</w:t>
      </w:r>
      <w:r w:rsidRPr="00EA3DC8">
        <w:rPr>
          <w:rStyle w:val="apple-converted-space"/>
          <w:sz w:val="18"/>
          <w:szCs w:val="20"/>
          <w:shd w:val="clear" w:color="auto" w:fill="FFFFFF"/>
        </w:rPr>
        <w:t xml:space="preserve"> </w:t>
      </w:r>
      <w:r w:rsidRPr="00EA3DC8">
        <w:rPr>
          <w:sz w:val="18"/>
          <w:szCs w:val="20"/>
          <w:shd w:val="clear" w:color="auto" w:fill="FFFFFF"/>
        </w:rPr>
        <w:t>(</w:t>
      </w:r>
      <w:r w:rsidRPr="00EA3DC8">
        <w:rPr>
          <w:rStyle w:val="pubyear"/>
          <w:sz w:val="18"/>
          <w:szCs w:val="20"/>
          <w:bdr w:val="none" w:sz="0" w:space="0" w:color="auto" w:frame="1"/>
          <w:shd w:val="clear" w:color="auto" w:fill="FFFFFF"/>
        </w:rPr>
        <w:t>2002</w:t>
      </w:r>
      <w:r w:rsidRPr="00EA3DC8">
        <w:rPr>
          <w:sz w:val="18"/>
          <w:szCs w:val="20"/>
          <w:shd w:val="clear" w:color="auto" w:fill="FFFFFF"/>
        </w:rPr>
        <w:t xml:space="preserve">). </w:t>
      </w:r>
      <w:r w:rsidRPr="00EA3DC8">
        <w:rPr>
          <w:rStyle w:val="articletitle"/>
          <w:sz w:val="18"/>
          <w:szCs w:val="20"/>
          <w:bdr w:val="none" w:sz="0" w:space="0" w:color="auto" w:frame="1"/>
          <w:shd w:val="clear" w:color="auto" w:fill="FFFFFF"/>
        </w:rPr>
        <w:t>Does it pay to move from welfare to work?</w:t>
      </w:r>
      <w:r w:rsidRPr="00EA3DC8">
        <w:rPr>
          <w:rStyle w:val="apple-converted-space"/>
          <w:sz w:val="18"/>
          <w:szCs w:val="20"/>
          <w:shd w:val="clear" w:color="auto" w:fill="FFFFFF"/>
        </w:rPr>
        <w:t xml:space="preserve"> </w:t>
      </w:r>
      <w:r w:rsidRPr="00EA3DC8">
        <w:rPr>
          <w:rStyle w:val="journaltitle"/>
          <w:i/>
          <w:iCs/>
          <w:sz w:val="18"/>
          <w:szCs w:val="20"/>
          <w:bdr w:val="none" w:sz="0" w:space="0" w:color="auto" w:frame="1"/>
          <w:shd w:val="clear" w:color="auto" w:fill="FFFFFF"/>
        </w:rPr>
        <w:t>Journal of Policy Analysis and Management</w:t>
      </w:r>
      <w:r w:rsidRPr="00EA3DC8">
        <w:rPr>
          <w:sz w:val="18"/>
          <w:szCs w:val="20"/>
          <w:shd w:val="clear" w:color="auto" w:fill="FFFFFF"/>
        </w:rPr>
        <w:t>,</w:t>
      </w:r>
      <w:r w:rsidRPr="00EA3DC8">
        <w:rPr>
          <w:rStyle w:val="apple-converted-space"/>
          <w:sz w:val="18"/>
          <w:szCs w:val="20"/>
          <w:shd w:val="clear" w:color="auto" w:fill="FFFFFF"/>
        </w:rPr>
        <w:t xml:space="preserve"> </w:t>
      </w:r>
      <w:r w:rsidRPr="00EA3DC8">
        <w:rPr>
          <w:rStyle w:val="vol"/>
          <w:i/>
          <w:iCs/>
          <w:sz w:val="18"/>
          <w:szCs w:val="20"/>
          <w:bdr w:val="none" w:sz="0" w:space="0" w:color="auto" w:frame="1"/>
          <w:shd w:val="clear" w:color="auto" w:fill="FFFFFF"/>
        </w:rPr>
        <w:t>21</w:t>
      </w:r>
      <w:r w:rsidRPr="00EA3DC8">
        <w:rPr>
          <w:sz w:val="18"/>
          <w:szCs w:val="20"/>
          <w:shd w:val="clear" w:color="auto" w:fill="FFFFFF"/>
        </w:rPr>
        <w:t>(</w:t>
      </w:r>
      <w:r w:rsidRPr="00EA3DC8">
        <w:rPr>
          <w:rStyle w:val="citedissue"/>
          <w:sz w:val="18"/>
          <w:szCs w:val="20"/>
          <w:bdr w:val="none" w:sz="0" w:space="0" w:color="auto" w:frame="1"/>
          <w:shd w:val="clear" w:color="auto" w:fill="FFFFFF"/>
        </w:rPr>
        <w:t>4)</w:t>
      </w:r>
      <w:r w:rsidRPr="00EA3DC8">
        <w:rPr>
          <w:sz w:val="18"/>
          <w:szCs w:val="20"/>
          <w:shd w:val="clear" w:color="auto" w:fill="FFFFFF"/>
        </w:rPr>
        <w:t>,</w:t>
      </w:r>
      <w:r w:rsidRPr="00EA3DC8">
        <w:rPr>
          <w:rStyle w:val="apple-converted-space"/>
          <w:sz w:val="18"/>
          <w:szCs w:val="20"/>
          <w:shd w:val="clear" w:color="auto" w:fill="FFFFFF"/>
        </w:rPr>
        <w:t xml:space="preserve"> </w:t>
      </w:r>
      <w:r w:rsidRPr="00EA3DC8">
        <w:rPr>
          <w:rStyle w:val="pagefirst"/>
          <w:sz w:val="18"/>
          <w:szCs w:val="20"/>
          <w:bdr w:val="none" w:sz="0" w:space="0" w:color="auto" w:frame="1"/>
          <w:shd w:val="clear" w:color="auto" w:fill="FFFFFF"/>
        </w:rPr>
        <w:t>671</w:t>
      </w:r>
      <w:r w:rsidRPr="00EA3DC8">
        <w:rPr>
          <w:sz w:val="18"/>
          <w:szCs w:val="20"/>
          <w:shd w:val="clear" w:color="auto" w:fill="FFFFFF"/>
        </w:rPr>
        <w:t>–6</w:t>
      </w:r>
      <w:r w:rsidRPr="00EA3DC8">
        <w:rPr>
          <w:rStyle w:val="pagelast"/>
          <w:sz w:val="18"/>
          <w:szCs w:val="20"/>
          <w:bdr w:val="none" w:sz="0" w:space="0" w:color="auto" w:frame="1"/>
          <w:shd w:val="clear" w:color="auto" w:fill="FFFFFF"/>
        </w:rPr>
        <w:t>92</w:t>
      </w:r>
      <w:r w:rsidRPr="00EA3DC8">
        <w:rPr>
          <w:sz w:val="18"/>
          <w:szCs w:val="20"/>
          <w:shd w:val="clear" w:color="auto" w:fill="FFFFFF"/>
        </w:rPr>
        <w:t>.</w:t>
      </w:r>
      <w:r w:rsidRPr="00EA3DC8">
        <w:rPr>
          <w:sz w:val="18"/>
          <w:szCs w:val="20"/>
          <w:shd w:val="clear" w:color="auto" w:fill="FFFFFF"/>
          <w:rtl/>
        </w:rPr>
        <w:t>‏‏</w:t>
      </w:r>
    </w:p>
    <w:p w14:paraId="2CBB7C8A" w14:textId="77777777" w:rsidR="00926914" w:rsidRPr="00EA3DC8" w:rsidRDefault="00926914" w:rsidP="003F2F7D">
      <w:pPr>
        <w:bidi w:val="0"/>
        <w:spacing w:after="120"/>
        <w:ind w:left="397" w:hanging="397"/>
        <w:mirrorIndents/>
        <w:jc w:val="both"/>
        <w:rPr>
          <w:rStyle w:val="titleauthoretc"/>
          <w:sz w:val="18"/>
          <w:szCs w:val="20"/>
        </w:rPr>
      </w:pPr>
      <w:r w:rsidRPr="00EA3DC8">
        <w:rPr>
          <w:sz w:val="18"/>
          <w:szCs w:val="20"/>
          <w:shd w:val="clear" w:color="auto" w:fill="FFFFFF"/>
        </w:rPr>
        <w:t xml:space="preserve">Danziger, S. K., Danziger, S., </w:t>
      </w:r>
      <w:proofErr w:type="spellStart"/>
      <w:r w:rsidRPr="00EA3DC8">
        <w:rPr>
          <w:sz w:val="18"/>
          <w:szCs w:val="20"/>
          <w:shd w:val="clear" w:color="auto" w:fill="FFFFFF"/>
        </w:rPr>
        <w:t>Seefeldt</w:t>
      </w:r>
      <w:proofErr w:type="spellEnd"/>
      <w:r w:rsidRPr="00EA3DC8">
        <w:rPr>
          <w:sz w:val="18"/>
          <w:szCs w:val="20"/>
          <w:shd w:val="clear" w:color="auto" w:fill="FFFFFF"/>
        </w:rPr>
        <w:t xml:space="preserve">, K. S., &amp; Shaefer, H. L. (2016). From welfare to a work-based safety net: An incomplete transition. </w:t>
      </w:r>
      <w:r w:rsidRPr="00EA3DC8">
        <w:rPr>
          <w:i/>
          <w:iCs/>
          <w:sz w:val="18"/>
          <w:szCs w:val="20"/>
          <w:shd w:val="clear" w:color="auto" w:fill="FFFFFF"/>
        </w:rPr>
        <w:t>Journal of Policy Analysis and Management</w:t>
      </w:r>
      <w:r w:rsidRPr="00EA3DC8">
        <w:rPr>
          <w:sz w:val="18"/>
          <w:szCs w:val="20"/>
          <w:shd w:val="clear" w:color="auto" w:fill="FFFFFF"/>
        </w:rPr>
        <w:t xml:space="preserve">, </w:t>
      </w:r>
      <w:r w:rsidRPr="00EA3DC8">
        <w:rPr>
          <w:i/>
          <w:iCs/>
          <w:sz w:val="18"/>
          <w:szCs w:val="20"/>
          <w:shd w:val="clear" w:color="auto" w:fill="FFFFFF"/>
        </w:rPr>
        <w:t>35</w:t>
      </w:r>
      <w:r w:rsidRPr="00EA3DC8">
        <w:rPr>
          <w:sz w:val="18"/>
          <w:szCs w:val="20"/>
          <w:shd w:val="clear" w:color="auto" w:fill="FFFFFF"/>
        </w:rPr>
        <w:t>(1), 231–238.</w:t>
      </w:r>
    </w:p>
    <w:p w14:paraId="2FA58B0F"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De Graaf-</w:t>
      </w:r>
      <w:proofErr w:type="spellStart"/>
      <w:r w:rsidRPr="00EA3DC8">
        <w:rPr>
          <w:sz w:val="18"/>
          <w:szCs w:val="20"/>
          <w:shd w:val="clear" w:color="auto" w:fill="FFFFFF"/>
        </w:rPr>
        <w:t>Zijl</w:t>
      </w:r>
      <w:proofErr w:type="spellEnd"/>
      <w:r w:rsidRPr="00EA3DC8">
        <w:rPr>
          <w:sz w:val="18"/>
          <w:szCs w:val="20"/>
          <w:shd w:val="clear" w:color="auto" w:fill="FFFFFF"/>
        </w:rPr>
        <w:t xml:space="preserve">, M., &amp; Nolan, B. (2011). Household joblessness and its impact on poverty and deprivation in Europe. </w:t>
      </w:r>
      <w:r w:rsidRPr="00EA3DC8">
        <w:rPr>
          <w:i/>
          <w:iCs/>
          <w:sz w:val="18"/>
          <w:szCs w:val="20"/>
          <w:shd w:val="clear" w:color="auto" w:fill="FFFFFF"/>
        </w:rPr>
        <w:t>Journal of European Social Policy</w:t>
      </w:r>
      <w:r w:rsidRPr="00EA3DC8">
        <w:rPr>
          <w:sz w:val="18"/>
          <w:szCs w:val="20"/>
          <w:shd w:val="clear" w:color="auto" w:fill="FFFFFF"/>
        </w:rPr>
        <w:t xml:space="preserve">, </w:t>
      </w:r>
      <w:r w:rsidRPr="00EA3DC8">
        <w:rPr>
          <w:i/>
          <w:iCs/>
          <w:sz w:val="18"/>
          <w:szCs w:val="20"/>
          <w:shd w:val="clear" w:color="auto" w:fill="FFFFFF"/>
        </w:rPr>
        <w:t>21</w:t>
      </w:r>
      <w:r w:rsidRPr="00EA3DC8">
        <w:rPr>
          <w:sz w:val="18"/>
          <w:szCs w:val="20"/>
          <w:shd w:val="clear" w:color="auto" w:fill="FFFFFF"/>
        </w:rPr>
        <w:t>(5), 413–431.</w:t>
      </w:r>
    </w:p>
    <w:p w14:paraId="7CD47884"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lastRenderedPageBreak/>
        <w:t xml:space="preserve">De Witte, H. (1999). Job </w:t>
      </w:r>
      <w:r w:rsidRPr="00EA3DC8">
        <w:rPr>
          <w:sz w:val="18"/>
          <w:szCs w:val="20"/>
        </w:rPr>
        <w:t>insecurity</w:t>
      </w:r>
      <w:r w:rsidRPr="00EA3DC8">
        <w:rPr>
          <w:sz w:val="18"/>
          <w:szCs w:val="20"/>
          <w:shd w:val="clear" w:color="auto" w:fill="FFFFFF"/>
        </w:rPr>
        <w:t xml:space="preserve"> and psychological well-being: Review of the literature and exploration of some unresolved issues. </w:t>
      </w:r>
      <w:r w:rsidRPr="00EA3DC8">
        <w:rPr>
          <w:i/>
          <w:iCs/>
          <w:sz w:val="18"/>
          <w:szCs w:val="20"/>
          <w:shd w:val="clear" w:color="auto" w:fill="FFFFFF"/>
        </w:rPr>
        <w:t>European Journal of Work and Organizational Psychology</w:t>
      </w:r>
      <w:r w:rsidRPr="00EA3DC8">
        <w:rPr>
          <w:sz w:val="18"/>
          <w:szCs w:val="20"/>
          <w:shd w:val="clear" w:color="auto" w:fill="FFFFFF"/>
        </w:rPr>
        <w:t xml:space="preserve">, </w:t>
      </w:r>
      <w:r w:rsidRPr="00EA3DC8">
        <w:rPr>
          <w:i/>
          <w:iCs/>
          <w:sz w:val="18"/>
          <w:szCs w:val="20"/>
          <w:shd w:val="clear" w:color="auto" w:fill="FFFFFF"/>
        </w:rPr>
        <w:t>8</w:t>
      </w:r>
      <w:r w:rsidRPr="00EA3DC8">
        <w:rPr>
          <w:sz w:val="18"/>
          <w:szCs w:val="20"/>
          <w:shd w:val="clear" w:color="auto" w:fill="FFFFFF"/>
        </w:rPr>
        <w:t>(2), 155–177.</w:t>
      </w:r>
    </w:p>
    <w:p w14:paraId="7E205763"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Diener, E., &amp; Biswas-Diener, R. (2002). Will money increase subjective well-being? </w:t>
      </w:r>
      <w:r w:rsidRPr="00EA3DC8">
        <w:rPr>
          <w:i/>
          <w:iCs/>
          <w:sz w:val="18"/>
          <w:szCs w:val="20"/>
          <w:shd w:val="clear" w:color="auto" w:fill="FFFFFF"/>
        </w:rPr>
        <w:t>Social Indicators Research</w:t>
      </w:r>
      <w:r w:rsidRPr="00EA3DC8">
        <w:rPr>
          <w:sz w:val="18"/>
          <w:szCs w:val="20"/>
          <w:shd w:val="clear" w:color="auto" w:fill="FFFFFF"/>
        </w:rPr>
        <w:t xml:space="preserve">, </w:t>
      </w:r>
      <w:r w:rsidRPr="00EA3DC8">
        <w:rPr>
          <w:i/>
          <w:iCs/>
          <w:sz w:val="18"/>
          <w:szCs w:val="20"/>
          <w:shd w:val="clear" w:color="auto" w:fill="FFFFFF"/>
        </w:rPr>
        <w:t>57</w:t>
      </w:r>
      <w:r w:rsidRPr="00EA3DC8">
        <w:rPr>
          <w:sz w:val="18"/>
          <w:szCs w:val="20"/>
          <w:shd w:val="clear" w:color="auto" w:fill="FFFFFF"/>
        </w:rPr>
        <w:t>(2), 119–169.</w:t>
      </w:r>
    </w:p>
    <w:p w14:paraId="39C55F7C"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Dworsky</w:t>
      </w:r>
      <w:proofErr w:type="spellEnd"/>
      <w:r w:rsidRPr="00EA3DC8">
        <w:rPr>
          <w:sz w:val="18"/>
          <w:szCs w:val="20"/>
          <w:shd w:val="clear" w:color="auto" w:fill="FFFFFF"/>
        </w:rPr>
        <w:t xml:space="preserve">, A., &amp; Courtney, M. E. (2007). Barriers to employment among TANF applicants and their consequences for self-sufficiency. </w:t>
      </w:r>
      <w:r w:rsidRPr="00EA3DC8">
        <w:rPr>
          <w:i/>
          <w:iCs/>
          <w:sz w:val="18"/>
          <w:szCs w:val="20"/>
          <w:shd w:val="clear" w:color="auto" w:fill="FFFFFF"/>
        </w:rPr>
        <w:t>Families in Society</w:t>
      </w:r>
      <w:r w:rsidRPr="00EA3DC8">
        <w:rPr>
          <w:sz w:val="18"/>
          <w:szCs w:val="20"/>
          <w:shd w:val="clear" w:color="auto" w:fill="FFFFFF"/>
        </w:rPr>
        <w:t xml:space="preserve">, </w:t>
      </w:r>
      <w:r w:rsidRPr="00EA3DC8">
        <w:rPr>
          <w:i/>
          <w:iCs/>
          <w:sz w:val="18"/>
          <w:szCs w:val="20"/>
          <w:shd w:val="clear" w:color="auto" w:fill="FFFFFF"/>
        </w:rPr>
        <w:t>88</w:t>
      </w:r>
      <w:r w:rsidRPr="00EA3DC8">
        <w:rPr>
          <w:sz w:val="18"/>
          <w:szCs w:val="20"/>
          <w:shd w:val="clear" w:color="auto" w:fill="FFFFFF"/>
        </w:rPr>
        <w:t>(3), 379–389.</w:t>
      </w:r>
    </w:p>
    <w:p w14:paraId="63ECEEE3"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Edin, K., &amp; </w:t>
      </w:r>
      <w:proofErr w:type="spellStart"/>
      <w:r w:rsidRPr="00EA3DC8">
        <w:rPr>
          <w:sz w:val="18"/>
          <w:szCs w:val="20"/>
          <w:shd w:val="clear" w:color="auto" w:fill="FFFFFF"/>
        </w:rPr>
        <w:t>Lein</w:t>
      </w:r>
      <w:proofErr w:type="spellEnd"/>
      <w:r w:rsidRPr="00EA3DC8">
        <w:rPr>
          <w:sz w:val="18"/>
          <w:szCs w:val="20"/>
          <w:shd w:val="clear" w:color="auto" w:fill="FFFFFF"/>
        </w:rPr>
        <w:t xml:space="preserve">, L. (1997). </w:t>
      </w:r>
      <w:r w:rsidRPr="00EA3DC8">
        <w:rPr>
          <w:i/>
          <w:iCs/>
          <w:sz w:val="18"/>
          <w:szCs w:val="20"/>
          <w:shd w:val="clear" w:color="auto" w:fill="FFFFFF"/>
        </w:rPr>
        <w:t>Making ends meet: How single mothers survive welfare and low-wage work.</w:t>
      </w:r>
      <w:r w:rsidRPr="00EA3DC8">
        <w:rPr>
          <w:sz w:val="18"/>
          <w:szCs w:val="20"/>
          <w:shd w:val="clear" w:color="auto" w:fill="FFFFFF"/>
        </w:rPr>
        <w:t xml:space="preserve"> New York: Russell Sage Foundation.</w:t>
      </w:r>
    </w:p>
    <w:p w14:paraId="13956850" w14:textId="77777777" w:rsidR="00926914" w:rsidRPr="00EA3DC8" w:rsidRDefault="00926914" w:rsidP="003F2F7D">
      <w:pPr>
        <w:bidi w:val="0"/>
        <w:spacing w:after="120"/>
        <w:ind w:left="397" w:hanging="397"/>
        <w:mirrorIndents/>
        <w:jc w:val="both"/>
        <w:rPr>
          <w:sz w:val="18"/>
          <w:szCs w:val="20"/>
          <w:shd w:val="clear" w:color="auto" w:fill="FFFFFF"/>
          <w:rtl/>
        </w:rPr>
      </w:pPr>
      <w:proofErr w:type="spellStart"/>
      <w:r w:rsidRPr="00EA3DC8">
        <w:rPr>
          <w:sz w:val="18"/>
          <w:szCs w:val="20"/>
          <w:shd w:val="clear" w:color="auto" w:fill="FFFFFF"/>
        </w:rPr>
        <w:t>Gans</w:t>
      </w:r>
      <w:proofErr w:type="spellEnd"/>
      <w:r w:rsidRPr="00EA3DC8">
        <w:rPr>
          <w:sz w:val="18"/>
          <w:szCs w:val="20"/>
          <w:shd w:val="clear" w:color="auto" w:fill="FFFFFF"/>
        </w:rPr>
        <w:t xml:space="preserve">, H. J. (2009). Antipoverty policy for the excluded poor. </w:t>
      </w:r>
      <w:r w:rsidRPr="00EA3DC8">
        <w:rPr>
          <w:i/>
          <w:iCs/>
          <w:sz w:val="18"/>
          <w:szCs w:val="20"/>
          <w:shd w:val="clear" w:color="auto" w:fill="FFFFFF"/>
        </w:rPr>
        <w:t>Challenge</w:t>
      </w:r>
      <w:r w:rsidRPr="00EA3DC8">
        <w:rPr>
          <w:sz w:val="18"/>
          <w:szCs w:val="20"/>
          <w:shd w:val="clear" w:color="auto" w:fill="FFFFFF"/>
        </w:rPr>
        <w:t xml:space="preserve">, </w:t>
      </w:r>
      <w:r w:rsidRPr="00EA3DC8">
        <w:rPr>
          <w:i/>
          <w:iCs/>
          <w:sz w:val="18"/>
          <w:szCs w:val="20"/>
          <w:shd w:val="clear" w:color="auto" w:fill="FFFFFF"/>
        </w:rPr>
        <w:t>52</w:t>
      </w:r>
      <w:r w:rsidRPr="00EA3DC8">
        <w:rPr>
          <w:sz w:val="18"/>
          <w:szCs w:val="20"/>
          <w:shd w:val="clear" w:color="auto" w:fill="FFFFFF"/>
        </w:rPr>
        <w:t>(6), 79–95.</w:t>
      </w:r>
    </w:p>
    <w:p w14:paraId="65CF837A"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Gibb, K., Stephens, M., </w:t>
      </w:r>
      <w:proofErr w:type="spellStart"/>
      <w:r w:rsidRPr="00EA3DC8">
        <w:rPr>
          <w:sz w:val="18"/>
          <w:szCs w:val="20"/>
          <w:shd w:val="clear" w:color="auto" w:fill="FFFFFF"/>
        </w:rPr>
        <w:t>Reuschke</w:t>
      </w:r>
      <w:proofErr w:type="spellEnd"/>
      <w:r w:rsidRPr="00EA3DC8">
        <w:rPr>
          <w:sz w:val="18"/>
          <w:szCs w:val="20"/>
          <w:shd w:val="clear" w:color="auto" w:fill="FFFFFF"/>
        </w:rPr>
        <w:t xml:space="preserve">, D., Wright, S., </w:t>
      </w:r>
      <w:proofErr w:type="spellStart"/>
      <w:r w:rsidRPr="00EA3DC8">
        <w:rPr>
          <w:sz w:val="18"/>
          <w:szCs w:val="20"/>
          <w:shd w:val="clear" w:color="auto" w:fill="FFFFFF"/>
        </w:rPr>
        <w:t>Besemer</w:t>
      </w:r>
      <w:proofErr w:type="spellEnd"/>
      <w:r w:rsidRPr="00EA3DC8">
        <w:rPr>
          <w:sz w:val="18"/>
          <w:szCs w:val="20"/>
          <w:shd w:val="clear" w:color="auto" w:fill="FFFFFF"/>
        </w:rPr>
        <w:t xml:space="preserve">, K., &amp; </w:t>
      </w:r>
      <w:proofErr w:type="spellStart"/>
      <w:r w:rsidRPr="00EA3DC8">
        <w:rPr>
          <w:sz w:val="18"/>
          <w:szCs w:val="20"/>
          <w:shd w:val="clear" w:color="auto" w:fill="FFFFFF"/>
        </w:rPr>
        <w:t>Sosenko</w:t>
      </w:r>
      <w:proofErr w:type="spellEnd"/>
      <w:r w:rsidRPr="00EA3DC8">
        <w:rPr>
          <w:sz w:val="18"/>
          <w:szCs w:val="20"/>
          <w:shd w:val="clear" w:color="auto" w:fill="FFFFFF"/>
        </w:rPr>
        <w:t xml:space="preserve">, F. (2016). </w:t>
      </w:r>
      <w:r w:rsidRPr="00EA3DC8">
        <w:rPr>
          <w:i/>
          <w:iCs/>
          <w:sz w:val="18"/>
          <w:szCs w:val="20"/>
          <w:shd w:val="clear" w:color="auto" w:fill="FFFFFF"/>
        </w:rPr>
        <w:t>How does housing affect work incentives for people in poverty?</w:t>
      </w:r>
      <w:r w:rsidRPr="00EA3DC8">
        <w:rPr>
          <w:sz w:val="18"/>
          <w:szCs w:val="20"/>
          <w:shd w:val="clear" w:color="auto" w:fill="FFFFFF"/>
        </w:rPr>
        <w:t xml:space="preserve"> Joseph Rowntree Foundation.</w:t>
      </w:r>
    </w:p>
    <w:p w14:paraId="64F3C4EC" w14:textId="77777777" w:rsidR="00926914" w:rsidRPr="00EA3DC8" w:rsidRDefault="00926914" w:rsidP="003F2F7D">
      <w:pPr>
        <w:bidi w:val="0"/>
        <w:spacing w:after="120"/>
        <w:ind w:left="397" w:hanging="397"/>
        <w:mirrorIndents/>
        <w:jc w:val="both"/>
        <w:rPr>
          <w:b/>
          <w:bCs/>
          <w:sz w:val="18"/>
          <w:szCs w:val="20"/>
          <w:rtl/>
        </w:rPr>
      </w:pPr>
      <w:proofErr w:type="spellStart"/>
      <w:r w:rsidRPr="00EA3DC8">
        <w:rPr>
          <w:sz w:val="18"/>
          <w:szCs w:val="20"/>
          <w:shd w:val="clear" w:color="auto" w:fill="FFFFFF"/>
        </w:rPr>
        <w:t>Halchuk</w:t>
      </w:r>
      <w:proofErr w:type="spellEnd"/>
      <w:r w:rsidRPr="00EA3DC8">
        <w:rPr>
          <w:sz w:val="18"/>
          <w:szCs w:val="20"/>
          <w:shd w:val="clear" w:color="auto" w:fill="FFFFFF"/>
        </w:rPr>
        <w:t xml:space="preserve">, P. (2006). Measuring employment outcomes for Indigenous Australians. </w:t>
      </w:r>
      <w:r w:rsidRPr="00EA3DC8">
        <w:rPr>
          <w:i/>
          <w:iCs/>
          <w:sz w:val="18"/>
          <w:szCs w:val="20"/>
          <w:shd w:val="clear" w:color="auto" w:fill="FFFFFF"/>
        </w:rPr>
        <w:t xml:space="preserve">Australian Journal of </w:t>
      </w:r>
      <w:proofErr w:type="spellStart"/>
      <w:r w:rsidRPr="00EA3DC8">
        <w:rPr>
          <w:i/>
          <w:iCs/>
          <w:sz w:val="18"/>
          <w:szCs w:val="20"/>
          <w:shd w:val="clear" w:color="auto" w:fill="FFFFFF"/>
        </w:rPr>
        <w:t>Labour</w:t>
      </w:r>
      <w:proofErr w:type="spellEnd"/>
      <w:r w:rsidRPr="00EA3DC8">
        <w:rPr>
          <w:i/>
          <w:iCs/>
          <w:sz w:val="18"/>
          <w:szCs w:val="20"/>
          <w:shd w:val="clear" w:color="auto" w:fill="FFFFFF"/>
        </w:rPr>
        <w:t xml:space="preserve"> Economics</w:t>
      </w:r>
      <w:r w:rsidRPr="00EA3DC8">
        <w:rPr>
          <w:sz w:val="18"/>
          <w:szCs w:val="20"/>
          <w:shd w:val="clear" w:color="auto" w:fill="FFFFFF"/>
        </w:rPr>
        <w:t xml:space="preserve">, </w:t>
      </w:r>
      <w:r w:rsidRPr="00EA3DC8">
        <w:rPr>
          <w:i/>
          <w:iCs/>
          <w:sz w:val="18"/>
          <w:szCs w:val="20"/>
          <w:shd w:val="clear" w:color="auto" w:fill="FFFFFF"/>
        </w:rPr>
        <w:t>9</w:t>
      </w:r>
      <w:r w:rsidRPr="00EA3DC8">
        <w:rPr>
          <w:sz w:val="18"/>
          <w:szCs w:val="20"/>
          <w:shd w:val="clear" w:color="auto" w:fill="FFFFFF"/>
        </w:rPr>
        <w:t>(2), 201–215.</w:t>
      </w:r>
    </w:p>
    <w:p w14:paraId="76D67742"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Halleröd</w:t>
      </w:r>
      <w:proofErr w:type="spellEnd"/>
      <w:r w:rsidRPr="00EA3DC8">
        <w:rPr>
          <w:sz w:val="18"/>
          <w:szCs w:val="20"/>
          <w:shd w:val="clear" w:color="auto" w:fill="FFFFFF"/>
        </w:rPr>
        <w:t xml:space="preserve">, B., </w:t>
      </w:r>
      <w:proofErr w:type="spellStart"/>
      <w:r w:rsidRPr="00EA3DC8">
        <w:rPr>
          <w:sz w:val="18"/>
          <w:szCs w:val="20"/>
          <w:shd w:val="clear" w:color="auto" w:fill="FFFFFF"/>
        </w:rPr>
        <w:t>Ekbrand</w:t>
      </w:r>
      <w:proofErr w:type="spellEnd"/>
      <w:r w:rsidRPr="00EA3DC8">
        <w:rPr>
          <w:sz w:val="18"/>
          <w:szCs w:val="20"/>
          <w:shd w:val="clear" w:color="auto" w:fill="FFFFFF"/>
        </w:rPr>
        <w:t xml:space="preserve">, H., &amp; Bengtsson, M. (2015). In-work poverty and </w:t>
      </w:r>
      <w:proofErr w:type="spellStart"/>
      <w:r w:rsidRPr="00EA3DC8">
        <w:rPr>
          <w:sz w:val="18"/>
          <w:szCs w:val="20"/>
          <w:shd w:val="clear" w:color="auto" w:fill="FFFFFF"/>
        </w:rPr>
        <w:t>labour</w:t>
      </w:r>
      <w:proofErr w:type="spellEnd"/>
      <w:r w:rsidRPr="00EA3DC8">
        <w:rPr>
          <w:sz w:val="18"/>
          <w:szCs w:val="20"/>
          <w:shd w:val="clear" w:color="auto" w:fill="FFFFFF"/>
        </w:rPr>
        <w:t xml:space="preserve"> market trajectories: Poverty risks among the working population in 22 European countries. </w:t>
      </w:r>
      <w:r w:rsidRPr="00EA3DC8">
        <w:rPr>
          <w:i/>
          <w:iCs/>
          <w:sz w:val="18"/>
          <w:szCs w:val="20"/>
          <w:shd w:val="clear" w:color="auto" w:fill="FFFFFF"/>
        </w:rPr>
        <w:t>Journal of European Social Policy</w:t>
      </w:r>
      <w:r w:rsidRPr="00EA3DC8">
        <w:rPr>
          <w:sz w:val="18"/>
          <w:szCs w:val="20"/>
          <w:shd w:val="clear" w:color="auto" w:fill="FFFFFF"/>
        </w:rPr>
        <w:t xml:space="preserve">, </w:t>
      </w:r>
      <w:r w:rsidRPr="00EA3DC8">
        <w:rPr>
          <w:i/>
          <w:iCs/>
          <w:sz w:val="18"/>
          <w:szCs w:val="20"/>
          <w:shd w:val="clear" w:color="auto" w:fill="FFFFFF"/>
        </w:rPr>
        <w:t>25</w:t>
      </w:r>
      <w:r w:rsidRPr="00EA3DC8">
        <w:rPr>
          <w:sz w:val="18"/>
          <w:szCs w:val="20"/>
          <w:shd w:val="clear" w:color="auto" w:fill="FFFFFF"/>
        </w:rPr>
        <w:t>(5), 473–488.</w:t>
      </w:r>
    </w:p>
    <w:p w14:paraId="1CAA23E7" w14:textId="77777777" w:rsidR="00926914" w:rsidRPr="00EA3DC8" w:rsidRDefault="00926914" w:rsidP="003F2F7D">
      <w:pPr>
        <w:bidi w:val="0"/>
        <w:spacing w:after="120"/>
        <w:ind w:left="397" w:hanging="397"/>
        <w:mirrorIndents/>
        <w:jc w:val="both"/>
        <w:rPr>
          <w:sz w:val="18"/>
          <w:szCs w:val="20"/>
        </w:rPr>
      </w:pPr>
      <w:r w:rsidRPr="00EA3DC8">
        <w:rPr>
          <w:sz w:val="18"/>
          <w:szCs w:val="20"/>
          <w:shd w:val="clear" w:color="auto" w:fill="FFFFFF"/>
          <w:rtl/>
        </w:rPr>
        <w:t>‏</w:t>
      </w:r>
      <w:r w:rsidRPr="00EA3DC8">
        <w:rPr>
          <w:sz w:val="18"/>
          <w:szCs w:val="20"/>
        </w:rPr>
        <w:t xml:space="preserve">Hamilton, G. (2012). </w:t>
      </w:r>
      <w:r w:rsidRPr="00EA3DC8">
        <w:rPr>
          <w:i/>
          <w:iCs/>
          <w:sz w:val="18"/>
          <w:szCs w:val="20"/>
        </w:rPr>
        <w:t>Improving employment and earnings for TANF recipients</w:t>
      </w:r>
      <w:r w:rsidRPr="00EA3DC8">
        <w:rPr>
          <w:sz w:val="18"/>
          <w:szCs w:val="20"/>
        </w:rPr>
        <w:t xml:space="preserve"> (Brief No. 6). </w:t>
      </w:r>
      <w:hyperlink r:id="rId15" w:history="1">
        <w:r w:rsidRPr="00180DB4">
          <w:rPr>
            <w:rStyle w:val="Hyperlink"/>
            <w:color w:val="000000"/>
            <w:sz w:val="16"/>
            <w:szCs w:val="18"/>
            <w:u w:val="none"/>
          </w:rPr>
          <w:t>https://did.li/iweaa</w:t>
        </w:r>
      </w:hyperlink>
    </w:p>
    <w:p w14:paraId="46301163" w14:textId="77777777" w:rsidR="00926914" w:rsidRPr="00EA3DC8" w:rsidRDefault="00926914" w:rsidP="003F2F7D">
      <w:pPr>
        <w:bidi w:val="0"/>
        <w:spacing w:after="120"/>
        <w:ind w:left="397" w:hanging="397"/>
        <w:mirrorIndents/>
        <w:jc w:val="both"/>
        <w:rPr>
          <w:sz w:val="18"/>
          <w:szCs w:val="20"/>
          <w:shd w:val="clear" w:color="auto" w:fill="FFFFFF"/>
          <w:rtl/>
        </w:rPr>
      </w:pPr>
      <w:proofErr w:type="spellStart"/>
      <w:r w:rsidRPr="00EA3DC8">
        <w:rPr>
          <w:sz w:val="18"/>
          <w:szCs w:val="20"/>
          <w:shd w:val="clear" w:color="auto" w:fill="FFFFFF"/>
        </w:rPr>
        <w:t>Hanisch</w:t>
      </w:r>
      <w:proofErr w:type="spellEnd"/>
      <w:r w:rsidRPr="00EA3DC8">
        <w:rPr>
          <w:sz w:val="18"/>
          <w:szCs w:val="20"/>
          <w:shd w:val="clear" w:color="auto" w:fill="FFFFFF"/>
        </w:rPr>
        <w:t xml:space="preserve">, K. A. (1999). Job loss and unemployment research from 1994 to 1998: A review and recommendations for research and intervention. </w:t>
      </w:r>
      <w:r w:rsidRPr="00EA3DC8">
        <w:rPr>
          <w:i/>
          <w:iCs/>
          <w:sz w:val="18"/>
          <w:szCs w:val="20"/>
          <w:shd w:val="clear" w:color="auto" w:fill="FFFFFF"/>
        </w:rPr>
        <w:t>Journal of Vocational Behavior</w:t>
      </w:r>
      <w:r w:rsidRPr="00EA3DC8">
        <w:rPr>
          <w:sz w:val="18"/>
          <w:szCs w:val="20"/>
          <w:shd w:val="clear" w:color="auto" w:fill="FFFFFF"/>
        </w:rPr>
        <w:t xml:space="preserve">, </w:t>
      </w:r>
      <w:r w:rsidRPr="00EA3DC8">
        <w:rPr>
          <w:i/>
          <w:iCs/>
          <w:sz w:val="18"/>
          <w:szCs w:val="20"/>
          <w:shd w:val="clear" w:color="auto" w:fill="FFFFFF"/>
        </w:rPr>
        <w:t>55</w:t>
      </w:r>
      <w:r w:rsidRPr="00EA3DC8">
        <w:rPr>
          <w:sz w:val="18"/>
          <w:szCs w:val="20"/>
          <w:shd w:val="clear" w:color="auto" w:fill="FFFFFF"/>
        </w:rPr>
        <w:t>(2), 188–220.</w:t>
      </w:r>
    </w:p>
    <w:p w14:paraId="3D17CCD8" w14:textId="77777777" w:rsidR="00926914" w:rsidRPr="00EA3DC8" w:rsidRDefault="00926914" w:rsidP="003F2F7D">
      <w:pPr>
        <w:bidi w:val="0"/>
        <w:spacing w:after="120"/>
        <w:ind w:left="397" w:hanging="397"/>
        <w:mirrorIndents/>
        <w:jc w:val="both"/>
        <w:rPr>
          <w:sz w:val="18"/>
          <w:szCs w:val="20"/>
        </w:rPr>
      </w:pPr>
      <w:r w:rsidRPr="00EA3DC8">
        <w:rPr>
          <w:sz w:val="18"/>
          <w:szCs w:val="20"/>
        </w:rPr>
        <w:t xml:space="preserve">Harden, J., MacLean, A., </w:t>
      </w:r>
      <w:proofErr w:type="spellStart"/>
      <w:r w:rsidRPr="00EA3DC8">
        <w:rPr>
          <w:sz w:val="18"/>
          <w:szCs w:val="20"/>
        </w:rPr>
        <w:t>Backett</w:t>
      </w:r>
      <w:proofErr w:type="spellEnd"/>
      <w:r w:rsidRPr="00EA3DC8">
        <w:rPr>
          <w:sz w:val="18"/>
          <w:szCs w:val="20"/>
        </w:rPr>
        <w:t xml:space="preserve">-Milburn, K., &amp; Cunningham-Burley, S. (2012). The "family-work project": Children's and parents' experiences of working parenthood. </w:t>
      </w:r>
      <w:r w:rsidRPr="00EA3DC8">
        <w:rPr>
          <w:i/>
          <w:iCs/>
          <w:sz w:val="18"/>
          <w:szCs w:val="20"/>
        </w:rPr>
        <w:t>Families, Relationships and Societies</w:t>
      </w:r>
      <w:r w:rsidRPr="00EA3DC8">
        <w:rPr>
          <w:sz w:val="18"/>
          <w:szCs w:val="20"/>
        </w:rPr>
        <w:t xml:space="preserve">, </w:t>
      </w:r>
      <w:r w:rsidRPr="009F4991">
        <w:rPr>
          <w:i/>
          <w:iCs/>
          <w:sz w:val="18"/>
          <w:szCs w:val="20"/>
        </w:rPr>
        <w:t>1</w:t>
      </w:r>
      <w:r w:rsidRPr="00EA3DC8">
        <w:rPr>
          <w:sz w:val="18"/>
          <w:szCs w:val="20"/>
        </w:rPr>
        <w:t>(2), 207–222.</w:t>
      </w:r>
    </w:p>
    <w:p w14:paraId="551A580E"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Harris, K., </w:t>
      </w:r>
      <w:proofErr w:type="spellStart"/>
      <w:r w:rsidRPr="00EA3DC8">
        <w:rPr>
          <w:sz w:val="18"/>
          <w:szCs w:val="20"/>
          <w:shd w:val="clear" w:color="auto" w:fill="FFFFFF"/>
        </w:rPr>
        <w:t>Krygsman</w:t>
      </w:r>
      <w:proofErr w:type="spellEnd"/>
      <w:r w:rsidRPr="00EA3DC8">
        <w:rPr>
          <w:sz w:val="18"/>
          <w:szCs w:val="20"/>
          <w:shd w:val="clear" w:color="auto" w:fill="FFFFFF"/>
        </w:rPr>
        <w:t xml:space="preserve">, S., </w:t>
      </w:r>
      <w:proofErr w:type="spellStart"/>
      <w:r w:rsidRPr="00EA3DC8">
        <w:rPr>
          <w:sz w:val="18"/>
          <w:szCs w:val="20"/>
          <w:shd w:val="clear" w:color="auto" w:fill="FFFFFF"/>
        </w:rPr>
        <w:t>Waschenko</w:t>
      </w:r>
      <w:proofErr w:type="spellEnd"/>
      <w:r w:rsidRPr="00EA3DC8">
        <w:rPr>
          <w:sz w:val="18"/>
          <w:szCs w:val="20"/>
          <w:shd w:val="clear" w:color="auto" w:fill="FFFFFF"/>
        </w:rPr>
        <w:t xml:space="preserve">, J., &amp; </w:t>
      </w:r>
      <w:proofErr w:type="spellStart"/>
      <w:r w:rsidRPr="00EA3DC8">
        <w:rPr>
          <w:sz w:val="18"/>
          <w:szCs w:val="20"/>
          <w:shd w:val="clear" w:color="auto" w:fill="FFFFFF"/>
        </w:rPr>
        <w:t>Laliberte</w:t>
      </w:r>
      <w:proofErr w:type="spellEnd"/>
      <w:r w:rsidRPr="00EA3DC8">
        <w:rPr>
          <w:sz w:val="18"/>
          <w:szCs w:val="20"/>
          <w:shd w:val="clear" w:color="auto" w:fill="FFFFFF"/>
        </w:rPr>
        <w:t xml:space="preserve"> Rudman, D. (2017). Ageism and the older worker: A scoping review. </w:t>
      </w:r>
      <w:r w:rsidRPr="00EA3DC8">
        <w:rPr>
          <w:i/>
          <w:iCs/>
          <w:sz w:val="18"/>
          <w:szCs w:val="20"/>
          <w:shd w:val="clear" w:color="auto" w:fill="FFFFFF"/>
        </w:rPr>
        <w:t>The Gerontologist</w:t>
      </w:r>
      <w:r w:rsidRPr="00EA3DC8">
        <w:rPr>
          <w:sz w:val="18"/>
          <w:szCs w:val="20"/>
          <w:shd w:val="clear" w:color="auto" w:fill="FFFFFF"/>
        </w:rPr>
        <w:t xml:space="preserve">, </w:t>
      </w:r>
      <w:r w:rsidRPr="00EA3DC8">
        <w:rPr>
          <w:i/>
          <w:iCs/>
          <w:sz w:val="18"/>
          <w:szCs w:val="20"/>
          <w:shd w:val="clear" w:color="auto" w:fill="FFFFFF"/>
        </w:rPr>
        <w:t>58</w:t>
      </w:r>
      <w:r w:rsidRPr="00EA3DC8">
        <w:rPr>
          <w:sz w:val="18"/>
          <w:szCs w:val="20"/>
          <w:shd w:val="clear" w:color="auto" w:fill="FFFFFF"/>
        </w:rPr>
        <w:t>(2), e1–e14.</w:t>
      </w:r>
    </w:p>
    <w:p w14:paraId="6EB0E5E7" w14:textId="77777777" w:rsidR="00926914" w:rsidRPr="00EA3DC8" w:rsidRDefault="00926914" w:rsidP="003F2F7D">
      <w:pPr>
        <w:bidi w:val="0"/>
        <w:spacing w:after="120"/>
        <w:ind w:left="397" w:hanging="397"/>
        <w:mirrorIndents/>
        <w:jc w:val="both"/>
        <w:rPr>
          <w:sz w:val="18"/>
          <w:szCs w:val="20"/>
        </w:rPr>
      </w:pPr>
      <w:proofErr w:type="spellStart"/>
      <w:r w:rsidRPr="00EA3DC8">
        <w:rPr>
          <w:sz w:val="18"/>
          <w:szCs w:val="20"/>
        </w:rPr>
        <w:t>Haux</w:t>
      </w:r>
      <w:proofErr w:type="spellEnd"/>
      <w:r w:rsidRPr="00EA3DC8">
        <w:rPr>
          <w:sz w:val="18"/>
          <w:szCs w:val="20"/>
        </w:rPr>
        <w:t xml:space="preserve">, T., Salmon, D., Taylor, L. E., </w:t>
      </w:r>
      <w:proofErr w:type="spellStart"/>
      <w:r w:rsidRPr="00EA3DC8">
        <w:rPr>
          <w:sz w:val="18"/>
          <w:szCs w:val="20"/>
        </w:rPr>
        <w:t>Deave</w:t>
      </w:r>
      <w:proofErr w:type="spellEnd"/>
      <w:r w:rsidRPr="00EA3DC8">
        <w:rPr>
          <w:sz w:val="18"/>
          <w:szCs w:val="20"/>
        </w:rPr>
        <w:t xml:space="preserve">, T., Cohen, S., Dewar, L., &amp; </w:t>
      </w:r>
      <w:proofErr w:type="spellStart"/>
      <w:r w:rsidRPr="00EA3DC8">
        <w:rPr>
          <w:sz w:val="18"/>
          <w:szCs w:val="20"/>
        </w:rPr>
        <w:t>Samelius</w:t>
      </w:r>
      <w:proofErr w:type="spellEnd"/>
      <w:r w:rsidRPr="00EA3DC8">
        <w:rPr>
          <w:sz w:val="18"/>
          <w:szCs w:val="20"/>
        </w:rPr>
        <w:t>, T. (2012). A longitudinal qualitative study of the journeys of single parents on Jobseeker's Allowance. </w:t>
      </w:r>
      <w:r w:rsidRPr="00EA3DC8">
        <w:rPr>
          <w:i/>
          <w:iCs/>
          <w:sz w:val="18"/>
          <w:szCs w:val="20"/>
        </w:rPr>
        <w:t>The Journal of Poverty and Social Justice</w:t>
      </w:r>
      <w:r w:rsidRPr="00EA3DC8">
        <w:rPr>
          <w:sz w:val="18"/>
          <w:szCs w:val="20"/>
        </w:rPr>
        <w:t>, </w:t>
      </w:r>
      <w:r w:rsidRPr="00EA3DC8">
        <w:rPr>
          <w:i/>
          <w:iCs/>
          <w:sz w:val="18"/>
          <w:szCs w:val="20"/>
        </w:rPr>
        <w:t>20</w:t>
      </w:r>
      <w:r w:rsidRPr="00EA3DC8">
        <w:rPr>
          <w:sz w:val="18"/>
          <w:szCs w:val="20"/>
        </w:rPr>
        <w:t>(3), 337–341.</w:t>
      </w:r>
      <w:r w:rsidRPr="00EA3DC8">
        <w:rPr>
          <w:sz w:val="18"/>
          <w:szCs w:val="20"/>
          <w:rtl/>
        </w:rPr>
        <w:t>‏</w:t>
      </w:r>
    </w:p>
    <w:p w14:paraId="1370C070" w14:textId="77777777" w:rsidR="00926914" w:rsidRPr="00EA3DC8" w:rsidRDefault="00926914" w:rsidP="003F2F7D">
      <w:pPr>
        <w:bidi w:val="0"/>
        <w:spacing w:after="120"/>
        <w:ind w:left="397" w:hanging="397"/>
        <w:mirrorIndents/>
        <w:jc w:val="both"/>
        <w:rPr>
          <w:b/>
          <w:bCs/>
          <w:sz w:val="18"/>
          <w:szCs w:val="20"/>
        </w:rPr>
      </w:pPr>
      <w:r w:rsidRPr="00EA3DC8">
        <w:rPr>
          <w:sz w:val="18"/>
          <w:szCs w:val="20"/>
          <w:shd w:val="clear" w:color="auto" w:fill="FFFFFF"/>
        </w:rPr>
        <w:t xml:space="preserve">Herbst, C. M., &amp; Stevens, D. W. (2010). The impact of local labor market conditions on work and welfare decisions: Revisiting an old question using new data. </w:t>
      </w:r>
      <w:r w:rsidRPr="00EA3DC8">
        <w:rPr>
          <w:i/>
          <w:iCs/>
          <w:sz w:val="18"/>
          <w:szCs w:val="20"/>
          <w:shd w:val="clear" w:color="auto" w:fill="FFFFFF"/>
        </w:rPr>
        <w:t>Population Research and Policy Review</w:t>
      </w:r>
      <w:r w:rsidRPr="00EA3DC8">
        <w:rPr>
          <w:sz w:val="18"/>
          <w:szCs w:val="20"/>
          <w:shd w:val="clear" w:color="auto" w:fill="FFFFFF"/>
        </w:rPr>
        <w:t xml:space="preserve">, </w:t>
      </w:r>
      <w:r w:rsidRPr="003B6BFE">
        <w:rPr>
          <w:i/>
          <w:iCs/>
          <w:sz w:val="18"/>
          <w:szCs w:val="20"/>
          <w:shd w:val="clear" w:color="auto" w:fill="FFFFFF"/>
        </w:rPr>
        <w:t>29</w:t>
      </w:r>
      <w:r w:rsidRPr="00EA3DC8">
        <w:rPr>
          <w:sz w:val="18"/>
          <w:szCs w:val="20"/>
          <w:shd w:val="clear" w:color="auto" w:fill="FFFFFF"/>
        </w:rPr>
        <w:t>(4), 453–479.</w:t>
      </w:r>
      <w:r w:rsidRPr="00EA3DC8">
        <w:rPr>
          <w:sz w:val="18"/>
          <w:szCs w:val="20"/>
          <w:shd w:val="clear" w:color="auto" w:fill="FFFFFF"/>
          <w:rtl/>
        </w:rPr>
        <w:t>‏‏‏‏‏</w:t>
      </w:r>
    </w:p>
    <w:p w14:paraId="6793435B"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lastRenderedPageBreak/>
        <w:t xml:space="preserve">Hogan, M. J., Solheim, C., </w:t>
      </w:r>
      <w:proofErr w:type="spellStart"/>
      <w:r w:rsidRPr="00EA3DC8">
        <w:rPr>
          <w:sz w:val="18"/>
          <w:szCs w:val="20"/>
          <w:shd w:val="clear" w:color="auto" w:fill="FFFFFF"/>
        </w:rPr>
        <w:t>Wolfgram</w:t>
      </w:r>
      <w:proofErr w:type="spellEnd"/>
      <w:r w:rsidRPr="00EA3DC8">
        <w:rPr>
          <w:sz w:val="18"/>
          <w:szCs w:val="20"/>
          <w:shd w:val="clear" w:color="auto" w:fill="FFFFFF"/>
        </w:rPr>
        <w:t xml:space="preserve">, S., Nkosi, B., &amp; Rodrigues, N. (2004). The working poor: From the economic margins to asset building. </w:t>
      </w:r>
      <w:r w:rsidRPr="00EA3DC8">
        <w:rPr>
          <w:i/>
          <w:iCs/>
          <w:sz w:val="18"/>
          <w:szCs w:val="20"/>
          <w:shd w:val="clear" w:color="auto" w:fill="FFFFFF"/>
        </w:rPr>
        <w:t>Family Relations</w:t>
      </w:r>
      <w:r w:rsidRPr="00EA3DC8">
        <w:rPr>
          <w:sz w:val="18"/>
          <w:szCs w:val="20"/>
          <w:shd w:val="clear" w:color="auto" w:fill="FFFFFF"/>
        </w:rPr>
        <w:t xml:space="preserve">, </w:t>
      </w:r>
      <w:r w:rsidRPr="00EA3DC8">
        <w:rPr>
          <w:i/>
          <w:iCs/>
          <w:sz w:val="18"/>
          <w:szCs w:val="20"/>
          <w:shd w:val="clear" w:color="auto" w:fill="FFFFFF"/>
        </w:rPr>
        <w:t>53</w:t>
      </w:r>
      <w:r w:rsidRPr="00EA3DC8">
        <w:rPr>
          <w:sz w:val="18"/>
          <w:szCs w:val="20"/>
          <w:shd w:val="clear" w:color="auto" w:fill="FFFFFF"/>
        </w:rPr>
        <w:t>(2), 229–236.</w:t>
      </w:r>
    </w:p>
    <w:p w14:paraId="13A50289" w14:textId="77777777" w:rsidR="003F2F7D" w:rsidRDefault="00926914" w:rsidP="003F2F7D">
      <w:pPr>
        <w:shd w:val="clear" w:color="auto" w:fill="FFFFFF"/>
        <w:bidi w:val="0"/>
        <w:ind w:left="397" w:hanging="397"/>
        <w:jc w:val="both"/>
        <w:rPr>
          <w:sz w:val="18"/>
          <w:szCs w:val="20"/>
          <w:shd w:val="clear" w:color="auto" w:fill="FFFFFF"/>
        </w:rPr>
      </w:pPr>
      <w:proofErr w:type="spellStart"/>
      <w:r w:rsidRPr="00EA3DC8">
        <w:rPr>
          <w:sz w:val="18"/>
          <w:szCs w:val="20"/>
          <w:shd w:val="clear" w:color="auto" w:fill="FFFFFF"/>
        </w:rPr>
        <w:t>Horemans</w:t>
      </w:r>
      <w:proofErr w:type="spellEnd"/>
      <w:r w:rsidRPr="00EA3DC8">
        <w:rPr>
          <w:sz w:val="18"/>
          <w:szCs w:val="20"/>
          <w:shd w:val="clear" w:color="auto" w:fill="FFFFFF"/>
        </w:rPr>
        <w:t xml:space="preserve">, J. (2016). </w:t>
      </w:r>
      <w:r w:rsidRPr="00EA3DC8">
        <w:rPr>
          <w:i/>
          <w:iCs/>
          <w:sz w:val="18"/>
          <w:szCs w:val="20"/>
          <w:shd w:val="clear" w:color="auto" w:fill="FFFFFF"/>
        </w:rPr>
        <w:t>Half a job, twice as poor: Empirical investigations into the role of earnings, family composition, and institutions as factors underlying the poverty risk of part-timers across Europe</w:t>
      </w:r>
      <w:r w:rsidRPr="00EA3DC8">
        <w:rPr>
          <w:sz w:val="18"/>
          <w:szCs w:val="20"/>
          <w:shd w:val="clear" w:color="auto" w:fill="FFFFFF"/>
        </w:rPr>
        <w:t xml:space="preserve"> (Doctoral Dissertation). University of Antwerp. </w:t>
      </w:r>
    </w:p>
    <w:p w14:paraId="178BDC84" w14:textId="6DEF628F" w:rsidR="00926914" w:rsidRPr="00180DB4" w:rsidRDefault="00926914" w:rsidP="003F2F7D">
      <w:pPr>
        <w:bidi w:val="0"/>
        <w:spacing w:after="120"/>
        <w:mirrorIndents/>
        <w:rPr>
          <w:rStyle w:val="Hyperlink"/>
          <w:color w:val="000000"/>
          <w:sz w:val="16"/>
          <w:szCs w:val="18"/>
          <w:u w:val="none"/>
        </w:rPr>
      </w:pPr>
      <w:r w:rsidRPr="00180DB4">
        <w:rPr>
          <w:rStyle w:val="Hyperlink"/>
          <w:color w:val="000000"/>
          <w:sz w:val="16"/>
          <w:szCs w:val="18"/>
          <w:u w:val="none"/>
        </w:rPr>
        <w:t>DOI:</w:t>
      </w:r>
      <w:hyperlink r:id="rId16" w:tgtFrame="_blank" w:history="1">
        <w:r w:rsidRPr="00180DB4">
          <w:rPr>
            <w:rStyle w:val="Hyperlink"/>
            <w:color w:val="000000"/>
            <w:sz w:val="16"/>
            <w:szCs w:val="18"/>
            <w:u w:val="none"/>
          </w:rPr>
          <w:t>10.13140/RG.2.2.30673.58725</w:t>
        </w:r>
      </w:hyperlink>
    </w:p>
    <w:p w14:paraId="6B97815A"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Horemans</w:t>
      </w:r>
      <w:proofErr w:type="spellEnd"/>
      <w:r w:rsidRPr="00EA3DC8">
        <w:rPr>
          <w:sz w:val="18"/>
          <w:szCs w:val="20"/>
          <w:shd w:val="clear" w:color="auto" w:fill="FFFFFF"/>
        </w:rPr>
        <w:t xml:space="preserve">, J., Marx, I., &amp; Nolan, B. (2016). Hanging in, but only just: Part-time employment and in-work poverty throughout the crisis. </w:t>
      </w:r>
      <w:r w:rsidRPr="00EA3DC8">
        <w:rPr>
          <w:i/>
          <w:iCs/>
          <w:sz w:val="18"/>
          <w:szCs w:val="20"/>
          <w:shd w:val="clear" w:color="auto" w:fill="FFFFFF"/>
        </w:rPr>
        <w:t>IZA Journal of European Labor Studies</w:t>
      </w:r>
      <w:r w:rsidRPr="00EA3DC8">
        <w:rPr>
          <w:sz w:val="18"/>
          <w:szCs w:val="20"/>
          <w:shd w:val="clear" w:color="auto" w:fill="FFFFFF"/>
        </w:rPr>
        <w:t>, 5(5), 1–19.</w:t>
      </w:r>
    </w:p>
    <w:p w14:paraId="2E4A4BE3"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Juon</w:t>
      </w:r>
      <w:proofErr w:type="spellEnd"/>
      <w:r w:rsidRPr="00EA3DC8">
        <w:rPr>
          <w:sz w:val="18"/>
          <w:szCs w:val="20"/>
          <w:shd w:val="clear" w:color="auto" w:fill="FFFFFF"/>
        </w:rPr>
        <w:t xml:space="preserve">, H.-S., Green, K. M., </w:t>
      </w:r>
      <w:proofErr w:type="spellStart"/>
      <w:r w:rsidRPr="00EA3DC8">
        <w:rPr>
          <w:sz w:val="18"/>
          <w:szCs w:val="20"/>
          <w:shd w:val="clear" w:color="auto" w:fill="FFFFFF"/>
        </w:rPr>
        <w:t>Fothergill</w:t>
      </w:r>
      <w:proofErr w:type="spellEnd"/>
      <w:r w:rsidRPr="00EA3DC8">
        <w:rPr>
          <w:sz w:val="18"/>
          <w:szCs w:val="20"/>
          <w:shd w:val="clear" w:color="auto" w:fill="FFFFFF"/>
        </w:rPr>
        <w:t xml:space="preserve">, K. E., Kasper, J. D., Thorpe, R. J., &amp; </w:t>
      </w:r>
      <w:proofErr w:type="spellStart"/>
      <w:r w:rsidRPr="00EA3DC8">
        <w:rPr>
          <w:sz w:val="18"/>
          <w:szCs w:val="20"/>
          <w:shd w:val="clear" w:color="auto" w:fill="FFFFFF"/>
        </w:rPr>
        <w:t>Ensminger</w:t>
      </w:r>
      <w:proofErr w:type="spellEnd"/>
      <w:r w:rsidRPr="00EA3DC8">
        <w:rPr>
          <w:sz w:val="18"/>
          <w:szCs w:val="20"/>
          <w:shd w:val="clear" w:color="auto" w:fill="FFFFFF"/>
        </w:rPr>
        <w:t xml:space="preserve">, M. E. (2010). Welfare receipt trajectories of African-American women followed for 30 years. </w:t>
      </w:r>
      <w:r w:rsidRPr="00EA3DC8">
        <w:rPr>
          <w:i/>
          <w:iCs/>
          <w:sz w:val="18"/>
          <w:szCs w:val="20"/>
          <w:shd w:val="clear" w:color="auto" w:fill="FFFFFF"/>
        </w:rPr>
        <w:t>Journal of Urban Health</w:t>
      </w:r>
      <w:r w:rsidRPr="00EA3DC8">
        <w:rPr>
          <w:sz w:val="18"/>
          <w:szCs w:val="20"/>
          <w:shd w:val="clear" w:color="auto" w:fill="FFFFFF"/>
        </w:rPr>
        <w:t xml:space="preserve">, </w:t>
      </w:r>
      <w:r w:rsidRPr="00EA3DC8">
        <w:rPr>
          <w:i/>
          <w:iCs/>
          <w:sz w:val="18"/>
          <w:szCs w:val="20"/>
          <w:shd w:val="clear" w:color="auto" w:fill="FFFFFF"/>
        </w:rPr>
        <w:t>87</w:t>
      </w:r>
      <w:r w:rsidRPr="00EA3DC8">
        <w:rPr>
          <w:sz w:val="18"/>
          <w:szCs w:val="20"/>
          <w:shd w:val="clear" w:color="auto" w:fill="FFFFFF"/>
        </w:rPr>
        <w:t>(1), 76–94.</w:t>
      </w:r>
    </w:p>
    <w:p w14:paraId="734E1668"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Kahneman, D., &amp; Deaton, A. (2010). High income improves evaluation of life but not emotional well-being. </w:t>
      </w:r>
      <w:r w:rsidRPr="00EA3DC8">
        <w:rPr>
          <w:i/>
          <w:iCs/>
          <w:sz w:val="18"/>
          <w:szCs w:val="20"/>
          <w:shd w:val="clear" w:color="auto" w:fill="FFFFFF"/>
        </w:rPr>
        <w:t>Proceedings of the National Academy of Sciences</w:t>
      </w:r>
      <w:r w:rsidRPr="00EA3DC8">
        <w:rPr>
          <w:sz w:val="18"/>
          <w:szCs w:val="20"/>
          <w:shd w:val="clear" w:color="auto" w:fill="FFFFFF"/>
        </w:rPr>
        <w:t xml:space="preserve">, </w:t>
      </w:r>
      <w:r w:rsidRPr="00EA3DC8">
        <w:rPr>
          <w:i/>
          <w:iCs/>
          <w:sz w:val="18"/>
          <w:szCs w:val="20"/>
          <w:shd w:val="clear" w:color="auto" w:fill="FFFFFF"/>
        </w:rPr>
        <w:t>107</w:t>
      </w:r>
      <w:r w:rsidRPr="00EA3DC8">
        <w:rPr>
          <w:sz w:val="18"/>
          <w:szCs w:val="20"/>
          <w:shd w:val="clear" w:color="auto" w:fill="FFFFFF"/>
        </w:rPr>
        <w:t>(38), 16489–16493.</w:t>
      </w:r>
    </w:p>
    <w:p w14:paraId="15BE96E9" w14:textId="77777777" w:rsidR="00926914" w:rsidRPr="00EA3DC8" w:rsidRDefault="00926914" w:rsidP="003F2F7D">
      <w:pPr>
        <w:bidi w:val="0"/>
        <w:spacing w:after="120"/>
        <w:ind w:left="397" w:hanging="397"/>
        <w:mirrorIndents/>
        <w:jc w:val="both"/>
        <w:rPr>
          <w:sz w:val="18"/>
          <w:szCs w:val="20"/>
          <w:shd w:val="clear" w:color="auto" w:fill="FFFFFF"/>
          <w:rtl/>
        </w:rPr>
      </w:pPr>
      <w:proofErr w:type="spellStart"/>
      <w:r w:rsidRPr="00EA3DC8">
        <w:rPr>
          <w:sz w:val="18"/>
          <w:szCs w:val="20"/>
          <w:shd w:val="clear" w:color="auto" w:fill="FFFFFF"/>
        </w:rPr>
        <w:t>Kauppinen</w:t>
      </w:r>
      <w:proofErr w:type="spellEnd"/>
      <w:r w:rsidRPr="00EA3DC8">
        <w:rPr>
          <w:sz w:val="18"/>
          <w:szCs w:val="20"/>
          <w:shd w:val="clear" w:color="auto" w:fill="FFFFFF"/>
        </w:rPr>
        <w:t xml:space="preserve">, T. M., </w:t>
      </w:r>
      <w:proofErr w:type="spellStart"/>
      <w:r w:rsidRPr="00EA3DC8">
        <w:rPr>
          <w:sz w:val="18"/>
          <w:szCs w:val="20"/>
          <w:shd w:val="clear" w:color="auto" w:fill="FFFFFF"/>
        </w:rPr>
        <w:t>Angelin</w:t>
      </w:r>
      <w:proofErr w:type="spellEnd"/>
      <w:r w:rsidRPr="00EA3DC8">
        <w:rPr>
          <w:sz w:val="18"/>
          <w:szCs w:val="20"/>
          <w:shd w:val="clear" w:color="auto" w:fill="FFFFFF"/>
        </w:rPr>
        <w:t xml:space="preserve">, A., </w:t>
      </w:r>
      <w:proofErr w:type="spellStart"/>
      <w:r w:rsidRPr="00EA3DC8">
        <w:rPr>
          <w:sz w:val="18"/>
          <w:szCs w:val="20"/>
          <w:shd w:val="clear" w:color="auto" w:fill="FFFFFF"/>
        </w:rPr>
        <w:t>Lorentzen</w:t>
      </w:r>
      <w:proofErr w:type="spellEnd"/>
      <w:r w:rsidRPr="00EA3DC8">
        <w:rPr>
          <w:sz w:val="18"/>
          <w:szCs w:val="20"/>
          <w:shd w:val="clear" w:color="auto" w:fill="FFFFFF"/>
        </w:rPr>
        <w:t xml:space="preserve">, T., </w:t>
      </w:r>
      <w:proofErr w:type="spellStart"/>
      <w:r w:rsidRPr="00EA3DC8">
        <w:rPr>
          <w:sz w:val="18"/>
          <w:szCs w:val="20"/>
          <w:shd w:val="clear" w:color="auto" w:fill="FFFFFF"/>
        </w:rPr>
        <w:t>Bäckman</w:t>
      </w:r>
      <w:proofErr w:type="spellEnd"/>
      <w:r w:rsidRPr="00EA3DC8">
        <w:rPr>
          <w:sz w:val="18"/>
          <w:szCs w:val="20"/>
          <w:shd w:val="clear" w:color="auto" w:fill="FFFFFF"/>
        </w:rPr>
        <w:t xml:space="preserve">, O., Salonen, T., </w:t>
      </w:r>
      <w:proofErr w:type="spellStart"/>
      <w:r w:rsidRPr="00EA3DC8">
        <w:rPr>
          <w:sz w:val="18"/>
          <w:szCs w:val="20"/>
          <w:shd w:val="clear" w:color="auto" w:fill="FFFFFF"/>
        </w:rPr>
        <w:t>Moisio</w:t>
      </w:r>
      <w:proofErr w:type="spellEnd"/>
      <w:r w:rsidRPr="00EA3DC8">
        <w:rPr>
          <w:sz w:val="18"/>
          <w:szCs w:val="20"/>
          <w:shd w:val="clear" w:color="auto" w:fill="FFFFFF"/>
        </w:rPr>
        <w:t xml:space="preserve">, P., &amp; Dahl, E. (2014). Social background and life-course risks as determinants of social assistance receipt among young adults in Sweden, Norway and Finland. </w:t>
      </w:r>
      <w:r w:rsidRPr="00EA3DC8">
        <w:rPr>
          <w:i/>
          <w:iCs/>
          <w:sz w:val="18"/>
          <w:szCs w:val="20"/>
          <w:shd w:val="clear" w:color="auto" w:fill="FFFFFF"/>
        </w:rPr>
        <w:t>Journal of European Social Policy</w:t>
      </w:r>
      <w:r w:rsidRPr="00EA3DC8">
        <w:rPr>
          <w:sz w:val="18"/>
          <w:szCs w:val="20"/>
          <w:shd w:val="clear" w:color="auto" w:fill="FFFFFF"/>
        </w:rPr>
        <w:t xml:space="preserve">, </w:t>
      </w:r>
      <w:r w:rsidRPr="00EA3DC8">
        <w:rPr>
          <w:i/>
          <w:iCs/>
          <w:sz w:val="18"/>
          <w:szCs w:val="20"/>
          <w:shd w:val="clear" w:color="auto" w:fill="FFFFFF"/>
        </w:rPr>
        <w:t>24</w:t>
      </w:r>
      <w:r w:rsidRPr="00EA3DC8">
        <w:rPr>
          <w:sz w:val="18"/>
          <w:szCs w:val="20"/>
          <w:shd w:val="clear" w:color="auto" w:fill="FFFFFF"/>
        </w:rPr>
        <w:t>(3), 273–288.</w:t>
      </w:r>
    </w:p>
    <w:p w14:paraId="4BB01753" w14:textId="77777777" w:rsidR="00926914" w:rsidRPr="00EA3DC8" w:rsidRDefault="00926914" w:rsidP="003F2F7D">
      <w:pPr>
        <w:bidi w:val="0"/>
        <w:spacing w:after="120"/>
        <w:ind w:left="397" w:hanging="397"/>
        <w:mirrorIndents/>
        <w:jc w:val="both"/>
        <w:rPr>
          <w:sz w:val="18"/>
          <w:szCs w:val="20"/>
          <w:shd w:val="clear" w:color="auto" w:fill="FFFFFF"/>
          <w:rtl/>
        </w:rPr>
      </w:pPr>
      <w:r w:rsidRPr="00EA3DC8">
        <w:rPr>
          <w:sz w:val="18"/>
          <w:szCs w:val="20"/>
          <w:shd w:val="clear" w:color="auto" w:fill="FFFFFF"/>
          <w:rtl/>
        </w:rPr>
        <w:t>‏</w:t>
      </w:r>
      <w:r w:rsidRPr="00EA3DC8">
        <w:rPr>
          <w:sz w:val="18"/>
          <w:szCs w:val="20"/>
          <w:shd w:val="clear" w:color="auto" w:fill="FFFFFF"/>
        </w:rPr>
        <w:t xml:space="preserve">Kwon, J., &amp; </w:t>
      </w:r>
      <w:proofErr w:type="spellStart"/>
      <w:r w:rsidRPr="00EA3DC8">
        <w:rPr>
          <w:sz w:val="18"/>
          <w:szCs w:val="20"/>
          <w:shd w:val="clear" w:color="auto" w:fill="FFFFFF"/>
        </w:rPr>
        <w:t>Hetling</w:t>
      </w:r>
      <w:proofErr w:type="spellEnd"/>
      <w:r w:rsidRPr="00EA3DC8">
        <w:rPr>
          <w:sz w:val="18"/>
          <w:szCs w:val="20"/>
          <w:shd w:val="clear" w:color="auto" w:fill="FFFFFF"/>
        </w:rPr>
        <w:t xml:space="preserve">, A. (2017). Moving in and out of welfare and work: The influence of regional socioeconomic circumstances on economic disconnection among low-income single mothers. </w:t>
      </w:r>
      <w:r w:rsidRPr="00EA3DC8">
        <w:rPr>
          <w:i/>
          <w:iCs/>
          <w:sz w:val="18"/>
          <w:szCs w:val="20"/>
          <w:shd w:val="clear" w:color="auto" w:fill="FFFFFF"/>
        </w:rPr>
        <w:t>Economic Development Quarterly</w:t>
      </w:r>
      <w:r w:rsidRPr="00EA3DC8">
        <w:rPr>
          <w:sz w:val="18"/>
          <w:szCs w:val="20"/>
          <w:shd w:val="clear" w:color="auto" w:fill="FFFFFF"/>
        </w:rPr>
        <w:t xml:space="preserve">, </w:t>
      </w:r>
      <w:r w:rsidRPr="00EA3DC8">
        <w:rPr>
          <w:i/>
          <w:iCs/>
          <w:sz w:val="18"/>
          <w:szCs w:val="20"/>
          <w:shd w:val="clear" w:color="auto" w:fill="FFFFFF"/>
        </w:rPr>
        <w:t>31</w:t>
      </w:r>
      <w:r w:rsidRPr="00EA3DC8">
        <w:rPr>
          <w:sz w:val="18"/>
          <w:szCs w:val="20"/>
          <w:shd w:val="clear" w:color="auto" w:fill="FFFFFF"/>
        </w:rPr>
        <w:t>(4), 326–341.</w:t>
      </w:r>
    </w:p>
    <w:p w14:paraId="3D7BAB36" w14:textId="77777777" w:rsidR="00926914" w:rsidRPr="00EA3DC8" w:rsidRDefault="00926914" w:rsidP="003F2F7D">
      <w:pPr>
        <w:bidi w:val="0"/>
        <w:spacing w:after="120"/>
        <w:ind w:left="397" w:hanging="397"/>
        <w:mirrorIndents/>
        <w:jc w:val="both"/>
        <w:rPr>
          <w:rStyle w:val="nlmarticle-title"/>
          <w:sz w:val="18"/>
          <w:szCs w:val="20"/>
        </w:rPr>
      </w:pPr>
      <w:r w:rsidRPr="00EA3DC8">
        <w:rPr>
          <w:sz w:val="18"/>
          <w:szCs w:val="20"/>
        </w:rPr>
        <w:t xml:space="preserve">Lee, K. H., &amp; Yoon, D. P. (2009). </w:t>
      </w:r>
      <w:r w:rsidRPr="00EA3DC8">
        <w:rPr>
          <w:rStyle w:val="nlmarticle-title"/>
          <w:sz w:val="18"/>
          <w:szCs w:val="20"/>
        </w:rPr>
        <w:t xml:space="preserve">Determinants of unemployment and economic hardship of welfare leavers who have reached their lifetime limits. </w:t>
      </w:r>
      <w:r w:rsidRPr="00EA3DC8">
        <w:rPr>
          <w:rStyle w:val="nlmarticle-title"/>
          <w:i/>
          <w:iCs/>
          <w:sz w:val="18"/>
          <w:szCs w:val="20"/>
        </w:rPr>
        <w:t>Journal of Social Service Research</w:t>
      </w:r>
      <w:r w:rsidRPr="00EA3DC8">
        <w:rPr>
          <w:rStyle w:val="nlmarticle-title"/>
          <w:sz w:val="18"/>
          <w:szCs w:val="20"/>
        </w:rPr>
        <w:t>,</w:t>
      </w:r>
      <w:r w:rsidRPr="00EA3DC8">
        <w:rPr>
          <w:rStyle w:val="nlmarticle-title"/>
          <w:i/>
          <w:iCs/>
          <w:sz w:val="18"/>
          <w:szCs w:val="20"/>
        </w:rPr>
        <w:t xml:space="preserve"> </w:t>
      </w:r>
      <w:r w:rsidRPr="00EA3DC8">
        <w:rPr>
          <w:rStyle w:val="nlmarticle-title"/>
          <w:sz w:val="18"/>
          <w:szCs w:val="20"/>
        </w:rPr>
        <w:t>35(2), 125–134.</w:t>
      </w:r>
    </w:p>
    <w:p w14:paraId="4C640B36" w14:textId="77777777" w:rsidR="00926914" w:rsidRPr="00EA3DC8" w:rsidRDefault="00926914" w:rsidP="003F2F7D">
      <w:pPr>
        <w:bidi w:val="0"/>
        <w:spacing w:after="120"/>
        <w:ind w:left="397" w:hanging="397"/>
        <w:mirrorIndents/>
        <w:jc w:val="both"/>
        <w:rPr>
          <w:rStyle w:val="nlmarticle-title"/>
          <w:sz w:val="18"/>
          <w:szCs w:val="20"/>
        </w:rPr>
      </w:pPr>
      <w:proofErr w:type="spellStart"/>
      <w:r w:rsidRPr="00EA3DC8">
        <w:rPr>
          <w:sz w:val="18"/>
          <w:szCs w:val="20"/>
        </w:rPr>
        <w:t>Lerman</w:t>
      </w:r>
      <w:proofErr w:type="spellEnd"/>
      <w:r w:rsidRPr="00EA3DC8">
        <w:rPr>
          <w:sz w:val="18"/>
          <w:szCs w:val="20"/>
        </w:rPr>
        <w:t xml:space="preserve">, R. (2005, January). How did the 2001 recession affect single mothers? </w:t>
      </w:r>
      <w:r w:rsidRPr="00EA3DC8">
        <w:rPr>
          <w:i/>
          <w:iCs/>
          <w:sz w:val="18"/>
          <w:szCs w:val="20"/>
        </w:rPr>
        <w:t>Single Parents' Earnings Monitor</w:t>
      </w:r>
      <w:r w:rsidRPr="00EA3DC8">
        <w:rPr>
          <w:sz w:val="18"/>
          <w:szCs w:val="20"/>
        </w:rPr>
        <w:t xml:space="preserve">. </w:t>
      </w:r>
    </w:p>
    <w:p w14:paraId="350EF33B"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Levin, L., &amp; </w:t>
      </w:r>
      <w:proofErr w:type="spellStart"/>
      <w:r w:rsidRPr="00EA3DC8">
        <w:rPr>
          <w:sz w:val="18"/>
          <w:szCs w:val="20"/>
          <w:shd w:val="clear" w:color="auto" w:fill="FFFFFF"/>
        </w:rPr>
        <w:t>Sefati</w:t>
      </w:r>
      <w:proofErr w:type="spellEnd"/>
      <w:r w:rsidRPr="00EA3DC8">
        <w:rPr>
          <w:sz w:val="18"/>
          <w:szCs w:val="20"/>
          <w:shd w:val="clear" w:color="auto" w:fill="FFFFFF"/>
        </w:rPr>
        <w:t xml:space="preserve">, N. (2018). Social workers and unemployment: Factors associated with using employment‐promoting practices in Israeli Municipal Departments of Social Services. </w:t>
      </w:r>
      <w:r w:rsidRPr="00EA3DC8">
        <w:rPr>
          <w:i/>
          <w:iCs/>
          <w:sz w:val="18"/>
          <w:szCs w:val="20"/>
          <w:shd w:val="clear" w:color="auto" w:fill="FFFFFF"/>
        </w:rPr>
        <w:t>Health &amp; Social Care in the Community</w:t>
      </w:r>
      <w:r w:rsidRPr="00EA3DC8">
        <w:rPr>
          <w:sz w:val="18"/>
          <w:szCs w:val="20"/>
          <w:shd w:val="clear" w:color="auto" w:fill="FFFFFF"/>
        </w:rPr>
        <w:t xml:space="preserve">, </w:t>
      </w:r>
      <w:r w:rsidRPr="00EA3DC8">
        <w:rPr>
          <w:i/>
          <w:iCs/>
          <w:sz w:val="18"/>
          <w:szCs w:val="20"/>
          <w:shd w:val="clear" w:color="auto" w:fill="FFFFFF"/>
        </w:rPr>
        <w:t>26</w:t>
      </w:r>
      <w:r w:rsidRPr="00EA3DC8">
        <w:rPr>
          <w:sz w:val="18"/>
          <w:szCs w:val="20"/>
          <w:shd w:val="clear" w:color="auto" w:fill="FFFFFF"/>
        </w:rPr>
        <w:t>(5), 685–694.</w:t>
      </w:r>
    </w:p>
    <w:p w14:paraId="1995E565" w14:textId="77777777" w:rsidR="00926914" w:rsidRPr="00EA3DC8" w:rsidRDefault="00926914" w:rsidP="003F2F7D">
      <w:pPr>
        <w:pStyle w:val="ListParagraph"/>
        <w:bidi w:val="0"/>
        <w:spacing w:after="120" w:line="240" w:lineRule="exact"/>
        <w:ind w:left="397" w:hanging="397"/>
        <w:mirrorIndents/>
        <w:jc w:val="both"/>
        <w:rPr>
          <w:rFonts w:ascii="Times New Roman" w:hAnsi="Times New Roman" w:cs="David"/>
          <w:sz w:val="18"/>
          <w:szCs w:val="20"/>
          <w:rtl/>
        </w:rPr>
      </w:pPr>
      <w:r w:rsidRPr="00EA3DC8">
        <w:rPr>
          <w:rFonts w:ascii="Times New Roman" w:hAnsi="Times New Roman" w:cs="David"/>
          <w:sz w:val="18"/>
          <w:szCs w:val="20"/>
        </w:rPr>
        <w:t xml:space="preserve">Lister, R. (2004). </w:t>
      </w:r>
      <w:r w:rsidRPr="00EA3DC8">
        <w:rPr>
          <w:rFonts w:ascii="Times New Roman" w:hAnsi="Times New Roman" w:cs="David"/>
          <w:i/>
          <w:iCs/>
          <w:sz w:val="18"/>
          <w:szCs w:val="20"/>
        </w:rPr>
        <w:t>Poverty</w:t>
      </w:r>
      <w:r w:rsidRPr="00EA3DC8">
        <w:rPr>
          <w:rFonts w:ascii="Times New Roman" w:hAnsi="Times New Roman" w:cs="David"/>
          <w:sz w:val="18"/>
          <w:szCs w:val="20"/>
        </w:rPr>
        <w:t xml:space="preserve">. </w:t>
      </w:r>
      <w:r w:rsidRPr="00EA3DC8">
        <w:rPr>
          <w:rFonts w:ascii="Times New Roman" w:hAnsi="Times New Roman" w:cs="David"/>
          <w:sz w:val="18"/>
          <w:szCs w:val="20"/>
          <w:shd w:val="clear" w:color="auto" w:fill="FFFFFF"/>
        </w:rPr>
        <w:t>Cambridge, U.K: Polity Press</w:t>
      </w:r>
      <w:r w:rsidRPr="00EA3DC8">
        <w:rPr>
          <w:rFonts w:ascii="Times New Roman" w:hAnsi="Times New Roman" w:cs="David"/>
          <w:sz w:val="18"/>
          <w:szCs w:val="20"/>
        </w:rPr>
        <w:t>.</w:t>
      </w:r>
    </w:p>
    <w:p w14:paraId="268E07B2" w14:textId="77777777" w:rsidR="00926914" w:rsidRPr="00EA3DC8" w:rsidRDefault="00926914" w:rsidP="003F2F7D">
      <w:pPr>
        <w:bidi w:val="0"/>
        <w:spacing w:after="120"/>
        <w:ind w:left="397" w:hanging="397"/>
        <w:mirrorIndents/>
        <w:jc w:val="both"/>
        <w:rPr>
          <w:sz w:val="18"/>
          <w:szCs w:val="20"/>
          <w:shd w:val="clear" w:color="auto" w:fill="FFFFFF"/>
          <w:rtl/>
        </w:rPr>
      </w:pPr>
      <w:proofErr w:type="spellStart"/>
      <w:r w:rsidRPr="00EA3DC8">
        <w:rPr>
          <w:sz w:val="18"/>
          <w:szCs w:val="20"/>
          <w:shd w:val="clear" w:color="auto" w:fill="FFFFFF"/>
        </w:rPr>
        <w:t>Loprest</w:t>
      </w:r>
      <w:proofErr w:type="spellEnd"/>
      <w:r w:rsidRPr="00EA3DC8">
        <w:rPr>
          <w:sz w:val="18"/>
          <w:szCs w:val="20"/>
          <w:shd w:val="clear" w:color="auto" w:fill="FFFFFF"/>
        </w:rPr>
        <w:t xml:space="preserve">, P., &amp; Nichols, A. (2011). </w:t>
      </w:r>
      <w:r w:rsidRPr="00EA3DC8">
        <w:rPr>
          <w:i/>
          <w:iCs/>
          <w:sz w:val="18"/>
          <w:szCs w:val="20"/>
          <w:shd w:val="clear" w:color="auto" w:fill="FFFFFF"/>
        </w:rPr>
        <w:t>Dynamics of being disconnected from work and TANF</w:t>
      </w:r>
      <w:r w:rsidRPr="00EA3DC8">
        <w:rPr>
          <w:sz w:val="18"/>
          <w:szCs w:val="20"/>
          <w:shd w:val="clear" w:color="auto" w:fill="FFFFFF"/>
        </w:rPr>
        <w:t>. Urban Institute.</w:t>
      </w:r>
      <w:r w:rsidRPr="00EA3DC8">
        <w:rPr>
          <w:sz w:val="18"/>
          <w:szCs w:val="20"/>
          <w:shd w:val="clear" w:color="auto" w:fill="FFFFFF"/>
          <w:rtl/>
        </w:rPr>
        <w:t>‏</w:t>
      </w:r>
    </w:p>
    <w:p w14:paraId="31C9ED64" w14:textId="641B0A0F"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Loya</w:t>
      </w:r>
      <w:proofErr w:type="spellEnd"/>
      <w:r w:rsidRPr="00EA3DC8">
        <w:rPr>
          <w:sz w:val="18"/>
          <w:szCs w:val="20"/>
          <w:shd w:val="clear" w:color="auto" w:fill="FFFFFF"/>
        </w:rPr>
        <w:t xml:space="preserve">, R., Liberman, R. J., </w:t>
      </w:r>
      <w:proofErr w:type="spellStart"/>
      <w:r w:rsidRPr="00EA3DC8">
        <w:rPr>
          <w:sz w:val="18"/>
          <w:szCs w:val="20"/>
          <w:shd w:val="clear" w:color="auto" w:fill="FFFFFF"/>
        </w:rPr>
        <w:t>Albelda</w:t>
      </w:r>
      <w:proofErr w:type="spellEnd"/>
      <w:r w:rsidRPr="00EA3DC8">
        <w:rPr>
          <w:sz w:val="18"/>
          <w:szCs w:val="20"/>
          <w:shd w:val="clear" w:color="auto" w:fill="FFFFFF"/>
        </w:rPr>
        <w:t xml:space="preserve">, R., &amp; Babcock, E. (2008). </w:t>
      </w:r>
      <w:r w:rsidRPr="00EA3DC8">
        <w:rPr>
          <w:i/>
          <w:iCs/>
          <w:sz w:val="18"/>
          <w:szCs w:val="20"/>
          <w:shd w:val="clear" w:color="auto" w:fill="FFFFFF"/>
        </w:rPr>
        <w:t>Fits &amp; starts: The difficult path for working single parents</w:t>
      </w:r>
      <w:r w:rsidRPr="00EA3DC8">
        <w:rPr>
          <w:sz w:val="18"/>
          <w:szCs w:val="20"/>
          <w:shd w:val="clear" w:color="auto" w:fill="FFFFFF"/>
        </w:rPr>
        <w:t>.</w:t>
      </w:r>
      <w:r w:rsidRPr="00EA3DC8">
        <w:rPr>
          <w:sz w:val="18"/>
          <w:szCs w:val="20"/>
          <w:shd w:val="clear" w:color="auto" w:fill="FFFFFF"/>
          <w:rtl/>
        </w:rPr>
        <w:t>‏</w:t>
      </w:r>
      <w:r w:rsidRPr="00EA3DC8">
        <w:rPr>
          <w:sz w:val="18"/>
          <w:szCs w:val="20"/>
          <w:shd w:val="clear" w:color="auto" w:fill="FFFFFF"/>
        </w:rPr>
        <w:t xml:space="preserve"> </w:t>
      </w:r>
      <w:r w:rsidRPr="00EA3DC8">
        <w:rPr>
          <w:sz w:val="18"/>
          <w:szCs w:val="20"/>
        </w:rPr>
        <w:t>Crittenton Women’s Union and The Center for Social Policy Publication, Paper</w:t>
      </w:r>
      <w:r w:rsidR="00C44D53">
        <w:rPr>
          <w:sz w:val="18"/>
          <w:szCs w:val="20"/>
        </w:rPr>
        <w:t xml:space="preserve"> </w:t>
      </w:r>
      <w:r w:rsidRPr="00EA3DC8">
        <w:rPr>
          <w:sz w:val="18"/>
          <w:szCs w:val="20"/>
        </w:rPr>
        <w:t>10.</w:t>
      </w:r>
    </w:p>
    <w:p w14:paraId="2AA4D1DF" w14:textId="77777777" w:rsidR="00926914" w:rsidRPr="00EA3DC8" w:rsidRDefault="00926914" w:rsidP="003F2F7D">
      <w:pPr>
        <w:bidi w:val="0"/>
        <w:spacing w:after="120"/>
        <w:ind w:left="397" w:hanging="397"/>
        <w:mirrorIndents/>
        <w:jc w:val="both"/>
        <w:rPr>
          <w:sz w:val="18"/>
          <w:szCs w:val="20"/>
        </w:rPr>
      </w:pPr>
      <w:r w:rsidRPr="00EA3DC8">
        <w:rPr>
          <w:sz w:val="18"/>
          <w:szCs w:val="20"/>
        </w:rPr>
        <w:lastRenderedPageBreak/>
        <w:t xml:space="preserve">McHardy, F. (2012). </w:t>
      </w:r>
      <w:r w:rsidRPr="00EA3DC8">
        <w:rPr>
          <w:i/>
          <w:iCs/>
          <w:sz w:val="18"/>
          <w:szCs w:val="20"/>
        </w:rPr>
        <w:t>Surviving poverty: The impact of lone parenthood.</w:t>
      </w:r>
      <w:r w:rsidRPr="00EA3DC8">
        <w:rPr>
          <w:sz w:val="18"/>
          <w:szCs w:val="20"/>
        </w:rPr>
        <w:t xml:space="preserve"> The Poverty Alliance.</w:t>
      </w:r>
    </w:p>
    <w:p w14:paraId="101428DD"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Millar, J. (2007). The dynamics of poverty and employment: The contribution of qualitative longitudinal research to understanding transitions, adaptations and trajectories. </w:t>
      </w:r>
      <w:r w:rsidRPr="00EA3DC8">
        <w:rPr>
          <w:i/>
          <w:iCs/>
          <w:sz w:val="18"/>
          <w:szCs w:val="20"/>
          <w:shd w:val="clear" w:color="auto" w:fill="FFFFFF"/>
        </w:rPr>
        <w:t>Social Policy and Society</w:t>
      </w:r>
      <w:r w:rsidRPr="00EA3DC8">
        <w:rPr>
          <w:sz w:val="18"/>
          <w:szCs w:val="20"/>
          <w:shd w:val="clear" w:color="auto" w:fill="FFFFFF"/>
        </w:rPr>
        <w:t xml:space="preserve">, </w:t>
      </w:r>
      <w:r w:rsidRPr="00EA3DC8">
        <w:rPr>
          <w:i/>
          <w:iCs/>
          <w:sz w:val="18"/>
          <w:szCs w:val="20"/>
          <w:shd w:val="clear" w:color="auto" w:fill="FFFFFF"/>
        </w:rPr>
        <w:t>6</w:t>
      </w:r>
      <w:r w:rsidRPr="00EA3DC8">
        <w:rPr>
          <w:sz w:val="18"/>
          <w:szCs w:val="20"/>
          <w:shd w:val="clear" w:color="auto" w:fill="FFFFFF"/>
        </w:rPr>
        <w:t>(4), 533–544.</w:t>
      </w:r>
    </w:p>
    <w:p w14:paraId="70705962"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Moffitt, R., &amp; Winder, K. (2005). Does it pay to move from welfare to work? A comment on Danziger, Heflin, Corcoran, Oltmans, and Wang. </w:t>
      </w:r>
      <w:r w:rsidRPr="00EA3DC8">
        <w:rPr>
          <w:i/>
          <w:iCs/>
          <w:sz w:val="18"/>
          <w:szCs w:val="20"/>
          <w:shd w:val="clear" w:color="auto" w:fill="FFFFFF"/>
        </w:rPr>
        <w:t>Journal of Policy Analysis and Management</w:t>
      </w:r>
      <w:r w:rsidRPr="00EA3DC8">
        <w:rPr>
          <w:sz w:val="18"/>
          <w:szCs w:val="20"/>
          <w:shd w:val="clear" w:color="auto" w:fill="FFFFFF"/>
        </w:rPr>
        <w:t xml:space="preserve">, </w:t>
      </w:r>
      <w:r w:rsidRPr="00EA3DC8">
        <w:rPr>
          <w:i/>
          <w:iCs/>
          <w:sz w:val="18"/>
          <w:szCs w:val="20"/>
          <w:shd w:val="clear" w:color="auto" w:fill="FFFFFF"/>
        </w:rPr>
        <w:t>24</w:t>
      </w:r>
      <w:r w:rsidRPr="00EA3DC8">
        <w:rPr>
          <w:sz w:val="18"/>
          <w:szCs w:val="20"/>
          <w:shd w:val="clear" w:color="auto" w:fill="FFFFFF"/>
        </w:rPr>
        <w:t>(2), 399–409.</w:t>
      </w:r>
      <w:r w:rsidRPr="00EA3DC8">
        <w:rPr>
          <w:sz w:val="18"/>
          <w:szCs w:val="20"/>
          <w:shd w:val="clear" w:color="auto" w:fill="FFFFFF"/>
          <w:rtl/>
        </w:rPr>
        <w:t>‏</w:t>
      </w:r>
    </w:p>
    <w:p w14:paraId="21220029"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Moore, Q., Wood, R. G., &amp; Rangarajan, A. (2012). The dynamics of women disconnected from employment and welfare. </w:t>
      </w:r>
      <w:r w:rsidRPr="00EA3DC8">
        <w:rPr>
          <w:i/>
          <w:iCs/>
          <w:sz w:val="18"/>
          <w:szCs w:val="20"/>
          <w:shd w:val="clear" w:color="auto" w:fill="FFFFFF"/>
        </w:rPr>
        <w:t>Social Service Review</w:t>
      </w:r>
      <w:r w:rsidRPr="00EA3DC8">
        <w:rPr>
          <w:sz w:val="18"/>
          <w:szCs w:val="20"/>
          <w:shd w:val="clear" w:color="auto" w:fill="FFFFFF"/>
        </w:rPr>
        <w:t xml:space="preserve">, </w:t>
      </w:r>
      <w:r w:rsidRPr="00EA3DC8">
        <w:rPr>
          <w:i/>
          <w:iCs/>
          <w:sz w:val="18"/>
          <w:szCs w:val="20"/>
          <w:shd w:val="clear" w:color="auto" w:fill="FFFFFF"/>
        </w:rPr>
        <w:t>86</w:t>
      </w:r>
      <w:r w:rsidRPr="00EA3DC8">
        <w:rPr>
          <w:sz w:val="18"/>
          <w:szCs w:val="20"/>
          <w:shd w:val="clear" w:color="auto" w:fill="FFFFFF"/>
        </w:rPr>
        <w:t>(1), 93–118.</w:t>
      </w:r>
      <w:r w:rsidRPr="00EA3DC8">
        <w:rPr>
          <w:sz w:val="18"/>
          <w:szCs w:val="20"/>
          <w:shd w:val="clear" w:color="auto" w:fill="FFFFFF"/>
          <w:rtl/>
        </w:rPr>
        <w:t>‏</w:t>
      </w:r>
    </w:p>
    <w:p w14:paraId="306CEC9A" w14:textId="77777777" w:rsidR="00926914" w:rsidRPr="00EA3DC8" w:rsidRDefault="00926914" w:rsidP="003F2F7D">
      <w:pPr>
        <w:bidi w:val="0"/>
        <w:spacing w:after="120"/>
        <w:ind w:left="397" w:hanging="397"/>
        <w:mirrorIndents/>
        <w:jc w:val="both"/>
        <w:rPr>
          <w:rStyle w:val="HTMLCite"/>
          <w:i w:val="0"/>
          <w:iCs w:val="0"/>
          <w:sz w:val="18"/>
          <w:szCs w:val="20"/>
        </w:rPr>
      </w:pPr>
      <w:r w:rsidRPr="00EA3DC8">
        <w:rPr>
          <w:sz w:val="18"/>
          <w:szCs w:val="20"/>
        </w:rPr>
        <w:t xml:space="preserve">Nam, Y. (2005). The roles of employment barriers in welfare exits and reentries after welfare reform: Event history analyses. </w:t>
      </w:r>
      <w:r w:rsidRPr="00EA3DC8">
        <w:rPr>
          <w:rStyle w:val="HTMLCite"/>
          <w:sz w:val="18"/>
          <w:szCs w:val="20"/>
        </w:rPr>
        <w:t>Social Service Review</w:t>
      </w:r>
      <w:r w:rsidRPr="00907B78">
        <w:rPr>
          <w:rStyle w:val="HTMLCite"/>
          <w:i w:val="0"/>
          <w:iCs w:val="0"/>
          <w:sz w:val="18"/>
          <w:szCs w:val="20"/>
        </w:rPr>
        <w:t>,</w:t>
      </w:r>
      <w:r w:rsidRPr="00EA3DC8">
        <w:rPr>
          <w:rStyle w:val="HTMLCite"/>
          <w:sz w:val="18"/>
          <w:szCs w:val="20"/>
        </w:rPr>
        <w:t xml:space="preserve"> 79</w:t>
      </w:r>
      <w:r w:rsidRPr="00907B78">
        <w:rPr>
          <w:rStyle w:val="HTMLCite"/>
          <w:i w:val="0"/>
          <w:iCs w:val="0"/>
          <w:sz w:val="18"/>
          <w:szCs w:val="20"/>
        </w:rPr>
        <w:t>(2), 268–293.</w:t>
      </w:r>
    </w:p>
    <w:p w14:paraId="5DBDA344" w14:textId="39DA241C" w:rsidR="00926914" w:rsidRPr="00EA3DC8" w:rsidRDefault="00926914" w:rsidP="003F2F7D">
      <w:pPr>
        <w:bidi w:val="0"/>
        <w:spacing w:after="120"/>
        <w:ind w:left="397" w:hanging="397"/>
        <w:mirrorIndents/>
        <w:jc w:val="both"/>
        <w:rPr>
          <w:rStyle w:val="HTMLCite"/>
          <w:sz w:val="18"/>
          <w:szCs w:val="20"/>
        </w:rPr>
      </w:pPr>
      <w:r w:rsidRPr="00EA3DC8">
        <w:rPr>
          <w:sz w:val="18"/>
          <w:szCs w:val="20"/>
          <w:shd w:val="clear" w:color="auto" w:fill="FFFFFF"/>
        </w:rPr>
        <w:t xml:space="preserve">Nickell, S. (2004). Poverty and worklessness in Britain. </w:t>
      </w:r>
      <w:r w:rsidRPr="00EA3DC8">
        <w:rPr>
          <w:i/>
          <w:iCs/>
          <w:sz w:val="18"/>
          <w:szCs w:val="20"/>
          <w:shd w:val="clear" w:color="auto" w:fill="FFFFFF"/>
        </w:rPr>
        <w:t>Economic Journal</w:t>
      </w:r>
      <w:r w:rsidRPr="00EA3DC8">
        <w:rPr>
          <w:sz w:val="18"/>
          <w:szCs w:val="20"/>
          <w:shd w:val="clear" w:color="auto" w:fill="FFFFFF"/>
        </w:rPr>
        <w:t xml:space="preserve">, </w:t>
      </w:r>
      <w:r w:rsidRPr="00EA3DC8">
        <w:rPr>
          <w:i/>
          <w:iCs/>
          <w:sz w:val="18"/>
          <w:szCs w:val="20"/>
          <w:shd w:val="clear" w:color="auto" w:fill="FFFFFF"/>
        </w:rPr>
        <w:t>114</w:t>
      </w:r>
      <w:r w:rsidRPr="00EA3DC8">
        <w:rPr>
          <w:sz w:val="18"/>
          <w:szCs w:val="20"/>
          <w:shd w:val="clear" w:color="auto" w:fill="FFFFFF"/>
        </w:rPr>
        <w:t xml:space="preserve">(494), </w:t>
      </w:r>
      <w:r w:rsidR="003B6BFE">
        <w:rPr>
          <w:sz w:val="18"/>
          <w:szCs w:val="20"/>
          <w:shd w:val="clear" w:color="auto" w:fill="FFFFFF"/>
        </w:rPr>
        <w:br/>
      </w:r>
      <w:r w:rsidRPr="00EA3DC8">
        <w:rPr>
          <w:sz w:val="18"/>
          <w:szCs w:val="20"/>
          <w:shd w:val="clear" w:color="auto" w:fill="FFFFFF"/>
        </w:rPr>
        <w:t>C1–C25</w:t>
      </w:r>
      <w:r w:rsidRPr="00EA3DC8">
        <w:rPr>
          <w:rStyle w:val="HTMLCite"/>
          <w:sz w:val="18"/>
          <w:szCs w:val="20"/>
        </w:rPr>
        <w:t>.</w:t>
      </w:r>
    </w:p>
    <w:p w14:paraId="4F2D40F1" w14:textId="77777777" w:rsidR="00926914" w:rsidRPr="00EA3DC8" w:rsidRDefault="00926914" w:rsidP="003F2F7D">
      <w:pPr>
        <w:bidi w:val="0"/>
        <w:spacing w:after="120"/>
        <w:ind w:left="397" w:hanging="397"/>
        <w:mirrorIndents/>
        <w:jc w:val="both"/>
        <w:rPr>
          <w:sz w:val="18"/>
          <w:szCs w:val="20"/>
        </w:rPr>
      </w:pPr>
      <w:r w:rsidRPr="00EA3DC8">
        <w:rPr>
          <w:sz w:val="18"/>
          <w:szCs w:val="20"/>
          <w:shd w:val="clear" w:color="auto" w:fill="FFFFFF"/>
        </w:rPr>
        <w:t xml:space="preserve">Nicoll, K. L. (2017). Who defines need: Low-income individuals' interpretations of need and the implications for participation in public assistance </w:t>
      </w:r>
      <w:proofErr w:type="gramStart"/>
      <w:r w:rsidRPr="00EA3DC8">
        <w:rPr>
          <w:sz w:val="18"/>
          <w:szCs w:val="20"/>
          <w:shd w:val="clear" w:color="auto" w:fill="FFFFFF"/>
        </w:rPr>
        <w:t>programs.</w:t>
      </w:r>
      <w:proofErr w:type="gramEnd"/>
      <w:r w:rsidRPr="00EA3DC8">
        <w:rPr>
          <w:sz w:val="18"/>
          <w:szCs w:val="20"/>
          <w:shd w:val="clear" w:color="auto" w:fill="FFFFFF"/>
        </w:rPr>
        <w:t xml:space="preserve"> </w:t>
      </w:r>
      <w:r w:rsidRPr="00EA3DC8">
        <w:rPr>
          <w:i/>
          <w:iCs/>
          <w:sz w:val="18"/>
          <w:szCs w:val="20"/>
          <w:shd w:val="clear" w:color="auto" w:fill="FFFFFF"/>
        </w:rPr>
        <w:t>Journal of Sociology &amp; Social Welfare</w:t>
      </w:r>
      <w:r w:rsidRPr="00EA3DC8">
        <w:rPr>
          <w:sz w:val="18"/>
          <w:szCs w:val="20"/>
          <w:shd w:val="clear" w:color="auto" w:fill="FFFFFF"/>
        </w:rPr>
        <w:t xml:space="preserve">, </w:t>
      </w:r>
      <w:r w:rsidRPr="00EA3DC8">
        <w:rPr>
          <w:i/>
          <w:iCs/>
          <w:sz w:val="18"/>
          <w:szCs w:val="20"/>
          <w:shd w:val="clear" w:color="auto" w:fill="FFFFFF"/>
        </w:rPr>
        <w:t>44</w:t>
      </w:r>
      <w:r w:rsidRPr="00EA3DC8">
        <w:rPr>
          <w:sz w:val="18"/>
          <w:szCs w:val="20"/>
          <w:shd w:val="clear" w:color="auto" w:fill="FFFFFF"/>
        </w:rPr>
        <w:t>(4), 117–141.</w:t>
      </w:r>
    </w:p>
    <w:p w14:paraId="22E4B8B3" w14:textId="03DB889B" w:rsidR="003F2F7D" w:rsidRDefault="00926914" w:rsidP="003F2F7D">
      <w:pPr>
        <w:bidi w:val="0"/>
        <w:ind w:left="397" w:hanging="397"/>
        <w:mirrorIndents/>
        <w:jc w:val="both"/>
        <w:rPr>
          <w:sz w:val="18"/>
          <w:szCs w:val="20"/>
          <w:shd w:val="clear" w:color="auto" w:fill="FFFFFF"/>
        </w:rPr>
      </w:pPr>
      <w:r w:rsidRPr="00EA3DC8">
        <w:rPr>
          <w:sz w:val="18"/>
          <w:szCs w:val="20"/>
          <w:shd w:val="clear" w:color="auto" w:fill="FFFFFF"/>
        </w:rPr>
        <w:t>OECD (</w:t>
      </w:r>
      <w:r w:rsidRPr="00EA3DC8">
        <w:rPr>
          <w:color w:val="000000"/>
          <w:sz w:val="18"/>
          <w:szCs w:val="20"/>
          <w:shd w:val="clear" w:color="auto" w:fill="FFFFFF"/>
        </w:rPr>
        <w:t>Organization for Economic Cooperation and Development</w:t>
      </w:r>
      <w:r w:rsidRPr="00EA3DC8">
        <w:rPr>
          <w:sz w:val="18"/>
          <w:szCs w:val="20"/>
        </w:rPr>
        <w:t>)</w:t>
      </w:r>
      <w:r w:rsidRPr="00EA3DC8">
        <w:rPr>
          <w:sz w:val="18"/>
          <w:szCs w:val="20"/>
          <w:shd w:val="clear" w:color="auto" w:fill="FFFFFF"/>
        </w:rPr>
        <w:t xml:space="preserve"> (2009). </w:t>
      </w:r>
      <w:r w:rsidRPr="00EA3DC8">
        <w:rPr>
          <w:i/>
          <w:iCs/>
          <w:sz w:val="18"/>
          <w:szCs w:val="20"/>
          <w:shd w:val="clear" w:color="auto" w:fill="FFFFFF"/>
        </w:rPr>
        <w:t>In-work poverty: What can governments do?</w:t>
      </w:r>
      <w:r w:rsidRPr="00EA3DC8">
        <w:rPr>
          <w:sz w:val="18"/>
          <w:szCs w:val="20"/>
          <w:shd w:val="clear" w:color="auto" w:fill="FFFFFF"/>
        </w:rPr>
        <w:t xml:space="preserve"> (Policy Brief). </w:t>
      </w:r>
    </w:p>
    <w:p w14:paraId="16214435" w14:textId="291A087E" w:rsidR="00926914" w:rsidRPr="00180DB4" w:rsidRDefault="00D16A00" w:rsidP="003F2F7D">
      <w:pPr>
        <w:bidi w:val="0"/>
        <w:spacing w:after="120"/>
        <w:mirrorIndents/>
        <w:rPr>
          <w:rStyle w:val="Hyperlink"/>
          <w:color w:val="000000"/>
          <w:sz w:val="16"/>
          <w:szCs w:val="18"/>
          <w:u w:val="none"/>
        </w:rPr>
      </w:pPr>
      <w:hyperlink r:id="rId17" w:history="1">
        <w:r w:rsidR="003F2F7D" w:rsidRPr="00180DB4">
          <w:rPr>
            <w:rStyle w:val="Hyperlink"/>
            <w:color w:val="000000"/>
            <w:sz w:val="16"/>
            <w:szCs w:val="18"/>
            <w:u w:val="none"/>
          </w:rPr>
          <w:t>https://www.oecd.org/els/43650040.pdf</w:t>
        </w:r>
      </w:hyperlink>
    </w:p>
    <w:p w14:paraId="11FD76BE" w14:textId="77777777" w:rsidR="002F5D6D" w:rsidRPr="002F5D6D" w:rsidRDefault="00926914" w:rsidP="002F5D6D">
      <w:pPr>
        <w:pStyle w:val="CommentText"/>
        <w:bidi w:val="0"/>
        <w:spacing w:line="240" w:lineRule="exact"/>
        <w:ind w:left="397" w:hanging="397"/>
        <w:jc w:val="both"/>
        <w:rPr>
          <w:sz w:val="18"/>
          <w:szCs w:val="18"/>
        </w:rPr>
      </w:pPr>
      <w:r w:rsidRPr="002F5D6D">
        <w:rPr>
          <w:sz w:val="18"/>
          <w:szCs w:val="18"/>
        </w:rPr>
        <w:t>OECD (</w:t>
      </w:r>
      <w:r w:rsidRPr="002F5D6D">
        <w:rPr>
          <w:color w:val="000000"/>
          <w:sz w:val="18"/>
          <w:szCs w:val="18"/>
          <w:shd w:val="clear" w:color="auto" w:fill="FFFFFF"/>
        </w:rPr>
        <w:t>Organization for Economic Cooperation and Development</w:t>
      </w:r>
      <w:r w:rsidRPr="002F5D6D">
        <w:rPr>
          <w:sz w:val="18"/>
          <w:szCs w:val="18"/>
        </w:rPr>
        <w:t xml:space="preserve">) (2020). </w:t>
      </w:r>
      <w:r w:rsidRPr="002F5D6D">
        <w:rPr>
          <w:i/>
          <w:iCs/>
          <w:sz w:val="18"/>
          <w:szCs w:val="18"/>
        </w:rPr>
        <w:t>Part time employment rate</w:t>
      </w:r>
      <w:r w:rsidRPr="002F5D6D">
        <w:rPr>
          <w:sz w:val="18"/>
          <w:szCs w:val="18"/>
        </w:rPr>
        <w:t xml:space="preserve">. </w:t>
      </w:r>
    </w:p>
    <w:p w14:paraId="154252E3" w14:textId="6D08DD78" w:rsidR="00926914" w:rsidRPr="00180DB4" w:rsidRDefault="00D16A00" w:rsidP="002F5D6D">
      <w:pPr>
        <w:bidi w:val="0"/>
        <w:spacing w:after="120"/>
        <w:mirrorIndents/>
        <w:rPr>
          <w:rStyle w:val="Hyperlink"/>
          <w:color w:val="000000"/>
          <w:sz w:val="16"/>
          <w:szCs w:val="18"/>
          <w:u w:val="none"/>
        </w:rPr>
      </w:pPr>
      <w:hyperlink r:id="rId18" w:history="1">
        <w:r w:rsidR="002F5D6D" w:rsidRPr="00180DB4">
          <w:rPr>
            <w:rStyle w:val="Hyperlink"/>
            <w:color w:val="000000"/>
            <w:sz w:val="16"/>
            <w:szCs w:val="18"/>
            <w:u w:val="none"/>
          </w:rPr>
          <w:t>https://data.oecd.org/emp/part-time-employment-rate.htm</w:t>
        </w:r>
      </w:hyperlink>
    </w:p>
    <w:p w14:paraId="2C7299B2" w14:textId="77777777" w:rsidR="00926914" w:rsidRPr="00EA3DC8" w:rsidRDefault="00926914" w:rsidP="002F5D6D">
      <w:pPr>
        <w:bidi w:val="0"/>
        <w:ind w:left="397" w:hanging="397"/>
        <w:mirrorIndents/>
        <w:jc w:val="both"/>
        <w:rPr>
          <w:sz w:val="18"/>
          <w:szCs w:val="20"/>
          <w:shd w:val="clear" w:color="auto" w:fill="FFFFFF"/>
        </w:rPr>
      </w:pPr>
      <w:proofErr w:type="spellStart"/>
      <w:r w:rsidRPr="00EA3DC8">
        <w:rPr>
          <w:sz w:val="18"/>
          <w:szCs w:val="20"/>
          <w:shd w:val="clear" w:color="auto" w:fill="FFFFFF"/>
        </w:rPr>
        <w:t>OECD.Stat</w:t>
      </w:r>
      <w:proofErr w:type="spellEnd"/>
      <w:r w:rsidRPr="00EA3DC8">
        <w:rPr>
          <w:sz w:val="18"/>
          <w:szCs w:val="20"/>
          <w:shd w:val="clear" w:color="auto" w:fill="FFFFFF"/>
        </w:rPr>
        <w:t xml:space="preserve"> (</w:t>
      </w:r>
      <w:r w:rsidRPr="00EA3DC8">
        <w:rPr>
          <w:color w:val="000000"/>
          <w:sz w:val="18"/>
          <w:szCs w:val="20"/>
          <w:shd w:val="clear" w:color="auto" w:fill="FFFFFF"/>
        </w:rPr>
        <w:t>Organization for Economic Cooperation and Development</w:t>
      </w:r>
      <w:r w:rsidRPr="00EA3DC8">
        <w:rPr>
          <w:sz w:val="18"/>
          <w:szCs w:val="20"/>
        </w:rPr>
        <w:t>)</w:t>
      </w:r>
      <w:r w:rsidRPr="00EA3DC8">
        <w:rPr>
          <w:sz w:val="18"/>
          <w:szCs w:val="20"/>
          <w:shd w:val="clear" w:color="auto" w:fill="FFFFFF"/>
        </w:rPr>
        <w:t xml:space="preserve"> (2021). </w:t>
      </w:r>
    </w:p>
    <w:p w14:paraId="437F033A" w14:textId="77777777" w:rsidR="00926914" w:rsidRPr="00180DB4" w:rsidRDefault="00D16A00" w:rsidP="002F5D6D">
      <w:pPr>
        <w:bidi w:val="0"/>
        <w:spacing w:after="120"/>
        <w:mirrorIndents/>
        <w:rPr>
          <w:rStyle w:val="Hyperlink"/>
          <w:color w:val="000000"/>
          <w:sz w:val="16"/>
          <w:szCs w:val="18"/>
          <w:u w:val="none"/>
        </w:rPr>
      </w:pPr>
      <w:hyperlink r:id="rId19" w:history="1">
        <w:r w:rsidR="00926914" w:rsidRPr="00180DB4">
          <w:rPr>
            <w:rStyle w:val="Hyperlink"/>
            <w:color w:val="000000"/>
            <w:sz w:val="16"/>
            <w:szCs w:val="18"/>
            <w:u w:val="none"/>
          </w:rPr>
          <w:t>https://stats.oecd.org/Index.aspx?DataSetCode=INVPT_I</w:t>
        </w:r>
      </w:hyperlink>
    </w:p>
    <w:p w14:paraId="7AAB9F6F" w14:textId="0D8A9340"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O'Neill, D., &amp; Sweetman, O. (1998). Intergenerational mobility in Britain: evidence from unemployment patterns. </w:t>
      </w:r>
      <w:r w:rsidRPr="00EA3DC8">
        <w:rPr>
          <w:i/>
          <w:iCs/>
          <w:sz w:val="18"/>
          <w:szCs w:val="20"/>
          <w:shd w:val="clear" w:color="auto" w:fill="FFFFFF"/>
        </w:rPr>
        <w:t>Oxford Bulletin of Economics and statistics</w:t>
      </w:r>
      <w:r w:rsidRPr="00EA3DC8">
        <w:rPr>
          <w:sz w:val="18"/>
          <w:szCs w:val="20"/>
          <w:shd w:val="clear" w:color="auto" w:fill="FFFFFF"/>
        </w:rPr>
        <w:t xml:space="preserve">, </w:t>
      </w:r>
      <w:r w:rsidRPr="00EA3DC8">
        <w:rPr>
          <w:i/>
          <w:iCs/>
          <w:sz w:val="18"/>
          <w:szCs w:val="20"/>
          <w:shd w:val="clear" w:color="auto" w:fill="FFFFFF"/>
        </w:rPr>
        <w:t>60</w:t>
      </w:r>
      <w:r w:rsidRPr="00EA3DC8">
        <w:rPr>
          <w:sz w:val="18"/>
          <w:szCs w:val="20"/>
          <w:shd w:val="clear" w:color="auto" w:fill="FFFFFF"/>
        </w:rPr>
        <w:t xml:space="preserve">(4), </w:t>
      </w:r>
      <w:r w:rsidR="002F5D6D">
        <w:rPr>
          <w:sz w:val="18"/>
          <w:szCs w:val="20"/>
          <w:shd w:val="clear" w:color="auto" w:fill="FFFFFF"/>
        </w:rPr>
        <w:br/>
      </w:r>
      <w:r w:rsidRPr="00EA3DC8">
        <w:rPr>
          <w:sz w:val="18"/>
          <w:szCs w:val="20"/>
          <w:shd w:val="clear" w:color="auto" w:fill="FFFFFF"/>
        </w:rPr>
        <w:t>431–447.</w:t>
      </w:r>
    </w:p>
    <w:p w14:paraId="25105D96"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Perkins, D. (2008). Improving employment participation for welfare recipients facing personal barriers. </w:t>
      </w:r>
      <w:r w:rsidRPr="00EA3DC8">
        <w:rPr>
          <w:i/>
          <w:iCs/>
          <w:sz w:val="18"/>
          <w:szCs w:val="20"/>
          <w:shd w:val="clear" w:color="auto" w:fill="FFFFFF"/>
        </w:rPr>
        <w:t>Social Policy and Society</w:t>
      </w:r>
      <w:r w:rsidRPr="00EA3DC8">
        <w:rPr>
          <w:sz w:val="18"/>
          <w:szCs w:val="20"/>
          <w:shd w:val="clear" w:color="auto" w:fill="FFFFFF"/>
        </w:rPr>
        <w:t xml:space="preserve">, </w:t>
      </w:r>
      <w:r w:rsidRPr="00EA3DC8">
        <w:rPr>
          <w:i/>
          <w:iCs/>
          <w:sz w:val="18"/>
          <w:szCs w:val="20"/>
          <w:shd w:val="clear" w:color="auto" w:fill="FFFFFF"/>
        </w:rPr>
        <w:t>7</w:t>
      </w:r>
      <w:r w:rsidRPr="00EA3DC8">
        <w:rPr>
          <w:sz w:val="18"/>
          <w:szCs w:val="20"/>
          <w:shd w:val="clear" w:color="auto" w:fill="FFFFFF"/>
        </w:rPr>
        <w:t>(1), 13–26.</w:t>
      </w:r>
    </w:p>
    <w:p w14:paraId="7FE30B7F" w14:textId="77777777" w:rsidR="00926914" w:rsidRPr="00EA3DC8" w:rsidRDefault="00926914" w:rsidP="003F2F7D">
      <w:pPr>
        <w:bidi w:val="0"/>
        <w:spacing w:after="120"/>
        <w:ind w:left="397" w:hanging="397"/>
        <w:mirrorIndents/>
        <w:jc w:val="both"/>
        <w:rPr>
          <w:sz w:val="18"/>
          <w:szCs w:val="20"/>
          <w:shd w:val="clear" w:color="auto" w:fill="FFFFFF"/>
        </w:rPr>
      </w:pPr>
      <w:r w:rsidRPr="00EA3DC8">
        <w:rPr>
          <w:sz w:val="18"/>
          <w:szCs w:val="20"/>
          <w:shd w:val="clear" w:color="auto" w:fill="FFFFFF"/>
        </w:rPr>
        <w:t xml:space="preserve">Reutter, L. I., Stewart, M. J., </w:t>
      </w:r>
      <w:proofErr w:type="spellStart"/>
      <w:r w:rsidRPr="00EA3DC8">
        <w:rPr>
          <w:sz w:val="18"/>
          <w:szCs w:val="20"/>
          <w:shd w:val="clear" w:color="auto" w:fill="FFFFFF"/>
        </w:rPr>
        <w:t>Veenstra</w:t>
      </w:r>
      <w:proofErr w:type="spellEnd"/>
      <w:r w:rsidRPr="00EA3DC8">
        <w:rPr>
          <w:sz w:val="18"/>
          <w:szCs w:val="20"/>
          <w:shd w:val="clear" w:color="auto" w:fill="FFFFFF"/>
        </w:rPr>
        <w:t xml:space="preserve">, G., Love, R., Raphael, D., &amp; </w:t>
      </w:r>
      <w:proofErr w:type="spellStart"/>
      <w:r w:rsidRPr="00EA3DC8">
        <w:rPr>
          <w:sz w:val="18"/>
          <w:szCs w:val="20"/>
          <w:shd w:val="clear" w:color="auto" w:fill="FFFFFF"/>
        </w:rPr>
        <w:t>Makwarimba</w:t>
      </w:r>
      <w:proofErr w:type="spellEnd"/>
      <w:r w:rsidRPr="00EA3DC8">
        <w:rPr>
          <w:sz w:val="18"/>
          <w:szCs w:val="20"/>
          <w:shd w:val="clear" w:color="auto" w:fill="FFFFFF"/>
        </w:rPr>
        <w:t xml:space="preserve">, E. (2009). “Who do they think we are, anyway?” Perceptions of and responses to poverty stigma. </w:t>
      </w:r>
      <w:r w:rsidRPr="00EA3DC8">
        <w:rPr>
          <w:i/>
          <w:iCs/>
          <w:sz w:val="18"/>
          <w:szCs w:val="20"/>
          <w:shd w:val="clear" w:color="auto" w:fill="FFFFFF"/>
        </w:rPr>
        <w:t>Qualitative Health Research</w:t>
      </w:r>
      <w:r w:rsidRPr="00EA3DC8">
        <w:rPr>
          <w:sz w:val="18"/>
          <w:szCs w:val="20"/>
          <w:shd w:val="clear" w:color="auto" w:fill="FFFFFF"/>
        </w:rPr>
        <w:t xml:space="preserve">, </w:t>
      </w:r>
      <w:r w:rsidRPr="00EA3DC8">
        <w:rPr>
          <w:i/>
          <w:iCs/>
          <w:sz w:val="18"/>
          <w:szCs w:val="20"/>
          <w:shd w:val="clear" w:color="auto" w:fill="FFFFFF"/>
        </w:rPr>
        <w:t>19</w:t>
      </w:r>
      <w:r w:rsidRPr="00EA3DC8">
        <w:rPr>
          <w:sz w:val="18"/>
          <w:szCs w:val="20"/>
          <w:shd w:val="clear" w:color="auto" w:fill="FFFFFF"/>
        </w:rPr>
        <w:t>(3), 297–311.</w:t>
      </w:r>
    </w:p>
    <w:p w14:paraId="443CF655" w14:textId="77777777" w:rsidR="00926914" w:rsidRPr="00EA3DC8" w:rsidRDefault="00926914" w:rsidP="003F2F7D">
      <w:pPr>
        <w:bidi w:val="0"/>
        <w:spacing w:after="120"/>
        <w:ind w:left="397" w:hanging="397"/>
        <w:mirrorIndents/>
        <w:jc w:val="both"/>
        <w:rPr>
          <w:sz w:val="18"/>
          <w:szCs w:val="20"/>
          <w:shd w:val="clear" w:color="auto" w:fill="FFFFFF"/>
        </w:rPr>
      </w:pPr>
      <w:proofErr w:type="spellStart"/>
      <w:r w:rsidRPr="00EA3DC8">
        <w:rPr>
          <w:sz w:val="18"/>
          <w:szCs w:val="20"/>
          <w:shd w:val="clear" w:color="auto" w:fill="FFFFFF"/>
        </w:rPr>
        <w:t>Salverda</w:t>
      </w:r>
      <w:proofErr w:type="spellEnd"/>
      <w:r w:rsidRPr="00EA3DC8">
        <w:rPr>
          <w:sz w:val="18"/>
          <w:szCs w:val="20"/>
          <w:shd w:val="clear" w:color="auto" w:fill="FFFFFF"/>
        </w:rPr>
        <w:t xml:space="preserve">, W., &amp; Checchi, D. (2015). Labor market institutions and the dispersion of wage earnings. In A. B. Atkinson, &amp; F. Bourguignon (Eds.), </w:t>
      </w:r>
      <w:r w:rsidRPr="00EA3DC8">
        <w:rPr>
          <w:i/>
          <w:iCs/>
          <w:sz w:val="18"/>
          <w:szCs w:val="20"/>
          <w:shd w:val="clear" w:color="auto" w:fill="FFFFFF"/>
        </w:rPr>
        <w:t>Handbook of income distribution</w:t>
      </w:r>
      <w:r w:rsidRPr="00EA3DC8">
        <w:rPr>
          <w:sz w:val="18"/>
          <w:szCs w:val="20"/>
          <w:shd w:val="clear" w:color="auto" w:fill="FFFFFF"/>
        </w:rPr>
        <w:t>, Vol. 2B (pp. 1535–1727). Amsterdam: Elsevier.</w:t>
      </w:r>
    </w:p>
    <w:p w14:paraId="71C2E3A2" w14:textId="183FBADF" w:rsidR="00926914" w:rsidRPr="00EA3DC8" w:rsidRDefault="00926914" w:rsidP="009F2897">
      <w:pPr>
        <w:bidi w:val="0"/>
        <w:spacing w:after="120" w:line="230" w:lineRule="exact"/>
        <w:ind w:left="397" w:hanging="397"/>
        <w:mirrorIndents/>
        <w:jc w:val="both"/>
        <w:rPr>
          <w:sz w:val="18"/>
          <w:szCs w:val="20"/>
          <w:shd w:val="clear" w:color="auto" w:fill="FFFFFF"/>
        </w:rPr>
      </w:pPr>
      <w:r w:rsidRPr="00EA3DC8">
        <w:rPr>
          <w:sz w:val="18"/>
          <w:szCs w:val="20"/>
          <w:shd w:val="clear" w:color="auto" w:fill="FFFFFF"/>
        </w:rPr>
        <w:lastRenderedPageBreak/>
        <w:t xml:space="preserve">Schmid, G. (2010). Non-standard employment and </w:t>
      </w:r>
      <w:proofErr w:type="spellStart"/>
      <w:r w:rsidRPr="00EA3DC8">
        <w:rPr>
          <w:sz w:val="18"/>
          <w:szCs w:val="20"/>
          <w:shd w:val="clear" w:color="auto" w:fill="FFFFFF"/>
        </w:rPr>
        <w:t>labour</w:t>
      </w:r>
      <w:proofErr w:type="spellEnd"/>
      <w:r w:rsidRPr="00EA3DC8">
        <w:rPr>
          <w:sz w:val="18"/>
          <w:szCs w:val="20"/>
          <w:shd w:val="clear" w:color="auto" w:fill="FFFFFF"/>
        </w:rPr>
        <w:t xml:space="preserve"> force participation: </w:t>
      </w:r>
      <w:r w:rsidR="002F5D6D">
        <w:rPr>
          <w:sz w:val="18"/>
          <w:szCs w:val="20"/>
          <w:shd w:val="clear" w:color="auto" w:fill="FFFFFF"/>
        </w:rPr>
        <w:br/>
      </w:r>
      <w:r w:rsidRPr="00EA3DC8">
        <w:rPr>
          <w:sz w:val="18"/>
          <w:szCs w:val="20"/>
          <w:shd w:val="clear" w:color="auto" w:fill="FFFFFF"/>
        </w:rPr>
        <w:t>A comparative view of the recent development in Europe (Discussion Paper No. 5087). IZA.</w:t>
      </w:r>
    </w:p>
    <w:p w14:paraId="5CA3A600" w14:textId="77777777" w:rsidR="00926914" w:rsidRPr="00EA3DC8" w:rsidRDefault="00926914" w:rsidP="009F2897">
      <w:pPr>
        <w:bidi w:val="0"/>
        <w:spacing w:after="120" w:line="230" w:lineRule="exact"/>
        <w:ind w:left="397" w:hanging="397"/>
        <w:mirrorIndents/>
        <w:jc w:val="both"/>
        <w:rPr>
          <w:sz w:val="18"/>
          <w:szCs w:val="20"/>
          <w:shd w:val="clear" w:color="auto" w:fill="FFFFFF"/>
        </w:rPr>
      </w:pPr>
      <w:proofErr w:type="spellStart"/>
      <w:r w:rsidRPr="00EA3DC8">
        <w:rPr>
          <w:sz w:val="18"/>
          <w:szCs w:val="20"/>
          <w:shd w:val="clear" w:color="auto" w:fill="FFFFFF"/>
        </w:rPr>
        <w:t>Seefeldt</w:t>
      </w:r>
      <w:proofErr w:type="spellEnd"/>
      <w:r w:rsidRPr="00EA3DC8">
        <w:rPr>
          <w:sz w:val="18"/>
          <w:szCs w:val="20"/>
          <w:shd w:val="clear" w:color="auto" w:fill="FFFFFF"/>
        </w:rPr>
        <w:t xml:space="preserve">, K. S., &amp; </w:t>
      </w:r>
      <w:proofErr w:type="spellStart"/>
      <w:r w:rsidRPr="00EA3DC8">
        <w:rPr>
          <w:sz w:val="18"/>
          <w:szCs w:val="20"/>
          <w:shd w:val="clear" w:color="auto" w:fill="FFFFFF"/>
        </w:rPr>
        <w:t>Orzol</w:t>
      </w:r>
      <w:proofErr w:type="spellEnd"/>
      <w:r w:rsidRPr="00EA3DC8">
        <w:rPr>
          <w:sz w:val="18"/>
          <w:szCs w:val="20"/>
          <w:shd w:val="clear" w:color="auto" w:fill="FFFFFF"/>
        </w:rPr>
        <w:t xml:space="preserve">, S. M. (2005). Watching the clock tick: Factors associated with TANF accumulation. </w:t>
      </w:r>
      <w:r w:rsidRPr="00EA3DC8">
        <w:rPr>
          <w:i/>
          <w:iCs/>
          <w:sz w:val="18"/>
          <w:szCs w:val="20"/>
          <w:shd w:val="clear" w:color="auto" w:fill="FFFFFF"/>
        </w:rPr>
        <w:t>Social Work Research</w:t>
      </w:r>
      <w:r w:rsidRPr="00EA3DC8">
        <w:rPr>
          <w:sz w:val="18"/>
          <w:szCs w:val="20"/>
          <w:shd w:val="clear" w:color="auto" w:fill="FFFFFF"/>
        </w:rPr>
        <w:t xml:space="preserve">, </w:t>
      </w:r>
      <w:r w:rsidRPr="00EA3DC8">
        <w:rPr>
          <w:i/>
          <w:iCs/>
          <w:sz w:val="18"/>
          <w:szCs w:val="20"/>
          <w:shd w:val="clear" w:color="auto" w:fill="FFFFFF"/>
        </w:rPr>
        <w:t>29</w:t>
      </w:r>
      <w:r w:rsidRPr="00EA3DC8">
        <w:rPr>
          <w:sz w:val="18"/>
          <w:szCs w:val="20"/>
          <w:shd w:val="clear" w:color="auto" w:fill="FFFFFF"/>
        </w:rPr>
        <w:t>(4), 215–229.</w:t>
      </w:r>
    </w:p>
    <w:p w14:paraId="0D243A6D" w14:textId="77777777" w:rsidR="00926914" w:rsidRPr="00EA3DC8" w:rsidRDefault="00926914" w:rsidP="009F2897">
      <w:pPr>
        <w:pStyle w:val="ListParagraph"/>
        <w:bidi w:val="0"/>
        <w:spacing w:after="120" w:line="230" w:lineRule="exact"/>
        <w:ind w:left="397" w:hanging="397"/>
        <w:mirrorIndents/>
        <w:jc w:val="both"/>
        <w:rPr>
          <w:rFonts w:ascii="Times New Roman" w:hAnsi="Times New Roman" w:cs="David"/>
          <w:sz w:val="18"/>
          <w:szCs w:val="20"/>
          <w:rtl/>
        </w:rPr>
      </w:pPr>
      <w:r w:rsidRPr="00EA3DC8">
        <w:rPr>
          <w:rFonts w:ascii="Times New Roman" w:hAnsi="Times New Roman" w:cs="David"/>
          <w:sz w:val="18"/>
          <w:szCs w:val="20"/>
        </w:rPr>
        <w:t xml:space="preserve">Sen, A. (1992). </w:t>
      </w:r>
      <w:r w:rsidRPr="00EA3DC8">
        <w:rPr>
          <w:rFonts w:ascii="Times New Roman" w:hAnsi="Times New Roman" w:cs="David"/>
          <w:i/>
          <w:iCs/>
          <w:sz w:val="18"/>
          <w:szCs w:val="20"/>
        </w:rPr>
        <w:t xml:space="preserve">Inequality reexamined. </w:t>
      </w:r>
      <w:r w:rsidRPr="00EA3DC8">
        <w:rPr>
          <w:rFonts w:ascii="Times New Roman" w:hAnsi="Times New Roman" w:cs="David"/>
          <w:sz w:val="18"/>
          <w:szCs w:val="20"/>
        </w:rPr>
        <w:t xml:space="preserve">New York: Russell Sage Foundation. </w:t>
      </w:r>
    </w:p>
    <w:p w14:paraId="41E214B4" w14:textId="77777777" w:rsidR="00926914" w:rsidRPr="00EA3DC8" w:rsidRDefault="00926914" w:rsidP="009F2897">
      <w:pPr>
        <w:bidi w:val="0"/>
        <w:spacing w:after="120" w:line="230" w:lineRule="exact"/>
        <w:ind w:left="397" w:hanging="397"/>
        <w:mirrorIndents/>
        <w:jc w:val="both"/>
        <w:rPr>
          <w:sz w:val="18"/>
          <w:szCs w:val="20"/>
          <w:shd w:val="clear" w:color="auto" w:fill="FFFFFF"/>
          <w:rtl/>
        </w:rPr>
      </w:pPr>
      <w:r w:rsidRPr="00EA3DC8">
        <w:rPr>
          <w:sz w:val="18"/>
          <w:szCs w:val="20"/>
          <w:shd w:val="clear" w:color="auto" w:fill="FFFFFF"/>
        </w:rPr>
        <w:t xml:space="preserve">Shannon, M. (2009). Canadian lone mother employment rates, policy change and the US welfare reform literature. </w:t>
      </w:r>
      <w:r w:rsidRPr="00EA3DC8">
        <w:rPr>
          <w:i/>
          <w:iCs/>
          <w:sz w:val="18"/>
          <w:szCs w:val="20"/>
          <w:shd w:val="clear" w:color="auto" w:fill="FFFFFF"/>
        </w:rPr>
        <w:t>Applied Economics</w:t>
      </w:r>
      <w:r w:rsidRPr="00EA3DC8">
        <w:rPr>
          <w:sz w:val="18"/>
          <w:szCs w:val="20"/>
          <w:shd w:val="clear" w:color="auto" w:fill="FFFFFF"/>
        </w:rPr>
        <w:t xml:space="preserve">, </w:t>
      </w:r>
      <w:r w:rsidRPr="00EA3DC8">
        <w:rPr>
          <w:i/>
          <w:iCs/>
          <w:sz w:val="18"/>
          <w:szCs w:val="20"/>
          <w:shd w:val="clear" w:color="auto" w:fill="FFFFFF"/>
        </w:rPr>
        <w:t>41</w:t>
      </w:r>
      <w:r w:rsidRPr="00EA3DC8">
        <w:rPr>
          <w:sz w:val="18"/>
          <w:szCs w:val="20"/>
          <w:shd w:val="clear" w:color="auto" w:fill="FFFFFF"/>
        </w:rPr>
        <w:t>(19), 2463–2481.</w:t>
      </w:r>
      <w:r w:rsidRPr="00EA3DC8">
        <w:rPr>
          <w:sz w:val="18"/>
          <w:szCs w:val="20"/>
          <w:shd w:val="clear" w:color="auto" w:fill="FFFFFF"/>
          <w:rtl/>
        </w:rPr>
        <w:t>‏</w:t>
      </w:r>
    </w:p>
    <w:p w14:paraId="19412492" w14:textId="77777777" w:rsidR="00926914" w:rsidRPr="00EA3DC8" w:rsidRDefault="00926914" w:rsidP="009F2897">
      <w:pPr>
        <w:bidi w:val="0"/>
        <w:spacing w:after="120" w:line="230" w:lineRule="exact"/>
        <w:ind w:left="397" w:hanging="397"/>
        <w:mirrorIndents/>
        <w:jc w:val="both"/>
        <w:rPr>
          <w:sz w:val="18"/>
          <w:szCs w:val="20"/>
          <w:shd w:val="clear" w:color="auto" w:fill="FFFFFF"/>
        </w:rPr>
      </w:pPr>
      <w:r w:rsidRPr="00EA3DC8">
        <w:rPr>
          <w:sz w:val="18"/>
          <w:szCs w:val="20"/>
          <w:shd w:val="clear" w:color="auto" w:fill="FFFFFF"/>
        </w:rPr>
        <w:t xml:space="preserve">Simmons, L. A., &amp; </w:t>
      </w:r>
      <w:proofErr w:type="spellStart"/>
      <w:r w:rsidRPr="00EA3DC8">
        <w:rPr>
          <w:sz w:val="18"/>
          <w:szCs w:val="20"/>
          <w:shd w:val="clear" w:color="auto" w:fill="FFFFFF"/>
        </w:rPr>
        <w:t>Swanberg</w:t>
      </w:r>
      <w:proofErr w:type="spellEnd"/>
      <w:r w:rsidRPr="00EA3DC8">
        <w:rPr>
          <w:sz w:val="18"/>
          <w:szCs w:val="20"/>
          <w:shd w:val="clear" w:color="auto" w:fill="FFFFFF"/>
        </w:rPr>
        <w:t xml:space="preserve">, J. E. (2009). Psychosocial work environment and depressive symptoms among US workers: Comparing working poor and working non-poor. </w:t>
      </w:r>
      <w:r w:rsidRPr="00EA3DC8">
        <w:rPr>
          <w:i/>
          <w:iCs/>
          <w:sz w:val="18"/>
          <w:szCs w:val="20"/>
          <w:shd w:val="clear" w:color="auto" w:fill="FFFFFF"/>
        </w:rPr>
        <w:t>Social Psychiatry and Psychiatric Epidemiology</w:t>
      </w:r>
      <w:r w:rsidRPr="00EA3DC8">
        <w:rPr>
          <w:sz w:val="18"/>
          <w:szCs w:val="20"/>
          <w:shd w:val="clear" w:color="auto" w:fill="FFFFFF"/>
        </w:rPr>
        <w:t xml:space="preserve">, </w:t>
      </w:r>
      <w:r w:rsidRPr="00EA3DC8">
        <w:rPr>
          <w:i/>
          <w:iCs/>
          <w:sz w:val="18"/>
          <w:szCs w:val="20"/>
          <w:shd w:val="clear" w:color="auto" w:fill="FFFFFF"/>
        </w:rPr>
        <w:t>44</w:t>
      </w:r>
      <w:r w:rsidRPr="00EA3DC8">
        <w:rPr>
          <w:sz w:val="18"/>
          <w:szCs w:val="20"/>
          <w:shd w:val="clear" w:color="auto" w:fill="FFFFFF"/>
        </w:rPr>
        <w:t>(8), 628–635.</w:t>
      </w:r>
    </w:p>
    <w:p w14:paraId="7324AD15" w14:textId="77777777" w:rsidR="00926914" w:rsidRPr="00EA3DC8" w:rsidRDefault="00926914" w:rsidP="009F2897">
      <w:pPr>
        <w:bidi w:val="0"/>
        <w:spacing w:after="120" w:line="230" w:lineRule="exact"/>
        <w:ind w:left="397" w:hanging="397"/>
        <w:mirrorIndents/>
        <w:jc w:val="both"/>
        <w:rPr>
          <w:sz w:val="18"/>
          <w:szCs w:val="20"/>
        </w:rPr>
      </w:pPr>
      <w:r w:rsidRPr="00EA3DC8">
        <w:rPr>
          <w:sz w:val="18"/>
          <w:szCs w:val="20"/>
        </w:rPr>
        <w:t xml:space="preserve">Stiglitz, J. E., Sen, A., &amp; Fitoussi, J. P. (2009). </w:t>
      </w:r>
      <w:r w:rsidRPr="00EA3DC8">
        <w:rPr>
          <w:i/>
          <w:iCs/>
          <w:sz w:val="18"/>
          <w:szCs w:val="20"/>
        </w:rPr>
        <w:t>Report by the commission on the measurement of economic performance and social progress (CMEPSP)</w:t>
      </w:r>
      <w:r w:rsidRPr="00EA3DC8">
        <w:rPr>
          <w:sz w:val="18"/>
          <w:szCs w:val="20"/>
        </w:rPr>
        <w:t>. Commission on the Measurement of Economic Performance and Social Progress.</w:t>
      </w:r>
    </w:p>
    <w:p w14:paraId="6110F9BC" w14:textId="77777777" w:rsidR="00926914" w:rsidRPr="00EA3DC8" w:rsidRDefault="00926914" w:rsidP="009F2897">
      <w:pPr>
        <w:bidi w:val="0"/>
        <w:spacing w:after="120" w:line="230" w:lineRule="exact"/>
        <w:ind w:left="397" w:hanging="397"/>
        <w:mirrorIndents/>
        <w:jc w:val="both"/>
        <w:rPr>
          <w:sz w:val="18"/>
          <w:szCs w:val="20"/>
          <w:rtl/>
        </w:rPr>
      </w:pPr>
      <w:r w:rsidRPr="00EA3DC8">
        <w:rPr>
          <w:sz w:val="18"/>
          <w:szCs w:val="20"/>
        </w:rPr>
        <w:t xml:space="preserve">Sullivan, M. K., &amp; </w:t>
      </w:r>
      <w:proofErr w:type="spellStart"/>
      <w:r w:rsidRPr="00EA3DC8">
        <w:rPr>
          <w:sz w:val="18"/>
          <w:szCs w:val="20"/>
        </w:rPr>
        <w:t>DeCoster</w:t>
      </w:r>
      <w:proofErr w:type="spellEnd"/>
      <w:r w:rsidRPr="00EA3DC8">
        <w:rPr>
          <w:sz w:val="18"/>
          <w:szCs w:val="20"/>
        </w:rPr>
        <w:t xml:space="preserve">, V. A. (2001). Looking back: Effects of TANF and employment status on well-being. </w:t>
      </w:r>
      <w:r w:rsidRPr="00EA3DC8">
        <w:rPr>
          <w:i/>
          <w:iCs/>
          <w:sz w:val="18"/>
          <w:szCs w:val="20"/>
        </w:rPr>
        <w:t>Journal of Family Social Work</w:t>
      </w:r>
      <w:r w:rsidRPr="00EA3DC8">
        <w:rPr>
          <w:sz w:val="18"/>
          <w:szCs w:val="20"/>
        </w:rPr>
        <w:t xml:space="preserve">, </w:t>
      </w:r>
      <w:r w:rsidRPr="00EA3DC8">
        <w:rPr>
          <w:i/>
          <w:iCs/>
          <w:sz w:val="18"/>
          <w:szCs w:val="20"/>
        </w:rPr>
        <w:t>6</w:t>
      </w:r>
      <w:r w:rsidRPr="00EA3DC8">
        <w:rPr>
          <w:sz w:val="18"/>
          <w:szCs w:val="20"/>
        </w:rPr>
        <w:t>(4), 101–115.</w:t>
      </w:r>
    </w:p>
    <w:p w14:paraId="63498BEB" w14:textId="77777777" w:rsidR="00926914" w:rsidRPr="00EA3DC8" w:rsidRDefault="00926914" w:rsidP="009F2897">
      <w:pPr>
        <w:bidi w:val="0"/>
        <w:spacing w:after="120" w:line="230" w:lineRule="exact"/>
        <w:ind w:left="397" w:hanging="397"/>
        <w:mirrorIndents/>
        <w:jc w:val="both"/>
        <w:rPr>
          <w:sz w:val="18"/>
          <w:szCs w:val="20"/>
        </w:rPr>
      </w:pPr>
      <w:proofErr w:type="spellStart"/>
      <w:r w:rsidRPr="00EA3DC8">
        <w:rPr>
          <w:sz w:val="18"/>
          <w:szCs w:val="20"/>
        </w:rPr>
        <w:t>Torsney</w:t>
      </w:r>
      <w:proofErr w:type="spellEnd"/>
      <w:r w:rsidRPr="00EA3DC8">
        <w:rPr>
          <w:sz w:val="18"/>
          <w:szCs w:val="20"/>
        </w:rPr>
        <w:t xml:space="preserve">, C. B. (2014). In-work poverty. In B. Cantillon, &amp; F. </w:t>
      </w:r>
      <w:proofErr w:type="spellStart"/>
      <w:r w:rsidRPr="00EA3DC8">
        <w:rPr>
          <w:sz w:val="18"/>
          <w:szCs w:val="20"/>
        </w:rPr>
        <w:t>Vandenbroucke</w:t>
      </w:r>
      <w:proofErr w:type="spellEnd"/>
      <w:r w:rsidRPr="00EA3DC8">
        <w:rPr>
          <w:sz w:val="18"/>
          <w:szCs w:val="20"/>
        </w:rPr>
        <w:t xml:space="preserve"> (Eds.), </w:t>
      </w:r>
      <w:r w:rsidRPr="00EA3DC8">
        <w:rPr>
          <w:i/>
          <w:iCs/>
          <w:sz w:val="18"/>
          <w:szCs w:val="20"/>
        </w:rPr>
        <w:t>Reconciling work and poverty reduction: How successful are European welfare states?</w:t>
      </w:r>
      <w:r w:rsidRPr="00EA3DC8">
        <w:rPr>
          <w:sz w:val="18"/>
          <w:szCs w:val="20"/>
        </w:rPr>
        <w:t xml:space="preserve"> (pp. 131–156). New York:</w:t>
      </w:r>
      <w:r w:rsidRPr="00EA3DC8">
        <w:rPr>
          <w:color w:val="3A3A3A"/>
          <w:sz w:val="18"/>
          <w:szCs w:val="20"/>
          <w:shd w:val="clear" w:color="auto" w:fill="F3F3F3"/>
        </w:rPr>
        <w:t xml:space="preserve"> </w:t>
      </w:r>
      <w:r w:rsidRPr="00EA3DC8">
        <w:rPr>
          <w:sz w:val="18"/>
          <w:szCs w:val="20"/>
        </w:rPr>
        <w:t>Oxford University Press.</w:t>
      </w:r>
    </w:p>
    <w:p w14:paraId="1789A26C" w14:textId="77777777" w:rsidR="00926914" w:rsidRPr="00EA3DC8" w:rsidRDefault="00926914" w:rsidP="009F2897">
      <w:pPr>
        <w:bidi w:val="0"/>
        <w:spacing w:after="120" w:line="230" w:lineRule="exact"/>
        <w:ind w:left="397" w:hanging="397"/>
        <w:mirrorIndents/>
        <w:jc w:val="both"/>
        <w:rPr>
          <w:sz w:val="18"/>
          <w:szCs w:val="20"/>
          <w:shd w:val="clear" w:color="auto" w:fill="FFFFFF"/>
        </w:rPr>
      </w:pPr>
      <w:proofErr w:type="spellStart"/>
      <w:r w:rsidRPr="00EA3DC8">
        <w:rPr>
          <w:sz w:val="18"/>
          <w:szCs w:val="20"/>
          <w:shd w:val="clear" w:color="auto" w:fill="FFFFFF"/>
        </w:rPr>
        <w:t>Vauhkonen</w:t>
      </w:r>
      <w:proofErr w:type="spellEnd"/>
      <w:r w:rsidRPr="00EA3DC8">
        <w:rPr>
          <w:sz w:val="18"/>
          <w:szCs w:val="20"/>
          <w:shd w:val="clear" w:color="auto" w:fill="FFFFFF"/>
        </w:rPr>
        <w:t xml:space="preserve">, T., Kallio, J., </w:t>
      </w:r>
      <w:proofErr w:type="spellStart"/>
      <w:r w:rsidRPr="00EA3DC8">
        <w:rPr>
          <w:sz w:val="18"/>
          <w:szCs w:val="20"/>
          <w:shd w:val="clear" w:color="auto" w:fill="FFFFFF"/>
        </w:rPr>
        <w:t>Kauppinen</w:t>
      </w:r>
      <w:proofErr w:type="spellEnd"/>
      <w:r w:rsidRPr="00EA3DC8">
        <w:rPr>
          <w:sz w:val="18"/>
          <w:szCs w:val="20"/>
          <w:shd w:val="clear" w:color="auto" w:fill="FFFFFF"/>
        </w:rPr>
        <w:t xml:space="preserve">, T. M., &amp; </w:t>
      </w:r>
      <w:proofErr w:type="spellStart"/>
      <w:r w:rsidRPr="00EA3DC8">
        <w:rPr>
          <w:sz w:val="18"/>
          <w:szCs w:val="20"/>
          <w:shd w:val="clear" w:color="auto" w:fill="FFFFFF"/>
        </w:rPr>
        <w:t>Erola</w:t>
      </w:r>
      <w:proofErr w:type="spellEnd"/>
      <w:r w:rsidRPr="00EA3DC8">
        <w:rPr>
          <w:sz w:val="18"/>
          <w:szCs w:val="20"/>
          <w:shd w:val="clear" w:color="auto" w:fill="FFFFFF"/>
        </w:rPr>
        <w:t xml:space="preserve">, J. (2017). Intergenerational accumulation of social disadvantages across generations in young adulthood. </w:t>
      </w:r>
      <w:r w:rsidRPr="00EA3DC8">
        <w:rPr>
          <w:i/>
          <w:iCs/>
          <w:sz w:val="18"/>
          <w:szCs w:val="20"/>
          <w:shd w:val="clear" w:color="auto" w:fill="FFFFFF"/>
        </w:rPr>
        <w:t>Research in Social Stratification and Mobility</w:t>
      </w:r>
      <w:r w:rsidRPr="00EA3DC8">
        <w:rPr>
          <w:sz w:val="18"/>
          <w:szCs w:val="20"/>
          <w:shd w:val="clear" w:color="auto" w:fill="FFFFFF"/>
        </w:rPr>
        <w:t xml:space="preserve">, </w:t>
      </w:r>
      <w:r w:rsidRPr="00EA3DC8">
        <w:rPr>
          <w:i/>
          <w:iCs/>
          <w:sz w:val="18"/>
          <w:szCs w:val="20"/>
          <w:shd w:val="clear" w:color="auto" w:fill="FFFFFF"/>
        </w:rPr>
        <w:t>48</w:t>
      </w:r>
      <w:r w:rsidRPr="00EA3DC8">
        <w:rPr>
          <w:sz w:val="18"/>
          <w:szCs w:val="20"/>
          <w:shd w:val="clear" w:color="auto" w:fill="FFFFFF"/>
        </w:rPr>
        <w:t>, 42–52.</w:t>
      </w:r>
    </w:p>
    <w:p w14:paraId="1628B9DE" w14:textId="77777777" w:rsidR="00926914" w:rsidRPr="00EA3DC8" w:rsidRDefault="00926914" w:rsidP="009F2897">
      <w:pPr>
        <w:bidi w:val="0"/>
        <w:spacing w:after="120" w:line="230" w:lineRule="exact"/>
        <w:ind w:left="397" w:hanging="397"/>
        <w:mirrorIndents/>
        <w:jc w:val="both"/>
        <w:rPr>
          <w:sz w:val="18"/>
          <w:szCs w:val="20"/>
        </w:rPr>
      </w:pPr>
      <w:r w:rsidRPr="00EA3DC8">
        <w:rPr>
          <w:sz w:val="18"/>
          <w:szCs w:val="20"/>
        </w:rPr>
        <w:t xml:space="preserve">Wavelet, M., &amp; Anderson, M. (2002). Promoting self-sufficiency: What we know about sustaining employment and increasing income among welfare recipients and the working poor. </w:t>
      </w:r>
      <w:r w:rsidRPr="00EA3DC8">
        <w:rPr>
          <w:i/>
          <w:iCs/>
          <w:sz w:val="18"/>
          <w:szCs w:val="20"/>
        </w:rPr>
        <w:t>Focus</w:t>
      </w:r>
      <w:r w:rsidRPr="00EA3DC8">
        <w:rPr>
          <w:sz w:val="18"/>
          <w:szCs w:val="20"/>
        </w:rPr>
        <w:t xml:space="preserve">, </w:t>
      </w:r>
      <w:r w:rsidRPr="00EA3DC8">
        <w:rPr>
          <w:i/>
          <w:iCs/>
          <w:sz w:val="18"/>
          <w:szCs w:val="20"/>
        </w:rPr>
        <w:t>22</w:t>
      </w:r>
      <w:r w:rsidRPr="00EA3DC8">
        <w:rPr>
          <w:sz w:val="18"/>
          <w:szCs w:val="20"/>
        </w:rPr>
        <w:t>(1), 56–61.</w:t>
      </w:r>
    </w:p>
    <w:p w14:paraId="336F28B4" w14:textId="77777777" w:rsidR="00926914" w:rsidRPr="00EA3DC8" w:rsidRDefault="00926914" w:rsidP="009F2897">
      <w:pPr>
        <w:bidi w:val="0"/>
        <w:spacing w:after="120" w:line="230" w:lineRule="exact"/>
        <w:ind w:left="397" w:hanging="397"/>
        <w:mirrorIndents/>
        <w:jc w:val="both"/>
        <w:rPr>
          <w:sz w:val="18"/>
          <w:szCs w:val="20"/>
          <w:rtl/>
        </w:rPr>
      </w:pPr>
      <w:r w:rsidRPr="00EA3DC8">
        <w:rPr>
          <w:sz w:val="18"/>
          <w:szCs w:val="20"/>
          <w:shd w:val="clear" w:color="auto" w:fill="FFFFFF"/>
        </w:rPr>
        <w:t>Wolff</w:t>
      </w:r>
      <w:r w:rsidRPr="00EA3DC8">
        <w:rPr>
          <w:sz w:val="18"/>
          <w:szCs w:val="20"/>
        </w:rPr>
        <w:t xml:space="preserve">, J., &amp; de-Shalit, A. (2007). </w:t>
      </w:r>
      <w:r w:rsidRPr="00EA3DC8">
        <w:rPr>
          <w:i/>
          <w:iCs/>
          <w:sz w:val="18"/>
          <w:szCs w:val="20"/>
        </w:rPr>
        <w:t xml:space="preserve">Disadvantage. </w:t>
      </w:r>
      <w:r w:rsidRPr="00EA3DC8">
        <w:rPr>
          <w:sz w:val="18"/>
          <w:szCs w:val="20"/>
        </w:rPr>
        <w:t>Oxford: Oxford University Press.</w:t>
      </w:r>
    </w:p>
    <w:p w14:paraId="4A795DED" w14:textId="77777777" w:rsidR="00926914" w:rsidRPr="00EA3DC8" w:rsidRDefault="00926914" w:rsidP="009F2897">
      <w:pPr>
        <w:pStyle w:val="ListParagraph"/>
        <w:bidi w:val="0"/>
        <w:spacing w:after="120" w:line="230" w:lineRule="exact"/>
        <w:ind w:left="397" w:hanging="397"/>
        <w:mirrorIndents/>
        <w:jc w:val="both"/>
        <w:rPr>
          <w:rFonts w:ascii="Times New Roman" w:hAnsi="Times New Roman" w:cs="David"/>
          <w:sz w:val="18"/>
          <w:szCs w:val="20"/>
          <w:shd w:val="clear" w:color="auto" w:fill="FFFFFF"/>
        </w:rPr>
      </w:pPr>
      <w:r w:rsidRPr="00EA3DC8">
        <w:rPr>
          <w:rFonts w:ascii="Times New Roman" w:hAnsi="Times New Roman" w:cs="David"/>
          <w:sz w:val="18"/>
          <w:szCs w:val="20"/>
          <w:shd w:val="clear" w:color="auto" w:fill="FFFFFF"/>
        </w:rPr>
        <w:t xml:space="preserve">Wood, R. G., Moore, Q., &amp; Rangarajan, A. (2008). Two steps forward, one step back: The uneven economic progress of TANF recipients. </w:t>
      </w:r>
      <w:r w:rsidRPr="00EA3DC8">
        <w:rPr>
          <w:rFonts w:ascii="Times New Roman" w:hAnsi="Times New Roman" w:cs="David"/>
          <w:i/>
          <w:iCs/>
          <w:sz w:val="18"/>
          <w:szCs w:val="20"/>
          <w:shd w:val="clear" w:color="auto" w:fill="FFFFFF"/>
        </w:rPr>
        <w:t>Social Service Review</w:t>
      </w:r>
      <w:r w:rsidRPr="00EA3DC8">
        <w:rPr>
          <w:rFonts w:ascii="Times New Roman" w:hAnsi="Times New Roman" w:cs="David"/>
          <w:sz w:val="18"/>
          <w:szCs w:val="20"/>
          <w:shd w:val="clear" w:color="auto" w:fill="FFFFFF"/>
        </w:rPr>
        <w:t xml:space="preserve">, </w:t>
      </w:r>
      <w:r w:rsidRPr="00EA3DC8">
        <w:rPr>
          <w:rFonts w:ascii="Times New Roman" w:hAnsi="Times New Roman" w:cs="David"/>
          <w:i/>
          <w:iCs/>
          <w:sz w:val="18"/>
          <w:szCs w:val="20"/>
          <w:shd w:val="clear" w:color="auto" w:fill="FFFFFF"/>
        </w:rPr>
        <w:t>82</w:t>
      </w:r>
      <w:r w:rsidRPr="00EA3DC8">
        <w:rPr>
          <w:rFonts w:ascii="Times New Roman" w:hAnsi="Times New Roman" w:cs="David"/>
          <w:sz w:val="18"/>
          <w:szCs w:val="20"/>
          <w:shd w:val="clear" w:color="auto" w:fill="FFFFFF"/>
        </w:rPr>
        <w:t>(1), 3–28.</w:t>
      </w:r>
    </w:p>
    <w:p w14:paraId="2D153374" w14:textId="77777777" w:rsidR="00926914" w:rsidRPr="00EA3DC8" w:rsidRDefault="00926914" w:rsidP="009F2897">
      <w:pPr>
        <w:bidi w:val="0"/>
        <w:spacing w:after="120" w:line="230" w:lineRule="exact"/>
        <w:ind w:left="397" w:hanging="397"/>
        <w:mirrorIndents/>
        <w:jc w:val="both"/>
        <w:rPr>
          <w:sz w:val="18"/>
          <w:szCs w:val="20"/>
          <w:shd w:val="clear" w:color="auto" w:fill="FFFFFF"/>
        </w:rPr>
      </w:pPr>
      <w:r w:rsidRPr="00EA3DC8">
        <w:rPr>
          <w:sz w:val="18"/>
          <w:szCs w:val="20"/>
          <w:shd w:val="clear" w:color="auto" w:fill="FFFFFF"/>
        </w:rPr>
        <w:t xml:space="preserve">Wu, C.-F., </w:t>
      </w:r>
      <w:proofErr w:type="spellStart"/>
      <w:r w:rsidRPr="00EA3DC8">
        <w:rPr>
          <w:sz w:val="18"/>
          <w:szCs w:val="20"/>
          <w:shd w:val="clear" w:color="auto" w:fill="FFFFFF"/>
        </w:rPr>
        <w:t>Cancian</w:t>
      </w:r>
      <w:proofErr w:type="spellEnd"/>
      <w:r w:rsidRPr="00EA3DC8">
        <w:rPr>
          <w:sz w:val="18"/>
          <w:szCs w:val="20"/>
          <w:shd w:val="clear" w:color="auto" w:fill="FFFFFF"/>
        </w:rPr>
        <w:t xml:space="preserve">, M., &amp; Meyer, D. R. (2008). Standing still or moving up? Evidence from Wisconsin on the long-term employment and earnings of TANF participants. </w:t>
      </w:r>
      <w:r w:rsidRPr="00EA3DC8">
        <w:rPr>
          <w:i/>
          <w:iCs/>
          <w:sz w:val="18"/>
          <w:szCs w:val="20"/>
          <w:shd w:val="clear" w:color="auto" w:fill="FFFFFF"/>
        </w:rPr>
        <w:t>Social Work Research</w:t>
      </w:r>
      <w:r w:rsidRPr="00EA3DC8">
        <w:rPr>
          <w:sz w:val="18"/>
          <w:szCs w:val="20"/>
          <w:shd w:val="clear" w:color="auto" w:fill="FFFFFF"/>
        </w:rPr>
        <w:t xml:space="preserve">, </w:t>
      </w:r>
      <w:r w:rsidRPr="00EA3DC8">
        <w:rPr>
          <w:i/>
          <w:iCs/>
          <w:sz w:val="18"/>
          <w:szCs w:val="20"/>
          <w:shd w:val="clear" w:color="auto" w:fill="FFFFFF"/>
        </w:rPr>
        <w:t>32</w:t>
      </w:r>
      <w:r w:rsidRPr="00EA3DC8">
        <w:rPr>
          <w:sz w:val="18"/>
          <w:szCs w:val="20"/>
          <w:shd w:val="clear" w:color="auto" w:fill="FFFFFF"/>
        </w:rPr>
        <w:t>(2), 89–103.</w:t>
      </w:r>
    </w:p>
    <w:p w14:paraId="2163A144" w14:textId="77777777" w:rsidR="00926914" w:rsidRPr="00EA3DC8" w:rsidRDefault="00926914" w:rsidP="009F2897">
      <w:pPr>
        <w:bidi w:val="0"/>
        <w:spacing w:after="120" w:line="230" w:lineRule="exact"/>
        <w:ind w:left="397" w:hanging="397"/>
        <w:mirrorIndents/>
        <w:jc w:val="both"/>
        <w:rPr>
          <w:sz w:val="18"/>
          <w:szCs w:val="20"/>
        </w:rPr>
      </w:pPr>
      <w:proofErr w:type="spellStart"/>
      <w:r w:rsidRPr="00EA3DC8">
        <w:rPr>
          <w:sz w:val="18"/>
          <w:szCs w:val="20"/>
        </w:rPr>
        <w:t>Zedlewski</w:t>
      </w:r>
      <w:proofErr w:type="spellEnd"/>
      <w:r w:rsidRPr="00EA3DC8">
        <w:rPr>
          <w:sz w:val="18"/>
          <w:szCs w:val="20"/>
        </w:rPr>
        <w:t>, S. R. (1999). Work activity and obstacles to work among TANF recipients. Washington, D.C: The Urban Institutes.</w:t>
      </w:r>
    </w:p>
    <w:p w14:paraId="7CCD553B" w14:textId="01D7B29C" w:rsidR="00926914" w:rsidRPr="00EA3DC8" w:rsidRDefault="00926914" w:rsidP="00D04197">
      <w:pPr>
        <w:bidi w:val="0"/>
        <w:spacing w:after="120" w:line="230" w:lineRule="exact"/>
        <w:ind w:left="397" w:hanging="397"/>
        <w:mirrorIndents/>
        <w:jc w:val="both"/>
        <w:rPr>
          <w:sz w:val="18"/>
          <w:szCs w:val="20"/>
          <w:rtl/>
        </w:rPr>
      </w:pPr>
      <w:r w:rsidRPr="00EA3DC8">
        <w:rPr>
          <w:sz w:val="18"/>
          <w:szCs w:val="20"/>
          <w:shd w:val="clear" w:color="auto" w:fill="FFFFFF"/>
        </w:rPr>
        <w:t xml:space="preserve">Zweig, J., Yahner, J., &amp; </w:t>
      </w:r>
      <w:proofErr w:type="spellStart"/>
      <w:r w:rsidRPr="00EA3DC8">
        <w:rPr>
          <w:sz w:val="18"/>
          <w:szCs w:val="20"/>
          <w:shd w:val="clear" w:color="auto" w:fill="FFFFFF"/>
        </w:rPr>
        <w:t>Redcross</w:t>
      </w:r>
      <w:proofErr w:type="spellEnd"/>
      <w:r w:rsidRPr="00EA3DC8">
        <w:rPr>
          <w:sz w:val="18"/>
          <w:szCs w:val="20"/>
          <w:shd w:val="clear" w:color="auto" w:fill="FFFFFF"/>
        </w:rPr>
        <w:t xml:space="preserve">, C. (2011). For whom does a transitional jobs program work? Examining the recidivism effects of the Center for Employment Opportunities program on former prisoners at high, medium, and low risk of reoffending. </w:t>
      </w:r>
      <w:r w:rsidRPr="00EA3DC8">
        <w:rPr>
          <w:i/>
          <w:iCs/>
          <w:sz w:val="18"/>
          <w:szCs w:val="20"/>
          <w:shd w:val="clear" w:color="auto" w:fill="FFFFFF"/>
        </w:rPr>
        <w:t>Criminology &amp; Public Policy</w:t>
      </w:r>
      <w:r w:rsidRPr="00EA3DC8">
        <w:rPr>
          <w:sz w:val="18"/>
          <w:szCs w:val="20"/>
          <w:shd w:val="clear" w:color="auto" w:fill="FFFFFF"/>
        </w:rPr>
        <w:t xml:space="preserve">, </w:t>
      </w:r>
      <w:r w:rsidRPr="00EA3DC8">
        <w:rPr>
          <w:i/>
          <w:iCs/>
          <w:sz w:val="18"/>
          <w:szCs w:val="20"/>
          <w:shd w:val="clear" w:color="auto" w:fill="FFFFFF"/>
        </w:rPr>
        <w:t>10</w:t>
      </w:r>
      <w:r w:rsidRPr="00EA3DC8">
        <w:rPr>
          <w:sz w:val="18"/>
          <w:szCs w:val="20"/>
          <w:shd w:val="clear" w:color="auto" w:fill="FFFFFF"/>
        </w:rPr>
        <w:t>(4), 945–972.</w:t>
      </w:r>
      <w:r w:rsidRPr="00EA3DC8">
        <w:rPr>
          <w:sz w:val="18"/>
          <w:szCs w:val="20"/>
          <w:shd w:val="clear" w:color="auto" w:fill="FFFFFF"/>
          <w:rtl/>
        </w:rPr>
        <w:t>‏</w:t>
      </w:r>
    </w:p>
    <w:sectPr w:rsidR="00926914" w:rsidRPr="00EA3DC8" w:rsidSect="009F2897">
      <w:headerReference w:type="even" r:id="rId20"/>
      <w:headerReference w:type="default" r:id="rId21"/>
      <w:headerReference w:type="first" r:id="rId22"/>
      <w:footerReference w:type="first" r:id="rId23"/>
      <w:pgSz w:w="11906" w:h="16838" w:code="9"/>
      <w:pgMar w:top="3515" w:right="2722" w:bottom="2948" w:left="2722" w:header="2665" w:footer="2665"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1328" w14:textId="77777777" w:rsidR="00D16A00" w:rsidRDefault="00D16A00">
      <w:pPr>
        <w:spacing w:line="240" w:lineRule="auto"/>
      </w:pPr>
      <w:r>
        <w:separator/>
      </w:r>
    </w:p>
  </w:endnote>
  <w:endnote w:type="continuationSeparator" w:id="0">
    <w:p w14:paraId="6272CB6B" w14:textId="77777777" w:rsidR="00D16A00" w:rsidRDefault="00D16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altName w:val="Malgun Gothic Semilight"/>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3B71E607" w:rsidR="00542D72" w:rsidRDefault="00542D72"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114</w:t>
    </w:r>
    <w:r w:rsidRPr="0090645A">
      <w:rPr>
        <w:rFonts w:hint="cs"/>
        <w:sz w:val="16"/>
        <w:szCs w:val="16"/>
        <w:rtl/>
      </w:rPr>
      <w:t xml:space="preserve">, </w:t>
    </w:r>
    <w:r>
      <w:rPr>
        <w:rFonts w:hint="cs"/>
        <w:sz w:val="16"/>
        <w:szCs w:val="16"/>
        <w:rtl/>
      </w:rPr>
      <w:t xml:space="preserve">ספטמבר </w:t>
    </w:r>
    <w:r w:rsidRPr="0090645A">
      <w:rPr>
        <w:rFonts w:hint="cs"/>
        <w:sz w:val="16"/>
        <w:szCs w:val="16"/>
        <w:rtl/>
      </w:rPr>
      <w:t>20</w:t>
    </w:r>
    <w:r>
      <w:rPr>
        <w:rFonts w:hint="cs"/>
        <w:sz w:val="16"/>
        <w:szCs w:val="16"/>
        <w:rtl/>
      </w:rPr>
      <w:t>21</w:t>
    </w:r>
    <w:r w:rsidR="00AF1881">
      <w:rPr>
        <w:rFonts w:hint="cs"/>
        <w:sz w:val="16"/>
        <w:szCs w:val="16"/>
        <w:rtl/>
      </w:rPr>
      <w:t xml:space="preserve">: </w:t>
    </w:r>
    <w:r w:rsidR="00D04197">
      <w:rPr>
        <w:rFonts w:hint="cs"/>
        <w:sz w:val="16"/>
        <w:szCs w:val="16"/>
        <w:rtl/>
      </w:rPr>
      <w:t>90-61</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Pr="00926914">
      <w:rPr>
        <w:sz w:val="16"/>
        <w:szCs w:val="16"/>
        <w:rtl/>
      </w:rPr>
      <w:t>15.7.20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Pr="00926914">
      <w:rPr>
        <w:sz w:val="16"/>
        <w:szCs w:val="16"/>
        <w:rtl/>
      </w:rPr>
      <w:t>31.10.20</w:t>
    </w:r>
  </w:p>
  <w:p w14:paraId="151CA913" w14:textId="77777777" w:rsidR="00542D72" w:rsidRPr="003C255E" w:rsidRDefault="00542D72" w:rsidP="0090645A">
    <w:pPr>
      <w:pStyle w:val="Header"/>
      <w:tabs>
        <w:tab w:val="clear" w:pos="4153"/>
        <w:tab w:val="clear" w:pos="8306"/>
        <w:tab w:val="center" w:pos="3345"/>
        <w:tab w:val="right" w:pos="6691"/>
      </w:tabs>
      <w:spacing w:line="200" w:lineRule="exact"/>
      <w:rPr>
        <w:sz w:val="16"/>
        <w:szCs w:val="16"/>
      </w:rPr>
    </w:pPr>
  </w:p>
  <w:p w14:paraId="078F03E4" w14:textId="77777777" w:rsidR="00542D72" w:rsidRPr="00A17DA2" w:rsidRDefault="00542D72"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8A73" w14:textId="77777777" w:rsidR="00D16A00" w:rsidRDefault="00D16A00" w:rsidP="00A04D35">
      <w:pPr>
        <w:spacing w:before="120" w:after="80"/>
        <w:rPr>
          <w:rFonts w:cs="FrankRuehl"/>
          <w:sz w:val="18"/>
          <w:szCs w:val="18"/>
        </w:rPr>
      </w:pPr>
      <w:r>
        <w:rPr>
          <w:rFonts w:cs="FrankRuehl" w:hint="cs"/>
          <w:sz w:val="18"/>
          <w:szCs w:val="18"/>
          <w:rtl/>
        </w:rPr>
        <w:t>_____________</w:t>
      </w:r>
    </w:p>
  </w:footnote>
  <w:footnote w:type="continuationSeparator" w:id="0">
    <w:p w14:paraId="064D93FF" w14:textId="77777777" w:rsidR="00D16A00" w:rsidRDefault="00D16A00">
      <w:r>
        <w:continuationSeparator/>
      </w:r>
    </w:p>
  </w:footnote>
  <w:footnote w:type="continuationNotice" w:id="1">
    <w:p w14:paraId="70655B16" w14:textId="77777777" w:rsidR="00D16A00" w:rsidRDefault="00D16A00">
      <w:pPr>
        <w:rPr>
          <w:rtl/>
        </w:rPr>
      </w:pPr>
    </w:p>
  </w:footnote>
  <w:footnote w:id="2">
    <w:p w14:paraId="6DB3F9D0" w14:textId="2C83A051" w:rsidR="00542D72" w:rsidRDefault="00542D72" w:rsidP="00EA3DC8">
      <w:pPr>
        <w:pStyle w:val="FootnoteText"/>
        <w:keepLines/>
        <w:spacing w:line="200" w:lineRule="exact"/>
        <w:jc w:val="both"/>
        <w:rPr>
          <w:rStyle w:val="FootnoteReference"/>
          <w:rFonts w:cs="David"/>
          <w:sz w:val="14"/>
          <w:szCs w:val="16"/>
          <w:vertAlign w:val="baseline"/>
        </w:rPr>
      </w:pPr>
      <w:r w:rsidRPr="00926914">
        <w:rPr>
          <w:rStyle w:val="FootnoteReference"/>
          <w:rFonts w:cs="David" w:hint="cs"/>
          <w:sz w:val="14"/>
          <w:szCs w:val="16"/>
          <w:vertAlign w:val="baseline"/>
          <w:rtl/>
        </w:rPr>
        <w:t xml:space="preserve">מאמר זה מבוסס על עבודת הדוקטורט של ד"ר ברנד-לוי במחלקה למנהל ומדיניות ציבורית ע"ש </w:t>
      </w:r>
      <w:proofErr w:type="spellStart"/>
      <w:r w:rsidRPr="00926914">
        <w:rPr>
          <w:rStyle w:val="FootnoteReference"/>
          <w:rFonts w:cs="David" w:hint="cs"/>
          <w:sz w:val="14"/>
          <w:szCs w:val="16"/>
          <w:vertAlign w:val="baseline"/>
          <w:rtl/>
        </w:rPr>
        <w:t>גילפורד</w:t>
      </w:r>
      <w:proofErr w:type="spellEnd"/>
      <w:r w:rsidRPr="00926914">
        <w:rPr>
          <w:rStyle w:val="FootnoteReference"/>
          <w:rFonts w:cs="David" w:hint="cs"/>
          <w:sz w:val="14"/>
          <w:szCs w:val="16"/>
          <w:vertAlign w:val="baseline"/>
          <w:rtl/>
        </w:rPr>
        <w:t xml:space="preserve"> </w:t>
      </w:r>
      <w:proofErr w:type="spellStart"/>
      <w:r w:rsidRPr="00926914">
        <w:rPr>
          <w:rStyle w:val="FootnoteReference"/>
          <w:rFonts w:cs="David" w:hint="cs"/>
          <w:sz w:val="14"/>
          <w:szCs w:val="16"/>
          <w:vertAlign w:val="baseline"/>
          <w:rtl/>
        </w:rPr>
        <w:t>גלייזר</w:t>
      </w:r>
      <w:proofErr w:type="spellEnd"/>
      <w:r w:rsidRPr="00926914">
        <w:rPr>
          <w:rStyle w:val="FootnoteReference"/>
          <w:rFonts w:cs="David" w:hint="cs"/>
          <w:sz w:val="14"/>
          <w:szCs w:val="16"/>
          <w:vertAlign w:val="baseline"/>
          <w:rtl/>
        </w:rPr>
        <w:t xml:space="preserve">, אוניברסיטת בן-גוריון בנגב, בהנחיית פרופ' מיכל </w:t>
      </w:r>
      <w:proofErr w:type="spellStart"/>
      <w:r w:rsidRPr="00926914">
        <w:rPr>
          <w:rStyle w:val="FootnoteReference"/>
          <w:rFonts w:cs="David" w:hint="cs"/>
          <w:sz w:val="14"/>
          <w:szCs w:val="16"/>
          <w:vertAlign w:val="baseline"/>
          <w:rtl/>
        </w:rPr>
        <w:t>קרומר</w:t>
      </w:r>
      <w:proofErr w:type="spellEnd"/>
      <w:r w:rsidRPr="00926914">
        <w:rPr>
          <w:rStyle w:val="FootnoteReference"/>
          <w:rFonts w:cs="David" w:hint="cs"/>
          <w:sz w:val="14"/>
          <w:szCs w:val="16"/>
          <w:vertAlign w:val="baseline"/>
          <w:rtl/>
        </w:rPr>
        <w:t>-נבו ופרופ' מיקי מלול.</w:t>
      </w:r>
    </w:p>
    <w:p w14:paraId="07C02F7B" w14:textId="131CED25" w:rsidR="00542D72" w:rsidRPr="00926914" w:rsidRDefault="00542D72" w:rsidP="00DE6531">
      <w:pPr>
        <w:pStyle w:val="FootnoteText"/>
        <w:keepLines/>
        <w:spacing w:line="200" w:lineRule="exact"/>
        <w:ind w:left="397" w:hanging="397"/>
        <w:jc w:val="both"/>
        <w:rPr>
          <w:rStyle w:val="FootnoteReference"/>
          <w:rFonts w:cs="David"/>
          <w:sz w:val="14"/>
          <w:szCs w:val="16"/>
          <w:vertAlign w:val="baseline"/>
        </w:rPr>
      </w:pPr>
      <w:r w:rsidRPr="00926914">
        <w:rPr>
          <w:rStyle w:val="FootnoteReference"/>
          <w:rFonts w:cs="David"/>
          <w:sz w:val="14"/>
          <w:szCs w:val="16"/>
          <w:vertAlign w:val="baseline"/>
        </w:rPr>
        <w:footnoteRef/>
      </w:r>
      <w:r w:rsidRPr="00926914">
        <w:rPr>
          <w:rStyle w:val="FootnoteReference"/>
          <w:rFonts w:cs="David"/>
          <w:sz w:val="14"/>
          <w:szCs w:val="16"/>
          <w:vertAlign w:val="baseline"/>
          <w:rtl/>
        </w:rPr>
        <w:t xml:space="preserve"> </w:t>
      </w:r>
      <w:r w:rsidRPr="00926914">
        <w:rPr>
          <w:rStyle w:val="FootnoteReference"/>
          <w:rFonts w:cs="David"/>
          <w:sz w:val="14"/>
          <w:szCs w:val="16"/>
          <w:vertAlign w:val="baseline"/>
          <w:rtl/>
        </w:rPr>
        <w:tab/>
      </w:r>
      <w:r w:rsidR="00041A57" w:rsidRPr="00041A57">
        <w:rPr>
          <w:rStyle w:val="FootnoteReference"/>
          <w:rFonts w:cs="David"/>
          <w:sz w:val="14"/>
          <w:szCs w:val="16"/>
          <w:vertAlign w:val="baseline"/>
          <w:rtl/>
        </w:rPr>
        <w:t>דוקטור, עמיתת ממשק במשרד העבודה, הרווחה והשירותים החברתיים, האגודה הישראלית לאקולוגיה ולמדעי הסביבה</w:t>
      </w:r>
    </w:p>
  </w:footnote>
  <w:footnote w:id="3">
    <w:p w14:paraId="72EA3D40" w14:textId="6FF4B0E7" w:rsidR="00542D72" w:rsidRPr="00926914" w:rsidRDefault="00542D72" w:rsidP="00DE6531">
      <w:pPr>
        <w:pStyle w:val="FootnoteText"/>
        <w:keepLines/>
        <w:spacing w:line="200" w:lineRule="exact"/>
        <w:ind w:left="397" w:hanging="397"/>
        <w:jc w:val="both"/>
        <w:rPr>
          <w:rStyle w:val="FootnoteReference"/>
          <w:rFonts w:cs="David"/>
          <w:sz w:val="14"/>
          <w:szCs w:val="16"/>
          <w:vertAlign w:val="baseline"/>
        </w:rPr>
      </w:pPr>
      <w:r w:rsidRPr="00926914">
        <w:rPr>
          <w:rStyle w:val="FootnoteReference"/>
          <w:rFonts w:cs="David"/>
          <w:sz w:val="14"/>
          <w:szCs w:val="16"/>
          <w:vertAlign w:val="baseline"/>
        </w:rPr>
        <w:footnoteRef/>
      </w:r>
      <w:r w:rsidRPr="00926914">
        <w:rPr>
          <w:rStyle w:val="FootnoteReference"/>
          <w:rFonts w:cs="David"/>
          <w:sz w:val="14"/>
          <w:szCs w:val="16"/>
          <w:vertAlign w:val="baseline"/>
          <w:rtl/>
        </w:rPr>
        <w:t xml:space="preserve"> </w:t>
      </w:r>
      <w:r w:rsidRPr="00926914">
        <w:rPr>
          <w:rStyle w:val="FootnoteReference"/>
          <w:rFonts w:cs="David"/>
          <w:sz w:val="14"/>
          <w:szCs w:val="16"/>
          <w:vertAlign w:val="baseline"/>
          <w:rtl/>
        </w:rPr>
        <w:tab/>
      </w:r>
      <w:r w:rsidR="00041A57" w:rsidRPr="00041A57">
        <w:rPr>
          <w:rStyle w:val="FootnoteReference"/>
          <w:rFonts w:cs="David"/>
          <w:sz w:val="14"/>
          <w:szCs w:val="16"/>
          <w:vertAlign w:val="baseline"/>
          <w:rtl/>
        </w:rPr>
        <w:t>פרופסור מן המניין, דיקן הפקולטה לניהול, המחלקה לניהול ומדיניות ציבורית, אוניברסיטת בן-גוריון בנגב</w:t>
      </w:r>
    </w:p>
  </w:footnote>
  <w:footnote w:id="4">
    <w:p w14:paraId="7945ECB1" w14:textId="7939AA98" w:rsidR="00000929" w:rsidRPr="00926914" w:rsidRDefault="00542D72" w:rsidP="00041A57">
      <w:pPr>
        <w:pStyle w:val="FootnoteText"/>
        <w:keepLines/>
        <w:spacing w:line="200" w:lineRule="exact"/>
        <w:ind w:left="397" w:hanging="397"/>
        <w:jc w:val="both"/>
        <w:rPr>
          <w:rStyle w:val="FootnoteReference"/>
          <w:rFonts w:cs="David"/>
          <w:sz w:val="14"/>
          <w:szCs w:val="16"/>
          <w:vertAlign w:val="baseline"/>
        </w:rPr>
      </w:pPr>
      <w:r w:rsidRPr="00926914">
        <w:rPr>
          <w:rStyle w:val="FootnoteReference"/>
          <w:rFonts w:cs="David"/>
          <w:sz w:val="14"/>
          <w:szCs w:val="16"/>
          <w:vertAlign w:val="baseline"/>
        </w:rPr>
        <w:footnoteRef/>
      </w:r>
      <w:r w:rsidRPr="00926914">
        <w:rPr>
          <w:rStyle w:val="FootnoteReference"/>
          <w:rFonts w:cs="David"/>
          <w:sz w:val="14"/>
          <w:szCs w:val="16"/>
          <w:vertAlign w:val="baseline"/>
          <w:rtl/>
        </w:rPr>
        <w:t xml:space="preserve"> </w:t>
      </w:r>
      <w:r w:rsidRPr="00926914">
        <w:rPr>
          <w:rStyle w:val="FootnoteReference"/>
          <w:rFonts w:cs="David"/>
          <w:sz w:val="14"/>
          <w:szCs w:val="16"/>
          <w:vertAlign w:val="baseline"/>
          <w:rtl/>
        </w:rPr>
        <w:tab/>
      </w:r>
      <w:r w:rsidR="00041A57" w:rsidRPr="00041A57">
        <w:rPr>
          <w:rStyle w:val="FootnoteReference"/>
          <w:rFonts w:cs="David"/>
          <w:sz w:val="14"/>
          <w:szCs w:val="16"/>
          <w:vertAlign w:val="baseline"/>
          <w:rtl/>
        </w:rPr>
        <w:t>דוקטור, מרצה מן המניין, המחלקה לעבודה סוציאלית, אוניברסיטת בן-גוריון בנגב</w:t>
      </w:r>
    </w:p>
  </w:footnote>
  <w:footnote w:id="5">
    <w:p w14:paraId="70BEBBA0" w14:textId="5AF47447" w:rsidR="00041A57" w:rsidRDefault="00041A57" w:rsidP="00041A57">
      <w:pPr>
        <w:pStyle w:val="FootnoteText"/>
        <w:keepLines/>
        <w:spacing w:line="200" w:lineRule="exact"/>
        <w:ind w:left="397" w:hanging="397"/>
        <w:jc w:val="both"/>
        <w:rPr>
          <w:rFonts w:cs="David"/>
          <w:sz w:val="14"/>
          <w:szCs w:val="16"/>
          <w:rtl/>
        </w:rPr>
      </w:pPr>
      <w:r w:rsidRPr="00041A57">
        <w:rPr>
          <w:rStyle w:val="FootnoteReference"/>
          <w:rFonts w:cs="David"/>
          <w:sz w:val="14"/>
          <w:szCs w:val="16"/>
          <w:vertAlign w:val="baseline"/>
        </w:rPr>
        <w:footnoteRef/>
      </w:r>
      <w:r w:rsidRPr="00041A57">
        <w:rPr>
          <w:rStyle w:val="FootnoteReference"/>
          <w:rFonts w:cs="David"/>
          <w:sz w:val="14"/>
          <w:szCs w:val="16"/>
          <w:vertAlign w:val="baseline"/>
          <w:rtl/>
        </w:rPr>
        <w:t xml:space="preserve"> </w:t>
      </w:r>
      <w:r>
        <w:rPr>
          <w:rFonts w:cs="David"/>
          <w:sz w:val="14"/>
          <w:szCs w:val="16"/>
          <w:rtl/>
        </w:rPr>
        <w:tab/>
      </w:r>
      <w:r w:rsidRPr="00041A57">
        <w:rPr>
          <w:rFonts w:cs="David"/>
          <w:sz w:val="14"/>
          <w:szCs w:val="16"/>
          <w:rtl/>
        </w:rPr>
        <w:t>פרופסור מן המניין, המחלקה לעבודה סוציאלית, אוניברסיטת בן-גוריון בנגב</w:t>
      </w:r>
    </w:p>
    <w:p w14:paraId="2D4541C9" w14:textId="77777777" w:rsidR="00041A57" w:rsidRPr="00041A57" w:rsidRDefault="00041A57" w:rsidP="00041A57">
      <w:pPr>
        <w:pStyle w:val="FootnoteText"/>
        <w:keepLines/>
        <w:spacing w:after="60" w:line="200" w:lineRule="exact"/>
        <w:ind w:left="397" w:hanging="397"/>
        <w:jc w:val="both"/>
        <w:rPr>
          <w:rStyle w:val="FootnoteReference"/>
          <w:rFonts w:cs="David"/>
          <w:sz w:val="14"/>
          <w:szCs w:val="16"/>
          <w:vertAlign w:val="baseli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37A61570" w:rsidR="00542D72" w:rsidRPr="00A6479A" w:rsidRDefault="00542D72"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504871">
      <w:rPr>
        <w:rFonts w:ascii="David" w:hAnsi="David" w:cs="David"/>
        <w:noProof/>
        <w:sz w:val="24"/>
        <w:szCs w:val="24"/>
        <w:rtl/>
      </w:rPr>
      <w:t>30</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238DD0E3" w:rsidR="00542D72" w:rsidRPr="00CA633F" w:rsidRDefault="00542D72" w:rsidP="00446E1E">
    <w:pPr>
      <w:pStyle w:val="Heading1"/>
      <w:tabs>
        <w:tab w:val="center" w:pos="4536"/>
        <w:tab w:val="right" w:pos="9072"/>
      </w:tabs>
      <w:jc w:val="right"/>
      <w:rPr>
        <w:rFonts w:ascii="David" w:hAnsi="David" w:cs="David"/>
        <w:b w:val="0"/>
        <w:bCs w:val="0"/>
        <w:noProof/>
        <w:color w:val="A6A6A6"/>
        <w:sz w:val="20"/>
        <w:szCs w:val="20"/>
      </w:rPr>
    </w:pPr>
    <w:r w:rsidRPr="0068501F">
      <w:rPr>
        <w:rFonts w:ascii="David" w:hAnsi="David" w:cs="David"/>
        <w:b w:val="0"/>
        <w:bCs w:val="0"/>
        <w:noProof/>
        <w:spacing w:val="-2"/>
        <w:sz w:val="18"/>
        <w:szCs w:val="18"/>
        <w:rtl/>
      </w:rPr>
      <w:t>עוני ותעסוקה: דפוסי תעסוקה בקרב מקבלי שירותים החיים בעוני במחלקות לשירותים חברתיים</w:t>
    </w:r>
    <w:r w:rsidRPr="001403E5">
      <w:rPr>
        <w:rFonts w:ascii="David" w:hAnsi="David" w:cs="David"/>
        <w:b w:val="0"/>
        <w:bCs w:val="0"/>
        <w:noProof/>
        <w:sz w:val="18"/>
        <w:szCs w:val="18"/>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504871">
      <w:rPr>
        <w:rFonts w:ascii="David" w:hAnsi="David" w:cs="David"/>
        <w:noProof/>
        <w:sz w:val="24"/>
        <w:szCs w:val="24"/>
        <w:rtl/>
      </w:rPr>
      <w:t>29</w:t>
    </w:r>
    <w:r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EDCA05B" w:rsidR="00542D72" w:rsidRPr="00CA633F" w:rsidRDefault="00542D72"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792"/>
    <w:multiLevelType w:val="hybridMultilevel"/>
    <w:tmpl w:val="CEC0276C"/>
    <w:lvl w:ilvl="0" w:tplc="13D09148">
      <w:start w:val="1"/>
      <w:numFmt w:val="bullet"/>
      <w:lvlText w:val="•"/>
      <w:lvlJc w:val="left"/>
      <w:pPr>
        <w:ind w:left="360" w:hanging="360"/>
      </w:pPr>
      <w:rPr>
        <w:rFonts w:ascii="David"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15FFF"/>
    <w:multiLevelType w:val="hybridMultilevel"/>
    <w:tmpl w:val="5D307F02"/>
    <w:lvl w:ilvl="0" w:tplc="98626DDE">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845AB9"/>
    <w:multiLevelType w:val="hybridMultilevel"/>
    <w:tmpl w:val="6B4A6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2B3E30"/>
    <w:multiLevelType w:val="hybridMultilevel"/>
    <w:tmpl w:val="D36C9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AD16E8"/>
    <w:multiLevelType w:val="hybridMultilevel"/>
    <w:tmpl w:val="F0660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0929"/>
    <w:rsid w:val="0000281B"/>
    <w:rsid w:val="000268A9"/>
    <w:rsid w:val="00041A57"/>
    <w:rsid w:val="00042A45"/>
    <w:rsid w:val="000436DE"/>
    <w:rsid w:val="00053FEE"/>
    <w:rsid w:val="000552ED"/>
    <w:rsid w:val="000660A4"/>
    <w:rsid w:val="000A3731"/>
    <w:rsid w:val="000C13C4"/>
    <w:rsid w:val="000C236E"/>
    <w:rsid w:val="000C32F6"/>
    <w:rsid w:val="000C3CFA"/>
    <w:rsid w:val="000E38FA"/>
    <w:rsid w:val="000E730A"/>
    <w:rsid w:val="000F1382"/>
    <w:rsid w:val="000F7FCC"/>
    <w:rsid w:val="00103DBB"/>
    <w:rsid w:val="00111FEC"/>
    <w:rsid w:val="00123E20"/>
    <w:rsid w:val="00126BBB"/>
    <w:rsid w:val="001403E5"/>
    <w:rsid w:val="00152DDF"/>
    <w:rsid w:val="00160BCD"/>
    <w:rsid w:val="00163719"/>
    <w:rsid w:val="00164AB3"/>
    <w:rsid w:val="00180DB4"/>
    <w:rsid w:val="0018721E"/>
    <w:rsid w:val="00192386"/>
    <w:rsid w:val="001A0002"/>
    <w:rsid w:val="001D2C96"/>
    <w:rsid w:val="002044C6"/>
    <w:rsid w:val="0022371A"/>
    <w:rsid w:val="00224C6A"/>
    <w:rsid w:val="00227591"/>
    <w:rsid w:val="00234148"/>
    <w:rsid w:val="00234C6B"/>
    <w:rsid w:val="002519BC"/>
    <w:rsid w:val="00272B00"/>
    <w:rsid w:val="00295CF8"/>
    <w:rsid w:val="002A6F9B"/>
    <w:rsid w:val="002C45DF"/>
    <w:rsid w:val="002D1E69"/>
    <w:rsid w:val="002D4784"/>
    <w:rsid w:val="002F0EE3"/>
    <w:rsid w:val="002F5D6D"/>
    <w:rsid w:val="00303665"/>
    <w:rsid w:val="00304F18"/>
    <w:rsid w:val="0031199F"/>
    <w:rsid w:val="003151B1"/>
    <w:rsid w:val="00317DCD"/>
    <w:rsid w:val="00336EF9"/>
    <w:rsid w:val="00360F01"/>
    <w:rsid w:val="00370BBD"/>
    <w:rsid w:val="00374196"/>
    <w:rsid w:val="00395EC5"/>
    <w:rsid w:val="003B537C"/>
    <w:rsid w:val="003B6BFE"/>
    <w:rsid w:val="003C255E"/>
    <w:rsid w:val="003C3C55"/>
    <w:rsid w:val="003D1152"/>
    <w:rsid w:val="003D16D1"/>
    <w:rsid w:val="003D4AF9"/>
    <w:rsid w:val="003F2F7D"/>
    <w:rsid w:val="00401641"/>
    <w:rsid w:val="00405788"/>
    <w:rsid w:val="00406BC1"/>
    <w:rsid w:val="004112B2"/>
    <w:rsid w:val="00416142"/>
    <w:rsid w:val="00424C06"/>
    <w:rsid w:val="00433DFB"/>
    <w:rsid w:val="00446E1E"/>
    <w:rsid w:val="004543DB"/>
    <w:rsid w:val="0045651F"/>
    <w:rsid w:val="0046547D"/>
    <w:rsid w:val="00466666"/>
    <w:rsid w:val="00471658"/>
    <w:rsid w:val="004735F5"/>
    <w:rsid w:val="00496885"/>
    <w:rsid w:val="004A71EC"/>
    <w:rsid w:val="004C47F0"/>
    <w:rsid w:val="00500A0A"/>
    <w:rsid w:val="00504871"/>
    <w:rsid w:val="00512B59"/>
    <w:rsid w:val="00514F6D"/>
    <w:rsid w:val="00526D6C"/>
    <w:rsid w:val="00527001"/>
    <w:rsid w:val="005270AD"/>
    <w:rsid w:val="005368B8"/>
    <w:rsid w:val="005416E9"/>
    <w:rsid w:val="00542D72"/>
    <w:rsid w:val="00552689"/>
    <w:rsid w:val="005619D8"/>
    <w:rsid w:val="0059386B"/>
    <w:rsid w:val="005B6002"/>
    <w:rsid w:val="005C2ECC"/>
    <w:rsid w:val="005D5F14"/>
    <w:rsid w:val="005F635C"/>
    <w:rsid w:val="00603EDF"/>
    <w:rsid w:val="00606257"/>
    <w:rsid w:val="00606992"/>
    <w:rsid w:val="006131D1"/>
    <w:rsid w:val="006154FA"/>
    <w:rsid w:val="006167C5"/>
    <w:rsid w:val="0062321C"/>
    <w:rsid w:val="006358E3"/>
    <w:rsid w:val="00642F81"/>
    <w:rsid w:val="0065160D"/>
    <w:rsid w:val="00652D7C"/>
    <w:rsid w:val="0065797B"/>
    <w:rsid w:val="00657997"/>
    <w:rsid w:val="00671EDF"/>
    <w:rsid w:val="006824DB"/>
    <w:rsid w:val="00683B19"/>
    <w:rsid w:val="0068501F"/>
    <w:rsid w:val="006A07E8"/>
    <w:rsid w:val="006A5C0E"/>
    <w:rsid w:val="006B39AB"/>
    <w:rsid w:val="006C5BE6"/>
    <w:rsid w:val="006D0F89"/>
    <w:rsid w:val="006D270A"/>
    <w:rsid w:val="006E0F39"/>
    <w:rsid w:val="006F062C"/>
    <w:rsid w:val="00707EC7"/>
    <w:rsid w:val="007178F3"/>
    <w:rsid w:val="00721527"/>
    <w:rsid w:val="007240DD"/>
    <w:rsid w:val="00733272"/>
    <w:rsid w:val="007377A3"/>
    <w:rsid w:val="0074101C"/>
    <w:rsid w:val="007667D8"/>
    <w:rsid w:val="00776EE2"/>
    <w:rsid w:val="00782E0D"/>
    <w:rsid w:val="00794D19"/>
    <w:rsid w:val="00796021"/>
    <w:rsid w:val="00797305"/>
    <w:rsid w:val="007A6CDA"/>
    <w:rsid w:val="007B7399"/>
    <w:rsid w:val="007C7168"/>
    <w:rsid w:val="007C726C"/>
    <w:rsid w:val="007D59DF"/>
    <w:rsid w:val="007F29C9"/>
    <w:rsid w:val="00812A20"/>
    <w:rsid w:val="008243A6"/>
    <w:rsid w:val="00831829"/>
    <w:rsid w:val="00837F2F"/>
    <w:rsid w:val="008400EA"/>
    <w:rsid w:val="00840D01"/>
    <w:rsid w:val="0084161C"/>
    <w:rsid w:val="008A3142"/>
    <w:rsid w:val="008A4FAD"/>
    <w:rsid w:val="008A582C"/>
    <w:rsid w:val="008B791F"/>
    <w:rsid w:val="008E3BE2"/>
    <w:rsid w:val="008E5DF1"/>
    <w:rsid w:val="008F7821"/>
    <w:rsid w:val="009023FC"/>
    <w:rsid w:val="009041F4"/>
    <w:rsid w:val="0090645A"/>
    <w:rsid w:val="00907B78"/>
    <w:rsid w:val="00913099"/>
    <w:rsid w:val="0091482C"/>
    <w:rsid w:val="00916371"/>
    <w:rsid w:val="00921795"/>
    <w:rsid w:val="00926914"/>
    <w:rsid w:val="009465AD"/>
    <w:rsid w:val="009522CA"/>
    <w:rsid w:val="009533A1"/>
    <w:rsid w:val="00956340"/>
    <w:rsid w:val="00956C10"/>
    <w:rsid w:val="00957E0F"/>
    <w:rsid w:val="009628DB"/>
    <w:rsid w:val="009B0512"/>
    <w:rsid w:val="009B53E8"/>
    <w:rsid w:val="009C5E89"/>
    <w:rsid w:val="009D6F58"/>
    <w:rsid w:val="009D7325"/>
    <w:rsid w:val="009E1A44"/>
    <w:rsid w:val="009E30A1"/>
    <w:rsid w:val="009F2897"/>
    <w:rsid w:val="009F4991"/>
    <w:rsid w:val="009F6BB9"/>
    <w:rsid w:val="00A04D35"/>
    <w:rsid w:val="00A135EA"/>
    <w:rsid w:val="00A17DA2"/>
    <w:rsid w:val="00A27C04"/>
    <w:rsid w:val="00A36D7F"/>
    <w:rsid w:val="00A41FB6"/>
    <w:rsid w:val="00A54900"/>
    <w:rsid w:val="00A624F1"/>
    <w:rsid w:val="00A63F92"/>
    <w:rsid w:val="00A6479A"/>
    <w:rsid w:val="00A73CF4"/>
    <w:rsid w:val="00A75046"/>
    <w:rsid w:val="00A910EE"/>
    <w:rsid w:val="00A953FC"/>
    <w:rsid w:val="00A95F73"/>
    <w:rsid w:val="00AA443E"/>
    <w:rsid w:val="00AC3F0C"/>
    <w:rsid w:val="00AE03A0"/>
    <w:rsid w:val="00AE0A3D"/>
    <w:rsid w:val="00AE244A"/>
    <w:rsid w:val="00AE31E1"/>
    <w:rsid w:val="00AF1881"/>
    <w:rsid w:val="00AF7379"/>
    <w:rsid w:val="00B045C9"/>
    <w:rsid w:val="00B23956"/>
    <w:rsid w:val="00B31012"/>
    <w:rsid w:val="00B468E5"/>
    <w:rsid w:val="00B81818"/>
    <w:rsid w:val="00B86148"/>
    <w:rsid w:val="00BB6F11"/>
    <w:rsid w:val="00BC1FB3"/>
    <w:rsid w:val="00BD67DD"/>
    <w:rsid w:val="00BF1461"/>
    <w:rsid w:val="00C11554"/>
    <w:rsid w:val="00C137D2"/>
    <w:rsid w:val="00C2342E"/>
    <w:rsid w:val="00C36CE5"/>
    <w:rsid w:val="00C40123"/>
    <w:rsid w:val="00C44CE1"/>
    <w:rsid w:val="00C44D53"/>
    <w:rsid w:val="00C456EB"/>
    <w:rsid w:val="00C91E76"/>
    <w:rsid w:val="00C93533"/>
    <w:rsid w:val="00CA56D2"/>
    <w:rsid w:val="00CA5B5A"/>
    <w:rsid w:val="00CA633F"/>
    <w:rsid w:val="00CA7399"/>
    <w:rsid w:val="00CA7495"/>
    <w:rsid w:val="00CC26F6"/>
    <w:rsid w:val="00CC3DB0"/>
    <w:rsid w:val="00CD593B"/>
    <w:rsid w:val="00CF5FCA"/>
    <w:rsid w:val="00CF7A4A"/>
    <w:rsid w:val="00D04197"/>
    <w:rsid w:val="00D1302B"/>
    <w:rsid w:val="00D13C3D"/>
    <w:rsid w:val="00D14370"/>
    <w:rsid w:val="00D16A00"/>
    <w:rsid w:val="00D20154"/>
    <w:rsid w:val="00D20DE5"/>
    <w:rsid w:val="00D21D40"/>
    <w:rsid w:val="00D614D3"/>
    <w:rsid w:val="00D67A42"/>
    <w:rsid w:val="00D73C8D"/>
    <w:rsid w:val="00D774EA"/>
    <w:rsid w:val="00D92080"/>
    <w:rsid w:val="00D9338F"/>
    <w:rsid w:val="00D94E6C"/>
    <w:rsid w:val="00D97E3E"/>
    <w:rsid w:val="00DA1730"/>
    <w:rsid w:val="00DA26AC"/>
    <w:rsid w:val="00DA425B"/>
    <w:rsid w:val="00DB2F51"/>
    <w:rsid w:val="00DC2494"/>
    <w:rsid w:val="00DC3FA1"/>
    <w:rsid w:val="00DD08CB"/>
    <w:rsid w:val="00DE6531"/>
    <w:rsid w:val="00DF30C9"/>
    <w:rsid w:val="00DF330D"/>
    <w:rsid w:val="00E02B77"/>
    <w:rsid w:val="00E14513"/>
    <w:rsid w:val="00E14CB1"/>
    <w:rsid w:val="00E2528D"/>
    <w:rsid w:val="00E61D38"/>
    <w:rsid w:val="00E74802"/>
    <w:rsid w:val="00E94167"/>
    <w:rsid w:val="00E95DB4"/>
    <w:rsid w:val="00EA3DC8"/>
    <w:rsid w:val="00ED3C01"/>
    <w:rsid w:val="00ED6F02"/>
    <w:rsid w:val="00EE2514"/>
    <w:rsid w:val="00EE4D2A"/>
    <w:rsid w:val="00EF07B4"/>
    <w:rsid w:val="00EF584D"/>
    <w:rsid w:val="00EF5F88"/>
    <w:rsid w:val="00F0418C"/>
    <w:rsid w:val="00F20863"/>
    <w:rsid w:val="00F20E96"/>
    <w:rsid w:val="00F216E0"/>
    <w:rsid w:val="00F22E88"/>
    <w:rsid w:val="00F243ED"/>
    <w:rsid w:val="00F3107D"/>
    <w:rsid w:val="00F32B2F"/>
    <w:rsid w:val="00F4272C"/>
    <w:rsid w:val="00F70364"/>
    <w:rsid w:val="00F76E57"/>
    <w:rsid w:val="00F84B24"/>
    <w:rsid w:val="00FA0917"/>
    <w:rsid w:val="00FA685A"/>
    <w:rsid w:val="00FB4B8A"/>
    <w:rsid w:val="00FD1A0B"/>
    <w:rsid w:val="00FE23FD"/>
    <w:rsid w:val="00FE7079"/>
    <w:rsid w:val="00FF2934"/>
    <w:rsid w:val="00FF7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A02F298F-94D5-4206-B943-BF0959B3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hlfld-contribauthor">
    <w:name w:val="hlfld-contribauthor"/>
    <w:basedOn w:val="DefaultParagraphFont"/>
    <w:rsid w:val="00926914"/>
  </w:style>
  <w:style w:type="character" w:customStyle="1" w:styleId="nlmgiven-names">
    <w:name w:val="nlm_given-names"/>
    <w:basedOn w:val="DefaultParagraphFont"/>
    <w:rsid w:val="00926914"/>
  </w:style>
  <w:style w:type="character" w:customStyle="1" w:styleId="nlmyear">
    <w:name w:val="nlm_year"/>
    <w:basedOn w:val="DefaultParagraphFont"/>
    <w:rsid w:val="00926914"/>
  </w:style>
  <w:style w:type="character" w:customStyle="1" w:styleId="nlmarticle-title">
    <w:name w:val="nlm_article-title"/>
    <w:basedOn w:val="DefaultParagraphFont"/>
    <w:rsid w:val="00926914"/>
  </w:style>
  <w:style w:type="character" w:customStyle="1" w:styleId="nlmfpage">
    <w:name w:val="nlm_fpage"/>
    <w:basedOn w:val="DefaultParagraphFont"/>
    <w:rsid w:val="00926914"/>
  </w:style>
  <w:style w:type="character" w:customStyle="1" w:styleId="nlmlpage">
    <w:name w:val="nlm_lpage"/>
    <w:basedOn w:val="DefaultParagraphFont"/>
    <w:rsid w:val="00926914"/>
  </w:style>
  <w:style w:type="character" w:customStyle="1" w:styleId="author">
    <w:name w:val="author"/>
    <w:basedOn w:val="DefaultParagraphFont"/>
    <w:rsid w:val="00926914"/>
  </w:style>
  <w:style w:type="character" w:customStyle="1" w:styleId="pubyear">
    <w:name w:val="pubyear"/>
    <w:basedOn w:val="DefaultParagraphFont"/>
    <w:rsid w:val="00926914"/>
  </w:style>
  <w:style w:type="character" w:customStyle="1" w:styleId="articletitle">
    <w:name w:val="articletitle"/>
    <w:basedOn w:val="DefaultParagraphFont"/>
    <w:rsid w:val="00926914"/>
  </w:style>
  <w:style w:type="character" w:customStyle="1" w:styleId="journaltitle">
    <w:name w:val="journaltitle"/>
    <w:basedOn w:val="DefaultParagraphFont"/>
    <w:rsid w:val="00926914"/>
  </w:style>
  <w:style w:type="character" w:customStyle="1" w:styleId="vol">
    <w:name w:val="vol"/>
    <w:basedOn w:val="DefaultParagraphFont"/>
    <w:rsid w:val="00926914"/>
  </w:style>
  <w:style w:type="character" w:customStyle="1" w:styleId="citedissue">
    <w:name w:val="citedissue"/>
    <w:basedOn w:val="DefaultParagraphFont"/>
    <w:rsid w:val="00926914"/>
  </w:style>
  <w:style w:type="character" w:customStyle="1" w:styleId="pagefirst">
    <w:name w:val="pagefirst"/>
    <w:basedOn w:val="DefaultParagraphFont"/>
    <w:rsid w:val="00926914"/>
  </w:style>
  <w:style w:type="character" w:customStyle="1" w:styleId="pagelast">
    <w:name w:val="pagelast"/>
    <w:basedOn w:val="DefaultParagraphFont"/>
    <w:rsid w:val="00926914"/>
  </w:style>
  <w:style w:type="character" w:customStyle="1" w:styleId="a1">
    <w:name w:val="a"/>
    <w:basedOn w:val="DefaultParagraphFont"/>
    <w:rsid w:val="00926914"/>
  </w:style>
  <w:style w:type="character" w:customStyle="1" w:styleId="citationref">
    <w:name w:val="citationref"/>
    <w:basedOn w:val="DefaultParagraphFont"/>
    <w:rsid w:val="00926914"/>
  </w:style>
  <w:style w:type="character" w:customStyle="1" w:styleId="titleauthoretc">
    <w:name w:val="titleauthoretc"/>
    <w:basedOn w:val="DefaultParagraphFont"/>
    <w:rsid w:val="00926914"/>
  </w:style>
  <w:style w:type="character" w:customStyle="1" w:styleId="nlmchapter-title">
    <w:name w:val="nlm_chapter-title"/>
    <w:basedOn w:val="DefaultParagraphFont"/>
    <w:rsid w:val="00926914"/>
  </w:style>
  <w:style w:type="character" w:customStyle="1" w:styleId="nlmpublisher-loc">
    <w:name w:val="nlm_publisher-loc"/>
    <w:basedOn w:val="DefaultParagraphFont"/>
    <w:rsid w:val="00926914"/>
  </w:style>
  <w:style w:type="character" w:customStyle="1" w:styleId="nlmpublisher-name">
    <w:name w:val="nlm_publisher-name"/>
    <w:basedOn w:val="DefaultParagraphFont"/>
    <w:rsid w:val="00926914"/>
  </w:style>
  <w:style w:type="paragraph" w:styleId="Caption">
    <w:name w:val="caption"/>
    <w:basedOn w:val="Normal"/>
    <w:next w:val="Normal"/>
    <w:uiPriority w:val="35"/>
    <w:unhideWhenUsed/>
    <w:qFormat/>
    <w:rsid w:val="00926914"/>
    <w:pPr>
      <w:keepNext/>
      <w:spacing w:after="200" w:line="240" w:lineRule="auto"/>
      <w:jc w:val="both"/>
    </w:pPr>
    <w:rPr>
      <w:rFonts w:ascii="David" w:eastAsia="Calibri" w:hAnsi="David"/>
      <w:b/>
      <w:bCs/>
    </w:rPr>
  </w:style>
  <w:style w:type="character" w:customStyle="1" w:styleId="EndnoteTextChar">
    <w:name w:val="Endnote Text Char"/>
    <w:link w:val="EndnoteText"/>
    <w:uiPriority w:val="99"/>
    <w:semiHidden/>
    <w:rsid w:val="00926914"/>
    <w:rPr>
      <w:rFonts w:ascii="Calibri" w:eastAsia="Calibri" w:hAnsi="Calibri" w:cs="Arial"/>
      <w:lang w:val="en-GB" w:eastAsia="en-US"/>
    </w:rPr>
  </w:style>
  <w:style w:type="paragraph" w:customStyle="1" w:styleId="dx-doi">
    <w:name w:val="dx-doi"/>
    <w:basedOn w:val="Normal"/>
    <w:rsid w:val="00926914"/>
    <w:pPr>
      <w:bidi w:val="0"/>
      <w:spacing w:before="100" w:beforeAutospacing="1" w:after="100" w:afterAutospacing="1" w:line="240" w:lineRule="auto"/>
    </w:pPr>
    <w:rPr>
      <w:rFonts w:cs="Times New Roman"/>
    </w:rPr>
  </w:style>
  <w:style w:type="character" w:styleId="HTMLCite">
    <w:name w:val="HTML Cite"/>
    <w:uiPriority w:val="99"/>
    <w:semiHidden/>
    <w:unhideWhenUsed/>
    <w:rsid w:val="00926914"/>
    <w:rPr>
      <w:i/>
      <w:iCs/>
    </w:rPr>
  </w:style>
  <w:style w:type="paragraph" w:styleId="Revision">
    <w:name w:val="Revision"/>
    <w:hidden/>
    <w:uiPriority w:val="99"/>
    <w:semiHidden/>
    <w:rsid w:val="00926914"/>
    <w:rPr>
      <w:rFonts w:ascii="David" w:eastAsia="Calibri" w:hAnsi="David" w:cs="David"/>
      <w:sz w:val="24"/>
      <w:szCs w:val="24"/>
    </w:rPr>
  </w:style>
  <w:style w:type="character" w:styleId="FollowedHyperlink">
    <w:name w:val="FollowedHyperlink"/>
    <w:uiPriority w:val="99"/>
    <w:semiHidden/>
    <w:unhideWhenUsed/>
    <w:rsid w:val="00926914"/>
    <w:rPr>
      <w:color w:val="800080"/>
      <w:u w:val="single"/>
    </w:rPr>
  </w:style>
  <w:style w:type="character" w:customStyle="1" w:styleId="publisherlocation">
    <w:name w:val="publisherlocation"/>
    <w:basedOn w:val="DefaultParagraphFont"/>
    <w:rsid w:val="00926914"/>
  </w:style>
  <w:style w:type="character" w:customStyle="1" w:styleId="UnresolvedMention1">
    <w:name w:val="Unresolved Mention1"/>
    <w:uiPriority w:val="99"/>
    <w:semiHidden/>
    <w:unhideWhenUsed/>
    <w:rsid w:val="003F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 TargetMode="External"/><Relationship Id="rId19" Type="http://schemas.openxmlformats.org/officeDocument/2006/relationships/hyperlink" Target="#" TargetMode="Externa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9E3483CB7A0484EBFAAF160C2AAC6DA" ma:contentTypeVersion="1" ma:contentTypeDescription="צור מסמך חדש." ma:contentTypeScope="" ma:versionID="f404ee671278b1abbb26cbc471351842">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001D47-2857-45FF-BB45-7A6D7BFD3C74}">
  <ds:schemaRefs>
    <ds:schemaRef ds:uri="http://schemas.openxmlformats.org/officeDocument/2006/bibliography"/>
  </ds:schemaRefs>
</ds:datastoreItem>
</file>

<file path=customXml/itemProps2.xml><?xml version="1.0" encoding="utf-8"?>
<ds:datastoreItem xmlns:ds="http://schemas.openxmlformats.org/officeDocument/2006/customXml" ds:itemID="{FDD76657-5D35-4ED8-920A-07A4B1DD1CD4}"/>
</file>

<file path=customXml/itemProps3.xml><?xml version="1.0" encoding="utf-8"?>
<ds:datastoreItem xmlns:ds="http://schemas.openxmlformats.org/officeDocument/2006/customXml" ds:itemID="{A0927851-2C8D-46F9-A5E9-F619895C41C3}"/>
</file>

<file path=customXml/itemProps4.xml><?xml version="1.0" encoding="utf-8"?>
<ds:datastoreItem xmlns:ds="http://schemas.openxmlformats.org/officeDocument/2006/customXml" ds:itemID="{70814DE9-2FE3-4A75-AC06-CA5D1AC41F69}"/>
</file>

<file path=docProps/app.xml><?xml version="1.0" encoding="utf-8"?>
<Properties xmlns="http://schemas.openxmlformats.org/officeDocument/2006/extended-properties" xmlns:vt="http://schemas.openxmlformats.org/officeDocument/2006/docPropsVTypes">
  <Template>Normal</Template>
  <TotalTime>58</TotalTime>
  <Pages>30</Pages>
  <Words>9394</Words>
  <Characters>53549</Characters>
  <Application>Microsoft Office Word</Application>
  <DocSecurity>0</DocSecurity>
  <Lines>446</Lines>
  <Paragraphs>125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62818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Frankel</dc:creator>
  <cp:keywords/>
  <dc:description/>
  <cp:lastModifiedBy>onit.mf@gmail.com</cp:lastModifiedBy>
  <cp:revision>21</cp:revision>
  <cp:lastPrinted>2020-01-02T10:11:00Z</cp:lastPrinted>
  <dcterms:created xsi:type="dcterms:W3CDTF">2021-07-16T07:10:00Z</dcterms:created>
  <dcterms:modified xsi:type="dcterms:W3CDTF">2021-09-02T10:19:00Z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0x010100B9E3483CB7A0484EBFAAF160C2AAC6DA</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