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86B2" w14:textId="77777777" w:rsidR="008D653C" w:rsidRPr="00DE7959" w:rsidRDefault="008D653C" w:rsidP="00DE7959">
      <w:pPr>
        <w:pStyle w:val="NAME"/>
        <w:pBdr>
          <w:bottom w:val="none" w:sz="0" w:space="0" w:color="auto"/>
        </w:pBdr>
        <w:spacing w:before="1080" w:after="300" w:line="360" w:lineRule="atLeast"/>
        <w:jc w:val="left"/>
        <w:rPr>
          <w:rFonts w:ascii="Tahoma" w:hAnsi="Tahoma" w:cs="Guttman Aharoni"/>
          <w:b/>
          <w:bCs/>
          <w:color w:val="00B0F0"/>
          <w:sz w:val="36"/>
          <w:szCs w:val="36"/>
        </w:rPr>
      </w:pPr>
      <w:bookmarkStart w:id="0" w:name="_Hlk82857610"/>
      <w:bookmarkStart w:id="1" w:name="_Hlk88329880"/>
      <w:r w:rsidRPr="00DE7959">
        <w:rPr>
          <w:rFonts w:ascii="Tahoma" w:hAnsi="Tahoma" w:cs="Guttman Aharoni"/>
          <w:b/>
          <w:bCs/>
          <w:color w:val="00B0F0"/>
          <w:sz w:val="36"/>
          <w:szCs w:val="36"/>
          <w:rtl/>
        </w:rPr>
        <w:t>ילדים בסיכון: בחינת מיתוסים לאור גישה מודעת</w:t>
      </w:r>
      <w:r w:rsidRPr="00DE7959">
        <w:rPr>
          <w:rFonts w:ascii="David" w:hAnsi="David"/>
          <w:b/>
          <w:bCs/>
          <w:color w:val="00B0F0"/>
          <w:sz w:val="36"/>
          <w:szCs w:val="36"/>
          <w:rtl/>
        </w:rPr>
        <w:t>-</w:t>
      </w:r>
      <w:r w:rsidRPr="00DE7959">
        <w:rPr>
          <w:rFonts w:ascii="Tahoma" w:hAnsi="Tahoma" w:cs="Guttman Aharoni"/>
          <w:b/>
          <w:bCs/>
          <w:color w:val="00B0F0"/>
          <w:sz w:val="36"/>
          <w:szCs w:val="36"/>
          <w:rtl/>
        </w:rPr>
        <w:t>הקשר</w:t>
      </w:r>
    </w:p>
    <w:bookmarkEnd w:id="0"/>
    <w:p w14:paraId="32812BE3" w14:textId="77777777" w:rsidR="008D653C" w:rsidRPr="00DE7959" w:rsidRDefault="008D653C" w:rsidP="00DE7959">
      <w:pPr>
        <w:pStyle w:val="KOT5T"/>
        <w:spacing w:after="540" w:line="360" w:lineRule="exact"/>
        <w:ind w:right="0"/>
        <w:jc w:val="left"/>
        <w:rPr>
          <w:rFonts w:cs="Guttman Aharoni"/>
          <w:color w:val="00B0F0"/>
          <w:rtl/>
        </w:rPr>
      </w:pPr>
      <w:r w:rsidRPr="00DE7959">
        <w:rPr>
          <w:rFonts w:cs="Guttman Aharoni"/>
          <w:color w:val="00B0F0"/>
          <w:rtl/>
        </w:rPr>
        <w:t xml:space="preserve">דורית </w:t>
      </w:r>
      <w:proofErr w:type="spellStart"/>
      <w:r w:rsidRPr="00DE7959">
        <w:rPr>
          <w:rFonts w:cs="Guttman Aharoni"/>
          <w:color w:val="00B0F0"/>
          <w:rtl/>
        </w:rPr>
        <w:t>רואר</w:t>
      </w:r>
      <w:r w:rsidRPr="00DE7959">
        <w:rPr>
          <w:rFonts w:ascii="David" w:hAnsi="David" w:cs="David"/>
          <w:color w:val="00B0F0"/>
          <w:rtl/>
        </w:rPr>
        <w:t>-</w:t>
      </w:r>
      <w:r w:rsidRPr="00DE7959">
        <w:rPr>
          <w:rFonts w:cs="Guttman Aharoni"/>
          <w:color w:val="00B0F0"/>
          <w:rtl/>
        </w:rPr>
        <w:t>סטריאר</w:t>
      </w:r>
      <w:proofErr w:type="spellEnd"/>
      <w:r w:rsidRPr="00DE7959">
        <w:rPr>
          <w:rFonts w:cs="Guttman Aharoni"/>
          <w:color w:val="00B0F0"/>
          <w:vertAlign w:val="superscript"/>
          <w:rtl/>
        </w:rPr>
        <w:footnoteReference w:id="2"/>
      </w:r>
      <w:r w:rsidRPr="00DE7959">
        <w:rPr>
          <w:rFonts w:cs="Guttman Aharoni"/>
          <w:color w:val="00B0F0"/>
          <w:rtl/>
        </w:rPr>
        <w:t xml:space="preserve"> ויוחאי נדן</w:t>
      </w:r>
      <w:r w:rsidRPr="00DE7959">
        <w:rPr>
          <w:rFonts w:cs="Guttman Aharoni"/>
          <w:color w:val="00B0F0"/>
          <w:vertAlign w:val="superscript"/>
          <w:rtl/>
        </w:rPr>
        <w:footnoteReference w:id="3"/>
      </w:r>
    </w:p>
    <w:p w14:paraId="207D7969" w14:textId="6477AFBD" w:rsidR="008D653C" w:rsidRPr="008D653C" w:rsidRDefault="008D653C" w:rsidP="008D653C">
      <w:pPr>
        <w:spacing w:after="180" w:line="280" w:lineRule="exact"/>
        <w:jc w:val="both"/>
        <w:rPr>
          <w:sz w:val="18"/>
          <w:szCs w:val="20"/>
        </w:rPr>
      </w:pPr>
      <w:bookmarkStart w:id="2" w:name="_Hlk82419044"/>
      <w:bookmarkEnd w:id="1"/>
      <w:r w:rsidRPr="008D653C">
        <w:rPr>
          <w:sz w:val="18"/>
          <w:szCs w:val="20"/>
          <w:rtl/>
        </w:rPr>
        <w:t>"ילדים בסיכון" ו"מוגנות של ילדים" הם מושגים מרכזיים בתחום העבודה הסוציאלית. מאמצים רבים הושקעו בחקירתם, בגיבוש קריטריונים אוניברסליים</w:t>
      </w:r>
      <w:r w:rsidR="00946CCA">
        <w:rPr>
          <w:rFonts w:hint="cs"/>
          <w:sz w:val="18"/>
          <w:szCs w:val="20"/>
          <w:rtl/>
        </w:rPr>
        <w:t xml:space="preserve"> </w:t>
      </w:r>
      <w:r w:rsidRPr="008D653C">
        <w:rPr>
          <w:sz w:val="18"/>
          <w:szCs w:val="20"/>
          <w:rtl/>
        </w:rPr>
        <w:t xml:space="preserve">למדידתם ובפיתוח מענים להגברת המוגנות ולצמצום הסיכון. </w:t>
      </w:r>
    </w:p>
    <w:p w14:paraId="08A771BD" w14:textId="77777777" w:rsidR="008D653C" w:rsidRPr="008D653C" w:rsidRDefault="008D653C" w:rsidP="008D653C">
      <w:pPr>
        <w:spacing w:after="180" w:line="280" w:lineRule="exact"/>
        <w:jc w:val="both"/>
        <w:rPr>
          <w:sz w:val="18"/>
          <w:szCs w:val="20"/>
          <w:rtl/>
        </w:rPr>
      </w:pPr>
      <w:bookmarkStart w:id="3" w:name="_Hlk82857390"/>
      <w:bookmarkEnd w:id="2"/>
      <w:r w:rsidRPr="008D653C">
        <w:rPr>
          <w:sz w:val="18"/>
          <w:szCs w:val="20"/>
          <w:rtl/>
        </w:rPr>
        <w:t xml:space="preserve">מאמר זה מציע גישה מודעת-הקשר להבנת מצבי סיכון בקרב ילדים. הגישה פותחה על בסיס מחקר איכותני רחב היקף, בן חמש שנים, שנערך בקרב הורים וילדים מקהילות שונות בישראל ובקרב העובדים הסוציאליים העובדים עם קהילות אלה. המחקר בחן את ההקשרים, את ההבניות ואת הפרספקטיבות הנוגעים לסיכון ומוגנות של ילדים. </w:t>
      </w:r>
      <w:bookmarkEnd w:id="3"/>
      <w:r w:rsidRPr="008D653C">
        <w:rPr>
          <w:sz w:val="18"/>
          <w:szCs w:val="20"/>
          <w:rtl/>
        </w:rPr>
        <w:t xml:space="preserve">מתוך הקשרים רבים שמצאנו אנו מציגים במאמר שלושה הקשרים – גזענות והדרה, דת ורוחניות, קונפליקט פוליטי ואלימות – שהתבלטו במחקר כהקשרים מרכזיים השופכים אור על ילדים בסיכון ועל מוגנות של ילדים. אנו מציגים חשיבה מחודשת על האונטולוגיה של "סיכון" ו"מוגנות" בכל הנוגע לילדים, מזהים שלושה מיתוסים רווחים בשיח הסיכון וקוראים עליהם תיגר. בהמשך אנו דנים במורכבות הגלומה בשיח הסיכון ובהערכת סיכון לילדים במציאות מגוונת, מרובת תרבויות והקשרים, ומתמקדים בפערים ובהבדלים בין הורים לאנשי מקצוע, בערכיהם, </w:t>
      </w:r>
      <w:proofErr w:type="spellStart"/>
      <w:r w:rsidRPr="008D653C">
        <w:rPr>
          <w:sz w:val="18"/>
          <w:szCs w:val="20"/>
          <w:rtl/>
        </w:rPr>
        <w:t>במיקומיות</w:t>
      </w:r>
      <w:proofErr w:type="spellEnd"/>
      <w:r w:rsidRPr="008D653C">
        <w:rPr>
          <w:sz w:val="18"/>
          <w:szCs w:val="20"/>
          <w:rtl/>
        </w:rPr>
        <w:t xml:space="preserve"> (</w:t>
      </w:r>
      <w:r w:rsidRPr="008D653C">
        <w:rPr>
          <w:sz w:val="18"/>
          <w:szCs w:val="20"/>
        </w:rPr>
        <w:t>positionality</w:t>
      </w:r>
      <w:r w:rsidRPr="008D653C">
        <w:rPr>
          <w:sz w:val="18"/>
          <w:szCs w:val="20"/>
          <w:rtl/>
        </w:rPr>
        <w:t xml:space="preserve">) המתבונן וביחסי הכוח ביניהם. </w:t>
      </w:r>
    </w:p>
    <w:p w14:paraId="1AC302CE" w14:textId="77777777" w:rsidR="008D653C" w:rsidRPr="008D653C" w:rsidRDefault="008D653C" w:rsidP="008D653C">
      <w:pPr>
        <w:spacing w:after="180" w:line="280" w:lineRule="exact"/>
        <w:jc w:val="both"/>
        <w:rPr>
          <w:sz w:val="18"/>
          <w:szCs w:val="20"/>
          <w:rtl/>
        </w:rPr>
      </w:pPr>
      <w:r w:rsidRPr="008D653C">
        <w:rPr>
          <w:b/>
          <w:bCs/>
          <w:sz w:val="18"/>
          <w:szCs w:val="20"/>
          <w:rtl/>
        </w:rPr>
        <w:t>מילות מפתח</w:t>
      </w:r>
      <w:r w:rsidRPr="008D653C">
        <w:rPr>
          <w:sz w:val="18"/>
          <w:szCs w:val="20"/>
          <w:rtl/>
        </w:rPr>
        <w:t xml:space="preserve">: גישה מודעת-הקשר, תרבות, תפיסות סיכון ומוגנות של ילדים, ילדים בסיכון </w:t>
      </w:r>
    </w:p>
    <w:p w14:paraId="464F5394" w14:textId="77777777" w:rsidR="008D653C" w:rsidRPr="008D653C" w:rsidRDefault="008D653C" w:rsidP="008D653C">
      <w:pPr>
        <w:spacing w:after="180" w:line="280" w:lineRule="exact"/>
        <w:jc w:val="both"/>
        <w:rPr>
          <w:b/>
          <w:bCs/>
          <w:sz w:val="18"/>
          <w:szCs w:val="20"/>
          <w:rtl/>
        </w:rPr>
      </w:pPr>
    </w:p>
    <w:p w14:paraId="6C463E30" w14:textId="2B21DECD" w:rsidR="008D653C" w:rsidRPr="008D653C" w:rsidRDefault="008D653C" w:rsidP="00DE7959">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1.</w:t>
      </w:r>
      <w:r>
        <w:rPr>
          <w:rFonts w:cs="Guttman Aharoni"/>
          <w:color w:val="00B0F0"/>
          <w:sz w:val="32"/>
          <w:szCs w:val="32"/>
          <w:rtl/>
        </w:rPr>
        <w:tab/>
      </w:r>
      <w:r w:rsidRPr="008D653C">
        <w:rPr>
          <w:rFonts w:cs="Guttman Aharoni"/>
          <w:color w:val="00B0F0"/>
          <w:sz w:val="32"/>
          <w:szCs w:val="32"/>
          <w:rtl/>
        </w:rPr>
        <w:t>מבוא</w:t>
      </w:r>
    </w:p>
    <w:p w14:paraId="5DCCA714" w14:textId="77777777" w:rsidR="008D653C" w:rsidRPr="008D653C" w:rsidRDefault="008D653C" w:rsidP="00DE7959">
      <w:pPr>
        <w:spacing w:after="180" w:line="300" w:lineRule="exact"/>
        <w:jc w:val="both"/>
        <w:rPr>
          <w:sz w:val="18"/>
          <w:szCs w:val="20"/>
          <w:rtl/>
        </w:rPr>
      </w:pPr>
      <w:r w:rsidRPr="008D653C">
        <w:rPr>
          <w:sz w:val="18"/>
          <w:szCs w:val="20"/>
          <w:rtl/>
        </w:rPr>
        <w:t>במאמר זה נציג את תובנותינו ממחקר רחב היקף בן חמש שנים, שבחן את ההקשרים, את ההבניות ואת הפרספקטיבות הרווחים בקרב הורים וילדים מקהילות שונות בישראל ובקרב העובדים הסוציאליים העובדים עם קהילות אלה באשר למצבים של סיכון ומוגנות בקרב ילדים אלה (</w:t>
      </w:r>
      <w:proofErr w:type="spellStart"/>
      <w:r w:rsidRPr="008D653C">
        <w:rPr>
          <w:sz w:val="18"/>
          <w:szCs w:val="20"/>
        </w:rPr>
        <w:t>Roer-Strier</w:t>
      </w:r>
      <w:proofErr w:type="spellEnd"/>
      <w:r w:rsidRPr="008D653C">
        <w:rPr>
          <w:sz w:val="18"/>
          <w:szCs w:val="20"/>
        </w:rPr>
        <w:t xml:space="preserve"> &amp; </w:t>
      </w:r>
      <w:proofErr w:type="spellStart"/>
      <w:r w:rsidRPr="008D653C">
        <w:rPr>
          <w:sz w:val="18"/>
          <w:szCs w:val="20"/>
        </w:rPr>
        <w:t>Nadan</w:t>
      </w:r>
      <w:proofErr w:type="spellEnd"/>
      <w:r w:rsidRPr="008D653C">
        <w:rPr>
          <w:sz w:val="18"/>
          <w:szCs w:val="20"/>
        </w:rPr>
        <w:t>, 2020</w:t>
      </w:r>
      <w:r w:rsidRPr="008D653C">
        <w:rPr>
          <w:sz w:val="18"/>
          <w:szCs w:val="20"/>
          <w:rtl/>
        </w:rPr>
        <w:t>). אנו מקווים להאיר את הרשת הסבוכה של התפיסות והרעיונות המובנים-חברתית של ילדים בסיכון ומוגנות של ילדים, הנוצרים כשתרבות מצטלבת עם הקשרים אחרים. בחלק הראשון נתאר ונגדיר את הגישה מודעת-ההֶקְשֵׁר (</w:t>
      </w:r>
      <w:r w:rsidRPr="008D653C">
        <w:rPr>
          <w:sz w:val="18"/>
          <w:szCs w:val="20"/>
        </w:rPr>
        <w:t>context-informed perspective</w:t>
      </w:r>
      <w:r w:rsidRPr="008D653C">
        <w:rPr>
          <w:sz w:val="18"/>
          <w:szCs w:val="20"/>
          <w:rtl/>
        </w:rPr>
        <w:t>) שדרכה אנו בוחנים סיכון ומוגנות של ילדים. בחלק השני נבחן שלושה הקשרים (גזענות והדרה, דת ורוחניות, קונפליקט פוליטי ואלימות) כדי להדגים את ההמשגה שלעיל. בחלק השלישי נציע חשיבה מחודשת על הקטגוריות סיכון ומוגנות בקרב ילדים, הנסמכת על ההמשגה שלעיל. בחלק זה נבחן ונאתגר מספר מיתוסים נפוצים בשיח הסיכון. בחלק האחרון נדון בהערכת סיכון של ילדים לאור סוגיות של פערים ואי-הלימה בין ערכים של הורים ובעלי מקצוע, מיקומו ונקודת מבטו של המתבונן, יחסי הכוח והמורכבות הטמונה בשיח הסיכון.</w:t>
      </w:r>
    </w:p>
    <w:p w14:paraId="0F329CFC" w14:textId="77777777" w:rsidR="008D653C" w:rsidRPr="008D653C" w:rsidRDefault="008D653C" w:rsidP="00DE7959">
      <w:pPr>
        <w:spacing w:after="180" w:line="300" w:lineRule="exact"/>
        <w:jc w:val="both"/>
        <w:rPr>
          <w:sz w:val="18"/>
          <w:szCs w:val="20"/>
          <w:rtl/>
        </w:rPr>
      </w:pPr>
      <w:r w:rsidRPr="008D653C">
        <w:rPr>
          <w:sz w:val="18"/>
          <w:szCs w:val="20"/>
          <w:rtl/>
        </w:rPr>
        <w:t>הֶקְשֵׁר הוא אוסף של נסיבות הסובב אירוע או מצב מסוים והתורם למשמעותו (</w:t>
      </w:r>
      <w:r w:rsidRPr="008D653C">
        <w:rPr>
          <w:sz w:val="18"/>
          <w:szCs w:val="20"/>
          <w:shd w:val="clear" w:color="auto" w:fill="FFFFFF"/>
        </w:rPr>
        <w:t xml:space="preserve">Askeland &amp; </w:t>
      </w:r>
      <w:proofErr w:type="spellStart"/>
      <w:r w:rsidRPr="008D653C">
        <w:rPr>
          <w:sz w:val="18"/>
          <w:szCs w:val="20"/>
          <w:shd w:val="clear" w:color="auto" w:fill="FFFFFF"/>
        </w:rPr>
        <w:t>Døhlie</w:t>
      </w:r>
      <w:proofErr w:type="spellEnd"/>
      <w:r w:rsidRPr="008D653C">
        <w:rPr>
          <w:sz w:val="18"/>
          <w:szCs w:val="20"/>
          <w:shd w:val="clear" w:color="auto" w:fill="FFFFFF"/>
        </w:rPr>
        <w:t>, 2015</w:t>
      </w:r>
      <w:r w:rsidRPr="008D653C">
        <w:rPr>
          <w:sz w:val="18"/>
          <w:szCs w:val="20"/>
          <w:rtl/>
        </w:rPr>
        <w:t>). הקשר חברתי נוצר בידי אנשים, ואנשים הם תולדה של ההקשרים החברתיים שהם חיים בתוכם. אדם חי, לא בחלל ריק, אלא בהקשר, וההקשרים סבוכים ומשתנים תדיר, כפי שאנשים נמצאים בשינוי תמידי. ההקשרים השונים הסובבים אירוע או קטגוריה כגון "סיכון" מבנים את המשמעות המיוחסת להם. על כן ההבניה של קטגוריה מסוימת והמשמעויות הניתנות לה הן תולדה של הקשרים, כגון מקום, זמן, תרבות, שיח מקצועי ויחסי כוח. בהתבסס על המחקר שערכנו זו ההמשגה שאנו מציעים לגישה מודעת-הקשר המאפשרת להבין מצבי סיכון ומוגנות של ילדים:</w:t>
      </w:r>
    </w:p>
    <w:p w14:paraId="23BD268C" w14:textId="77777777" w:rsidR="008D653C" w:rsidRPr="008D653C" w:rsidRDefault="008D653C" w:rsidP="00DE7959">
      <w:pPr>
        <w:spacing w:after="180" w:line="300" w:lineRule="exact"/>
        <w:ind w:left="567"/>
        <w:jc w:val="both"/>
        <w:rPr>
          <w:sz w:val="18"/>
          <w:szCs w:val="20"/>
          <w:rtl/>
        </w:rPr>
      </w:pPr>
      <w:r w:rsidRPr="008D653C">
        <w:rPr>
          <w:sz w:val="18"/>
          <w:szCs w:val="20"/>
          <w:rtl/>
        </w:rPr>
        <w:t>אנשים, משפחות וקהילות חיים בתוך מארג של הקשרים מגוונים, ובהם תרבות, דת, מעמד, גזע, מגדר, לאום, הקשר חברתי-פוליטי. הֶקשרים אלה מעצבים את התפתחותם של הפרט והמשפחה ומתווים נסיבות חיים והזדמנויות. ההקשרים משפיעים גם על המשמעויות שבני אדם מייחסים לאירועים ולחוויות בחייהם. ההקשרים אינם קבועים וסטטיים, אלא תלויים בזמן ובמקום, ועל כן נתונים לשינוי מתמיד. הקשרים שונים מצטלבים זה בזה ומשפיעים זה על זה בדרכים מורכבות. במקצועות הטיפול, גישה מודעת-הקשר שואפת לזהות את ההקשרים המסוימים הרלוונטיים להבנת חוויות החיים של פרטים, משפחות וקהילות. גישה זו מניחה שההקשרים סבוכים והיברידיים, ומביאה בחשבון יחסי כוח בין הפרט, המשפחה והמערכות השונות המשפיעות על חייהם. היא גם מדגישה את כוחותיהם של אנשים, משפחות וקהילות ואת יכולת הפעולה העצמאית שלהם (</w:t>
      </w:r>
      <w:r w:rsidRPr="008D653C">
        <w:rPr>
          <w:sz w:val="18"/>
          <w:szCs w:val="20"/>
        </w:rPr>
        <w:t>agency</w:t>
      </w:r>
      <w:r w:rsidRPr="008D653C">
        <w:rPr>
          <w:sz w:val="18"/>
          <w:szCs w:val="20"/>
          <w:rtl/>
        </w:rPr>
        <w:t xml:space="preserve">). גישה </w:t>
      </w:r>
      <w:r w:rsidRPr="008D653C">
        <w:rPr>
          <w:sz w:val="18"/>
          <w:szCs w:val="20"/>
          <w:rtl/>
        </w:rPr>
        <w:lastRenderedPageBreak/>
        <w:t xml:space="preserve">מודעת-הקשר להבנת סיכון ומוגנות של ילדים שואפת לזהות את ההקשרים הרלוונטיים בהבניית הקטגוריות "סיכון" ו"מוגנות" מנקודת מבטם של הורים, ילדים ואנשי המקצוע האמונים על הגנת הילד. </w:t>
      </w:r>
    </w:p>
    <w:p w14:paraId="2A7C88C6" w14:textId="77777777" w:rsidR="008D653C" w:rsidRPr="008D653C" w:rsidRDefault="008D653C" w:rsidP="00DE7959">
      <w:pPr>
        <w:spacing w:after="180" w:line="300" w:lineRule="exact"/>
        <w:jc w:val="both"/>
        <w:rPr>
          <w:sz w:val="18"/>
          <w:szCs w:val="20"/>
          <w:rtl/>
        </w:rPr>
      </w:pPr>
      <w:r w:rsidRPr="008D653C">
        <w:rPr>
          <w:sz w:val="18"/>
          <w:szCs w:val="20"/>
          <w:rtl/>
        </w:rPr>
        <w:t xml:space="preserve">בעוד ספרות המחקר הבין-תרבותית בוחנת את שאלת הסיכון והמוגנות של ילדים בקרב קבוצות תרבותיות שונות, בהתמקדה בהבדלים ובקווי הדמיון בין הקבוצות, גישה מודעת-הקשר מתמקדת במיפוי הקשרים שונים המשפיעים על סיכון של ילדים, על אפשרות של התעללות בהם, על רווחתם </w:t>
      </w:r>
      <w:proofErr w:type="spellStart"/>
      <w:r w:rsidRPr="008D653C">
        <w:rPr>
          <w:sz w:val="18"/>
          <w:szCs w:val="20"/>
          <w:rtl/>
        </w:rPr>
        <w:t>ומוגנותם</w:t>
      </w:r>
      <w:proofErr w:type="spellEnd"/>
      <w:r w:rsidRPr="008D653C">
        <w:rPr>
          <w:sz w:val="18"/>
          <w:szCs w:val="20"/>
          <w:rtl/>
        </w:rPr>
        <w:t>. במאמר זה נציג דוגמאות לשלושה הקשרים שנמצאו במחקרינו שנערכו בישראל: דת ורוחניות, גזענות והדרה, קונפליקט פוליטי ואלימות.</w:t>
      </w:r>
    </w:p>
    <w:p w14:paraId="0697EB73" w14:textId="77777777" w:rsidR="008D653C" w:rsidRPr="008D653C" w:rsidRDefault="008D653C" w:rsidP="00DE7959">
      <w:pPr>
        <w:spacing w:after="180" w:line="300" w:lineRule="exact"/>
        <w:jc w:val="both"/>
        <w:rPr>
          <w:sz w:val="18"/>
          <w:szCs w:val="20"/>
          <w:rtl/>
        </w:rPr>
      </w:pPr>
      <w:r w:rsidRPr="008D653C">
        <w:rPr>
          <w:sz w:val="18"/>
          <w:szCs w:val="20"/>
          <w:rtl/>
        </w:rPr>
        <w:t>היבט חשוב בגישה מודעת-הקשר הוא עקרון ההשתתפות. עיקרון זה אומר שחשוב שהורים, ילדים ואנשי מקצוע ישתתפו בדיונים בנושא, יציעו דרכים לקדם מוגנות של ילדים ויעלו רעיונות למניעה ולהתערבות במקרים של ילדים בסיכון. הורים מחזיקים ידע חיוני על תרבות, על הקשר, על אתגרים ועל דרכי התמודדות אפשריות, אך כמעט אף פעם אין לוקחים בחשבון את נקודת מבטם על סיכון ומוגנות. גם קולם של הילדים, שהם ליבת העניין, כמעט לא נשמע בספרות המקצועית (</w:t>
      </w:r>
      <w:r w:rsidRPr="008D653C">
        <w:rPr>
          <w:sz w:val="18"/>
          <w:szCs w:val="20"/>
        </w:rPr>
        <w:t xml:space="preserve">Andresen &amp; </w:t>
      </w:r>
      <w:proofErr w:type="spellStart"/>
      <w:r w:rsidRPr="008D653C">
        <w:rPr>
          <w:sz w:val="18"/>
          <w:szCs w:val="20"/>
        </w:rPr>
        <w:t>Fegter</w:t>
      </w:r>
      <w:proofErr w:type="spellEnd"/>
      <w:r w:rsidRPr="008D653C">
        <w:rPr>
          <w:sz w:val="18"/>
          <w:szCs w:val="20"/>
        </w:rPr>
        <w:t>, 2011; Ben-</w:t>
      </w:r>
      <w:proofErr w:type="spellStart"/>
      <w:r w:rsidRPr="008D653C">
        <w:rPr>
          <w:sz w:val="18"/>
          <w:szCs w:val="20"/>
        </w:rPr>
        <w:t>Arieh</w:t>
      </w:r>
      <w:proofErr w:type="spellEnd"/>
      <w:r w:rsidRPr="008D653C">
        <w:rPr>
          <w:sz w:val="18"/>
          <w:szCs w:val="20"/>
        </w:rPr>
        <w:t>, 2005</w:t>
      </w:r>
      <w:r w:rsidRPr="008D653C">
        <w:rPr>
          <w:sz w:val="18"/>
          <w:szCs w:val="20"/>
          <w:rtl/>
        </w:rPr>
        <w:t>). מהמחקרים שערכנו למדנו שכבר מגיל שלוש יש לילדים זווית ראייה משלהם על סיכון ומוגנות. בעלי מקצוע בזירה זו, העובדים עם קהילות שונות בהקשרים מגוונים, נמצאים בעמדות שבהן הם יכולים להשפיע על חייהם של ילדים ומשפחות. על כן הבנת תפיסותיהם עשויה לתרום תובנות חשובות. יש גם ערך רב לבחינת עמדותיהם של אותם עובדים סוציאליים השייכים עצמם לקהילות תרבותיות ייחודיות, מאחר שהם יכולים לחשוף את הפערים שבין סוציאליזציה (חִברוּת)</w:t>
      </w:r>
      <w:r w:rsidRPr="008D653C">
        <w:rPr>
          <w:sz w:val="18"/>
          <w:szCs w:val="20"/>
        </w:rPr>
        <w:t xml:space="preserve"> </w:t>
      </w:r>
      <w:r w:rsidRPr="008D653C">
        <w:rPr>
          <w:sz w:val="18"/>
          <w:szCs w:val="20"/>
          <w:rtl/>
        </w:rPr>
        <w:t>מקצועית מערבית לבין תפיסות מקומיות וקולות בתוך הקהילה (</w:t>
      </w:r>
      <w:proofErr w:type="spellStart"/>
      <w:r w:rsidRPr="008D653C">
        <w:rPr>
          <w:sz w:val="18"/>
          <w:szCs w:val="20"/>
        </w:rPr>
        <w:t>Nadan</w:t>
      </w:r>
      <w:proofErr w:type="spellEnd"/>
      <w:r w:rsidRPr="008D653C">
        <w:rPr>
          <w:sz w:val="18"/>
          <w:szCs w:val="20"/>
        </w:rPr>
        <w:t xml:space="preserve"> et al., 2018</w:t>
      </w:r>
      <w:r w:rsidRPr="008D653C">
        <w:rPr>
          <w:sz w:val="18"/>
          <w:szCs w:val="20"/>
          <w:rtl/>
        </w:rPr>
        <w:t>).</w:t>
      </w:r>
    </w:p>
    <w:p w14:paraId="0D305440" w14:textId="409ACD3F" w:rsidR="008D653C" w:rsidRDefault="008D653C" w:rsidP="00DE7959">
      <w:pPr>
        <w:spacing w:after="180" w:line="300" w:lineRule="exact"/>
        <w:jc w:val="both"/>
        <w:rPr>
          <w:b/>
          <w:bCs/>
          <w:sz w:val="18"/>
          <w:szCs w:val="20"/>
        </w:rPr>
      </w:pPr>
    </w:p>
    <w:p w14:paraId="0DC0CE38" w14:textId="77777777" w:rsidR="00955C47" w:rsidRPr="008D653C" w:rsidRDefault="00955C47" w:rsidP="00DE7959">
      <w:pPr>
        <w:spacing w:after="180" w:line="300" w:lineRule="exact"/>
        <w:jc w:val="both"/>
        <w:rPr>
          <w:b/>
          <w:bCs/>
          <w:sz w:val="18"/>
          <w:szCs w:val="20"/>
          <w:rtl/>
        </w:rPr>
      </w:pPr>
    </w:p>
    <w:p w14:paraId="121CDAF1" w14:textId="4D6D20A2" w:rsidR="008D653C" w:rsidRPr="008D653C" w:rsidRDefault="008D653C" w:rsidP="004347AC">
      <w:pPr>
        <w:pStyle w:val="KOT4"/>
        <w:spacing w:after="0"/>
        <w:ind w:left="397" w:right="0" w:hanging="397"/>
        <w:jc w:val="both"/>
        <w:rPr>
          <w:rFonts w:cs="Guttman Aharoni"/>
          <w:color w:val="00B0F0"/>
          <w:sz w:val="32"/>
          <w:szCs w:val="32"/>
          <w:rtl/>
        </w:rPr>
      </w:pPr>
      <w:r>
        <w:rPr>
          <w:rFonts w:cs="Guttman Aharoni" w:hint="cs"/>
          <w:color w:val="00B0F0"/>
          <w:sz w:val="32"/>
          <w:szCs w:val="32"/>
          <w:rtl/>
        </w:rPr>
        <w:t>2.</w:t>
      </w:r>
      <w:r>
        <w:rPr>
          <w:rFonts w:cs="Guttman Aharoni"/>
          <w:color w:val="00B0F0"/>
          <w:sz w:val="32"/>
          <w:szCs w:val="32"/>
          <w:rtl/>
        </w:rPr>
        <w:tab/>
      </w:r>
      <w:r w:rsidRPr="00955C47">
        <w:rPr>
          <w:rFonts w:cs="Guttman Aharoni"/>
          <w:color w:val="00B0F0"/>
          <w:spacing w:val="-4"/>
          <w:sz w:val="32"/>
          <w:szCs w:val="32"/>
          <w:rtl/>
        </w:rPr>
        <w:t>הקשרים שונים ותפקידם בהבנת סיכון ומוגנות</w:t>
      </w:r>
      <w:r w:rsidRPr="008D653C">
        <w:rPr>
          <w:rFonts w:cs="Guttman Aharoni"/>
          <w:color w:val="00B0F0"/>
          <w:sz w:val="32"/>
          <w:szCs w:val="32"/>
          <w:rtl/>
        </w:rPr>
        <w:t xml:space="preserve"> של ילדים</w:t>
      </w:r>
    </w:p>
    <w:p w14:paraId="78081229" w14:textId="77777777" w:rsidR="008D653C" w:rsidRPr="008D653C" w:rsidRDefault="008D653C" w:rsidP="00DE7959">
      <w:pPr>
        <w:spacing w:after="180" w:line="300" w:lineRule="exact"/>
        <w:jc w:val="both"/>
        <w:rPr>
          <w:sz w:val="18"/>
          <w:szCs w:val="20"/>
          <w:rtl/>
        </w:rPr>
      </w:pPr>
      <w:r w:rsidRPr="008D653C">
        <w:rPr>
          <w:sz w:val="18"/>
          <w:szCs w:val="20"/>
          <w:rtl/>
        </w:rPr>
        <w:t xml:space="preserve">בין השנים 2020-2015 ערכנו מחקר איכותני רחב היקף בתמיכת הקרן הלאומית למדע (מענקים מס' </w:t>
      </w:r>
      <w:r w:rsidRPr="008D653C">
        <w:rPr>
          <w:sz w:val="18"/>
          <w:szCs w:val="20"/>
        </w:rPr>
        <w:t>1935/15</w:t>
      </w:r>
      <w:r w:rsidRPr="008D653C">
        <w:rPr>
          <w:sz w:val="18"/>
          <w:szCs w:val="20"/>
          <w:rtl/>
        </w:rPr>
        <w:t xml:space="preserve"> ו-</w:t>
      </w:r>
      <w:r w:rsidRPr="008D653C">
        <w:rPr>
          <w:sz w:val="18"/>
          <w:szCs w:val="20"/>
        </w:rPr>
        <w:t>1958/17</w:t>
      </w:r>
      <w:r w:rsidRPr="008D653C">
        <w:rPr>
          <w:sz w:val="18"/>
          <w:szCs w:val="20"/>
          <w:rtl/>
        </w:rPr>
        <w:t xml:space="preserve">). המחקר נערך במסגרת </w:t>
      </w:r>
      <w:r w:rsidRPr="008D653C">
        <w:rPr>
          <w:b/>
          <w:bCs/>
          <w:sz w:val="18"/>
          <w:szCs w:val="20"/>
          <w:rtl/>
        </w:rPr>
        <w:t>נבט – חממה למחקר והכשרה מודעי-הקשר</w:t>
      </w:r>
      <w:r w:rsidRPr="008D653C">
        <w:rPr>
          <w:sz w:val="18"/>
          <w:szCs w:val="20"/>
          <w:rtl/>
        </w:rPr>
        <w:t xml:space="preserve">, בבית הספר לעבודה סוציאלית ולרווחה חברתית באוניברסיטה העברית בירושלים. חוקרים בכירים בקבוצת המחקר הדריכו והכשירו חוקרים צעירים, תלמידים לתארים מתקדמים השייכים לקהילות שעבדנו עימן, והם אלה שערכו את הראיונות עם </w:t>
      </w:r>
      <w:r w:rsidRPr="008D653C">
        <w:rPr>
          <w:sz w:val="18"/>
          <w:szCs w:val="20"/>
          <w:rtl/>
        </w:rPr>
        <w:lastRenderedPageBreak/>
        <w:t>משתתפי המחקר. המחקר נסמך על התיאוריה המעוגנת בשדה (</w:t>
      </w:r>
      <w:r w:rsidRPr="008D653C">
        <w:rPr>
          <w:sz w:val="18"/>
          <w:szCs w:val="20"/>
        </w:rPr>
        <w:t>grounded theory</w:t>
      </w:r>
      <w:r w:rsidRPr="008D653C">
        <w:rPr>
          <w:sz w:val="18"/>
          <w:szCs w:val="20"/>
          <w:rtl/>
        </w:rPr>
        <w:t>), שמטרתה פיתוח שיטתי של מודל תיאורטי המעוגן בנתונים (</w:t>
      </w:r>
      <w:r w:rsidRPr="008D653C">
        <w:rPr>
          <w:sz w:val="18"/>
          <w:szCs w:val="20"/>
        </w:rPr>
        <w:t>Corbin &amp; Strauss, 2015; Denzin &amp; Lincoln, 2011</w:t>
      </w:r>
      <w:r w:rsidRPr="008D653C">
        <w:rPr>
          <w:sz w:val="18"/>
          <w:szCs w:val="20"/>
          <w:rtl/>
        </w:rPr>
        <w:t>). אימצנו את הגרסה ההבנייתית של תיאוריה זו, אשר מציבה את תהליך המחקר ואת תוצריו בהקשרים היסטוריים, חברתיים ונסיבתיים, נוקטת גישה ביקורתית שתכליתה לחשוף מופעים של דיכוי, אי שוויון ואי צדק ומבקשת להביע התנגדות כלפיהם ולתקן אותם (</w:t>
      </w:r>
      <w:r w:rsidRPr="008D653C">
        <w:rPr>
          <w:sz w:val="18"/>
          <w:szCs w:val="20"/>
        </w:rPr>
        <w:t>Charmaz, 2014, 2017</w:t>
      </w:r>
      <w:r w:rsidRPr="008D653C">
        <w:rPr>
          <w:sz w:val="18"/>
          <w:szCs w:val="20"/>
          <w:rtl/>
        </w:rPr>
        <w:t>). המחקר האיכותני שערכנו התמקד בשמונה קהילות, ובמסגרתו נערכו 249 ראיונות עומק מובנים למחצה עם הורים ו-185 ראיונות עם ילדים על תפיסותיהם בנוגע לסיכון, להתעללות, למוגנות ולרווחה של ילדים. עוד רואיינו 153 אנשי מקצוע העובדים עם שמונה קהילות אלה. הנתונים נאספו באמצעות ראיונות עומק מובנים למחצה (</w:t>
      </w:r>
      <w:r w:rsidRPr="008D653C">
        <w:rPr>
          <w:sz w:val="18"/>
          <w:szCs w:val="20"/>
        </w:rPr>
        <w:t>Creswell &amp; Creswell, 2017</w:t>
      </w:r>
      <w:r w:rsidRPr="008D653C">
        <w:rPr>
          <w:sz w:val="18"/>
          <w:szCs w:val="20"/>
          <w:rtl/>
        </w:rPr>
        <w:t xml:space="preserve">). מדריכי הריאיון פותחו בידי כותבי המאמר בשותפות עם חברי קבוצת המחקר, ובהמשך עברו שינויים והתאמות לקבוצות השונות. במסגרת הראיונות ביקשו החוקרים מהמשתתפים לתאר ולהסביר את יחסם למושגים סיכון ומוגנות ולהציע רעיונות למניעת סיכון כמו גם להתערבויות במקרים של סיכון. עובדים סוציאליים התבקשו לתת דוגמאות </w:t>
      </w:r>
      <w:proofErr w:type="spellStart"/>
      <w:r w:rsidRPr="008D653C">
        <w:rPr>
          <w:sz w:val="18"/>
          <w:szCs w:val="20"/>
          <w:rtl/>
        </w:rPr>
        <w:t>לפרקטיקות</w:t>
      </w:r>
      <w:proofErr w:type="spellEnd"/>
      <w:r w:rsidRPr="008D653C">
        <w:rPr>
          <w:sz w:val="18"/>
          <w:szCs w:val="20"/>
          <w:rtl/>
        </w:rPr>
        <w:t>, דילמות ואתגרים שעולים מתוך עבודתם בשדה ולספר על הכשרות מקצועיות שעברו במהלך הקריירה ועל הרלוונטיות שלהן לעבודה היומיומית. עם הילדים נעזרנו במתודולוגיות של ציורים וצילום תמונות (</w:t>
      </w:r>
      <w:r w:rsidRPr="008D653C">
        <w:rPr>
          <w:sz w:val="18"/>
          <w:szCs w:val="20"/>
        </w:rPr>
        <w:t>photo voice</w:t>
      </w:r>
      <w:r w:rsidRPr="008D653C">
        <w:rPr>
          <w:sz w:val="18"/>
          <w:szCs w:val="20"/>
          <w:rtl/>
        </w:rPr>
        <w:t xml:space="preserve">), שלוו בנרטיבים שלהם ביחס אליהם. לוח 1 להלן מסכם את </w:t>
      </w:r>
      <w:bookmarkStart w:id="4" w:name="_Hlk86211728"/>
      <w:r w:rsidRPr="008D653C">
        <w:rPr>
          <w:sz w:val="18"/>
          <w:szCs w:val="20"/>
          <w:rtl/>
        </w:rPr>
        <w:t>דגימת המחקר ואת הפרסומים שיצאו לאור בעקבות פרויקט המחקר</w:t>
      </w:r>
      <w:bookmarkEnd w:id="4"/>
      <w:r w:rsidRPr="008D653C">
        <w:rPr>
          <w:sz w:val="18"/>
          <w:szCs w:val="20"/>
          <w:rtl/>
        </w:rPr>
        <w:t>.</w:t>
      </w:r>
    </w:p>
    <w:p w14:paraId="7F8610BF" w14:textId="77777777" w:rsidR="008D653C" w:rsidRPr="008D653C" w:rsidRDefault="008D653C" w:rsidP="00DE7959">
      <w:pPr>
        <w:spacing w:after="180" w:line="300" w:lineRule="exact"/>
        <w:jc w:val="both"/>
        <w:rPr>
          <w:sz w:val="18"/>
          <w:szCs w:val="20"/>
          <w:rtl/>
        </w:rPr>
      </w:pPr>
      <w:r w:rsidRPr="008D653C">
        <w:rPr>
          <w:sz w:val="18"/>
          <w:szCs w:val="20"/>
          <w:rtl/>
        </w:rPr>
        <w:t xml:space="preserve">הניתוח שערכנו בוחן באופן השוואתי את קולותיהם של ההורים, הילדים ואנשי המקצוע. ההרכב המיוחד של קבוצת המחקר – מומחים מתחום המחקר האיכותני, אנשי מקצוע בתחומי רווחת הילד והגנתו וחוקרים בני הקהילות הנחקרות – סיפק נקודות מבט מגוונות, ששימשו אותנו בבואנו לנתח את הנתונים הגולמיים ולדון במשמעותם. </w:t>
      </w:r>
    </w:p>
    <w:p w14:paraId="553D7DAD" w14:textId="42511FD5" w:rsidR="008D653C" w:rsidRPr="008D653C" w:rsidRDefault="008D653C" w:rsidP="00DE7959">
      <w:pPr>
        <w:spacing w:after="180" w:line="300" w:lineRule="exact"/>
        <w:jc w:val="both"/>
        <w:rPr>
          <w:sz w:val="18"/>
          <w:szCs w:val="20"/>
        </w:rPr>
      </w:pPr>
      <w:r w:rsidRPr="008D653C">
        <w:rPr>
          <w:sz w:val="18"/>
          <w:szCs w:val="20"/>
          <w:rtl/>
        </w:rPr>
        <w:t>הממצאים הובילו להגדרת הגישה המודעת-הקשר הפותחת את המאמר. בהמשך אנו מביאים דוגמאות שעלו במחקר של הקשרים רלוונטיים במיוחד, התורמים להבנת מצבי סיכון ומוגנות של ילדים במציאות הישראלית. חשוב לציין שתפיסת הילדים לעומת המבוגרים באשר לסיכון ומוגנות ויחסי הכוח ביניהם נידונים במאמרים אחרים</w:t>
      </w:r>
      <w:r w:rsidR="00955C47">
        <w:rPr>
          <w:rFonts w:hint="cs"/>
          <w:sz w:val="18"/>
          <w:szCs w:val="20"/>
          <w:rtl/>
        </w:rPr>
        <w:t xml:space="preserve"> </w:t>
      </w:r>
      <w:r w:rsidRPr="008D653C">
        <w:rPr>
          <w:sz w:val="18"/>
          <w:szCs w:val="20"/>
          <w:rtl/>
        </w:rPr>
        <w:t>(</w:t>
      </w:r>
      <w:proofErr w:type="spellStart"/>
      <w:r w:rsidRPr="008D653C">
        <w:rPr>
          <w:sz w:val="18"/>
          <w:szCs w:val="20"/>
        </w:rPr>
        <w:t>Ponizovsky-Bergelson</w:t>
      </w:r>
      <w:proofErr w:type="spellEnd"/>
      <w:r w:rsidRPr="008D653C">
        <w:rPr>
          <w:sz w:val="18"/>
          <w:szCs w:val="20"/>
        </w:rPr>
        <w:t xml:space="preserve"> et al., 2019, 2020</w:t>
      </w:r>
      <w:r w:rsidRPr="008D653C">
        <w:rPr>
          <w:sz w:val="18"/>
          <w:szCs w:val="20"/>
          <w:rtl/>
        </w:rPr>
        <w:t xml:space="preserve">). חשוב לנו גם להזכיר את החשש הטמון בכל כתיבה המציגה דוגמאות על תרבות והקשר. לא ניתן להכליל דוגמאות אלה; הן עלולות </w:t>
      </w:r>
      <w:proofErr w:type="spellStart"/>
      <w:r w:rsidRPr="008D653C">
        <w:rPr>
          <w:sz w:val="18"/>
          <w:szCs w:val="20"/>
          <w:rtl/>
        </w:rPr>
        <w:t>לחטוא</w:t>
      </w:r>
      <w:proofErr w:type="spellEnd"/>
      <w:r w:rsidRPr="008D653C">
        <w:rPr>
          <w:sz w:val="18"/>
          <w:szCs w:val="20"/>
          <w:rtl/>
        </w:rPr>
        <w:t xml:space="preserve"> לאמת בניסיונן לייצג נאמנה </w:t>
      </w:r>
      <w:bookmarkStart w:id="5" w:name="_Hlk83202224"/>
      <w:r w:rsidRPr="008D653C">
        <w:rPr>
          <w:sz w:val="18"/>
          <w:szCs w:val="20"/>
          <w:rtl/>
        </w:rPr>
        <w:t>מורכבות, היברידיות ושינוי</w:t>
      </w:r>
      <w:bookmarkEnd w:id="5"/>
      <w:r w:rsidRPr="008D653C">
        <w:rPr>
          <w:sz w:val="18"/>
          <w:szCs w:val="20"/>
          <w:rtl/>
        </w:rPr>
        <w:t>, וכך אף ליצור או לחזק סטריאוטיפים. על כן חשוב לנו להדגיש שאף שהדוגמאות נלקחו מהקשרים מסוימים, ההקשרים קשורים אלה באלה. המסגרת המושגית של הצטלבות מיקומים (</w:t>
      </w:r>
      <w:r w:rsidRPr="008D653C">
        <w:rPr>
          <w:sz w:val="18"/>
          <w:szCs w:val="20"/>
        </w:rPr>
        <w:t>intersectionality</w:t>
      </w:r>
      <w:r w:rsidRPr="008D653C">
        <w:rPr>
          <w:sz w:val="18"/>
          <w:szCs w:val="20"/>
          <w:rtl/>
        </w:rPr>
        <w:t>) (</w:t>
      </w:r>
      <w:r w:rsidRPr="008D653C">
        <w:rPr>
          <w:sz w:val="18"/>
          <w:szCs w:val="20"/>
        </w:rPr>
        <w:t>Crenshaw, 1989</w:t>
      </w:r>
      <w:r w:rsidRPr="008D653C">
        <w:rPr>
          <w:sz w:val="18"/>
          <w:szCs w:val="20"/>
          <w:rtl/>
        </w:rPr>
        <w:t>) עוזרת לנו להדגים את המורכבות הקיימת ואת היחסים ההדדיים בין ההקשרים השונים שנידונים במחקר.</w:t>
      </w:r>
    </w:p>
    <w:p w14:paraId="43A164E7" w14:textId="0CC2E476" w:rsidR="00DE7959" w:rsidRPr="0090645A" w:rsidRDefault="00DE7959" w:rsidP="00DE7959">
      <w:pPr>
        <w:keepNext/>
        <w:keepLines/>
        <w:spacing w:after="180" w:line="280" w:lineRule="exact"/>
        <w:jc w:val="both"/>
        <w:rPr>
          <w:rFonts w:cs="Guttman Aharoni"/>
          <w:sz w:val="20"/>
          <w:szCs w:val="20"/>
          <w:rtl/>
        </w:rPr>
      </w:pPr>
      <w:bookmarkStart w:id="6" w:name="_Hlk85556085"/>
      <w:bookmarkStart w:id="7" w:name="_Hlk85700433"/>
      <w:r w:rsidRPr="0090645A">
        <w:rPr>
          <w:rFonts w:cs="Guttman Aharoni" w:hint="cs"/>
          <w:sz w:val="20"/>
          <w:szCs w:val="20"/>
          <w:rtl/>
        </w:rPr>
        <w:lastRenderedPageBreak/>
        <w:t>לוח</w:t>
      </w:r>
      <w:r w:rsidRPr="0090645A">
        <w:rPr>
          <w:rFonts w:cs="Guttman Aharoni"/>
          <w:sz w:val="20"/>
          <w:szCs w:val="20"/>
          <w:rtl/>
        </w:rPr>
        <w:t xml:space="preserve"> 1</w:t>
      </w:r>
      <w:r w:rsidRPr="0090645A">
        <w:rPr>
          <w:rFonts w:cs="Guttman Aharoni" w:hint="cs"/>
          <w:sz w:val="20"/>
          <w:szCs w:val="20"/>
          <w:rtl/>
        </w:rPr>
        <w:t xml:space="preserve">: </w:t>
      </w:r>
      <w:r w:rsidR="00A91A32">
        <w:rPr>
          <w:rFonts w:cs="Guttman Aharoni" w:hint="cs"/>
          <w:sz w:val="20"/>
          <w:szCs w:val="20"/>
          <w:rtl/>
        </w:rPr>
        <w:t xml:space="preserve">סיכום </w:t>
      </w:r>
      <w:r w:rsidR="00A91A32" w:rsidRPr="00A91A32">
        <w:rPr>
          <w:rFonts w:cs="Guttman Aharoni"/>
          <w:sz w:val="20"/>
          <w:szCs w:val="20"/>
          <w:rtl/>
        </w:rPr>
        <w:t>דגימת המחקר ו</w:t>
      </w:r>
      <w:r w:rsidR="00A91A32">
        <w:rPr>
          <w:rFonts w:cs="Guttman Aharoni" w:hint="cs"/>
          <w:sz w:val="20"/>
          <w:szCs w:val="20"/>
          <w:rtl/>
        </w:rPr>
        <w:t>ה</w:t>
      </w:r>
      <w:r w:rsidR="00A91A32" w:rsidRPr="00A91A32">
        <w:rPr>
          <w:rFonts w:cs="Guttman Aharoni"/>
          <w:sz w:val="20"/>
          <w:szCs w:val="20"/>
          <w:rtl/>
        </w:rPr>
        <w:t>פרסומים שיצאו לאור בעקבות</w:t>
      </w:r>
      <w:r w:rsidR="00A91A32">
        <w:rPr>
          <w:rFonts w:cs="Guttman Aharoni" w:hint="cs"/>
          <w:sz w:val="20"/>
          <w:szCs w:val="20"/>
          <w:rtl/>
        </w:rPr>
        <w:t>יו</w:t>
      </w:r>
    </w:p>
    <w:tbl>
      <w:tblPr>
        <w:bidiVisual/>
        <w:tblW w:w="0" w:type="auto"/>
        <w:tblInd w:w="5" w:type="dxa"/>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Pr>
      <w:tblGrid>
        <w:gridCol w:w="1456"/>
        <w:gridCol w:w="625"/>
        <w:gridCol w:w="884"/>
        <w:gridCol w:w="929"/>
        <w:gridCol w:w="2675"/>
      </w:tblGrid>
      <w:tr w:rsidR="000211FB" w:rsidRPr="000211FB" w14:paraId="75A4B221" w14:textId="77777777" w:rsidTr="000211FB">
        <w:trPr>
          <w:tblHeader/>
        </w:trPr>
        <w:tc>
          <w:tcPr>
            <w:tcW w:w="0" w:type="auto"/>
            <w:tcBorders>
              <w:top w:val="single" w:sz="8" w:space="0" w:color="auto"/>
              <w:left w:val="single" w:sz="8" w:space="0" w:color="auto"/>
              <w:bottom w:val="single" w:sz="8" w:space="0" w:color="auto"/>
            </w:tcBorders>
            <w:shd w:val="clear" w:color="auto" w:fill="auto"/>
            <w:vAlign w:val="bottom"/>
          </w:tcPr>
          <w:p w14:paraId="21A8D68D" w14:textId="52688081" w:rsidR="00DE7959" w:rsidRPr="000211FB" w:rsidRDefault="00DE7959" w:rsidP="000211FB">
            <w:pPr>
              <w:tabs>
                <w:tab w:val="left" w:pos="1148"/>
              </w:tabs>
              <w:spacing w:before="60" w:after="60" w:line="220" w:lineRule="exact"/>
              <w:rPr>
                <w:rFonts w:eastAsia="Calibri"/>
                <w:b/>
                <w:bCs/>
                <w:color w:val="000000"/>
                <w:sz w:val="16"/>
                <w:szCs w:val="18"/>
                <w:highlight w:val="yellow"/>
                <w:rtl/>
              </w:rPr>
            </w:pPr>
            <w:r w:rsidRPr="00A91A32">
              <w:rPr>
                <w:rFonts w:eastAsia="Calibri" w:hint="cs"/>
                <w:b/>
                <w:bCs/>
                <w:color w:val="000000"/>
                <w:sz w:val="16"/>
                <w:szCs w:val="18"/>
                <w:rtl/>
              </w:rPr>
              <w:t xml:space="preserve">קבוצת </w:t>
            </w:r>
            <w:r w:rsidRPr="00A91A32">
              <w:rPr>
                <w:rFonts w:eastAsia="Calibri"/>
                <w:b/>
                <w:bCs/>
                <w:color w:val="000000"/>
                <w:sz w:val="16"/>
                <w:szCs w:val="18"/>
                <w:rtl/>
              </w:rPr>
              <w:br/>
            </w:r>
            <w:r w:rsidRPr="00A91A32">
              <w:rPr>
                <w:rFonts w:eastAsia="Calibri" w:hint="cs"/>
                <w:b/>
                <w:bCs/>
                <w:color w:val="000000"/>
                <w:sz w:val="16"/>
                <w:szCs w:val="18"/>
                <w:rtl/>
              </w:rPr>
              <w:t>אוכלוסייה</w:t>
            </w:r>
          </w:p>
        </w:tc>
        <w:tc>
          <w:tcPr>
            <w:tcW w:w="0" w:type="auto"/>
            <w:tcBorders>
              <w:top w:val="single" w:sz="8" w:space="0" w:color="auto"/>
              <w:bottom w:val="single" w:sz="8" w:space="0" w:color="auto"/>
            </w:tcBorders>
            <w:shd w:val="clear" w:color="auto" w:fill="auto"/>
            <w:vAlign w:val="bottom"/>
          </w:tcPr>
          <w:p w14:paraId="653B9086" w14:textId="77777777" w:rsidR="00DE7959" w:rsidRPr="000211FB" w:rsidRDefault="00DE7959" w:rsidP="000211FB">
            <w:pPr>
              <w:tabs>
                <w:tab w:val="left" w:pos="1148"/>
              </w:tabs>
              <w:spacing w:before="60" w:after="60" w:line="220" w:lineRule="exact"/>
              <w:rPr>
                <w:rFonts w:eastAsia="Calibri"/>
                <w:b/>
                <w:bCs/>
                <w:color w:val="000000"/>
                <w:sz w:val="16"/>
                <w:szCs w:val="18"/>
                <w:rtl/>
                <w:lang w:bidi="ar-SA"/>
              </w:rPr>
            </w:pPr>
            <w:r w:rsidRPr="000211FB">
              <w:rPr>
                <w:rFonts w:eastAsia="Calibri"/>
                <w:b/>
                <w:bCs/>
                <w:color w:val="000000"/>
                <w:sz w:val="16"/>
                <w:szCs w:val="18"/>
                <w:rtl/>
              </w:rPr>
              <w:t>הורים</w:t>
            </w:r>
          </w:p>
        </w:tc>
        <w:tc>
          <w:tcPr>
            <w:tcW w:w="0" w:type="auto"/>
            <w:tcBorders>
              <w:top w:val="single" w:sz="8" w:space="0" w:color="auto"/>
              <w:bottom w:val="single" w:sz="8" w:space="0" w:color="auto"/>
            </w:tcBorders>
            <w:shd w:val="clear" w:color="auto" w:fill="auto"/>
            <w:vAlign w:val="bottom"/>
          </w:tcPr>
          <w:p w14:paraId="39245273" w14:textId="77777777" w:rsidR="00DE7959" w:rsidRPr="000211FB" w:rsidRDefault="00DE7959" w:rsidP="000211FB">
            <w:pPr>
              <w:tabs>
                <w:tab w:val="left" w:pos="1148"/>
              </w:tabs>
              <w:spacing w:before="60" w:after="60" w:line="220" w:lineRule="exact"/>
              <w:rPr>
                <w:rFonts w:eastAsia="Calibri"/>
                <w:b/>
                <w:bCs/>
                <w:color w:val="000000"/>
                <w:sz w:val="16"/>
                <w:szCs w:val="18"/>
                <w:rtl/>
                <w:lang w:bidi="ar-SA"/>
              </w:rPr>
            </w:pPr>
            <w:r w:rsidRPr="000211FB">
              <w:rPr>
                <w:rFonts w:eastAsia="Calibri"/>
                <w:b/>
                <w:bCs/>
                <w:color w:val="000000"/>
                <w:sz w:val="16"/>
                <w:szCs w:val="18"/>
                <w:rtl/>
              </w:rPr>
              <w:t xml:space="preserve">ילדים </w:t>
            </w:r>
            <w:r w:rsidRPr="000211FB">
              <w:rPr>
                <w:rFonts w:eastAsia="Calibri"/>
                <w:b/>
                <w:bCs/>
                <w:color w:val="000000"/>
                <w:sz w:val="16"/>
                <w:szCs w:val="18"/>
                <w:rtl/>
              </w:rPr>
              <w:br/>
              <w:t>(גילאים)</w:t>
            </w:r>
          </w:p>
        </w:tc>
        <w:tc>
          <w:tcPr>
            <w:tcW w:w="0" w:type="auto"/>
            <w:tcBorders>
              <w:top w:val="single" w:sz="8" w:space="0" w:color="auto"/>
              <w:bottom w:val="single" w:sz="8" w:space="0" w:color="auto"/>
            </w:tcBorders>
            <w:shd w:val="clear" w:color="auto" w:fill="auto"/>
            <w:vAlign w:val="bottom"/>
          </w:tcPr>
          <w:p w14:paraId="417BE396" w14:textId="77777777" w:rsidR="00DE7959" w:rsidRPr="000211FB" w:rsidRDefault="00DE7959" w:rsidP="000211FB">
            <w:pPr>
              <w:tabs>
                <w:tab w:val="left" w:pos="1148"/>
              </w:tabs>
              <w:spacing w:before="60" w:after="60" w:line="220" w:lineRule="exact"/>
              <w:rPr>
                <w:rFonts w:eastAsia="Calibri"/>
                <w:b/>
                <w:bCs/>
                <w:color w:val="000000"/>
                <w:sz w:val="16"/>
                <w:szCs w:val="18"/>
                <w:rtl/>
                <w:lang w:bidi="ar-SA"/>
              </w:rPr>
            </w:pPr>
            <w:r w:rsidRPr="000211FB">
              <w:rPr>
                <w:rFonts w:eastAsia="Calibri"/>
                <w:b/>
                <w:bCs/>
                <w:color w:val="000000"/>
                <w:sz w:val="16"/>
                <w:szCs w:val="18"/>
                <w:rtl/>
              </w:rPr>
              <w:t xml:space="preserve">עובדים </w:t>
            </w:r>
            <w:r w:rsidRPr="000211FB">
              <w:rPr>
                <w:rFonts w:eastAsia="Calibri"/>
                <w:b/>
                <w:bCs/>
                <w:color w:val="000000"/>
                <w:sz w:val="16"/>
                <w:szCs w:val="18"/>
                <w:rtl/>
              </w:rPr>
              <w:br/>
              <w:t>סוציאליים</w:t>
            </w:r>
          </w:p>
        </w:tc>
        <w:tc>
          <w:tcPr>
            <w:tcW w:w="0" w:type="auto"/>
            <w:tcBorders>
              <w:top w:val="single" w:sz="8" w:space="0" w:color="auto"/>
              <w:bottom w:val="single" w:sz="8" w:space="0" w:color="auto"/>
              <w:right w:val="single" w:sz="8" w:space="0" w:color="auto"/>
            </w:tcBorders>
            <w:shd w:val="clear" w:color="auto" w:fill="auto"/>
            <w:vAlign w:val="bottom"/>
          </w:tcPr>
          <w:p w14:paraId="48D6DB37" w14:textId="77777777" w:rsidR="00DE7959" w:rsidRPr="000211FB" w:rsidRDefault="00DE7959" w:rsidP="000211FB">
            <w:pPr>
              <w:tabs>
                <w:tab w:val="left" w:pos="1148"/>
              </w:tabs>
              <w:spacing w:before="60" w:after="60" w:line="220" w:lineRule="exact"/>
              <w:rPr>
                <w:rFonts w:eastAsia="Calibri"/>
                <w:b/>
                <w:bCs/>
                <w:color w:val="000000"/>
                <w:sz w:val="16"/>
                <w:szCs w:val="18"/>
                <w:rtl/>
                <w:lang w:bidi="ar-SA"/>
              </w:rPr>
            </w:pPr>
            <w:r w:rsidRPr="000211FB">
              <w:rPr>
                <w:rFonts w:eastAsia="Calibri"/>
                <w:b/>
                <w:bCs/>
                <w:color w:val="000000"/>
                <w:sz w:val="16"/>
                <w:szCs w:val="18"/>
                <w:rtl/>
              </w:rPr>
              <w:t>פרסומים</w:t>
            </w:r>
          </w:p>
        </w:tc>
      </w:tr>
      <w:tr w:rsidR="000211FB" w:rsidRPr="000211FB" w14:paraId="5ECBC1EC" w14:textId="77777777" w:rsidTr="000211FB">
        <w:tc>
          <w:tcPr>
            <w:tcW w:w="0" w:type="auto"/>
            <w:tcBorders>
              <w:top w:val="single" w:sz="8" w:space="0" w:color="auto"/>
              <w:left w:val="single" w:sz="8" w:space="0" w:color="auto"/>
              <w:bottom w:val="single" w:sz="4" w:space="0" w:color="auto"/>
            </w:tcBorders>
            <w:shd w:val="clear" w:color="auto" w:fill="auto"/>
          </w:tcPr>
          <w:p w14:paraId="4A52A46F" w14:textId="77777777" w:rsidR="00DE7959" w:rsidRPr="000211FB" w:rsidRDefault="00DE7959" w:rsidP="000211FB">
            <w:pPr>
              <w:tabs>
                <w:tab w:val="left" w:pos="1148"/>
              </w:tabs>
              <w:spacing w:before="60" w:after="60" w:line="220" w:lineRule="exact"/>
              <w:rPr>
                <w:rFonts w:eastAsia="Calibri"/>
                <w:sz w:val="16"/>
                <w:szCs w:val="18"/>
                <w:rtl/>
                <w:lang w:bidi="ar-SA"/>
              </w:rPr>
            </w:pPr>
            <w:r w:rsidRPr="000211FB">
              <w:rPr>
                <w:rFonts w:eastAsia="Calibri"/>
                <w:sz w:val="16"/>
                <w:szCs w:val="18"/>
                <w:rtl/>
              </w:rPr>
              <w:t xml:space="preserve">בדואים בכפרים </w:t>
            </w:r>
            <w:r w:rsidRPr="000211FB">
              <w:rPr>
                <w:rFonts w:eastAsia="Calibri"/>
                <w:b/>
                <w:bCs/>
                <w:sz w:val="16"/>
                <w:szCs w:val="18"/>
                <w:rtl/>
              </w:rPr>
              <w:br/>
            </w:r>
            <w:r w:rsidRPr="000211FB">
              <w:rPr>
                <w:rFonts w:eastAsia="Calibri"/>
                <w:sz w:val="16"/>
                <w:szCs w:val="18"/>
                <w:rtl/>
              </w:rPr>
              <w:t>הלא מוכרים בנגב</w:t>
            </w:r>
          </w:p>
        </w:tc>
        <w:tc>
          <w:tcPr>
            <w:tcW w:w="0" w:type="auto"/>
            <w:tcBorders>
              <w:top w:val="single" w:sz="8" w:space="0" w:color="auto"/>
              <w:bottom w:val="single" w:sz="4" w:space="0" w:color="auto"/>
            </w:tcBorders>
            <w:shd w:val="clear" w:color="auto" w:fill="auto"/>
          </w:tcPr>
          <w:p w14:paraId="5F7B0752"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r w:rsidRPr="000211FB">
              <w:rPr>
                <w:rFonts w:ascii="David" w:eastAsia="Calibri" w:hAnsi="David"/>
                <w:sz w:val="18"/>
                <w:szCs w:val="18"/>
                <w:rtl/>
              </w:rPr>
              <w:t>50</w:t>
            </w:r>
          </w:p>
        </w:tc>
        <w:tc>
          <w:tcPr>
            <w:tcW w:w="0" w:type="auto"/>
            <w:tcBorders>
              <w:top w:val="single" w:sz="8" w:space="0" w:color="auto"/>
              <w:bottom w:val="single" w:sz="4" w:space="0" w:color="auto"/>
            </w:tcBorders>
            <w:shd w:val="clear" w:color="auto" w:fill="auto"/>
          </w:tcPr>
          <w:p w14:paraId="0DD4BC32"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r w:rsidRPr="000211FB">
              <w:rPr>
                <w:rFonts w:ascii="David" w:eastAsia="Calibri" w:hAnsi="David" w:hint="cs"/>
                <w:sz w:val="18"/>
                <w:szCs w:val="18"/>
                <w:rtl/>
              </w:rPr>
              <w:t xml:space="preserve">30 </w:t>
            </w:r>
            <w:r w:rsidRPr="000211FB">
              <w:rPr>
                <w:rFonts w:ascii="David" w:eastAsia="Calibri" w:hAnsi="David"/>
                <w:sz w:val="18"/>
                <w:szCs w:val="18"/>
                <w:rtl/>
              </w:rPr>
              <w:t>(5-3)</w:t>
            </w:r>
          </w:p>
        </w:tc>
        <w:tc>
          <w:tcPr>
            <w:tcW w:w="0" w:type="auto"/>
            <w:tcBorders>
              <w:top w:val="single" w:sz="8" w:space="0" w:color="auto"/>
              <w:bottom w:val="single" w:sz="4" w:space="0" w:color="auto"/>
            </w:tcBorders>
            <w:shd w:val="clear" w:color="auto" w:fill="auto"/>
          </w:tcPr>
          <w:p w14:paraId="354470C1" w14:textId="77777777" w:rsidR="00DE7959" w:rsidRPr="000211FB" w:rsidRDefault="00DE7959" w:rsidP="000211FB">
            <w:pPr>
              <w:tabs>
                <w:tab w:val="left" w:pos="1148"/>
              </w:tabs>
              <w:spacing w:before="60" w:after="60" w:line="220" w:lineRule="exact"/>
              <w:rPr>
                <w:rFonts w:ascii="David" w:eastAsia="Calibri" w:hAnsi="David"/>
                <w:sz w:val="18"/>
                <w:szCs w:val="18"/>
                <w:lang w:bidi="ar-SA"/>
              </w:rPr>
            </w:pPr>
            <w:r w:rsidRPr="000211FB">
              <w:rPr>
                <w:rFonts w:ascii="David" w:eastAsia="Calibri" w:hAnsi="David"/>
                <w:sz w:val="18"/>
                <w:szCs w:val="18"/>
                <w:rtl/>
              </w:rPr>
              <w:t>15</w:t>
            </w:r>
          </w:p>
        </w:tc>
        <w:tc>
          <w:tcPr>
            <w:tcW w:w="0" w:type="auto"/>
            <w:tcBorders>
              <w:top w:val="single" w:sz="8" w:space="0" w:color="auto"/>
              <w:bottom w:val="single" w:sz="4" w:space="0" w:color="auto"/>
              <w:right w:val="single" w:sz="8" w:space="0" w:color="auto"/>
            </w:tcBorders>
            <w:shd w:val="clear" w:color="auto" w:fill="auto"/>
          </w:tcPr>
          <w:p w14:paraId="1DA6647F"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proofErr w:type="spellStart"/>
            <w:r w:rsidRPr="000211FB">
              <w:rPr>
                <w:rFonts w:eastAsia="Calibri"/>
                <w:sz w:val="16"/>
                <w:szCs w:val="18"/>
                <w:lang w:bidi="ar-SA"/>
              </w:rPr>
              <w:t>Marey-Sarwan</w:t>
            </w:r>
            <w:proofErr w:type="spellEnd"/>
            <w:r w:rsidRPr="000211FB">
              <w:rPr>
                <w:rFonts w:eastAsia="Calibri"/>
                <w:sz w:val="16"/>
                <w:szCs w:val="18"/>
                <w:lang w:bidi="ar-SA"/>
              </w:rPr>
              <w:t xml:space="preserve"> &amp; Meir, 2020</w:t>
            </w:r>
          </w:p>
          <w:p w14:paraId="136A2173"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proofErr w:type="spellStart"/>
            <w:r w:rsidRPr="000211FB">
              <w:rPr>
                <w:rFonts w:eastAsia="Calibri"/>
                <w:sz w:val="16"/>
                <w:szCs w:val="18"/>
                <w:lang w:bidi="ar-SA"/>
              </w:rPr>
              <w:t>Marey-Sarwan</w:t>
            </w:r>
            <w:proofErr w:type="spellEnd"/>
            <w:r w:rsidRPr="000211FB">
              <w:rPr>
                <w:rFonts w:eastAsia="Calibri"/>
                <w:sz w:val="16"/>
                <w:szCs w:val="18"/>
                <w:lang w:bidi="ar-SA"/>
              </w:rPr>
              <w:t xml:space="preserve"> &amp; </w:t>
            </w:r>
            <w:proofErr w:type="spellStart"/>
            <w:r w:rsidRPr="000211FB">
              <w:rPr>
                <w:rFonts w:eastAsia="Calibri"/>
                <w:sz w:val="16"/>
                <w:szCs w:val="18"/>
                <w:lang w:bidi="ar-SA"/>
              </w:rPr>
              <w:t>Roer-Strier</w:t>
            </w:r>
            <w:proofErr w:type="spellEnd"/>
            <w:r w:rsidRPr="000211FB">
              <w:rPr>
                <w:rFonts w:eastAsia="Calibri"/>
                <w:sz w:val="16"/>
                <w:szCs w:val="18"/>
                <w:lang w:bidi="ar-SA"/>
              </w:rPr>
              <w:t>, 2017</w:t>
            </w:r>
          </w:p>
          <w:p w14:paraId="6991ECED"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proofErr w:type="spellStart"/>
            <w:r w:rsidRPr="000211FB">
              <w:rPr>
                <w:rFonts w:eastAsia="Calibri"/>
                <w:sz w:val="16"/>
                <w:szCs w:val="18"/>
                <w:lang w:bidi="ar-SA"/>
              </w:rPr>
              <w:t>Marey‐Sarwan</w:t>
            </w:r>
            <w:proofErr w:type="spellEnd"/>
            <w:r w:rsidRPr="000211FB">
              <w:rPr>
                <w:rFonts w:eastAsia="Calibri"/>
                <w:sz w:val="16"/>
                <w:szCs w:val="18"/>
                <w:lang w:bidi="ar-SA"/>
              </w:rPr>
              <w:t>, 20</w:t>
            </w:r>
            <w:r w:rsidRPr="000211FB">
              <w:rPr>
                <w:rFonts w:eastAsia="Calibri"/>
                <w:sz w:val="16"/>
                <w:szCs w:val="18"/>
                <w:rtl/>
              </w:rPr>
              <w:t>20</w:t>
            </w:r>
          </w:p>
          <w:p w14:paraId="1E3B2A20" w14:textId="77777777" w:rsidR="00DE7959" w:rsidRPr="000211FB" w:rsidRDefault="00DE7959" w:rsidP="000211FB">
            <w:pPr>
              <w:tabs>
                <w:tab w:val="left" w:pos="1148"/>
              </w:tabs>
              <w:bidi w:val="0"/>
              <w:spacing w:before="60" w:after="60" w:line="220" w:lineRule="exact"/>
              <w:rPr>
                <w:rFonts w:eastAsia="Calibri"/>
                <w:sz w:val="16"/>
                <w:szCs w:val="18"/>
                <w:rtl/>
                <w:lang w:bidi="ar-SA"/>
              </w:rPr>
            </w:pPr>
            <w:proofErr w:type="spellStart"/>
            <w:r w:rsidRPr="000211FB">
              <w:rPr>
                <w:rFonts w:eastAsia="Calibri"/>
                <w:sz w:val="16"/>
                <w:szCs w:val="18"/>
                <w:lang w:bidi="ar-SA"/>
              </w:rPr>
              <w:t>Ponizovsky-Bergelson</w:t>
            </w:r>
            <w:proofErr w:type="spellEnd"/>
            <w:r w:rsidRPr="000211FB">
              <w:rPr>
                <w:rFonts w:eastAsia="Calibri"/>
                <w:sz w:val="16"/>
                <w:szCs w:val="18"/>
                <w:lang w:bidi="ar-SA"/>
              </w:rPr>
              <w:t xml:space="preserve"> et al., 2020</w:t>
            </w:r>
          </w:p>
        </w:tc>
      </w:tr>
      <w:tr w:rsidR="000211FB" w:rsidRPr="000211FB" w14:paraId="59351DE2" w14:textId="77777777" w:rsidTr="000211FB">
        <w:tc>
          <w:tcPr>
            <w:tcW w:w="0" w:type="auto"/>
            <w:tcBorders>
              <w:top w:val="single" w:sz="4" w:space="0" w:color="auto"/>
              <w:left w:val="single" w:sz="8" w:space="0" w:color="auto"/>
              <w:bottom w:val="single" w:sz="4" w:space="0" w:color="auto"/>
            </w:tcBorders>
            <w:shd w:val="clear" w:color="auto" w:fill="auto"/>
          </w:tcPr>
          <w:p w14:paraId="49DB72B2" w14:textId="77777777" w:rsidR="00DE7959" w:rsidRPr="000211FB" w:rsidRDefault="00DE7959" w:rsidP="000211FB">
            <w:pPr>
              <w:tabs>
                <w:tab w:val="left" w:pos="1148"/>
              </w:tabs>
              <w:spacing w:before="60" w:after="60" w:line="220" w:lineRule="exact"/>
              <w:rPr>
                <w:rFonts w:eastAsia="Calibri"/>
                <w:sz w:val="16"/>
                <w:szCs w:val="18"/>
              </w:rPr>
            </w:pPr>
            <w:r w:rsidRPr="000211FB">
              <w:rPr>
                <w:rFonts w:eastAsia="Calibri"/>
                <w:sz w:val="16"/>
                <w:szCs w:val="18"/>
                <w:rtl/>
              </w:rPr>
              <w:t xml:space="preserve">מבקשי מקלט </w:t>
            </w:r>
            <w:r w:rsidRPr="000211FB">
              <w:rPr>
                <w:rFonts w:eastAsia="Calibri"/>
                <w:b/>
                <w:bCs/>
                <w:sz w:val="16"/>
                <w:szCs w:val="18"/>
                <w:rtl/>
              </w:rPr>
              <w:br/>
            </w:r>
            <w:proofErr w:type="spellStart"/>
            <w:r w:rsidRPr="000211FB">
              <w:rPr>
                <w:rFonts w:eastAsia="Calibri"/>
                <w:sz w:val="16"/>
                <w:szCs w:val="18"/>
                <w:rtl/>
              </w:rPr>
              <w:t>אריתריאים</w:t>
            </w:r>
            <w:proofErr w:type="spellEnd"/>
            <w:r w:rsidRPr="000211FB">
              <w:rPr>
                <w:rFonts w:eastAsia="Calibri"/>
                <w:sz w:val="16"/>
                <w:szCs w:val="18"/>
                <w:rtl/>
              </w:rPr>
              <w:t xml:space="preserve"> </w:t>
            </w:r>
          </w:p>
        </w:tc>
        <w:tc>
          <w:tcPr>
            <w:tcW w:w="0" w:type="auto"/>
            <w:tcBorders>
              <w:top w:val="single" w:sz="4" w:space="0" w:color="auto"/>
              <w:bottom w:val="single" w:sz="4" w:space="0" w:color="auto"/>
            </w:tcBorders>
            <w:shd w:val="clear" w:color="auto" w:fill="auto"/>
          </w:tcPr>
          <w:p w14:paraId="02CBE917"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r w:rsidRPr="000211FB">
              <w:rPr>
                <w:rFonts w:ascii="David" w:eastAsia="Calibri" w:hAnsi="David"/>
                <w:sz w:val="18"/>
                <w:szCs w:val="18"/>
              </w:rPr>
              <w:t>19</w:t>
            </w:r>
          </w:p>
        </w:tc>
        <w:tc>
          <w:tcPr>
            <w:tcW w:w="0" w:type="auto"/>
            <w:tcBorders>
              <w:top w:val="single" w:sz="4" w:space="0" w:color="auto"/>
              <w:bottom w:val="single" w:sz="4" w:space="0" w:color="auto"/>
            </w:tcBorders>
            <w:shd w:val="clear" w:color="auto" w:fill="auto"/>
          </w:tcPr>
          <w:p w14:paraId="63B9C356" w14:textId="77777777" w:rsidR="00DE7959" w:rsidRPr="000211FB" w:rsidRDefault="00DE7959" w:rsidP="000211FB">
            <w:pPr>
              <w:tabs>
                <w:tab w:val="left" w:pos="1148"/>
              </w:tabs>
              <w:spacing w:before="60" w:after="60" w:line="220" w:lineRule="exact"/>
              <w:rPr>
                <w:rFonts w:ascii="David" w:eastAsia="Calibri" w:hAnsi="David"/>
                <w:sz w:val="18"/>
                <w:szCs w:val="18"/>
                <w:lang w:bidi="ar-SA"/>
              </w:rPr>
            </w:pPr>
            <w:r w:rsidRPr="000211FB">
              <w:rPr>
                <w:rFonts w:ascii="David" w:eastAsia="Calibri" w:hAnsi="David" w:hint="cs"/>
                <w:sz w:val="18"/>
                <w:szCs w:val="18"/>
                <w:rtl/>
              </w:rPr>
              <w:t xml:space="preserve">21 </w:t>
            </w:r>
            <w:r w:rsidRPr="000211FB">
              <w:rPr>
                <w:rFonts w:ascii="David" w:eastAsia="Calibri" w:hAnsi="David"/>
                <w:sz w:val="18"/>
                <w:szCs w:val="18"/>
                <w:rtl/>
              </w:rPr>
              <w:t>(6-3)</w:t>
            </w:r>
          </w:p>
        </w:tc>
        <w:tc>
          <w:tcPr>
            <w:tcW w:w="0" w:type="auto"/>
            <w:tcBorders>
              <w:top w:val="single" w:sz="4" w:space="0" w:color="auto"/>
              <w:bottom w:val="single" w:sz="4" w:space="0" w:color="auto"/>
            </w:tcBorders>
            <w:shd w:val="clear" w:color="auto" w:fill="auto"/>
          </w:tcPr>
          <w:p w14:paraId="6887ABFC" w14:textId="77777777" w:rsidR="00DE7959" w:rsidRPr="000211FB" w:rsidRDefault="00DE7959" w:rsidP="000211FB">
            <w:pPr>
              <w:tabs>
                <w:tab w:val="left" w:pos="1148"/>
              </w:tabs>
              <w:spacing w:before="60" w:after="60" w:line="220" w:lineRule="exact"/>
              <w:rPr>
                <w:rFonts w:ascii="David" w:eastAsia="Calibri" w:hAnsi="David"/>
                <w:sz w:val="18"/>
                <w:szCs w:val="18"/>
                <w:lang w:bidi="ar-SA"/>
              </w:rPr>
            </w:pPr>
            <w:r w:rsidRPr="000211FB">
              <w:rPr>
                <w:rFonts w:ascii="David" w:eastAsia="Calibri" w:hAnsi="David"/>
                <w:sz w:val="18"/>
                <w:szCs w:val="18"/>
              </w:rPr>
              <w:t>12</w:t>
            </w:r>
          </w:p>
        </w:tc>
        <w:tc>
          <w:tcPr>
            <w:tcW w:w="0" w:type="auto"/>
            <w:tcBorders>
              <w:top w:val="single" w:sz="4" w:space="0" w:color="auto"/>
              <w:bottom w:val="single" w:sz="4" w:space="0" w:color="auto"/>
              <w:right w:val="single" w:sz="8" w:space="0" w:color="auto"/>
            </w:tcBorders>
            <w:shd w:val="clear" w:color="auto" w:fill="auto"/>
          </w:tcPr>
          <w:p w14:paraId="37DDC90D"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r w:rsidRPr="000211FB">
              <w:rPr>
                <w:rFonts w:eastAsia="Calibri"/>
                <w:sz w:val="16"/>
                <w:szCs w:val="18"/>
                <w:lang w:bidi="ar-SA"/>
              </w:rPr>
              <w:t>Birger, 2020</w:t>
            </w:r>
          </w:p>
          <w:p w14:paraId="5276BDC8"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r w:rsidRPr="000211FB">
              <w:rPr>
                <w:rFonts w:eastAsia="Calibri"/>
                <w:sz w:val="16"/>
                <w:szCs w:val="18"/>
                <w:lang w:bidi="ar-SA"/>
              </w:rPr>
              <w:t xml:space="preserve">Birger, </w:t>
            </w:r>
            <w:proofErr w:type="spellStart"/>
            <w:r w:rsidRPr="000211FB">
              <w:rPr>
                <w:rFonts w:eastAsia="Calibri"/>
                <w:sz w:val="16"/>
                <w:szCs w:val="18"/>
                <w:lang w:bidi="ar-SA"/>
              </w:rPr>
              <w:t>Kedem</w:t>
            </w:r>
            <w:proofErr w:type="spellEnd"/>
            <w:r w:rsidRPr="000211FB">
              <w:rPr>
                <w:rFonts w:eastAsia="Calibri"/>
                <w:sz w:val="16"/>
                <w:szCs w:val="18"/>
                <w:lang w:bidi="ar-SA"/>
              </w:rPr>
              <w:t xml:space="preserve"> &amp; </w:t>
            </w:r>
            <w:proofErr w:type="spellStart"/>
            <w:r w:rsidRPr="000211FB">
              <w:rPr>
                <w:rFonts w:eastAsia="Calibri"/>
                <w:sz w:val="16"/>
                <w:szCs w:val="18"/>
                <w:lang w:bidi="ar-SA"/>
              </w:rPr>
              <w:t>Nadan</w:t>
            </w:r>
            <w:proofErr w:type="spellEnd"/>
            <w:r w:rsidRPr="000211FB">
              <w:rPr>
                <w:rFonts w:eastAsia="Calibri"/>
                <w:sz w:val="16"/>
                <w:szCs w:val="18"/>
                <w:lang w:bidi="ar-SA"/>
              </w:rPr>
              <w:t>, submitted</w:t>
            </w:r>
          </w:p>
          <w:p w14:paraId="305B7521"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r w:rsidRPr="000211FB">
              <w:rPr>
                <w:rFonts w:eastAsia="Calibri"/>
                <w:sz w:val="16"/>
                <w:szCs w:val="18"/>
                <w:lang w:bidi="ar-SA"/>
              </w:rPr>
              <w:t xml:space="preserve">Birger, </w:t>
            </w:r>
            <w:proofErr w:type="spellStart"/>
            <w:r w:rsidRPr="000211FB">
              <w:rPr>
                <w:rFonts w:eastAsia="Calibri"/>
                <w:sz w:val="16"/>
                <w:szCs w:val="18"/>
                <w:lang w:bidi="ar-SA"/>
              </w:rPr>
              <w:t>Nadan</w:t>
            </w:r>
            <w:proofErr w:type="spellEnd"/>
            <w:r w:rsidRPr="000211FB">
              <w:rPr>
                <w:rFonts w:eastAsia="Calibri"/>
                <w:sz w:val="16"/>
                <w:szCs w:val="18"/>
                <w:lang w:bidi="ar-SA"/>
              </w:rPr>
              <w:t xml:space="preserve"> &amp; </w:t>
            </w:r>
            <w:proofErr w:type="spellStart"/>
            <w:r w:rsidRPr="000211FB">
              <w:rPr>
                <w:rFonts w:eastAsia="Calibri"/>
                <w:sz w:val="16"/>
                <w:szCs w:val="18"/>
                <w:lang w:bidi="ar-SA"/>
              </w:rPr>
              <w:t>Ajzenstadt</w:t>
            </w:r>
            <w:proofErr w:type="spellEnd"/>
            <w:r w:rsidRPr="000211FB">
              <w:rPr>
                <w:rFonts w:eastAsia="Calibri"/>
                <w:sz w:val="16"/>
                <w:szCs w:val="18"/>
                <w:lang w:bidi="ar-SA"/>
              </w:rPr>
              <w:t>, 2020</w:t>
            </w:r>
          </w:p>
          <w:p w14:paraId="3FA933CD" w14:textId="77777777" w:rsidR="00DE7959" w:rsidRPr="000211FB" w:rsidRDefault="00DE7959" w:rsidP="000211FB">
            <w:pPr>
              <w:tabs>
                <w:tab w:val="left" w:pos="1148"/>
              </w:tabs>
              <w:bidi w:val="0"/>
              <w:spacing w:before="60" w:after="60" w:line="220" w:lineRule="exact"/>
              <w:rPr>
                <w:rFonts w:eastAsia="Calibri"/>
                <w:sz w:val="16"/>
                <w:szCs w:val="18"/>
                <w:lang w:bidi="ar-SA"/>
              </w:rPr>
            </w:pPr>
            <w:proofErr w:type="spellStart"/>
            <w:r w:rsidRPr="000211FB">
              <w:rPr>
                <w:rFonts w:eastAsia="Calibri"/>
                <w:sz w:val="16"/>
                <w:szCs w:val="18"/>
                <w:lang w:bidi="ar-SA"/>
              </w:rPr>
              <w:t>Ponizovsky-Bergelson</w:t>
            </w:r>
            <w:proofErr w:type="spellEnd"/>
            <w:r w:rsidRPr="000211FB">
              <w:rPr>
                <w:rFonts w:eastAsia="Calibri"/>
                <w:sz w:val="16"/>
                <w:szCs w:val="18"/>
                <w:lang w:bidi="ar-SA"/>
              </w:rPr>
              <w:t xml:space="preserve"> et al., 2020</w:t>
            </w:r>
          </w:p>
        </w:tc>
      </w:tr>
      <w:tr w:rsidR="000211FB" w:rsidRPr="000211FB" w14:paraId="692DD206" w14:textId="77777777" w:rsidTr="000211FB">
        <w:tc>
          <w:tcPr>
            <w:tcW w:w="0" w:type="auto"/>
            <w:tcBorders>
              <w:top w:val="single" w:sz="4" w:space="0" w:color="auto"/>
              <w:left w:val="single" w:sz="8" w:space="0" w:color="auto"/>
              <w:bottom w:val="single" w:sz="4" w:space="0" w:color="auto"/>
            </w:tcBorders>
            <w:shd w:val="clear" w:color="auto" w:fill="auto"/>
          </w:tcPr>
          <w:p w14:paraId="65C83BD8" w14:textId="77777777" w:rsidR="00DE7959" w:rsidRPr="000211FB" w:rsidRDefault="00DE7959" w:rsidP="000211FB">
            <w:pPr>
              <w:tabs>
                <w:tab w:val="left" w:pos="1148"/>
              </w:tabs>
              <w:spacing w:before="60" w:after="60" w:line="220" w:lineRule="exact"/>
              <w:rPr>
                <w:rFonts w:eastAsia="Calibri"/>
                <w:sz w:val="16"/>
                <w:szCs w:val="18"/>
              </w:rPr>
            </w:pPr>
            <w:r w:rsidRPr="000211FB">
              <w:rPr>
                <w:rFonts w:eastAsia="Calibri"/>
                <w:sz w:val="16"/>
                <w:szCs w:val="18"/>
                <w:rtl/>
              </w:rPr>
              <w:t>יוצאי אתיופיה</w:t>
            </w:r>
          </w:p>
        </w:tc>
        <w:tc>
          <w:tcPr>
            <w:tcW w:w="0" w:type="auto"/>
            <w:tcBorders>
              <w:top w:val="single" w:sz="4" w:space="0" w:color="auto"/>
              <w:bottom w:val="single" w:sz="4" w:space="0" w:color="auto"/>
            </w:tcBorders>
            <w:shd w:val="clear" w:color="auto" w:fill="auto"/>
          </w:tcPr>
          <w:p w14:paraId="4DACB804"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r w:rsidRPr="000211FB">
              <w:rPr>
                <w:rFonts w:ascii="David" w:eastAsia="Calibri" w:hAnsi="David"/>
                <w:sz w:val="18"/>
                <w:szCs w:val="18"/>
              </w:rPr>
              <w:t>50</w:t>
            </w:r>
          </w:p>
        </w:tc>
        <w:tc>
          <w:tcPr>
            <w:tcW w:w="0" w:type="auto"/>
            <w:tcBorders>
              <w:top w:val="single" w:sz="4" w:space="0" w:color="auto"/>
              <w:bottom w:val="single" w:sz="4" w:space="0" w:color="auto"/>
            </w:tcBorders>
            <w:shd w:val="clear" w:color="auto" w:fill="auto"/>
          </w:tcPr>
          <w:p w14:paraId="761C5687" w14:textId="77777777" w:rsidR="00DE7959" w:rsidRPr="000211FB" w:rsidRDefault="00DE7959" w:rsidP="000211FB">
            <w:pPr>
              <w:tabs>
                <w:tab w:val="left" w:pos="1148"/>
              </w:tabs>
              <w:spacing w:before="60" w:after="60" w:line="220" w:lineRule="exact"/>
              <w:rPr>
                <w:rFonts w:ascii="David" w:eastAsia="Calibri" w:hAnsi="David"/>
                <w:sz w:val="18"/>
                <w:szCs w:val="18"/>
                <w:lang w:bidi="ar-SA"/>
              </w:rPr>
            </w:pPr>
            <w:r w:rsidRPr="000211FB">
              <w:rPr>
                <w:rFonts w:ascii="David" w:eastAsia="Calibri" w:hAnsi="David"/>
                <w:sz w:val="18"/>
                <w:szCs w:val="18"/>
                <w:rtl/>
              </w:rPr>
              <w:t>30 (6-3)</w:t>
            </w:r>
          </w:p>
        </w:tc>
        <w:tc>
          <w:tcPr>
            <w:tcW w:w="0" w:type="auto"/>
            <w:tcBorders>
              <w:top w:val="single" w:sz="4" w:space="0" w:color="auto"/>
              <w:bottom w:val="single" w:sz="4" w:space="0" w:color="auto"/>
            </w:tcBorders>
            <w:shd w:val="clear" w:color="auto" w:fill="auto"/>
          </w:tcPr>
          <w:p w14:paraId="38307A85" w14:textId="77777777" w:rsidR="00DE7959" w:rsidRPr="000211FB" w:rsidRDefault="00DE7959" w:rsidP="000211FB">
            <w:pPr>
              <w:tabs>
                <w:tab w:val="left" w:pos="1148"/>
              </w:tabs>
              <w:spacing w:before="60" w:after="60" w:line="220" w:lineRule="exact"/>
              <w:rPr>
                <w:rFonts w:ascii="David" w:eastAsia="Calibri" w:hAnsi="David"/>
                <w:sz w:val="18"/>
                <w:szCs w:val="18"/>
                <w:lang w:bidi="ar-SA"/>
              </w:rPr>
            </w:pPr>
            <w:r w:rsidRPr="000211FB">
              <w:rPr>
                <w:rFonts w:ascii="David" w:eastAsia="Calibri" w:hAnsi="David"/>
                <w:sz w:val="18"/>
                <w:szCs w:val="18"/>
              </w:rPr>
              <w:t>30</w:t>
            </w:r>
          </w:p>
        </w:tc>
        <w:tc>
          <w:tcPr>
            <w:tcW w:w="0" w:type="auto"/>
            <w:tcBorders>
              <w:top w:val="single" w:sz="4" w:space="0" w:color="auto"/>
              <w:bottom w:val="single" w:sz="4" w:space="0" w:color="auto"/>
              <w:right w:val="single" w:sz="8" w:space="0" w:color="auto"/>
            </w:tcBorders>
            <w:shd w:val="clear" w:color="auto" w:fill="auto"/>
          </w:tcPr>
          <w:p w14:paraId="36D9155C"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proofErr w:type="spellStart"/>
            <w:r w:rsidRPr="000211FB">
              <w:rPr>
                <w:rFonts w:eastAsia="Calibri"/>
                <w:sz w:val="16"/>
                <w:szCs w:val="18"/>
                <w:lang w:bidi="ar-SA"/>
              </w:rPr>
              <w:t>Engdau</w:t>
            </w:r>
            <w:proofErr w:type="spellEnd"/>
            <w:r w:rsidRPr="000211FB">
              <w:rPr>
                <w:rFonts w:eastAsia="Calibri"/>
                <w:sz w:val="16"/>
                <w:szCs w:val="18"/>
                <w:lang w:bidi="ar-SA"/>
              </w:rPr>
              <w:t>‐Vanda, 2020</w:t>
            </w:r>
          </w:p>
          <w:p w14:paraId="41154A7B"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proofErr w:type="spellStart"/>
            <w:r w:rsidRPr="000211FB">
              <w:rPr>
                <w:rFonts w:eastAsia="Calibri"/>
                <w:sz w:val="16"/>
                <w:szCs w:val="18"/>
                <w:lang w:bidi="ar-SA"/>
              </w:rPr>
              <w:t>Engdau</w:t>
            </w:r>
            <w:proofErr w:type="spellEnd"/>
            <w:r w:rsidRPr="000211FB">
              <w:rPr>
                <w:rFonts w:eastAsia="Calibri"/>
                <w:sz w:val="16"/>
                <w:szCs w:val="18"/>
                <w:lang w:bidi="ar-SA"/>
              </w:rPr>
              <w:t xml:space="preserve">-Vanda et al., 2020 </w:t>
            </w:r>
          </w:p>
          <w:p w14:paraId="68D72547"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proofErr w:type="spellStart"/>
            <w:r w:rsidRPr="000211FB">
              <w:rPr>
                <w:rFonts w:eastAsia="Calibri"/>
                <w:sz w:val="16"/>
                <w:szCs w:val="18"/>
                <w:lang w:bidi="ar-SA"/>
              </w:rPr>
              <w:t>Gatenio-Kalush</w:t>
            </w:r>
            <w:proofErr w:type="spellEnd"/>
            <w:r w:rsidRPr="000211FB">
              <w:rPr>
                <w:rFonts w:eastAsia="Calibri"/>
                <w:sz w:val="16"/>
                <w:szCs w:val="18"/>
                <w:lang w:bidi="ar-SA"/>
              </w:rPr>
              <w:t xml:space="preserve"> et al., 2020 </w:t>
            </w:r>
          </w:p>
          <w:p w14:paraId="20BDF168"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proofErr w:type="spellStart"/>
            <w:r w:rsidRPr="000211FB">
              <w:rPr>
                <w:rFonts w:eastAsia="Calibri"/>
                <w:sz w:val="16"/>
                <w:szCs w:val="18"/>
                <w:lang w:bidi="ar-SA"/>
              </w:rPr>
              <w:t>Nadan</w:t>
            </w:r>
            <w:proofErr w:type="spellEnd"/>
            <w:r w:rsidRPr="000211FB">
              <w:rPr>
                <w:rFonts w:eastAsia="Calibri"/>
                <w:sz w:val="16"/>
                <w:szCs w:val="18"/>
                <w:lang w:bidi="ar-SA"/>
              </w:rPr>
              <w:t xml:space="preserve"> et al., 2018</w:t>
            </w:r>
          </w:p>
          <w:p w14:paraId="31E2E9BD" w14:textId="77777777" w:rsidR="00DE7959" w:rsidRPr="000211FB" w:rsidRDefault="00DE7959" w:rsidP="000211FB">
            <w:pPr>
              <w:tabs>
                <w:tab w:val="left" w:pos="1148"/>
              </w:tabs>
              <w:bidi w:val="0"/>
              <w:spacing w:before="60" w:after="60" w:line="220" w:lineRule="exact"/>
              <w:rPr>
                <w:rFonts w:eastAsia="Calibri"/>
                <w:sz w:val="16"/>
                <w:szCs w:val="18"/>
                <w:lang w:bidi="ar-SA"/>
              </w:rPr>
            </w:pPr>
            <w:proofErr w:type="spellStart"/>
            <w:r w:rsidRPr="000211FB">
              <w:rPr>
                <w:rFonts w:eastAsia="Calibri"/>
                <w:sz w:val="16"/>
                <w:szCs w:val="18"/>
                <w:lang w:bidi="ar-SA"/>
              </w:rPr>
              <w:t>Wahle</w:t>
            </w:r>
            <w:proofErr w:type="spellEnd"/>
            <w:r w:rsidRPr="000211FB">
              <w:rPr>
                <w:rFonts w:eastAsia="Calibri"/>
                <w:sz w:val="16"/>
                <w:szCs w:val="18"/>
                <w:lang w:bidi="ar-SA"/>
              </w:rPr>
              <w:t xml:space="preserve"> et al., 2017</w:t>
            </w:r>
          </w:p>
        </w:tc>
      </w:tr>
      <w:tr w:rsidR="000211FB" w:rsidRPr="000211FB" w14:paraId="609B7E91" w14:textId="77777777" w:rsidTr="000211FB">
        <w:tc>
          <w:tcPr>
            <w:tcW w:w="0" w:type="auto"/>
            <w:tcBorders>
              <w:top w:val="single" w:sz="4" w:space="0" w:color="auto"/>
              <w:left w:val="single" w:sz="8" w:space="0" w:color="auto"/>
              <w:bottom w:val="single" w:sz="4" w:space="0" w:color="auto"/>
            </w:tcBorders>
            <w:shd w:val="clear" w:color="auto" w:fill="auto"/>
          </w:tcPr>
          <w:p w14:paraId="1DDF0C45" w14:textId="77777777" w:rsidR="00DE7959" w:rsidRPr="000211FB" w:rsidRDefault="00DE7959" w:rsidP="000211FB">
            <w:pPr>
              <w:tabs>
                <w:tab w:val="left" w:pos="1148"/>
              </w:tabs>
              <w:spacing w:before="60" w:after="60" w:line="220" w:lineRule="exact"/>
              <w:rPr>
                <w:rFonts w:eastAsia="Calibri"/>
                <w:sz w:val="16"/>
                <w:szCs w:val="18"/>
              </w:rPr>
            </w:pPr>
            <w:r w:rsidRPr="000211FB">
              <w:rPr>
                <w:rFonts w:eastAsia="Calibri"/>
                <w:sz w:val="16"/>
                <w:szCs w:val="18"/>
                <w:rtl/>
              </w:rPr>
              <w:t>עולים מצרפת</w:t>
            </w:r>
          </w:p>
        </w:tc>
        <w:tc>
          <w:tcPr>
            <w:tcW w:w="0" w:type="auto"/>
            <w:tcBorders>
              <w:top w:val="single" w:sz="4" w:space="0" w:color="auto"/>
              <w:bottom w:val="single" w:sz="4" w:space="0" w:color="auto"/>
            </w:tcBorders>
            <w:shd w:val="clear" w:color="auto" w:fill="auto"/>
          </w:tcPr>
          <w:p w14:paraId="10E66F9D"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r w:rsidRPr="000211FB">
              <w:rPr>
                <w:rFonts w:ascii="David" w:eastAsia="Calibri" w:hAnsi="David"/>
                <w:sz w:val="18"/>
                <w:szCs w:val="18"/>
                <w:rtl/>
              </w:rPr>
              <w:t>15</w:t>
            </w:r>
          </w:p>
        </w:tc>
        <w:tc>
          <w:tcPr>
            <w:tcW w:w="0" w:type="auto"/>
            <w:tcBorders>
              <w:top w:val="single" w:sz="4" w:space="0" w:color="auto"/>
              <w:bottom w:val="single" w:sz="4" w:space="0" w:color="auto"/>
            </w:tcBorders>
            <w:shd w:val="clear" w:color="auto" w:fill="auto"/>
          </w:tcPr>
          <w:p w14:paraId="73548484"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p>
        </w:tc>
        <w:tc>
          <w:tcPr>
            <w:tcW w:w="0" w:type="auto"/>
            <w:tcBorders>
              <w:top w:val="single" w:sz="4" w:space="0" w:color="auto"/>
              <w:bottom w:val="single" w:sz="4" w:space="0" w:color="auto"/>
            </w:tcBorders>
            <w:shd w:val="clear" w:color="auto" w:fill="auto"/>
          </w:tcPr>
          <w:p w14:paraId="0C6CBBC9"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p>
        </w:tc>
        <w:tc>
          <w:tcPr>
            <w:tcW w:w="0" w:type="auto"/>
            <w:tcBorders>
              <w:top w:val="single" w:sz="4" w:space="0" w:color="auto"/>
              <w:bottom w:val="single" w:sz="4" w:space="0" w:color="auto"/>
              <w:right w:val="single" w:sz="8" w:space="0" w:color="auto"/>
            </w:tcBorders>
            <w:shd w:val="clear" w:color="auto" w:fill="auto"/>
          </w:tcPr>
          <w:p w14:paraId="426CBD00" w14:textId="77777777" w:rsidR="00DE7959" w:rsidRPr="000211FB" w:rsidRDefault="00DE7959" w:rsidP="000211FB">
            <w:pPr>
              <w:tabs>
                <w:tab w:val="left" w:pos="1148"/>
              </w:tabs>
              <w:bidi w:val="0"/>
              <w:spacing w:before="60" w:after="60" w:line="220" w:lineRule="exact"/>
              <w:rPr>
                <w:rFonts w:eastAsia="Calibri"/>
                <w:sz w:val="16"/>
                <w:szCs w:val="18"/>
                <w:rtl/>
                <w:lang w:bidi="ar-SA"/>
              </w:rPr>
            </w:pPr>
            <w:r w:rsidRPr="000211FB">
              <w:rPr>
                <w:rFonts w:eastAsia="Calibri"/>
                <w:sz w:val="16"/>
                <w:szCs w:val="18"/>
                <w:lang w:bidi="ar-SA"/>
              </w:rPr>
              <w:t xml:space="preserve">Bloomberg &amp; </w:t>
            </w:r>
            <w:proofErr w:type="spellStart"/>
            <w:r w:rsidRPr="000211FB">
              <w:rPr>
                <w:rFonts w:eastAsia="Calibri"/>
                <w:sz w:val="16"/>
                <w:szCs w:val="18"/>
                <w:lang w:bidi="ar-SA"/>
              </w:rPr>
              <w:t>Serdtse</w:t>
            </w:r>
            <w:proofErr w:type="spellEnd"/>
            <w:r w:rsidRPr="000211FB">
              <w:rPr>
                <w:rFonts w:eastAsia="Calibri"/>
                <w:sz w:val="16"/>
                <w:szCs w:val="18"/>
                <w:lang w:bidi="ar-SA"/>
              </w:rPr>
              <w:t>, 2020</w:t>
            </w:r>
          </w:p>
        </w:tc>
      </w:tr>
      <w:tr w:rsidR="000211FB" w:rsidRPr="000211FB" w14:paraId="6814C16C" w14:textId="77777777" w:rsidTr="000211FB">
        <w:tc>
          <w:tcPr>
            <w:tcW w:w="0" w:type="auto"/>
            <w:tcBorders>
              <w:top w:val="single" w:sz="4" w:space="0" w:color="auto"/>
              <w:left w:val="single" w:sz="8" w:space="0" w:color="auto"/>
              <w:bottom w:val="single" w:sz="4" w:space="0" w:color="auto"/>
            </w:tcBorders>
            <w:shd w:val="clear" w:color="auto" w:fill="auto"/>
          </w:tcPr>
          <w:p w14:paraId="48536B26" w14:textId="77777777" w:rsidR="00DE7959" w:rsidRPr="000211FB" w:rsidRDefault="00DE7959" w:rsidP="000211FB">
            <w:pPr>
              <w:tabs>
                <w:tab w:val="left" w:pos="1148"/>
              </w:tabs>
              <w:spacing w:before="60" w:after="60" w:line="220" w:lineRule="exact"/>
              <w:rPr>
                <w:rFonts w:eastAsia="Calibri"/>
                <w:sz w:val="16"/>
                <w:szCs w:val="18"/>
              </w:rPr>
            </w:pPr>
            <w:r w:rsidRPr="000211FB">
              <w:rPr>
                <w:rFonts w:eastAsia="Calibri"/>
                <w:sz w:val="16"/>
                <w:szCs w:val="18"/>
                <w:rtl/>
              </w:rPr>
              <w:t xml:space="preserve">עולים מברית </w:t>
            </w:r>
            <w:r w:rsidRPr="000211FB">
              <w:rPr>
                <w:rFonts w:eastAsia="Calibri"/>
                <w:b/>
                <w:bCs/>
                <w:sz w:val="16"/>
                <w:szCs w:val="18"/>
                <w:rtl/>
              </w:rPr>
              <w:br/>
            </w:r>
            <w:r w:rsidRPr="000211FB">
              <w:rPr>
                <w:rFonts w:eastAsia="Calibri"/>
                <w:sz w:val="16"/>
                <w:szCs w:val="18"/>
                <w:rtl/>
              </w:rPr>
              <w:t>המועצות לשעבר</w:t>
            </w:r>
          </w:p>
        </w:tc>
        <w:tc>
          <w:tcPr>
            <w:tcW w:w="0" w:type="auto"/>
            <w:tcBorders>
              <w:top w:val="single" w:sz="4" w:space="0" w:color="auto"/>
              <w:bottom w:val="single" w:sz="4" w:space="0" w:color="auto"/>
            </w:tcBorders>
            <w:shd w:val="clear" w:color="auto" w:fill="auto"/>
          </w:tcPr>
          <w:p w14:paraId="43426EEA"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r w:rsidRPr="000211FB">
              <w:rPr>
                <w:rFonts w:ascii="David" w:eastAsia="Calibri" w:hAnsi="David"/>
                <w:sz w:val="18"/>
                <w:szCs w:val="18"/>
              </w:rPr>
              <w:t>40</w:t>
            </w:r>
          </w:p>
        </w:tc>
        <w:tc>
          <w:tcPr>
            <w:tcW w:w="0" w:type="auto"/>
            <w:tcBorders>
              <w:top w:val="single" w:sz="4" w:space="0" w:color="auto"/>
              <w:bottom w:val="single" w:sz="4" w:space="0" w:color="auto"/>
            </w:tcBorders>
            <w:shd w:val="clear" w:color="auto" w:fill="auto"/>
          </w:tcPr>
          <w:p w14:paraId="66A5E63D" w14:textId="77777777" w:rsidR="00DE7959" w:rsidRPr="000211FB" w:rsidRDefault="00DE7959" w:rsidP="000211FB">
            <w:pPr>
              <w:tabs>
                <w:tab w:val="left" w:pos="1148"/>
              </w:tabs>
              <w:spacing w:before="60" w:after="60" w:line="220" w:lineRule="exact"/>
              <w:rPr>
                <w:rFonts w:ascii="David" w:eastAsia="Calibri" w:hAnsi="David"/>
                <w:sz w:val="18"/>
                <w:szCs w:val="18"/>
                <w:lang w:bidi="ar-SA"/>
              </w:rPr>
            </w:pPr>
            <w:r w:rsidRPr="000211FB">
              <w:rPr>
                <w:rFonts w:ascii="David" w:eastAsia="Calibri" w:hAnsi="David"/>
                <w:sz w:val="18"/>
                <w:szCs w:val="18"/>
                <w:rtl/>
              </w:rPr>
              <w:t>29 (6-3)</w:t>
            </w:r>
          </w:p>
        </w:tc>
        <w:tc>
          <w:tcPr>
            <w:tcW w:w="0" w:type="auto"/>
            <w:tcBorders>
              <w:top w:val="single" w:sz="4" w:space="0" w:color="auto"/>
              <w:bottom w:val="single" w:sz="4" w:space="0" w:color="auto"/>
            </w:tcBorders>
            <w:shd w:val="clear" w:color="auto" w:fill="auto"/>
          </w:tcPr>
          <w:p w14:paraId="057EAD32"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r w:rsidRPr="000211FB">
              <w:rPr>
                <w:rFonts w:ascii="David" w:eastAsia="Calibri" w:hAnsi="David"/>
                <w:sz w:val="18"/>
                <w:szCs w:val="18"/>
                <w:rtl/>
              </w:rPr>
              <w:t>16</w:t>
            </w:r>
          </w:p>
        </w:tc>
        <w:tc>
          <w:tcPr>
            <w:tcW w:w="0" w:type="auto"/>
            <w:tcBorders>
              <w:top w:val="single" w:sz="4" w:space="0" w:color="auto"/>
              <w:bottom w:val="single" w:sz="4" w:space="0" w:color="auto"/>
              <w:right w:val="single" w:sz="8" w:space="0" w:color="auto"/>
            </w:tcBorders>
            <w:shd w:val="clear" w:color="auto" w:fill="auto"/>
          </w:tcPr>
          <w:p w14:paraId="67C71461"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proofErr w:type="spellStart"/>
            <w:r w:rsidRPr="000211FB">
              <w:rPr>
                <w:rFonts w:eastAsia="Calibri"/>
                <w:sz w:val="16"/>
                <w:szCs w:val="18"/>
                <w:lang w:bidi="ar-SA"/>
              </w:rPr>
              <w:t>Ponizovsky-Bergelson</w:t>
            </w:r>
            <w:proofErr w:type="spellEnd"/>
            <w:r w:rsidRPr="000211FB">
              <w:rPr>
                <w:rFonts w:eastAsia="Calibri"/>
                <w:sz w:val="16"/>
                <w:szCs w:val="18"/>
                <w:lang w:bidi="ar-SA"/>
              </w:rPr>
              <w:t xml:space="preserve"> et al., 2020</w:t>
            </w:r>
          </w:p>
          <w:p w14:paraId="5B65B670" w14:textId="77777777" w:rsidR="00DE7959" w:rsidRPr="000211FB" w:rsidRDefault="00DE7959" w:rsidP="000211FB">
            <w:pPr>
              <w:tabs>
                <w:tab w:val="left" w:pos="1148"/>
              </w:tabs>
              <w:bidi w:val="0"/>
              <w:spacing w:before="60" w:after="60" w:line="220" w:lineRule="exact"/>
              <w:rPr>
                <w:rFonts w:eastAsia="Calibri"/>
                <w:sz w:val="16"/>
                <w:szCs w:val="18"/>
                <w:rtl/>
                <w:lang w:bidi="ar-SA"/>
              </w:rPr>
            </w:pPr>
            <w:proofErr w:type="spellStart"/>
            <w:r w:rsidRPr="000211FB">
              <w:rPr>
                <w:rFonts w:eastAsia="Calibri"/>
                <w:sz w:val="16"/>
                <w:szCs w:val="18"/>
                <w:lang w:bidi="ar-SA"/>
              </w:rPr>
              <w:t>Ulitsa</w:t>
            </w:r>
            <w:proofErr w:type="spellEnd"/>
            <w:r w:rsidRPr="000211FB">
              <w:rPr>
                <w:rFonts w:eastAsia="Calibri"/>
                <w:sz w:val="16"/>
                <w:szCs w:val="18"/>
                <w:lang w:bidi="ar-SA"/>
              </w:rPr>
              <w:t xml:space="preserve"> et al., 2020</w:t>
            </w:r>
          </w:p>
        </w:tc>
      </w:tr>
      <w:tr w:rsidR="000211FB" w:rsidRPr="000211FB" w14:paraId="38EA9414" w14:textId="77777777" w:rsidTr="000211FB">
        <w:tc>
          <w:tcPr>
            <w:tcW w:w="0" w:type="auto"/>
            <w:tcBorders>
              <w:top w:val="single" w:sz="4" w:space="0" w:color="auto"/>
              <w:left w:val="single" w:sz="8" w:space="0" w:color="auto"/>
              <w:bottom w:val="single" w:sz="4" w:space="0" w:color="auto"/>
            </w:tcBorders>
            <w:shd w:val="clear" w:color="auto" w:fill="auto"/>
          </w:tcPr>
          <w:p w14:paraId="7F4D4B29" w14:textId="77777777" w:rsidR="00DE7959" w:rsidRPr="000211FB" w:rsidRDefault="00DE7959" w:rsidP="000211FB">
            <w:pPr>
              <w:tabs>
                <w:tab w:val="left" w:pos="1148"/>
              </w:tabs>
              <w:spacing w:before="60" w:after="60" w:line="220" w:lineRule="exact"/>
              <w:rPr>
                <w:rFonts w:eastAsia="Calibri"/>
                <w:sz w:val="16"/>
                <w:szCs w:val="18"/>
              </w:rPr>
            </w:pPr>
            <w:r w:rsidRPr="000211FB">
              <w:rPr>
                <w:rFonts w:eastAsia="Calibri"/>
                <w:sz w:val="16"/>
                <w:szCs w:val="18"/>
                <w:rtl/>
              </w:rPr>
              <w:t>שכונה ד בבאר שבע</w:t>
            </w:r>
          </w:p>
        </w:tc>
        <w:tc>
          <w:tcPr>
            <w:tcW w:w="0" w:type="auto"/>
            <w:tcBorders>
              <w:top w:val="single" w:sz="4" w:space="0" w:color="auto"/>
              <w:bottom w:val="single" w:sz="4" w:space="0" w:color="auto"/>
            </w:tcBorders>
            <w:shd w:val="clear" w:color="auto" w:fill="auto"/>
          </w:tcPr>
          <w:p w14:paraId="5349588F"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r w:rsidRPr="000211FB">
              <w:rPr>
                <w:rFonts w:ascii="David" w:eastAsia="Calibri" w:hAnsi="David"/>
                <w:sz w:val="18"/>
                <w:szCs w:val="18"/>
                <w:rtl/>
              </w:rPr>
              <w:t>30</w:t>
            </w:r>
          </w:p>
        </w:tc>
        <w:tc>
          <w:tcPr>
            <w:tcW w:w="0" w:type="auto"/>
            <w:tcBorders>
              <w:top w:val="single" w:sz="4" w:space="0" w:color="auto"/>
              <w:bottom w:val="single" w:sz="4" w:space="0" w:color="auto"/>
            </w:tcBorders>
            <w:shd w:val="clear" w:color="auto" w:fill="auto"/>
          </w:tcPr>
          <w:p w14:paraId="3FD738BF"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p>
        </w:tc>
        <w:tc>
          <w:tcPr>
            <w:tcW w:w="0" w:type="auto"/>
            <w:tcBorders>
              <w:top w:val="single" w:sz="4" w:space="0" w:color="auto"/>
              <w:bottom w:val="single" w:sz="4" w:space="0" w:color="auto"/>
            </w:tcBorders>
            <w:shd w:val="clear" w:color="auto" w:fill="auto"/>
          </w:tcPr>
          <w:p w14:paraId="3EA8C636"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r w:rsidRPr="000211FB">
              <w:rPr>
                <w:rFonts w:ascii="David" w:eastAsia="Calibri" w:hAnsi="David"/>
                <w:sz w:val="18"/>
                <w:szCs w:val="18"/>
                <w:rtl/>
              </w:rPr>
              <w:t>15</w:t>
            </w:r>
          </w:p>
        </w:tc>
        <w:tc>
          <w:tcPr>
            <w:tcW w:w="0" w:type="auto"/>
            <w:tcBorders>
              <w:top w:val="single" w:sz="4" w:space="0" w:color="auto"/>
              <w:bottom w:val="single" w:sz="4" w:space="0" w:color="auto"/>
              <w:right w:val="single" w:sz="8" w:space="0" w:color="auto"/>
            </w:tcBorders>
            <w:shd w:val="clear" w:color="auto" w:fill="auto"/>
          </w:tcPr>
          <w:p w14:paraId="6BC8E2C0" w14:textId="77777777" w:rsidR="00DE7959" w:rsidRPr="000211FB" w:rsidRDefault="00DE7959" w:rsidP="000211FB">
            <w:pPr>
              <w:tabs>
                <w:tab w:val="left" w:pos="1148"/>
              </w:tabs>
              <w:bidi w:val="0"/>
              <w:spacing w:before="60" w:after="60" w:line="220" w:lineRule="exact"/>
              <w:ind w:right="41"/>
              <w:rPr>
                <w:rFonts w:eastAsia="Calibri"/>
                <w:sz w:val="16"/>
                <w:szCs w:val="18"/>
                <w:rtl/>
              </w:rPr>
            </w:pPr>
            <w:r w:rsidRPr="000211FB">
              <w:rPr>
                <w:rFonts w:eastAsia="Calibri"/>
                <w:sz w:val="16"/>
                <w:szCs w:val="18"/>
                <w:lang w:bidi="ar-SA"/>
              </w:rPr>
              <w:t>Yona, 2020</w:t>
            </w:r>
          </w:p>
          <w:p w14:paraId="14AFD77D" w14:textId="77777777" w:rsidR="00DE7959" w:rsidRPr="000211FB" w:rsidRDefault="00DE7959" w:rsidP="000211FB">
            <w:pPr>
              <w:tabs>
                <w:tab w:val="left" w:pos="1148"/>
              </w:tabs>
              <w:bidi w:val="0"/>
              <w:spacing w:before="60" w:after="60" w:line="220" w:lineRule="exact"/>
              <w:rPr>
                <w:rFonts w:eastAsia="Calibri"/>
                <w:sz w:val="16"/>
                <w:szCs w:val="18"/>
                <w:rtl/>
                <w:lang w:bidi="ar-SA"/>
              </w:rPr>
            </w:pPr>
            <w:r w:rsidRPr="000211FB">
              <w:rPr>
                <w:rFonts w:eastAsia="Calibri"/>
                <w:sz w:val="16"/>
                <w:szCs w:val="18"/>
                <w:lang w:bidi="ar-SA"/>
              </w:rPr>
              <w:t xml:space="preserve">Yona &amp; </w:t>
            </w:r>
            <w:proofErr w:type="spellStart"/>
            <w:r w:rsidRPr="000211FB">
              <w:rPr>
                <w:rFonts w:eastAsia="Calibri"/>
                <w:sz w:val="16"/>
                <w:szCs w:val="18"/>
                <w:lang w:bidi="ar-SA"/>
              </w:rPr>
              <w:t>Nadan</w:t>
            </w:r>
            <w:proofErr w:type="spellEnd"/>
            <w:r w:rsidRPr="000211FB">
              <w:rPr>
                <w:rFonts w:eastAsia="Calibri"/>
                <w:sz w:val="16"/>
                <w:szCs w:val="18"/>
                <w:lang w:bidi="ar-SA"/>
              </w:rPr>
              <w:t xml:space="preserve">, 2021 </w:t>
            </w:r>
          </w:p>
        </w:tc>
      </w:tr>
      <w:tr w:rsidR="000211FB" w:rsidRPr="000211FB" w14:paraId="58B4EC79" w14:textId="77777777" w:rsidTr="000211FB">
        <w:tc>
          <w:tcPr>
            <w:tcW w:w="0" w:type="auto"/>
            <w:tcBorders>
              <w:top w:val="single" w:sz="4" w:space="0" w:color="auto"/>
              <w:left w:val="single" w:sz="8" w:space="0" w:color="auto"/>
              <w:bottom w:val="single" w:sz="4" w:space="0" w:color="auto"/>
            </w:tcBorders>
            <w:shd w:val="clear" w:color="auto" w:fill="auto"/>
          </w:tcPr>
          <w:p w14:paraId="1A3F898D" w14:textId="77777777" w:rsidR="00DE7959" w:rsidRPr="000211FB" w:rsidRDefault="00DE7959" w:rsidP="000211FB">
            <w:pPr>
              <w:tabs>
                <w:tab w:val="left" w:pos="1148"/>
              </w:tabs>
              <w:spacing w:before="60" w:after="60" w:line="220" w:lineRule="exact"/>
              <w:rPr>
                <w:rFonts w:eastAsia="Calibri"/>
                <w:sz w:val="16"/>
                <w:szCs w:val="18"/>
              </w:rPr>
            </w:pPr>
            <w:r w:rsidRPr="000211FB">
              <w:rPr>
                <w:rFonts w:eastAsia="Calibri"/>
                <w:sz w:val="16"/>
                <w:szCs w:val="18"/>
                <w:rtl/>
              </w:rPr>
              <w:t xml:space="preserve">פלסטינים במזרח </w:t>
            </w:r>
            <w:r w:rsidRPr="000211FB">
              <w:rPr>
                <w:rFonts w:eastAsia="Calibri"/>
                <w:b/>
                <w:bCs/>
                <w:sz w:val="16"/>
                <w:szCs w:val="18"/>
                <w:rtl/>
              </w:rPr>
              <w:br/>
            </w:r>
            <w:r w:rsidRPr="000211FB">
              <w:rPr>
                <w:rFonts w:eastAsia="Calibri"/>
                <w:sz w:val="16"/>
                <w:szCs w:val="18"/>
                <w:rtl/>
              </w:rPr>
              <w:t>ירושלים</w:t>
            </w:r>
          </w:p>
        </w:tc>
        <w:tc>
          <w:tcPr>
            <w:tcW w:w="0" w:type="auto"/>
            <w:tcBorders>
              <w:top w:val="single" w:sz="4" w:space="0" w:color="auto"/>
              <w:bottom w:val="single" w:sz="4" w:space="0" w:color="auto"/>
            </w:tcBorders>
            <w:shd w:val="clear" w:color="auto" w:fill="auto"/>
          </w:tcPr>
          <w:p w14:paraId="128CA83D"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p>
        </w:tc>
        <w:tc>
          <w:tcPr>
            <w:tcW w:w="0" w:type="auto"/>
            <w:tcBorders>
              <w:top w:val="single" w:sz="4" w:space="0" w:color="auto"/>
              <w:bottom w:val="single" w:sz="4" w:space="0" w:color="auto"/>
            </w:tcBorders>
            <w:shd w:val="clear" w:color="auto" w:fill="auto"/>
          </w:tcPr>
          <w:p w14:paraId="391EE09C"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r w:rsidRPr="000211FB">
              <w:rPr>
                <w:rFonts w:ascii="David" w:eastAsia="Calibri" w:hAnsi="David"/>
                <w:sz w:val="18"/>
                <w:szCs w:val="18"/>
                <w:rtl/>
              </w:rPr>
              <w:t>15 (6-4)</w:t>
            </w:r>
          </w:p>
        </w:tc>
        <w:tc>
          <w:tcPr>
            <w:tcW w:w="0" w:type="auto"/>
            <w:tcBorders>
              <w:top w:val="single" w:sz="4" w:space="0" w:color="auto"/>
              <w:bottom w:val="single" w:sz="4" w:space="0" w:color="auto"/>
            </w:tcBorders>
            <w:shd w:val="clear" w:color="auto" w:fill="auto"/>
          </w:tcPr>
          <w:p w14:paraId="709BA034"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r w:rsidRPr="000211FB">
              <w:rPr>
                <w:rFonts w:ascii="David" w:eastAsia="Calibri" w:hAnsi="David"/>
                <w:sz w:val="18"/>
                <w:szCs w:val="18"/>
              </w:rPr>
              <w:t>25</w:t>
            </w:r>
          </w:p>
        </w:tc>
        <w:tc>
          <w:tcPr>
            <w:tcW w:w="0" w:type="auto"/>
            <w:tcBorders>
              <w:top w:val="single" w:sz="4" w:space="0" w:color="auto"/>
              <w:bottom w:val="single" w:sz="4" w:space="0" w:color="auto"/>
              <w:right w:val="single" w:sz="8" w:space="0" w:color="auto"/>
            </w:tcBorders>
            <w:shd w:val="clear" w:color="auto" w:fill="auto"/>
          </w:tcPr>
          <w:p w14:paraId="1D5DDB6F"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r w:rsidRPr="000211FB">
              <w:rPr>
                <w:rFonts w:eastAsia="Calibri"/>
                <w:sz w:val="16"/>
                <w:szCs w:val="18"/>
                <w:lang w:bidi="ar-SA"/>
              </w:rPr>
              <w:t>Kovner, 2020</w:t>
            </w:r>
          </w:p>
          <w:p w14:paraId="34B80492"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r w:rsidRPr="000211FB">
              <w:rPr>
                <w:rFonts w:eastAsia="Calibri"/>
                <w:sz w:val="16"/>
                <w:szCs w:val="18"/>
                <w:lang w:bidi="ar-SA"/>
              </w:rPr>
              <w:t xml:space="preserve">Kovner &amp; </w:t>
            </w:r>
            <w:proofErr w:type="spellStart"/>
            <w:r w:rsidRPr="000211FB">
              <w:rPr>
                <w:rFonts w:eastAsia="Calibri"/>
                <w:sz w:val="16"/>
                <w:szCs w:val="18"/>
                <w:lang w:bidi="ar-SA"/>
              </w:rPr>
              <w:t>Shalhoub</w:t>
            </w:r>
            <w:proofErr w:type="spellEnd"/>
            <w:r w:rsidRPr="000211FB">
              <w:rPr>
                <w:rFonts w:eastAsia="Calibri"/>
                <w:sz w:val="16"/>
                <w:szCs w:val="18"/>
                <w:lang w:bidi="ar-SA"/>
              </w:rPr>
              <w:t>-Kevorkian, 2018</w:t>
            </w:r>
          </w:p>
          <w:p w14:paraId="12942750" w14:textId="77777777" w:rsidR="00DE7959" w:rsidRPr="000211FB" w:rsidRDefault="00DE7959" w:rsidP="000211FB">
            <w:pPr>
              <w:tabs>
                <w:tab w:val="left" w:pos="1148"/>
              </w:tabs>
              <w:bidi w:val="0"/>
              <w:spacing w:before="60" w:after="60" w:line="220" w:lineRule="exact"/>
              <w:rPr>
                <w:rFonts w:eastAsia="Calibri"/>
                <w:sz w:val="16"/>
                <w:szCs w:val="18"/>
                <w:lang w:bidi="ar-SA"/>
              </w:rPr>
            </w:pPr>
            <w:proofErr w:type="spellStart"/>
            <w:r w:rsidRPr="000211FB">
              <w:rPr>
                <w:rFonts w:eastAsia="Calibri"/>
                <w:sz w:val="16"/>
                <w:szCs w:val="18"/>
                <w:lang w:bidi="ar-SA"/>
              </w:rPr>
              <w:t>Ponizovsky-Bergelson</w:t>
            </w:r>
            <w:proofErr w:type="spellEnd"/>
            <w:r w:rsidRPr="000211FB">
              <w:rPr>
                <w:rFonts w:eastAsia="Calibri"/>
                <w:sz w:val="16"/>
                <w:szCs w:val="18"/>
                <w:lang w:bidi="ar-SA"/>
              </w:rPr>
              <w:t xml:space="preserve"> et al., 2020</w:t>
            </w:r>
          </w:p>
        </w:tc>
      </w:tr>
      <w:tr w:rsidR="000211FB" w:rsidRPr="000211FB" w14:paraId="47FADEDC" w14:textId="77777777" w:rsidTr="000211FB">
        <w:tc>
          <w:tcPr>
            <w:tcW w:w="0" w:type="auto"/>
            <w:tcBorders>
              <w:top w:val="single" w:sz="4" w:space="0" w:color="auto"/>
              <w:left w:val="single" w:sz="8" w:space="0" w:color="auto"/>
              <w:bottom w:val="single" w:sz="4" w:space="0" w:color="auto"/>
            </w:tcBorders>
            <w:shd w:val="clear" w:color="auto" w:fill="auto"/>
          </w:tcPr>
          <w:p w14:paraId="2FE0B194" w14:textId="77777777" w:rsidR="00DE7959" w:rsidRPr="000211FB" w:rsidRDefault="00DE7959" w:rsidP="000211FB">
            <w:pPr>
              <w:tabs>
                <w:tab w:val="left" w:pos="1148"/>
              </w:tabs>
              <w:spacing w:before="60" w:after="60" w:line="220" w:lineRule="exact"/>
              <w:rPr>
                <w:rFonts w:eastAsia="Calibri"/>
                <w:sz w:val="16"/>
                <w:szCs w:val="18"/>
              </w:rPr>
            </w:pPr>
            <w:r w:rsidRPr="000211FB">
              <w:rPr>
                <w:rFonts w:eastAsia="Calibri"/>
                <w:sz w:val="16"/>
                <w:szCs w:val="18"/>
                <w:rtl/>
              </w:rPr>
              <w:t>חרדים</w:t>
            </w:r>
          </w:p>
        </w:tc>
        <w:tc>
          <w:tcPr>
            <w:tcW w:w="0" w:type="auto"/>
            <w:tcBorders>
              <w:top w:val="single" w:sz="4" w:space="0" w:color="auto"/>
              <w:bottom w:val="single" w:sz="4" w:space="0" w:color="auto"/>
            </w:tcBorders>
            <w:shd w:val="clear" w:color="auto" w:fill="auto"/>
          </w:tcPr>
          <w:p w14:paraId="5A094984"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r w:rsidRPr="000211FB">
              <w:rPr>
                <w:rFonts w:ascii="David" w:eastAsia="Calibri" w:hAnsi="David"/>
                <w:sz w:val="18"/>
                <w:szCs w:val="18"/>
                <w:rtl/>
              </w:rPr>
              <w:t>45</w:t>
            </w:r>
          </w:p>
        </w:tc>
        <w:tc>
          <w:tcPr>
            <w:tcW w:w="0" w:type="auto"/>
            <w:tcBorders>
              <w:top w:val="single" w:sz="4" w:space="0" w:color="auto"/>
              <w:bottom w:val="single" w:sz="4" w:space="0" w:color="auto"/>
            </w:tcBorders>
            <w:shd w:val="clear" w:color="auto" w:fill="auto"/>
          </w:tcPr>
          <w:p w14:paraId="3156231F" w14:textId="77777777" w:rsidR="00DE7959" w:rsidRPr="000211FB" w:rsidRDefault="00DE7959" w:rsidP="000211FB">
            <w:pPr>
              <w:tabs>
                <w:tab w:val="left" w:pos="1148"/>
              </w:tabs>
              <w:spacing w:before="60" w:after="60" w:line="220" w:lineRule="exact"/>
              <w:rPr>
                <w:rFonts w:ascii="David" w:eastAsia="Calibri" w:hAnsi="David"/>
                <w:sz w:val="18"/>
                <w:szCs w:val="18"/>
                <w:rtl/>
              </w:rPr>
            </w:pPr>
            <w:r w:rsidRPr="000211FB">
              <w:rPr>
                <w:rFonts w:ascii="David" w:eastAsia="Calibri" w:hAnsi="David"/>
                <w:sz w:val="18"/>
                <w:szCs w:val="18"/>
                <w:rtl/>
              </w:rPr>
              <w:t>30 (6-3)</w:t>
            </w:r>
          </w:p>
          <w:p w14:paraId="508E31C1" w14:textId="77777777" w:rsidR="00DE7959" w:rsidRPr="000211FB" w:rsidRDefault="00DE7959" w:rsidP="000211FB">
            <w:pPr>
              <w:tabs>
                <w:tab w:val="left" w:pos="1148"/>
              </w:tabs>
              <w:spacing w:before="60" w:after="60" w:line="220" w:lineRule="exact"/>
              <w:rPr>
                <w:rFonts w:ascii="David" w:eastAsia="Calibri" w:hAnsi="David"/>
                <w:sz w:val="18"/>
                <w:szCs w:val="18"/>
                <w:rtl/>
              </w:rPr>
            </w:pPr>
            <w:r w:rsidRPr="000211FB">
              <w:rPr>
                <w:rFonts w:ascii="David" w:eastAsia="Calibri" w:hAnsi="David"/>
                <w:sz w:val="18"/>
                <w:szCs w:val="18"/>
                <w:rtl/>
              </w:rPr>
              <w:t>30 (16-10)</w:t>
            </w:r>
          </w:p>
        </w:tc>
        <w:tc>
          <w:tcPr>
            <w:tcW w:w="0" w:type="auto"/>
            <w:tcBorders>
              <w:top w:val="single" w:sz="4" w:space="0" w:color="auto"/>
              <w:bottom w:val="single" w:sz="4" w:space="0" w:color="auto"/>
            </w:tcBorders>
            <w:shd w:val="clear" w:color="auto" w:fill="auto"/>
          </w:tcPr>
          <w:p w14:paraId="7A179C9D" w14:textId="77777777" w:rsidR="00DE7959" w:rsidRPr="000211FB" w:rsidRDefault="00DE7959" w:rsidP="000211FB">
            <w:pPr>
              <w:tabs>
                <w:tab w:val="left" w:pos="1148"/>
              </w:tabs>
              <w:spacing w:before="60" w:after="60" w:line="220" w:lineRule="exact"/>
              <w:rPr>
                <w:rFonts w:ascii="David" w:eastAsia="Calibri" w:hAnsi="David"/>
                <w:sz w:val="18"/>
                <w:szCs w:val="18"/>
                <w:rtl/>
                <w:lang w:bidi="ar-SA"/>
              </w:rPr>
            </w:pPr>
            <w:r w:rsidRPr="000211FB">
              <w:rPr>
                <w:rFonts w:ascii="David" w:eastAsia="Calibri" w:hAnsi="David"/>
                <w:sz w:val="18"/>
                <w:szCs w:val="18"/>
                <w:rtl/>
              </w:rPr>
              <w:t>40</w:t>
            </w:r>
          </w:p>
        </w:tc>
        <w:tc>
          <w:tcPr>
            <w:tcW w:w="0" w:type="auto"/>
            <w:tcBorders>
              <w:top w:val="single" w:sz="4" w:space="0" w:color="auto"/>
              <w:bottom w:val="single" w:sz="4" w:space="0" w:color="auto"/>
              <w:right w:val="single" w:sz="8" w:space="0" w:color="auto"/>
            </w:tcBorders>
            <w:shd w:val="clear" w:color="auto" w:fill="auto"/>
          </w:tcPr>
          <w:p w14:paraId="76E03BA0" w14:textId="77777777" w:rsidR="00DE7959" w:rsidRPr="000211FB" w:rsidRDefault="00DE7959" w:rsidP="000211FB">
            <w:pPr>
              <w:tabs>
                <w:tab w:val="left" w:pos="1148"/>
              </w:tabs>
              <w:bidi w:val="0"/>
              <w:spacing w:before="60" w:after="60" w:line="220" w:lineRule="exact"/>
              <w:ind w:right="41"/>
              <w:rPr>
                <w:rFonts w:eastAsia="Calibri"/>
                <w:sz w:val="16"/>
                <w:szCs w:val="18"/>
                <w:rtl/>
              </w:rPr>
            </w:pPr>
            <w:proofErr w:type="spellStart"/>
            <w:r w:rsidRPr="000211FB">
              <w:rPr>
                <w:rFonts w:eastAsia="Calibri"/>
                <w:sz w:val="16"/>
                <w:szCs w:val="18"/>
                <w:lang w:bidi="ar-SA"/>
              </w:rPr>
              <w:t>Bartl</w:t>
            </w:r>
            <w:proofErr w:type="spellEnd"/>
            <w:r w:rsidRPr="000211FB">
              <w:rPr>
                <w:rFonts w:eastAsia="Calibri"/>
                <w:sz w:val="16"/>
                <w:szCs w:val="18"/>
                <w:lang w:bidi="ar-SA"/>
              </w:rPr>
              <w:t xml:space="preserve"> et al., 2020</w:t>
            </w:r>
          </w:p>
          <w:p w14:paraId="135C6E6D" w14:textId="77777777" w:rsidR="00DE7959" w:rsidRPr="000211FB" w:rsidRDefault="00DE7959" w:rsidP="000211FB">
            <w:pPr>
              <w:tabs>
                <w:tab w:val="left" w:pos="1148"/>
              </w:tabs>
              <w:bidi w:val="0"/>
              <w:spacing w:before="60" w:after="60" w:line="220" w:lineRule="exact"/>
              <w:ind w:right="41"/>
              <w:rPr>
                <w:rFonts w:eastAsia="Calibri"/>
                <w:sz w:val="16"/>
                <w:szCs w:val="18"/>
                <w:rtl/>
              </w:rPr>
            </w:pPr>
            <w:proofErr w:type="spellStart"/>
            <w:r w:rsidRPr="000211FB">
              <w:rPr>
                <w:rFonts w:eastAsia="Calibri"/>
                <w:sz w:val="16"/>
                <w:szCs w:val="18"/>
                <w:lang w:bidi="ar-SA"/>
              </w:rPr>
              <w:t>Gemara</w:t>
            </w:r>
            <w:proofErr w:type="spellEnd"/>
            <w:r w:rsidRPr="000211FB">
              <w:rPr>
                <w:rFonts w:eastAsia="Calibri"/>
                <w:sz w:val="16"/>
                <w:szCs w:val="18"/>
                <w:lang w:bidi="ar-SA"/>
              </w:rPr>
              <w:t xml:space="preserve"> et al., 2020</w:t>
            </w:r>
          </w:p>
          <w:p w14:paraId="5C050478" w14:textId="77777777" w:rsidR="00DE7959" w:rsidRPr="000211FB" w:rsidRDefault="00DE7959" w:rsidP="000211FB">
            <w:pPr>
              <w:tabs>
                <w:tab w:val="left" w:pos="1148"/>
              </w:tabs>
              <w:bidi w:val="0"/>
              <w:spacing w:before="60" w:after="60" w:line="220" w:lineRule="exact"/>
              <w:ind w:right="41"/>
              <w:rPr>
                <w:rFonts w:eastAsia="Calibri"/>
                <w:sz w:val="16"/>
                <w:szCs w:val="18"/>
                <w:rtl/>
              </w:rPr>
            </w:pPr>
            <w:proofErr w:type="spellStart"/>
            <w:r w:rsidRPr="000211FB">
              <w:rPr>
                <w:rFonts w:eastAsia="Calibri"/>
                <w:sz w:val="16"/>
                <w:szCs w:val="18"/>
                <w:lang w:bidi="ar-SA"/>
              </w:rPr>
              <w:t>Gemara</w:t>
            </w:r>
            <w:proofErr w:type="spellEnd"/>
            <w:r w:rsidRPr="000211FB">
              <w:rPr>
                <w:rFonts w:eastAsia="Calibri"/>
                <w:sz w:val="16"/>
                <w:szCs w:val="18"/>
                <w:lang w:bidi="ar-SA"/>
              </w:rPr>
              <w:t xml:space="preserve"> &amp; </w:t>
            </w:r>
            <w:proofErr w:type="spellStart"/>
            <w:r w:rsidRPr="000211FB">
              <w:rPr>
                <w:rFonts w:eastAsia="Calibri"/>
                <w:sz w:val="16"/>
                <w:szCs w:val="18"/>
                <w:lang w:bidi="ar-SA"/>
              </w:rPr>
              <w:t>Nadan</w:t>
            </w:r>
            <w:proofErr w:type="spellEnd"/>
            <w:r w:rsidRPr="000211FB">
              <w:rPr>
                <w:rFonts w:eastAsia="Calibri"/>
                <w:sz w:val="16"/>
                <w:szCs w:val="18"/>
                <w:lang w:bidi="ar-SA"/>
              </w:rPr>
              <w:t>, 2020</w:t>
            </w:r>
          </w:p>
          <w:p w14:paraId="47894443"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proofErr w:type="spellStart"/>
            <w:r w:rsidRPr="000211FB">
              <w:rPr>
                <w:rFonts w:eastAsia="Calibri"/>
                <w:sz w:val="16"/>
                <w:szCs w:val="18"/>
                <w:lang w:bidi="ar-SA"/>
              </w:rPr>
              <w:t>Keesing</w:t>
            </w:r>
            <w:proofErr w:type="spellEnd"/>
            <w:r w:rsidRPr="000211FB">
              <w:rPr>
                <w:rFonts w:eastAsia="Calibri"/>
                <w:sz w:val="16"/>
                <w:szCs w:val="18"/>
                <w:lang w:bidi="ar-SA"/>
              </w:rPr>
              <w:t xml:space="preserve"> et al., 2020</w:t>
            </w:r>
          </w:p>
          <w:p w14:paraId="780CA1EB" w14:textId="77777777" w:rsidR="00DE7959" w:rsidRPr="000211FB" w:rsidRDefault="00DE7959" w:rsidP="000211FB">
            <w:pPr>
              <w:tabs>
                <w:tab w:val="left" w:pos="1148"/>
              </w:tabs>
              <w:bidi w:val="0"/>
              <w:spacing w:before="60" w:after="60" w:line="220" w:lineRule="exact"/>
              <w:ind w:right="41"/>
              <w:rPr>
                <w:rFonts w:eastAsia="Calibri"/>
                <w:sz w:val="16"/>
                <w:szCs w:val="18"/>
                <w:lang w:bidi="ar-SA"/>
              </w:rPr>
            </w:pPr>
            <w:proofErr w:type="spellStart"/>
            <w:r w:rsidRPr="000211FB">
              <w:rPr>
                <w:rFonts w:eastAsia="Calibri"/>
                <w:sz w:val="16"/>
                <w:szCs w:val="18"/>
                <w:lang w:bidi="ar-SA"/>
              </w:rPr>
              <w:t>Nadan</w:t>
            </w:r>
            <w:proofErr w:type="spellEnd"/>
            <w:r w:rsidRPr="000211FB">
              <w:rPr>
                <w:rFonts w:eastAsia="Calibri"/>
                <w:sz w:val="16"/>
                <w:szCs w:val="18"/>
                <w:lang w:bidi="ar-SA"/>
              </w:rPr>
              <w:t xml:space="preserve"> &amp; Ganz, 2018</w:t>
            </w:r>
          </w:p>
          <w:p w14:paraId="17AC9D93" w14:textId="77777777" w:rsidR="00DE7959" w:rsidRPr="000211FB" w:rsidRDefault="00DE7959" w:rsidP="000211FB">
            <w:pPr>
              <w:tabs>
                <w:tab w:val="left" w:pos="1148"/>
              </w:tabs>
              <w:bidi w:val="0"/>
              <w:spacing w:before="60" w:after="60" w:line="220" w:lineRule="exact"/>
              <w:ind w:right="41"/>
              <w:rPr>
                <w:rFonts w:eastAsia="Calibri"/>
                <w:sz w:val="16"/>
                <w:szCs w:val="18"/>
                <w:rtl/>
              </w:rPr>
            </w:pPr>
            <w:proofErr w:type="spellStart"/>
            <w:r w:rsidRPr="000211FB">
              <w:rPr>
                <w:rFonts w:eastAsia="Calibri"/>
                <w:sz w:val="16"/>
                <w:szCs w:val="18"/>
                <w:lang w:bidi="ar-SA"/>
              </w:rPr>
              <w:t>Nadan</w:t>
            </w:r>
            <w:proofErr w:type="spellEnd"/>
            <w:r w:rsidRPr="000211FB">
              <w:rPr>
                <w:rFonts w:eastAsia="Calibri"/>
                <w:sz w:val="16"/>
                <w:szCs w:val="18"/>
                <w:lang w:bidi="ar-SA"/>
              </w:rPr>
              <w:t xml:space="preserve"> et al., 2019</w:t>
            </w:r>
          </w:p>
          <w:p w14:paraId="5425C4C7" w14:textId="77777777" w:rsidR="00DE7959" w:rsidRPr="000211FB" w:rsidRDefault="00DE7959" w:rsidP="000211FB">
            <w:pPr>
              <w:tabs>
                <w:tab w:val="left" w:pos="1148"/>
              </w:tabs>
              <w:bidi w:val="0"/>
              <w:spacing w:before="60" w:after="60" w:line="220" w:lineRule="exact"/>
              <w:rPr>
                <w:rFonts w:eastAsia="Calibri"/>
                <w:sz w:val="16"/>
                <w:szCs w:val="18"/>
                <w:rtl/>
                <w:lang w:bidi="ar-SA"/>
              </w:rPr>
            </w:pPr>
            <w:proofErr w:type="spellStart"/>
            <w:r w:rsidRPr="000211FB">
              <w:rPr>
                <w:rFonts w:eastAsia="Calibri"/>
                <w:sz w:val="16"/>
                <w:szCs w:val="18"/>
                <w:lang w:bidi="ar-SA"/>
              </w:rPr>
              <w:t>Ponizovsky-Bergelson</w:t>
            </w:r>
            <w:proofErr w:type="spellEnd"/>
            <w:r w:rsidRPr="000211FB">
              <w:rPr>
                <w:rFonts w:eastAsia="Calibri"/>
                <w:sz w:val="16"/>
                <w:szCs w:val="18"/>
                <w:lang w:bidi="ar-SA"/>
              </w:rPr>
              <w:t xml:space="preserve"> et al., 2020</w:t>
            </w:r>
          </w:p>
        </w:tc>
      </w:tr>
      <w:tr w:rsidR="000211FB" w:rsidRPr="000211FB" w14:paraId="66B7C8F0" w14:textId="77777777" w:rsidTr="000211FB">
        <w:tc>
          <w:tcPr>
            <w:tcW w:w="0" w:type="auto"/>
            <w:tcBorders>
              <w:top w:val="single" w:sz="4" w:space="0" w:color="auto"/>
              <w:left w:val="single" w:sz="8" w:space="0" w:color="auto"/>
              <w:bottom w:val="single" w:sz="8" w:space="0" w:color="auto"/>
            </w:tcBorders>
            <w:shd w:val="clear" w:color="auto" w:fill="auto"/>
          </w:tcPr>
          <w:p w14:paraId="7E446C38" w14:textId="77777777" w:rsidR="00DE7959" w:rsidRPr="000211FB" w:rsidRDefault="00DE7959" w:rsidP="000211FB">
            <w:pPr>
              <w:tabs>
                <w:tab w:val="left" w:pos="1148"/>
              </w:tabs>
              <w:spacing w:before="60" w:after="60" w:line="220" w:lineRule="exact"/>
              <w:rPr>
                <w:rFonts w:eastAsia="Calibri"/>
                <w:b/>
                <w:bCs/>
                <w:sz w:val="16"/>
                <w:szCs w:val="18"/>
              </w:rPr>
            </w:pPr>
            <w:r w:rsidRPr="000211FB">
              <w:rPr>
                <w:rFonts w:eastAsia="Calibri"/>
                <w:b/>
                <w:bCs/>
                <w:sz w:val="16"/>
                <w:szCs w:val="18"/>
                <w:rtl/>
              </w:rPr>
              <w:t xml:space="preserve">סך </w:t>
            </w:r>
            <w:proofErr w:type="spellStart"/>
            <w:r w:rsidRPr="000211FB">
              <w:rPr>
                <w:rFonts w:eastAsia="Calibri"/>
                <w:b/>
                <w:bCs/>
                <w:sz w:val="16"/>
                <w:szCs w:val="18"/>
                <w:rtl/>
              </w:rPr>
              <w:t>הכל</w:t>
            </w:r>
            <w:proofErr w:type="spellEnd"/>
          </w:p>
        </w:tc>
        <w:tc>
          <w:tcPr>
            <w:tcW w:w="0" w:type="auto"/>
            <w:tcBorders>
              <w:top w:val="single" w:sz="4" w:space="0" w:color="auto"/>
              <w:bottom w:val="single" w:sz="8" w:space="0" w:color="auto"/>
            </w:tcBorders>
            <w:shd w:val="clear" w:color="auto" w:fill="auto"/>
          </w:tcPr>
          <w:p w14:paraId="21F8996E" w14:textId="77777777" w:rsidR="00DE7959" w:rsidRPr="000211FB" w:rsidRDefault="00DE7959" w:rsidP="000211FB">
            <w:pPr>
              <w:tabs>
                <w:tab w:val="left" w:pos="1148"/>
              </w:tabs>
              <w:spacing w:before="60" w:after="60" w:line="220" w:lineRule="exact"/>
              <w:rPr>
                <w:rFonts w:ascii="David" w:eastAsia="Calibri" w:hAnsi="David"/>
                <w:b/>
                <w:bCs/>
                <w:sz w:val="18"/>
                <w:szCs w:val="18"/>
                <w:rtl/>
              </w:rPr>
            </w:pPr>
            <w:r w:rsidRPr="000211FB">
              <w:rPr>
                <w:rFonts w:ascii="David" w:eastAsia="Calibri" w:hAnsi="David" w:hint="cs"/>
                <w:b/>
                <w:bCs/>
                <w:sz w:val="18"/>
                <w:szCs w:val="18"/>
                <w:rtl/>
              </w:rPr>
              <w:t>249</w:t>
            </w:r>
          </w:p>
        </w:tc>
        <w:tc>
          <w:tcPr>
            <w:tcW w:w="0" w:type="auto"/>
            <w:tcBorders>
              <w:top w:val="single" w:sz="4" w:space="0" w:color="auto"/>
              <w:bottom w:val="single" w:sz="8" w:space="0" w:color="auto"/>
            </w:tcBorders>
            <w:shd w:val="clear" w:color="auto" w:fill="auto"/>
          </w:tcPr>
          <w:p w14:paraId="5922D8D1" w14:textId="77777777" w:rsidR="00DE7959" w:rsidRPr="000211FB" w:rsidRDefault="00DE7959" w:rsidP="000211FB">
            <w:pPr>
              <w:tabs>
                <w:tab w:val="left" w:pos="1148"/>
              </w:tabs>
              <w:spacing w:before="60" w:after="60" w:line="220" w:lineRule="exact"/>
              <w:rPr>
                <w:rFonts w:ascii="David" w:eastAsia="Calibri" w:hAnsi="David"/>
                <w:b/>
                <w:bCs/>
                <w:sz w:val="18"/>
                <w:szCs w:val="18"/>
                <w:lang w:bidi="ar-SA"/>
              </w:rPr>
            </w:pPr>
            <w:r w:rsidRPr="000211FB">
              <w:rPr>
                <w:rFonts w:ascii="David" w:eastAsia="Calibri" w:hAnsi="David" w:hint="cs"/>
                <w:b/>
                <w:bCs/>
                <w:sz w:val="18"/>
                <w:szCs w:val="18"/>
                <w:rtl/>
              </w:rPr>
              <w:t>185</w:t>
            </w:r>
          </w:p>
        </w:tc>
        <w:tc>
          <w:tcPr>
            <w:tcW w:w="0" w:type="auto"/>
            <w:tcBorders>
              <w:top w:val="single" w:sz="4" w:space="0" w:color="auto"/>
              <w:bottom w:val="single" w:sz="8" w:space="0" w:color="auto"/>
            </w:tcBorders>
            <w:shd w:val="clear" w:color="auto" w:fill="auto"/>
          </w:tcPr>
          <w:p w14:paraId="28E4AB2F" w14:textId="77777777" w:rsidR="00DE7959" w:rsidRPr="000211FB" w:rsidRDefault="00DE7959" w:rsidP="000211FB">
            <w:pPr>
              <w:tabs>
                <w:tab w:val="left" w:pos="1148"/>
              </w:tabs>
              <w:spacing w:before="60" w:after="60" w:line="220" w:lineRule="exact"/>
              <w:rPr>
                <w:rFonts w:ascii="David" w:eastAsia="Calibri" w:hAnsi="David"/>
                <w:b/>
                <w:bCs/>
                <w:sz w:val="18"/>
                <w:szCs w:val="18"/>
                <w:lang w:bidi="ar-SA"/>
              </w:rPr>
            </w:pPr>
            <w:r w:rsidRPr="000211FB">
              <w:rPr>
                <w:rFonts w:ascii="David" w:eastAsia="Calibri" w:hAnsi="David" w:hint="cs"/>
                <w:b/>
                <w:bCs/>
                <w:sz w:val="18"/>
                <w:szCs w:val="18"/>
                <w:rtl/>
              </w:rPr>
              <w:t>153</w:t>
            </w:r>
          </w:p>
        </w:tc>
        <w:tc>
          <w:tcPr>
            <w:tcW w:w="0" w:type="auto"/>
            <w:tcBorders>
              <w:top w:val="single" w:sz="4" w:space="0" w:color="auto"/>
              <w:bottom w:val="single" w:sz="8" w:space="0" w:color="auto"/>
              <w:right w:val="single" w:sz="8" w:space="0" w:color="auto"/>
            </w:tcBorders>
            <w:shd w:val="clear" w:color="auto" w:fill="auto"/>
          </w:tcPr>
          <w:p w14:paraId="6787FB12" w14:textId="77777777" w:rsidR="00DE7959" w:rsidRPr="000211FB" w:rsidRDefault="00DE7959" w:rsidP="000211FB">
            <w:pPr>
              <w:tabs>
                <w:tab w:val="left" w:pos="1148"/>
              </w:tabs>
              <w:bidi w:val="0"/>
              <w:spacing w:before="60" w:after="60" w:line="220" w:lineRule="exact"/>
              <w:rPr>
                <w:rFonts w:eastAsia="Calibri"/>
                <w:sz w:val="16"/>
                <w:szCs w:val="18"/>
                <w:lang w:bidi="ar-SA"/>
              </w:rPr>
            </w:pPr>
          </w:p>
        </w:tc>
      </w:tr>
      <w:bookmarkEnd w:id="6"/>
    </w:tbl>
    <w:p w14:paraId="330B2D4A" w14:textId="77777777" w:rsidR="008D653C" w:rsidRPr="008D653C" w:rsidRDefault="008D653C" w:rsidP="008D653C">
      <w:pPr>
        <w:spacing w:after="180" w:line="280" w:lineRule="exact"/>
        <w:jc w:val="both"/>
        <w:rPr>
          <w:b/>
          <w:bCs/>
          <w:sz w:val="18"/>
          <w:szCs w:val="20"/>
          <w:rtl/>
        </w:rPr>
      </w:pPr>
    </w:p>
    <w:bookmarkEnd w:id="7"/>
    <w:p w14:paraId="4ED548BF" w14:textId="40C94988" w:rsidR="008D653C" w:rsidRPr="008D653C" w:rsidRDefault="008D653C" w:rsidP="00DE7959">
      <w:pPr>
        <w:pStyle w:val="KOT5"/>
        <w:spacing w:after="0"/>
        <w:ind w:right="0"/>
        <w:outlineLvl w:val="2"/>
        <w:rPr>
          <w:rFonts w:cs="Guttman Aharoni"/>
          <w:color w:val="00B0F0"/>
          <w:rtl/>
        </w:rPr>
      </w:pPr>
      <w:r w:rsidRPr="008D653C">
        <w:rPr>
          <w:rFonts w:cs="Guttman Aharoni"/>
          <w:color w:val="00B0F0"/>
          <w:rtl/>
        </w:rPr>
        <w:lastRenderedPageBreak/>
        <w:t>גזענות והדרה</w:t>
      </w:r>
    </w:p>
    <w:p w14:paraId="6754B18F" w14:textId="77777777" w:rsidR="008D653C" w:rsidRPr="008D653C" w:rsidRDefault="008D653C" w:rsidP="008D653C">
      <w:pPr>
        <w:spacing w:after="180" w:line="280" w:lineRule="exact"/>
        <w:jc w:val="both"/>
        <w:rPr>
          <w:sz w:val="18"/>
          <w:szCs w:val="20"/>
          <w:rtl/>
        </w:rPr>
      </w:pPr>
      <w:r w:rsidRPr="008D653C">
        <w:rPr>
          <w:sz w:val="18"/>
          <w:szCs w:val="20"/>
          <w:rtl/>
        </w:rPr>
        <w:t>במחקרים שערכנו בקרב קהילות שונות מצאנו שבהגדרת הסיכון לילדים</w:t>
      </w:r>
      <w:r w:rsidRPr="008D653C" w:rsidDel="000C07D2">
        <w:rPr>
          <w:sz w:val="18"/>
          <w:szCs w:val="20"/>
          <w:rtl/>
        </w:rPr>
        <w:t xml:space="preserve"> </w:t>
      </w:r>
      <w:r w:rsidRPr="008D653C">
        <w:rPr>
          <w:sz w:val="18"/>
          <w:szCs w:val="20"/>
          <w:rtl/>
        </w:rPr>
        <w:t>תופס ההקשר של גזענות והדרה מקום מרכזי, כאשר בהגדרות מערביות של סיכון ומוגנות לילדים מקומו מרכזי פחות. הקשר זה ארוג, גם אם באופן שלא מרבים להזכיר, ביחסי הכוח שבין אנשי המקצוע למטופלים (</w:t>
      </w:r>
      <w:proofErr w:type="spellStart"/>
      <w:r w:rsidRPr="008D653C">
        <w:rPr>
          <w:sz w:val="18"/>
          <w:szCs w:val="20"/>
        </w:rPr>
        <w:t>Engdau</w:t>
      </w:r>
      <w:proofErr w:type="spellEnd"/>
      <w:r w:rsidRPr="008D653C">
        <w:rPr>
          <w:sz w:val="18"/>
          <w:szCs w:val="20"/>
        </w:rPr>
        <w:t xml:space="preserve">-Vanda et al., 2020; </w:t>
      </w:r>
      <w:proofErr w:type="spellStart"/>
      <w:r w:rsidRPr="008D653C">
        <w:rPr>
          <w:sz w:val="18"/>
          <w:szCs w:val="20"/>
        </w:rPr>
        <w:t>Gatenio-Kalush</w:t>
      </w:r>
      <w:proofErr w:type="spellEnd"/>
      <w:r w:rsidRPr="008D653C">
        <w:rPr>
          <w:sz w:val="18"/>
          <w:szCs w:val="20"/>
        </w:rPr>
        <w:t xml:space="preserve"> et al., 2020; Whale et al., 2017</w:t>
      </w:r>
      <w:r w:rsidRPr="008D653C">
        <w:rPr>
          <w:sz w:val="18"/>
          <w:szCs w:val="20"/>
          <w:rtl/>
        </w:rPr>
        <w:t>). למשל: המחקרים שערכנו בקרב קהילת יוצאי אתיופיה בישראל מצביעים על מרכזיותו של הקשר הגזענות בקרב קהילות אלה. על פי ממצאינו דיווחו הורים בקהילה האתיופית על השלכותיה המזיקות של מדיניות שילוב פטרנליסטית ובלתי הולמת, אחרוּת (</w:t>
      </w:r>
      <w:r w:rsidRPr="008D653C">
        <w:rPr>
          <w:sz w:val="18"/>
          <w:szCs w:val="20"/>
        </w:rPr>
        <w:t>othering</w:t>
      </w:r>
      <w:r w:rsidRPr="008D653C">
        <w:rPr>
          <w:sz w:val="18"/>
          <w:szCs w:val="20"/>
          <w:rtl/>
        </w:rPr>
        <w:t>) וגזענות. אימהות צעירות טענו שכאמצעי הגנה הן מלמדות את ילדיהן להתמודד עם גזענות ולשמור על ביטחונם האישי. עובדים סוציאליים דיווחו שמערכת החינוך מוּטה ונוטה לדיווח-יתר על ילדים בסיכון מקרב הקהילה האתיופית. ואכן בראיונות עם אנשי חינוך נמצאו אירועים של גזענות גלויה, כגון האשמות ולפיהן הילדים נמצאים בסיכון בגלל ההורים, התרבות שלהם ו"רגישות היתר" שלהם לגזענות (</w:t>
      </w:r>
      <w:proofErr w:type="spellStart"/>
      <w:r w:rsidRPr="008D653C">
        <w:rPr>
          <w:sz w:val="18"/>
          <w:szCs w:val="20"/>
        </w:rPr>
        <w:t>Engdau</w:t>
      </w:r>
      <w:proofErr w:type="spellEnd"/>
      <w:r w:rsidRPr="008D653C">
        <w:rPr>
          <w:sz w:val="18"/>
          <w:szCs w:val="20"/>
        </w:rPr>
        <w:t xml:space="preserve">-Vanda et al., 2020; </w:t>
      </w:r>
      <w:proofErr w:type="spellStart"/>
      <w:r w:rsidRPr="008D653C">
        <w:rPr>
          <w:sz w:val="18"/>
          <w:szCs w:val="20"/>
        </w:rPr>
        <w:t>Gatenio-Kalush</w:t>
      </w:r>
      <w:proofErr w:type="spellEnd"/>
      <w:r w:rsidRPr="008D653C">
        <w:rPr>
          <w:sz w:val="18"/>
          <w:szCs w:val="20"/>
        </w:rPr>
        <w:t xml:space="preserve"> et al., 2020</w:t>
      </w:r>
      <w:r w:rsidRPr="008D653C">
        <w:rPr>
          <w:sz w:val="18"/>
          <w:szCs w:val="20"/>
          <w:rtl/>
        </w:rPr>
        <w:t xml:space="preserve">). </w:t>
      </w:r>
    </w:p>
    <w:p w14:paraId="372CA38D" w14:textId="77777777" w:rsidR="008D653C" w:rsidRPr="008D653C" w:rsidRDefault="008D653C" w:rsidP="008D653C">
      <w:pPr>
        <w:spacing w:after="180" w:line="280" w:lineRule="exact"/>
        <w:jc w:val="both"/>
        <w:rPr>
          <w:b/>
          <w:bCs/>
          <w:sz w:val="18"/>
          <w:szCs w:val="20"/>
          <w:rtl/>
        </w:rPr>
      </w:pPr>
    </w:p>
    <w:p w14:paraId="468B2194" w14:textId="0516ADAB" w:rsidR="008D653C" w:rsidRPr="008D653C" w:rsidRDefault="008D653C" w:rsidP="00DE7959">
      <w:pPr>
        <w:pStyle w:val="KOT5"/>
        <w:spacing w:after="0"/>
        <w:ind w:right="0"/>
        <w:outlineLvl w:val="2"/>
        <w:rPr>
          <w:rFonts w:cs="Guttman Aharoni"/>
          <w:color w:val="00B0F0"/>
          <w:rtl/>
        </w:rPr>
      </w:pPr>
      <w:r w:rsidRPr="008D653C">
        <w:rPr>
          <w:rFonts w:cs="Guttman Aharoni"/>
          <w:color w:val="00B0F0"/>
          <w:rtl/>
        </w:rPr>
        <w:t>דת ורוחניות</w:t>
      </w:r>
    </w:p>
    <w:p w14:paraId="6293FDEF" w14:textId="77777777" w:rsidR="008D653C" w:rsidRPr="008D653C" w:rsidRDefault="008D653C" w:rsidP="008D653C">
      <w:pPr>
        <w:spacing w:after="180" w:line="280" w:lineRule="exact"/>
        <w:jc w:val="both"/>
        <w:rPr>
          <w:sz w:val="18"/>
          <w:szCs w:val="20"/>
          <w:rtl/>
        </w:rPr>
      </w:pPr>
      <w:r w:rsidRPr="008D653C">
        <w:rPr>
          <w:sz w:val="18"/>
          <w:szCs w:val="20"/>
          <w:rtl/>
        </w:rPr>
        <w:t>ההקשר של דת ורוחניות נמצא מרכזי בעיקר בקהילות הדתיות שחקרנו, הן היהודיות (</w:t>
      </w:r>
      <w:r w:rsidRPr="008D653C">
        <w:rPr>
          <w:color w:val="000000"/>
          <w:sz w:val="18"/>
          <w:szCs w:val="20"/>
        </w:rPr>
        <w:t xml:space="preserve">Bloomberg &amp; </w:t>
      </w:r>
      <w:proofErr w:type="spellStart"/>
      <w:r w:rsidRPr="008D653C">
        <w:rPr>
          <w:color w:val="000000"/>
          <w:sz w:val="18"/>
          <w:szCs w:val="20"/>
        </w:rPr>
        <w:t>Serdtse</w:t>
      </w:r>
      <w:proofErr w:type="spellEnd"/>
      <w:r w:rsidRPr="008D653C">
        <w:rPr>
          <w:sz w:val="18"/>
          <w:szCs w:val="20"/>
        </w:rPr>
        <w:t>, 2020</w:t>
      </w:r>
      <w:r w:rsidRPr="008D653C">
        <w:rPr>
          <w:sz w:val="18"/>
          <w:szCs w:val="20"/>
          <w:rtl/>
        </w:rPr>
        <w:t>) והן המוסלמיות (</w:t>
      </w:r>
      <w:proofErr w:type="spellStart"/>
      <w:r w:rsidRPr="008D653C">
        <w:rPr>
          <w:color w:val="000000"/>
          <w:sz w:val="18"/>
          <w:szCs w:val="20"/>
        </w:rPr>
        <w:t>Marey-Sarwan</w:t>
      </w:r>
      <w:proofErr w:type="spellEnd"/>
      <w:r w:rsidRPr="008D653C">
        <w:rPr>
          <w:color w:val="000000"/>
          <w:sz w:val="18"/>
          <w:szCs w:val="20"/>
        </w:rPr>
        <w:t xml:space="preserve"> &amp; Meir, </w:t>
      </w:r>
      <w:r w:rsidRPr="008D653C">
        <w:rPr>
          <w:sz w:val="18"/>
          <w:szCs w:val="20"/>
        </w:rPr>
        <w:t>2020</w:t>
      </w:r>
      <w:r w:rsidRPr="008D653C">
        <w:rPr>
          <w:sz w:val="18"/>
          <w:szCs w:val="20"/>
          <w:rtl/>
        </w:rPr>
        <w:t>). המחקר שערכנו בקרב הקהילה החרדית ממחיש את מרכזיותו של הקשר זה. ממצאינו מראים שהאמונה באל ונוכחותו בחיי הפרט והקהילה הם מרכיבים מרכזיים במוגנות הילדים, כפי שמגדירים אותה הורים, ילדים ואנשי מקצוע בקהילה החרדית. על כן התרחקות משמירת מצוות או התרופפות האמונה נחשבות גורמי סיכון מרכזיים אצל ילדים. לסיכון זה השלכות לא רק על הילד עצמו, אלא על המשפחה והקהילה, משום שהתרחקות הילד משמירת מצוות מאיימת על המוניטין המשפחתי ועלולה לפגוע בסיכויי אחיו ואחיותיו לזכות בשידוך נאות ולהתקבל למוסדות חינוך נחשבים. באשר למוגנות העלה המחקר שילדים, כבר מגיל שלוש, דיווחו שאלוהים מגן עליהם (</w:t>
      </w:r>
      <w:proofErr w:type="spellStart"/>
      <w:r w:rsidRPr="008D653C">
        <w:rPr>
          <w:sz w:val="18"/>
          <w:szCs w:val="20"/>
        </w:rPr>
        <w:t>Bartl</w:t>
      </w:r>
      <w:proofErr w:type="spellEnd"/>
      <w:r w:rsidRPr="008D653C">
        <w:rPr>
          <w:sz w:val="18"/>
          <w:szCs w:val="20"/>
        </w:rPr>
        <w:t xml:space="preserve"> et al., 2020; </w:t>
      </w:r>
      <w:proofErr w:type="spellStart"/>
      <w:r w:rsidRPr="008D653C">
        <w:rPr>
          <w:sz w:val="18"/>
          <w:szCs w:val="20"/>
        </w:rPr>
        <w:t>Gemara</w:t>
      </w:r>
      <w:proofErr w:type="spellEnd"/>
      <w:r w:rsidRPr="008D653C">
        <w:rPr>
          <w:sz w:val="18"/>
          <w:szCs w:val="20"/>
        </w:rPr>
        <w:t xml:space="preserve"> &amp; </w:t>
      </w:r>
      <w:proofErr w:type="spellStart"/>
      <w:r w:rsidRPr="008D653C">
        <w:rPr>
          <w:sz w:val="18"/>
          <w:szCs w:val="20"/>
        </w:rPr>
        <w:t>Nadan</w:t>
      </w:r>
      <w:proofErr w:type="spellEnd"/>
      <w:r w:rsidRPr="008D653C">
        <w:rPr>
          <w:sz w:val="18"/>
          <w:szCs w:val="20"/>
        </w:rPr>
        <w:t xml:space="preserve">, 2020; </w:t>
      </w:r>
      <w:proofErr w:type="spellStart"/>
      <w:r w:rsidRPr="008D653C">
        <w:rPr>
          <w:sz w:val="18"/>
          <w:szCs w:val="20"/>
        </w:rPr>
        <w:t>Keesing</w:t>
      </w:r>
      <w:proofErr w:type="spellEnd"/>
      <w:r w:rsidRPr="008D653C">
        <w:rPr>
          <w:sz w:val="18"/>
          <w:szCs w:val="20"/>
        </w:rPr>
        <w:t xml:space="preserve">, </w:t>
      </w:r>
      <w:proofErr w:type="spellStart"/>
      <w:r w:rsidRPr="008D653C">
        <w:rPr>
          <w:sz w:val="18"/>
          <w:szCs w:val="20"/>
        </w:rPr>
        <w:t>Gemara</w:t>
      </w:r>
      <w:proofErr w:type="spellEnd"/>
      <w:r w:rsidRPr="008D653C">
        <w:rPr>
          <w:sz w:val="18"/>
          <w:szCs w:val="20"/>
        </w:rPr>
        <w:t xml:space="preserve"> &amp; Pollak, 2020; </w:t>
      </w:r>
      <w:proofErr w:type="spellStart"/>
      <w:r w:rsidRPr="008D653C">
        <w:rPr>
          <w:sz w:val="18"/>
          <w:szCs w:val="20"/>
        </w:rPr>
        <w:t>Ponizovsky-Bergelson</w:t>
      </w:r>
      <w:proofErr w:type="spellEnd"/>
      <w:r w:rsidRPr="008D653C">
        <w:rPr>
          <w:sz w:val="18"/>
          <w:szCs w:val="20"/>
        </w:rPr>
        <w:t xml:space="preserve"> et al., 2020</w:t>
      </w:r>
      <w:r w:rsidRPr="008D653C">
        <w:rPr>
          <w:sz w:val="18"/>
          <w:szCs w:val="20"/>
          <w:rtl/>
        </w:rPr>
        <w:t xml:space="preserve">). </w:t>
      </w:r>
    </w:p>
    <w:p w14:paraId="6281AB7D" w14:textId="77777777" w:rsidR="008D653C" w:rsidRPr="008D653C" w:rsidRDefault="008D653C" w:rsidP="00DE7959">
      <w:pPr>
        <w:spacing w:after="180" w:line="280" w:lineRule="exact"/>
        <w:jc w:val="both"/>
        <w:rPr>
          <w:sz w:val="18"/>
          <w:szCs w:val="20"/>
          <w:rtl/>
        </w:rPr>
      </w:pPr>
      <w:r w:rsidRPr="008D653C">
        <w:rPr>
          <w:sz w:val="18"/>
          <w:szCs w:val="20"/>
          <w:rtl/>
        </w:rPr>
        <w:t>יתרה מזאת, הן הורים חרדים (</w:t>
      </w:r>
      <w:proofErr w:type="spellStart"/>
      <w:r w:rsidRPr="008D653C">
        <w:rPr>
          <w:sz w:val="18"/>
          <w:szCs w:val="20"/>
        </w:rPr>
        <w:t>Nadan</w:t>
      </w:r>
      <w:proofErr w:type="spellEnd"/>
      <w:r w:rsidRPr="008D653C">
        <w:rPr>
          <w:sz w:val="18"/>
          <w:szCs w:val="20"/>
        </w:rPr>
        <w:t xml:space="preserve"> et al., 2019</w:t>
      </w:r>
      <w:r w:rsidRPr="008D653C">
        <w:rPr>
          <w:sz w:val="18"/>
          <w:szCs w:val="20"/>
          <w:rtl/>
        </w:rPr>
        <w:t>) והן ילדים חרדים (</w:t>
      </w:r>
      <w:proofErr w:type="spellStart"/>
      <w:r w:rsidRPr="008D653C">
        <w:rPr>
          <w:sz w:val="18"/>
          <w:szCs w:val="20"/>
        </w:rPr>
        <w:t>Nadan</w:t>
      </w:r>
      <w:proofErr w:type="spellEnd"/>
      <w:r w:rsidRPr="008D653C">
        <w:rPr>
          <w:sz w:val="18"/>
          <w:szCs w:val="20"/>
        </w:rPr>
        <w:t xml:space="preserve"> &amp; Ganz, 2018</w:t>
      </w:r>
      <w:r w:rsidRPr="008D653C">
        <w:rPr>
          <w:sz w:val="18"/>
          <w:szCs w:val="20"/>
          <w:rtl/>
        </w:rPr>
        <w:t xml:space="preserve">), שהתראיינו במסגרת המחקר, השתמשו במושג "סיכון רוחני" כדי לתאר את אחת הסכנות הגדולות האורבות לילדים. "סיכון רוחני", בעיני חברי הקהילה החרדית, הוא מושג מורכב הכולל שלושה היבטים הקשורים זה בזה: (1) ירידה בשמירת תורה ומצוות; (2) הפרת נורמות וכללים חברתיים-תרבותיים; (3) התרופפות האמונה הרוחנית, לרבות תחושת החיבור עם אלוהים. ממצאינו מעידים שהשפעת הסיכון הרוחני יכולה לבוא לידי ביטוי ברמת הדתיות והרוחניות של הילד, עד כדי עזיבה מוחלטת של הדת או הקהילה. </w:t>
      </w:r>
      <w:r w:rsidRPr="008D653C">
        <w:rPr>
          <w:sz w:val="18"/>
          <w:szCs w:val="20"/>
          <w:rtl/>
        </w:rPr>
        <w:lastRenderedPageBreak/>
        <w:t>בעוד אנשי הקהילה החרדית רואים בסיכון הרוחני גורם סיכון מרכזי המאיים על ילדיהם ועושים מאמצים גדולים למזער אותו, עובדים סוציאליים מחוץ לקהילה כלל לא הכירו המשגה זו, כל שכן לא השתמשו בה (</w:t>
      </w:r>
      <w:proofErr w:type="spellStart"/>
      <w:r w:rsidRPr="008D653C">
        <w:rPr>
          <w:sz w:val="18"/>
          <w:szCs w:val="20"/>
        </w:rPr>
        <w:t>Nadan</w:t>
      </w:r>
      <w:proofErr w:type="spellEnd"/>
      <w:r w:rsidRPr="008D653C">
        <w:rPr>
          <w:sz w:val="18"/>
          <w:szCs w:val="20"/>
        </w:rPr>
        <w:t xml:space="preserve"> et al., 2018</w:t>
      </w:r>
      <w:r w:rsidRPr="008D653C">
        <w:rPr>
          <w:sz w:val="18"/>
          <w:szCs w:val="20"/>
          <w:rtl/>
        </w:rPr>
        <w:t xml:space="preserve">). </w:t>
      </w:r>
    </w:p>
    <w:p w14:paraId="239CC94E" w14:textId="77777777" w:rsidR="008D653C" w:rsidRPr="008D653C" w:rsidRDefault="008D653C" w:rsidP="00DE7959">
      <w:pPr>
        <w:spacing w:after="180" w:line="280" w:lineRule="exact"/>
        <w:jc w:val="both"/>
        <w:rPr>
          <w:b/>
          <w:bCs/>
          <w:sz w:val="18"/>
          <w:szCs w:val="20"/>
          <w:rtl/>
        </w:rPr>
      </w:pPr>
    </w:p>
    <w:p w14:paraId="50E38895" w14:textId="521122A1" w:rsidR="008D653C" w:rsidRPr="008D653C" w:rsidRDefault="008D653C" w:rsidP="00DE7959">
      <w:pPr>
        <w:pStyle w:val="KOT5"/>
        <w:spacing w:after="0"/>
        <w:ind w:right="0"/>
        <w:outlineLvl w:val="2"/>
        <w:rPr>
          <w:rFonts w:cs="Guttman Aharoni"/>
          <w:color w:val="00B0F0"/>
          <w:rtl/>
        </w:rPr>
      </w:pPr>
      <w:r w:rsidRPr="008D653C">
        <w:rPr>
          <w:rFonts w:cs="Guttman Aharoni"/>
          <w:color w:val="00B0F0"/>
          <w:rtl/>
        </w:rPr>
        <w:t>קונפליקט פוליטי ואלימות</w:t>
      </w:r>
    </w:p>
    <w:p w14:paraId="43FB8E66" w14:textId="77777777" w:rsidR="008D653C" w:rsidRPr="008D653C" w:rsidRDefault="008D653C" w:rsidP="008D653C">
      <w:pPr>
        <w:spacing w:after="180" w:line="280" w:lineRule="exact"/>
        <w:jc w:val="both"/>
        <w:rPr>
          <w:sz w:val="18"/>
          <w:szCs w:val="20"/>
          <w:rtl/>
        </w:rPr>
      </w:pPr>
      <w:r w:rsidRPr="008D653C">
        <w:rPr>
          <w:sz w:val="18"/>
          <w:szCs w:val="20"/>
          <w:rtl/>
        </w:rPr>
        <w:t>בהקשר של קונפליקט פוליטי ואלימות נציג את התפיסות בדבר סיכון ומוגנות של ילדים מהזווית של ילדים, הורים ואנשי מקצוע ביישובים בדואיים בלתי מוכרים בנגב (</w:t>
      </w:r>
      <w:proofErr w:type="spellStart"/>
      <w:r w:rsidRPr="008D653C">
        <w:rPr>
          <w:sz w:val="18"/>
          <w:szCs w:val="20"/>
        </w:rPr>
        <w:t>Marey‐Sarwan</w:t>
      </w:r>
      <w:proofErr w:type="spellEnd"/>
      <w:r w:rsidRPr="008D653C">
        <w:rPr>
          <w:sz w:val="18"/>
          <w:szCs w:val="20"/>
        </w:rPr>
        <w:t xml:space="preserve">, 2020; </w:t>
      </w:r>
      <w:proofErr w:type="spellStart"/>
      <w:r w:rsidRPr="008D653C">
        <w:rPr>
          <w:sz w:val="18"/>
          <w:szCs w:val="20"/>
        </w:rPr>
        <w:t>Marey-Sarwan</w:t>
      </w:r>
      <w:proofErr w:type="spellEnd"/>
      <w:r w:rsidRPr="008D653C">
        <w:rPr>
          <w:sz w:val="18"/>
          <w:szCs w:val="20"/>
        </w:rPr>
        <w:t xml:space="preserve"> &amp; Meir, 2020; </w:t>
      </w:r>
      <w:proofErr w:type="spellStart"/>
      <w:r w:rsidRPr="008D653C">
        <w:rPr>
          <w:sz w:val="18"/>
          <w:szCs w:val="20"/>
        </w:rPr>
        <w:t>Marey-Sarwan</w:t>
      </w:r>
      <w:proofErr w:type="spellEnd"/>
      <w:r w:rsidRPr="008D653C">
        <w:rPr>
          <w:sz w:val="18"/>
          <w:szCs w:val="20"/>
        </w:rPr>
        <w:t xml:space="preserve"> &amp; </w:t>
      </w:r>
      <w:proofErr w:type="spellStart"/>
      <w:r w:rsidRPr="008D653C">
        <w:rPr>
          <w:sz w:val="18"/>
          <w:szCs w:val="20"/>
        </w:rPr>
        <w:t>Roer-Strier</w:t>
      </w:r>
      <w:proofErr w:type="spellEnd"/>
      <w:r w:rsidRPr="008D653C">
        <w:rPr>
          <w:sz w:val="18"/>
          <w:szCs w:val="20"/>
        </w:rPr>
        <w:t xml:space="preserve">, 2017; </w:t>
      </w:r>
      <w:proofErr w:type="spellStart"/>
      <w:r w:rsidRPr="008D653C">
        <w:rPr>
          <w:sz w:val="18"/>
          <w:szCs w:val="20"/>
        </w:rPr>
        <w:t>Ponizovsky-Bergelson</w:t>
      </w:r>
      <w:proofErr w:type="spellEnd"/>
      <w:r w:rsidRPr="008D653C">
        <w:rPr>
          <w:sz w:val="18"/>
          <w:szCs w:val="20"/>
        </w:rPr>
        <w:t xml:space="preserve"> et al., 2020</w:t>
      </w:r>
      <w:r w:rsidRPr="008D653C">
        <w:rPr>
          <w:sz w:val="18"/>
          <w:szCs w:val="20"/>
          <w:rtl/>
        </w:rPr>
        <w:t>). ממצאינו מראים שהסיכונים שאליהם מתייחסים הורים, ילדים ואנשי מקצוע מהיישובים הבלתי מוכרים הם סיכונים סביבתיים, העדר שירותים הולמים ומעמד כלכלי נמוך. אך בשונה מההורים ומהילדים, שהצביעו על הריסות בתים ועל אלימות פוליטית כאיומים המשפיעים ביותר על הרווחה הנפשית, הפיזית והתרבותית של הילדים, התמקדו אנשי המקצוע בעיקר בהזנחה הורית, במצב כלכלי קשה ובעוני.</w:t>
      </w:r>
    </w:p>
    <w:p w14:paraId="2492C9D4" w14:textId="77777777" w:rsidR="008D653C" w:rsidRPr="008D653C" w:rsidRDefault="008D653C" w:rsidP="00DE7959">
      <w:pPr>
        <w:spacing w:after="180" w:line="280" w:lineRule="exact"/>
        <w:jc w:val="both"/>
        <w:rPr>
          <w:sz w:val="18"/>
          <w:szCs w:val="20"/>
          <w:rtl/>
        </w:rPr>
      </w:pPr>
      <w:r w:rsidRPr="008D653C">
        <w:rPr>
          <w:sz w:val="18"/>
          <w:szCs w:val="20"/>
          <w:rtl/>
        </w:rPr>
        <w:t>מחקר מירושלים המזרחית מספק דוגמה נוספת למקום המרכזי שתופס ההקשר של קונפליקט פוליטי ואלימות. באזורים כמו מזרח ירושלים, הנתונים בסכסוך פוליטי, המסגרות של זכויות ומוגנות הילד מושפעות מאוד מהשיח הביטחוני המקובל. ממצאים מהמחקר של קובנר (</w:t>
      </w:r>
      <w:r w:rsidRPr="008D653C">
        <w:rPr>
          <w:sz w:val="18"/>
          <w:szCs w:val="20"/>
        </w:rPr>
        <w:t>Kovner, 2020</w:t>
      </w:r>
      <w:r w:rsidRPr="008D653C">
        <w:rPr>
          <w:sz w:val="18"/>
          <w:szCs w:val="20"/>
          <w:rtl/>
        </w:rPr>
        <w:t>) מראים שכוחות הביטחון ומערכת המשפט רואים בילדים המפגינים או המשליכים אבנים איום ביטחוני, אבל תגובת השלטונות להתנהגותם מגיעה מהתחום הפלילי. תגובה זו יוצרת תגובת שרשרת, המגבירה את היחשפות הילדים להתנהגות עבריינית ומחזקת את האיום על המדינה. בתוך מציאות זו שולט השיח הביטחוני, השולל מהילדים את זכויותיהם הבסיסיות ומאופיין באיום, בשליטה, בדיכוי ובכליאה (</w:t>
      </w:r>
      <w:r w:rsidRPr="008D653C">
        <w:rPr>
          <w:rFonts w:eastAsia="Yu Mincho"/>
          <w:sz w:val="18"/>
          <w:szCs w:val="20"/>
        </w:rPr>
        <w:t xml:space="preserve">Kovner &amp; </w:t>
      </w:r>
      <w:proofErr w:type="spellStart"/>
      <w:r w:rsidRPr="008D653C">
        <w:rPr>
          <w:rFonts w:eastAsia="Yu Mincho"/>
          <w:sz w:val="18"/>
          <w:szCs w:val="20"/>
        </w:rPr>
        <w:t>Shalhoub</w:t>
      </w:r>
      <w:proofErr w:type="spellEnd"/>
      <w:r w:rsidRPr="008D653C">
        <w:rPr>
          <w:rFonts w:eastAsia="Yu Mincho"/>
          <w:sz w:val="18"/>
          <w:szCs w:val="20"/>
        </w:rPr>
        <w:t>-Kevorkian, 2018</w:t>
      </w:r>
      <w:r w:rsidRPr="008D653C">
        <w:rPr>
          <w:sz w:val="18"/>
          <w:szCs w:val="20"/>
          <w:rtl/>
        </w:rPr>
        <w:t xml:space="preserve">). המדינה והממסד לא שמים בראש מעייניהם את ההגנה על ילדים ואת השמירה על זכויותיהם על פי האמנות הבין לאומיות שמדינת ישראל חתומה עליהן, ואין התייחסות לצרכים ולגורמי הסיכון הייחודיים לילדי מזרח ירושלים ולא מענים מותאמים. </w:t>
      </w:r>
    </w:p>
    <w:p w14:paraId="2E559DA3" w14:textId="30FCDEEC" w:rsidR="008D653C" w:rsidRDefault="008D653C" w:rsidP="008D653C">
      <w:pPr>
        <w:spacing w:after="180" w:line="280" w:lineRule="exact"/>
        <w:jc w:val="both"/>
        <w:rPr>
          <w:b/>
          <w:bCs/>
          <w:sz w:val="18"/>
          <w:szCs w:val="20"/>
        </w:rPr>
      </w:pPr>
    </w:p>
    <w:p w14:paraId="7000CEBC" w14:textId="77777777" w:rsidR="00955C47" w:rsidRPr="008D653C" w:rsidRDefault="00955C47" w:rsidP="008D653C">
      <w:pPr>
        <w:spacing w:after="180" w:line="280" w:lineRule="exact"/>
        <w:jc w:val="both"/>
        <w:rPr>
          <w:b/>
          <w:bCs/>
          <w:sz w:val="18"/>
          <w:szCs w:val="20"/>
          <w:rtl/>
        </w:rPr>
      </w:pPr>
    </w:p>
    <w:p w14:paraId="258D44F7" w14:textId="6E89CF99" w:rsidR="008D653C" w:rsidRPr="008D653C" w:rsidRDefault="008D653C" w:rsidP="00DE7959">
      <w:pPr>
        <w:pStyle w:val="KOT4"/>
        <w:spacing w:after="0"/>
        <w:ind w:left="397" w:right="0" w:hanging="397"/>
        <w:rPr>
          <w:rFonts w:cs="Guttman Aharoni"/>
          <w:color w:val="00B0F0"/>
          <w:sz w:val="32"/>
          <w:szCs w:val="32"/>
          <w:rtl/>
        </w:rPr>
      </w:pPr>
      <w:r>
        <w:rPr>
          <w:rFonts w:cs="Guttman Aharoni" w:hint="cs"/>
          <w:color w:val="00B0F0"/>
          <w:sz w:val="32"/>
          <w:szCs w:val="32"/>
          <w:rtl/>
        </w:rPr>
        <w:t>3.</w:t>
      </w:r>
      <w:r>
        <w:rPr>
          <w:rFonts w:cs="Guttman Aharoni"/>
          <w:color w:val="00B0F0"/>
          <w:sz w:val="32"/>
          <w:szCs w:val="32"/>
          <w:rtl/>
        </w:rPr>
        <w:tab/>
      </w:r>
      <w:r w:rsidRPr="008D653C">
        <w:rPr>
          <w:rFonts w:cs="Guttman Aharoni"/>
          <w:color w:val="00B0F0"/>
          <w:sz w:val="32"/>
          <w:szCs w:val="32"/>
          <w:rtl/>
        </w:rPr>
        <w:t>קריאת תיגר על מיתוסים בשיח הסיכון</w:t>
      </w:r>
    </w:p>
    <w:p w14:paraId="379B8DE6" w14:textId="77777777" w:rsidR="008D653C" w:rsidRPr="008D653C" w:rsidRDefault="008D653C" w:rsidP="008D653C">
      <w:pPr>
        <w:spacing w:after="180" w:line="280" w:lineRule="exact"/>
        <w:jc w:val="both"/>
        <w:rPr>
          <w:sz w:val="18"/>
          <w:szCs w:val="20"/>
          <w:rtl/>
        </w:rPr>
      </w:pPr>
      <w:r w:rsidRPr="008D653C">
        <w:rPr>
          <w:sz w:val="18"/>
          <w:szCs w:val="20"/>
          <w:rtl/>
        </w:rPr>
        <w:t xml:space="preserve">בחלק זה אנו מציעים חשיבה מחודשת על טבען האונטולוגי של הקטגוריות "סיכון" ו"מוגנות" בקרב ילדים, המתבססת על התובנות שעלו מניתוח ממצאי המחקר. נזהה ונאתגר שלושה מיתוסים נפוצים מתוך שיח הסיכון. כמו כן נדון באלה: בעמדת המתבונן </w:t>
      </w:r>
      <w:r w:rsidRPr="008D653C">
        <w:rPr>
          <w:sz w:val="18"/>
          <w:szCs w:val="20"/>
          <w:rtl/>
        </w:rPr>
        <w:lastRenderedPageBreak/>
        <w:t>וביחסי הכוח; בפערים ובאי ההלימה הערכית בין הורים לבעלי מקצוע; במורכבות שבשיח הסיכון.</w:t>
      </w:r>
    </w:p>
    <w:p w14:paraId="33E65DDD" w14:textId="766A6C74" w:rsidR="008D653C" w:rsidRPr="008D653C" w:rsidRDefault="008D653C" w:rsidP="00DE7959">
      <w:pPr>
        <w:pStyle w:val="KOT5"/>
        <w:spacing w:after="0"/>
        <w:ind w:right="0"/>
        <w:outlineLvl w:val="2"/>
        <w:rPr>
          <w:rFonts w:cs="Guttman Aharoni"/>
          <w:color w:val="00B0F0"/>
          <w:rtl/>
        </w:rPr>
      </w:pPr>
      <w:r w:rsidRPr="008D653C">
        <w:rPr>
          <w:rFonts w:cs="Guttman Aharoni"/>
          <w:color w:val="00B0F0"/>
          <w:rtl/>
        </w:rPr>
        <w:t xml:space="preserve">מיתוס ראשון: סיכון ומוגנות ילדים כקטגוריות </w:t>
      </w:r>
      <w:proofErr w:type="spellStart"/>
      <w:r w:rsidRPr="008D653C">
        <w:rPr>
          <w:rFonts w:cs="Guttman Aharoni"/>
          <w:color w:val="00B0F0"/>
          <w:rtl/>
        </w:rPr>
        <w:t>מהותניות</w:t>
      </w:r>
      <w:proofErr w:type="spellEnd"/>
    </w:p>
    <w:p w14:paraId="27ABC985" w14:textId="77777777" w:rsidR="008D653C" w:rsidRPr="008D653C" w:rsidRDefault="008D653C" w:rsidP="008D653C">
      <w:pPr>
        <w:spacing w:after="180" w:line="280" w:lineRule="exact"/>
        <w:jc w:val="both"/>
        <w:rPr>
          <w:sz w:val="18"/>
          <w:szCs w:val="20"/>
          <w:rtl/>
        </w:rPr>
      </w:pPr>
      <w:r w:rsidRPr="008D653C">
        <w:rPr>
          <w:sz w:val="18"/>
          <w:szCs w:val="20"/>
          <w:rtl/>
        </w:rPr>
        <w:t>ניתן להתבונן על "סיכון" ו"מוגנות" של ילדים מתוך שתי נקודות מבט תיאורטיות שונות – מהותנות (</w:t>
      </w:r>
      <w:r w:rsidRPr="008D653C">
        <w:rPr>
          <w:sz w:val="18"/>
          <w:szCs w:val="20"/>
        </w:rPr>
        <w:t>essentialism</w:t>
      </w:r>
      <w:r w:rsidRPr="008D653C">
        <w:rPr>
          <w:sz w:val="18"/>
          <w:szCs w:val="20"/>
          <w:rtl/>
        </w:rPr>
        <w:t>) והבנייתיות (</w:t>
      </w:r>
      <w:r w:rsidRPr="008D653C">
        <w:rPr>
          <w:sz w:val="18"/>
          <w:szCs w:val="20"/>
        </w:rPr>
        <w:t>constructivism</w:t>
      </w:r>
      <w:r w:rsidRPr="008D653C">
        <w:rPr>
          <w:sz w:val="18"/>
          <w:szCs w:val="20"/>
          <w:rtl/>
        </w:rPr>
        <w:t xml:space="preserve">). </w:t>
      </w:r>
    </w:p>
    <w:p w14:paraId="045EABD1" w14:textId="77777777" w:rsidR="008D653C" w:rsidRPr="008D653C" w:rsidRDefault="008D653C" w:rsidP="00DE7959">
      <w:pPr>
        <w:spacing w:after="180" w:line="280" w:lineRule="exact"/>
        <w:jc w:val="both"/>
        <w:rPr>
          <w:sz w:val="18"/>
          <w:szCs w:val="20"/>
          <w:rtl/>
        </w:rPr>
      </w:pPr>
      <w:r w:rsidRPr="008D653C">
        <w:rPr>
          <w:sz w:val="18"/>
          <w:szCs w:val="20"/>
          <w:rtl/>
        </w:rPr>
        <w:t xml:space="preserve">הגישה </w:t>
      </w:r>
      <w:proofErr w:type="spellStart"/>
      <w:r w:rsidRPr="008D653C">
        <w:rPr>
          <w:sz w:val="18"/>
          <w:szCs w:val="20"/>
          <w:rtl/>
        </w:rPr>
        <w:t>המהותנית</w:t>
      </w:r>
      <w:proofErr w:type="spellEnd"/>
      <w:r w:rsidRPr="008D653C">
        <w:rPr>
          <w:sz w:val="18"/>
          <w:szCs w:val="20"/>
          <w:rtl/>
        </w:rPr>
        <w:t xml:space="preserve"> מייחסת לתופעות אישיות וחברתיות מהות אמיתית וטבעית. סיכון, על פי השקפה זו, הוא תופעה רווחת בעולמנו, ותפקידם של אנשי המקצוע הוא להבינו, להעריכו ולהתמודד </w:t>
      </w:r>
      <w:proofErr w:type="spellStart"/>
      <w:r w:rsidRPr="008D653C">
        <w:rPr>
          <w:sz w:val="18"/>
          <w:szCs w:val="20"/>
          <w:rtl/>
        </w:rPr>
        <w:t>איתו</w:t>
      </w:r>
      <w:proofErr w:type="spellEnd"/>
      <w:r w:rsidRPr="008D653C">
        <w:rPr>
          <w:sz w:val="18"/>
          <w:szCs w:val="20"/>
          <w:rtl/>
        </w:rPr>
        <w:t>, כדי לשמור על ביטחונם של ילדים (</w:t>
      </w:r>
      <w:r w:rsidRPr="008D653C">
        <w:rPr>
          <w:sz w:val="18"/>
          <w:szCs w:val="20"/>
          <w:shd w:val="clear" w:color="auto" w:fill="FFFFFF"/>
        </w:rPr>
        <w:t>Smeeton, 2020</w:t>
      </w:r>
      <w:r w:rsidRPr="008D653C">
        <w:rPr>
          <w:sz w:val="18"/>
          <w:szCs w:val="20"/>
          <w:rtl/>
        </w:rPr>
        <w:t xml:space="preserve">). ממצאינו מראים שהגישה </w:t>
      </w:r>
      <w:proofErr w:type="spellStart"/>
      <w:r w:rsidRPr="008D653C">
        <w:rPr>
          <w:sz w:val="18"/>
          <w:szCs w:val="20"/>
          <w:rtl/>
        </w:rPr>
        <w:t>המהותנית</w:t>
      </w:r>
      <w:proofErr w:type="spellEnd"/>
      <w:r w:rsidRPr="008D653C">
        <w:rPr>
          <w:sz w:val="18"/>
          <w:szCs w:val="20"/>
          <w:rtl/>
        </w:rPr>
        <w:t xml:space="preserve"> שולטת בשיח המקצועי ומשפיעה על האופן שבו אנשי המקצוע מבינים מהו סיכון ומעריכים סיכונים. השיח על סיכון רווי במונחים מקצועיים </w:t>
      </w:r>
      <w:proofErr w:type="spellStart"/>
      <w:r w:rsidRPr="008D653C">
        <w:rPr>
          <w:sz w:val="18"/>
          <w:szCs w:val="20"/>
          <w:rtl/>
        </w:rPr>
        <w:t>מהותניים</w:t>
      </w:r>
      <w:proofErr w:type="spellEnd"/>
      <w:r w:rsidRPr="008D653C">
        <w:rPr>
          <w:sz w:val="18"/>
          <w:szCs w:val="20"/>
          <w:rtl/>
        </w:rPr>
        <w:t xml:space="preserve"> באופיים, כמו אינדיקטורים, פקטורים, גורמי סיכון, ועל פיהם יכולים בעלי מקצוע לגלות את "טבעו האמיתי" של הסיכון ואת הסיבתיות הלינארית לכאורה המובילה אליו. שיח זה משקף את ההנחה בדבר "משהו" מוסכם ואחיד העלול לפגוע בילד או להגדיל את הסיכוי לפגיעה בו. </w:t>
      </w:r>
    </w:p>
    <w:p w14:paraId="3EF222C1" w14:textId="77777777" w:rsidR="008D653C" w:rsidRPr="008D653C" w:rsidRDefault="008D653C" w:rsidP="00DE7959">
      <w:pPr>
        <w:spacing w:after="180" w:line="280" w:lineRule="exact"/>
        <w:jc w:val="both"/>
        <w:rPr>
          <w:sz w:val="18"/>
          <w:szCs w:val="20"/>
          <w:rtl/>
        </w:rPr>
      </w:pPr>
      <w:r w:rsidRPr="008D653C">
        <w:rPr>
          <w:sz w:val="18"/>
          <w:szCs w:val="20"/>
          <w:rtl/>
        </w:rPr>
        <w:t xml:space="preserve">לגישה </w:t>
      </w:r>
      <w:proofErr w:type="spellStart"/>
      <w:r w:rsidRPr="008D653C">
        <w:rPr>
          <w:sz w:val="18"/>
          <w:szCs w:val="20"/>
          <w:rtl/>
        </w:rPr>
        <w:t>המהותנית</w:t>
      </w:r>
      <w:proofErr w:type="spellEnd"/>
      <w:r w:rsidRPr="008D653C">
        <w:rPr>
          <w:sz w:val="18"/>
          <w:szCs w:val="20"/>
          <w:rtl/>
        </w:rPr>
        <w:t xml:space="preserve"> שנוקטים אנשי המקצוע בתחום אפשר למצוא שני הסברים, הקשורים למערכת הרווחה והגנת לילד: (1) עובדות ועובדים סוציאליים בתחום הגנת הילד, ובכללם אלה שמונו על פי חוק (פקידי סעד), עובדים תחת עומס עצום ונאלצים להתמודד באופן כמעט בלעדי עם מקרי חירום. מציאות זו היא תוצאה של אידיאולוגיה ניאו-ליברלית קיצונית והשלכותיה על שירותי הרווחה (</w:t>
      </w:r>
      <w:r w:rsidRPr="008D653C">
        <w:rPr>
          <w:sz w:val="18"/>
          <w:szCs w:val="20"/>
        </w:rPr>
        <w:t xml:space="preserve">Saar-Heiman &amp; Gupta, 2020; </w:t>
      </w:r>
      <w:proofErr w:type="spellStart"/>
      <w:r w:rsidRPr="008D653C">
        <w:rPr>
          <w:sz w:val="18"/>
          <w:szCs w:val="20"/>
        </w:rPr>
        <w:t>Strier</w:t>
      </w:r>
      <w:proofErr w:type="spellEnd"/>
      <w:r w:rsidRPr="008D653C">
        <w:rPr>
          <w:sz w:val="18"/>
          <w:szCs w:val="20"/>
        </w:rPr>
        <w:t xml:space="preserve"> &amp; Feldman, 2017</w:t>
      </w:r>
      <w:r w:rsidRPr="008D653C">
        <w:rPr>
          <w:sz w:val="18"/>
          <w:szCs w:val="20"/>
          <w:rtl/>
        </w:rPr>
        <w:t>). (2) המושג "סיכון" מנחה את ההחלטות בנוגע לפעולות שכדאי לנקוט כלפי משפחה, כאשר יש חשש לביטחון הילד. לנוכח האקלים הציבורי הרווח בשנים האחרונות דיון זה מעורר אצל אנשי מקצוע ושירותי רווחה חששות כבדים וגורם להם לחפש כלים, כגון פרוטוקולים ומדדים להערכת סיכון, שיצמצמו חששות אלה וישרו עליהם תחושת ביטחון גדולה יותר במהלכיהם (</w:t>
      </w:r>
      <w:r w:rsidRPr="008D653C">
        <w:rPr>
          <w:sz w:val="18"/>
          <w:szCs w:val="20"/>
          <w:shd w:val="clear" w:color="auto" w:fill="FFFFFF"/>
        </w:rPr>
        <w:t>Smeeton, 2020</w:t>
      </w:r>
      <w:r w:rsidRPr="008D653C">
        <w:rPr>
          <w:sz w:val="18"/>
          <w:szCs w:val="20"/>
          <w:rtl/>
        </w:rPr>
        <w:t>). הרשתות החברתיות ממלאות תפקיד נכבד ביצירת האקלים הציבורי, ואנו חוזים במגמה גוברת של ביוש (</w:t>
      </w:r>
      <w:proofErr w:type="spellStart"/>
      <w:r w:rsidRPr="008D653C">
        <w:rPr>
          <w:sz w:val="18"/>
          <w:szCs w:val="20"/>
          <w:rtl/>
        </w:rPr>
        <w:t>שיימינג</w:t>
      </w:r>
      <w:proofErr w:type="spellEnd"/>
      <w:r w:rsidRPr="008D653C">
        <w:rPr>
          <w:sz w:val="18"/>
          <w:szCs w:val="20"/>
          <w:rtl/>
        </w:rPr>
        <w:t xml:space="preserve">) אישי של עובדים סוציאליים ואנשי רווחה העובדים עם ילדים, במיוחד בבלוגים </w:t>
      </w:r>
      <w:proofErr w:type="spellStart"/>
      <w:r w:rsidRPr="008D653C">
        <w:rPr>
          <w:sz w:val="18"/>
          <w:szCs w:val="20"/>
          <w:rtl/>
        </w:rPr>
        <w:t>ובפייסבוק</w:t>
      </w:r>
      <w:proofErr w:type="spellEnd"/>
      <w:r w:rsidRPr="008D653C">
        <w:rPr>
          <w:sz w:val="18"/>
          <w:szCs w:val="20"/>
          <w:rtl/>
        </w:rPr>
        <w:t>, בעקבות פעולות שנקטו להגנה על ילדים (</w:t>
      </w:r>
      <w:r w:rsidRPr="008D653C">
        <w:rPr>
          <w:sz w:val="18"/>
          <w:szCs w:val="20"/>
          <w:shd w:val="clear" w:color="auto" w:fill="FFFFFF"/>
        </w:rPr>
        <w:t xml:space="preserve">Kagan, </w:t>
      </w:r>
      <w:proofErr w:type="spellStart"/>
      <w:r w:rsidRPr="008D653C">
        <w:rPr>
          <w:sz w:val="18"/>
          <w:szCs w:val="20"/>
          <w:shd w:val="clear" w:color="auto" w:fill="FFFFFF"/>
        </w:rPr>
        <w:t>Orkibi</w:t>
      </w:r>
      <w:proofErr w:type="spellEnd"/>
      <w:r w:rsidRPr="008D653C">
        <w:rPr>
          <w:sz w:val="18"/>
          <w:szCs w:val="20"/>
          <w:shd w:val="clear" w:color="auto" w:fill="FFFFFF"/>
        </w:rPr>
        <w:t xml:space="preserve">, &amp; </w:t>
      </w:r>
      <w:proofErr w:type="spellStart"/>
      <w:r w:rsidRPr="008D653C">
        <w:rPr>
          <w:sz w:val="18"/>
          <w:szCs w:val="20"/>
          <w:shd w:val="clear" w:color="auto" w:fill="FFFFFF"/>
        </w:rPr>
        <w:t>Zychlinski</w:t>
      </w:r>
      <w:proofErr w:type="spellEnd"/>
      <w:r w:rsidRPr="008D653C">
        <w:rPr>
          <w:sz w:val="18"/>
          <w:szCs w:val="20"/>
          <w:shd w:val="clear" w:color="auto" w:fill="FFFFFF"/>
        </w:rPr>
        <w:t>, 2018</w:t>
      </w:r>
      <w:r w:rsidRPr="008D653C">
        <w:rPr>
          <w:sz w:val="18"/>
          <w:szCs w:val="20"/>
          <w:rtl/>
        </w:rPr>
        <w:t xml:space="preserve">). אנו סבורים שמגמה זו הגבירה את החרדה של בעלי המקצוע מפני העיסוק בסוגיות של ילדים בסיכון ואת חיפושם אחר ראיות. מגמה זו גם תרמה לחיזוק הגישה </w:t>
      </w:r>
      <w:proofErr w:type="spellStart"/>
      <w:r w:rsidRPr="008D653C">
        <w:rPr>
          <w:sz w:val="18"/>
          <w:szCs w:val="20"/>
          <w:rtl/>
        </w:rPr>
        <w:t>המהותנית</w:t>
      </w:r>
      <w:proofErr w:type="spellEnd"/>
      <w:r w:rsidRPr="008D653C">
        <w:rPr>
          <w:sz w:val="18"/>
          <w:szCs w:val="20"/>
          <w:rtl/>
        </w:rPr>
        <w:t xml:space="preserve"> בשיח, שבגינה חשים אנשי מקצוע שהם בעלי ידע ומיומנות גדולים יותר ושולטים במצב. אחת הסכנות הטמונות בהתמקדות במדידת סיכונים בגישה </w:t>
      </w:r>
      <w:proofErr w:type="spellStart"/>
      <w:r w:rsidRPr="008D653C">
        <w:rPr>
          <w:sz w:val="18"/>
          <w:szCs w:val="20"/>
          <w:rtl/>
        </w:rPr>
        <w:t>מהותנית</w:t>
      </w:r>
      <w:proofErr w:type="spellEnd"/>
      <w:r w:rsidRPr="008D653C">
        <w:rPr>
          <w:sz w:val="18"/>
          <w:szCs w:val="20"/>
          <w:rtl/>
        </w:rPr>
        <w:t xml:space="preserve"> היא תיאור ילדים ומשפחות כאובייקטים קבועים וניתנים לפענוח. </w:t>
      </w:r>
    </w:p>
    <w:p w14:paraId="6A2C17EF" w14:textId="77777777" w:rsidR="008D653C" w:rsidRPr="008D653C" w:rsidRDefault="008D653C" w:rsidP="00DE7959">
      <w:pPr>
        <w:spacing w:after="180" w:line="280" w:lineRule="exact"/>
        <w:jc w:val="both"/>
        <w:rPr>
          <w:sz w:val="18"/>
          <w:szCs w:val="20"/>
          <w:rtl/>
        </w:rPr>
      </w:pPr>
      <w:r w:rsidRPr="008D653C">
        <w:rPr>
          <w:sz w:val="18"/>
          <w:szCs w:val="20"/>
          <w:rtl/>
        </w:rPr>
        <w:t xml:space="preserve">על פי </w:t>
      </w:r>
      <w:proofErr w:type="spellStart"/>
      <w:r w:rsidRPr="008D653C">
        <w:rPr>
          <w:sz w:val="18"/>
          <w:szCs w:val="20"/>
          <w:rtl/>
        </w:rPr>
        <w:t>סמיטון</w:t>
      </w:r>
      <w:proofErr w:type="spellEnd"/>
      <w:r w:rsidRPr="008D653C">
        <w:rPr>
          <w:sz w:val="18"/>
          <w:szCs w:val="20"/>
          <w:rtl/>
        </w:rPr>
        <w:t xml:space="preserve"> (</w:t>
      </w:r>
      <w:r w:rsidRPr="008D653C">
        <w:rPr>
          <w:sz w:val="18"/>
          <w:szCs w:val="20"/>
          <w:shd w:val="clear" w:color="auto" w:fill="FFFFFF"/>
        </w:rPr>
        <w:t>Smeeton, 2020</w:t>
      </w:r>
      <w:r w:rsidRPr="008D653C">
        <w:rPr>
          <w:sz w:val="18"/>
          <w:szCs w:val="20"/>
          <w:rtl/>
        </w:rPr>
        <w:t xml:space="preserve">), כאשר העובד הסוציאלי מתאר משפחות באופן חיצוני ואובייקטיבי, הוא בעצם מנסה להרחיק את עצמו מהעולם שהוא מבקש להבין. בעשותו כך </w:t>
      </w:r>
      <w:r w:rsidRPr="008D653C">
        <w:rPr>
          <w:sz w:val="18"/>
          <w:szCs w:val="20"/>
          <w:rtl/>
        </w:rPr>
        <w:lastRenderedPageBreak/>
        <w:t>הוא נכשל בהבנה שהאנשים שהוא מתאר אינם יצורים פסיביים, אלא אנשים עם חוסן ויכולת פעולה עצמאית, המסוגלים להקנות לחייהם משמעות במקום לחכות שתיכפה עליהם מבחוץ. סכנה נוספת שמציבה העמדה ה"אובייקטיבית" היא שהורים הנמנים עם אוכלוסיות החיות תחת דיכוי עלולים להזדהות עם ניסיונם של בעלי המקצוע "להגן על עתיד הילדים" באמצעות תוכניות שונות, למשל הוצאתם מהבית והעברתם לפנימייה, ובכך להדחיק את הכאב שהם חשים על כך שנאלצו לוותר על היכולות ההוריות שלהם (</w:t>
      </w:r>
      <w:proofErr w:type="spellStart"/>
      <w:r w:rsidRPr="008D653C">
        <w:rPr>
          <w:sz w:val="18"/>
          <w:szCs w:val="20"/>
        </w:rPr>
        <w:t>Engdau</w:t>
      </w:r>
      <w:proofErr w:type="spellEnd"/>
      <w:r w:rsidRPr="008D653C">
        <w:rPr>
          <w:sz w:val="18"/>
          <w:szCs w:val="20"/>
        </w:rPr>
        <w:t>-Vanda, 2020</w:t>
      </w:r>
      <w:r w:rsidRPr="008D653C">
        <w:rPr>
          <w:sz w:val="18"/>
          <w:szCs w:val="20"/>
          <w:rtl/>
        </w:rPr>
        <w:t xml:space="preserve">). </w:t>
      </w:r>
    </w:p>
    <w:p w14:paraId="389F1327" w14:textId="77777777" w:rsidR="008D653C" w:rsidRPr="008D653C" w:rsidRDefault="008D653C" w:rsidP="00DE7959">
      <w:pPr>
        <w:spacing w:after="180" w:line="280" w:lineRule="exact"/>
        <w:jc w:val="both"/>
        <w:rPr>
          <w:sz w:val="18"/>
          <w:szCs w:val="20"/>
          <w:rtl/>
        </w:rPr>
      </w:pPr>
      <w:r w:rsidRPr="008D653C">
        <w:rPr>
          <w:sz w:val="18"/>
          <w:szCs w:val="20"/>
          <w:rtl/>
        </w:rPr>
        <w:t xml:space="preserve">בשונה מהשיח </w:t>
      </w:r>
      <w:proofErr w:type="spellStart"/>
      <w:r w:rsidRPr="008D653C">
        <w:rPr>
          <w:sz w:val="18"/>
          <w:szCs w:val="20"/>
          <w:rtl/>
        </w:rPr>
        <w:t>המהותני</w:t>
      </w:r>
      <w:proofErr w:type="spellEnd"/>
      <w:r w:rsidRPr="008D653C">
        <w:rPr>
          <w:sz w:val="18"/>
          <w:szCs w:val="20"/>
          <w:rtl/>
        </w:rPr>
        <w:t>, רואה השיח ההבנייתי בסיכון ובמוגנות של ילדים תופעות סובייקטיביות, מובנות-חברתית ותלויות הקשר. מנקודת מבט זו, המבנים החברתיים דינמיים ונטענים במשמעות, רק כשהם נמצאים בהקשר מסוים (חברה, תרבות, שפה וכו') (</w:t>
      </w:r>
      <w:proofErr w:type="spellStart"/>
      <w:r w:rsidRPr="008D653C">
        <w:rPr>
          <w:sz w:val="18"/>
          <w:szCs w:val="20"/>
          <w:shd w:val="clear" w:color="auto" w:fill="FFFFFF"/>
        </w:rPr>
        <w:t>Gergen</w:t>
      </w:r>
      <w:proofErr w:type="spellEnd"/>
      <w:r w:rsidRPr="008D653C">
        <w:rPr>
          <w:sz w:val="18"/>
          <w:szCs w:val="20"/>
          <w:shd w:val="clear" w:color="auto" w:fill="FFFFFF"/>
        </w:rPr>
        <w:t>, 2015</w:t>
      </w:r>
      <w:r w:rsidRPr="008D653C">
        <w:rPr>
          <w:sz w:val="18"/>
          <w:szCs w:val="20"/>
          <w:rtl/>
        </w:rPr>
        <w:t>). לפי תפיסה זו סיכון איננו מושג קונקרטי אלא מושג מובנה-חברתית, ועל כן אי אפשר להכפיפו לחישוב טכני. סיכון, בשיח ההבנייתי, הוא דרך חשיבה ולא דבר מה או מציאות מסוימת (</w:t>
      </w:r>
      <w:r w:rsidRPr="008D653C">
        <w:rPr>
          <w:sz w:val="18"/>
          <w:szCs w:val="20"/>
        </w:rPr>
        <w:t>Holland, 2004</w:t>
      </w:r>
      <w:r w:rsidRPr="008D653C">
        <w:rPr>
          <w:sz w:val="18"/>
          <w:szCs w:val="20"/>
          <w:rtl/>
        </w:rPr>
        <w:t>). בהתבסס על ממצאי המחקר שערכנו מתחוורת ההתייחסות אל סיכון ומוגנות של ילדים כאל קטגוריות מובנות-חברתית ונובעות מהקשר. הממצאים תומכים בהמשגה של יאנג (</w:t>
      </w:r>
      <w:r w:rsidRPr="008D653C">
        <w:rPr>
          <w:sz w:val="18"/>
          <w:szCs w:val="20"/>
        </w:rPr>
        <w:t>Young, 1995</w:t>
      </w:r>
      <w:r w:rsidRPr="008D653C">
        <w:rPr>
          <w:sz w:val="18"/>
          <w:szCs w:val="20"/>
          <w:rtl/>
        </w:rPr>
        <w:t>) שגרס שקטגוריות אלה הן תולדה של יחסים סבוכים בין ידע, תרבות, סובייקטיביות ופוליטיקה (</w:t>
      </w:r>
      <w:r w:rsidRPr="008D653C">
        <w:rPr>
          <w:sz w:val="18"/>
          <w:szCs w:val="20"/>
          <w:shd w:val="clear" w:color="auto" w:fill="FFFFFF"/>
        </w:rPr>
        <w:t>Plotkin-</w:t>
      </w:r>
      <w:proofErr w:type="spellStart"/>
      <w:r w:rsidRPr="008D653C">
        <w:rPr>
          <w:sz w:val="18"/>
          <w:szCs w:val="20"/>
          <w:shd w:val="clear" w:color="auto" w:fill="FFFFFF"/>
        </w:rPr>
        <w:t>Amrami</w:t>
      </w:r>
      <w:proofErr w:type="spellEnd"/>
      <w:r w:rsidRPr="008D653C">
        <w:rPr>
          <w:sz w:val="18"/>
          <w:szCs w:val="20"/>
          <w:shd w:val="clear" w:color="auto" w:fill="FFFFFF"/>
        </w:rPr>
        <w:t>, 2018</w:t>
      </w:r>
      <w:r w:rsidRPr="008D653C">
        <w:rPr>
          <w:sz w:val="18"/>
          <w:szCs w:val="20"/>
          <w:rtl/>
        </w:rPr>
        <w:t>). יאנג טען שבמקום לבחון אם הקטגוריות של סיכון ומוגנות "אמיתיות", יש לבחון כיצד הן נהיו אמיתיות בהקשר המקצועי וכן בשיח החברתי הכללי (</w:t>
      </w:r>
      <w:r w:rsidRPr="008D653C">
        <w:rPr>
          <w:sz w:val="18"/>
          <w:szCs w:val="20"/>
          <w:shd w:val="clear" w:color="auto" w:fill="FFFFFF"/>
        </w:rPr>
        <w:t>Young, 1995</w:t>
      </w:r>
      <w:r w:rsidRPr="008D653C">
        <w:rPr>
          <w:sz w:val="18"/>
          <w:szCs w:val="20"/>
          <w:rtl/>
        </w:rPr>
        <w:t xml:space="preserve">). אנו קוראים לאימוץ גישה הבנייתית, מודעת-הקשר כגישה מובילה בשיח המקצועי על סיכון ומוגנות ילדים. </w:t>
      </w:r>
    </w:p>
    <w:p w14:paraId="49AE8527" w14:textId="77777777" w:rsidR="008D653C" w:rsidRPr="008D653C" w:rsidRDefault="008D653C" w:rsidP="00DE7959">
      <w:pPr>
        <w:spacing w:after="180" w:line="280" w:lineRule="exact"/>
        <w:jc w:val="both"/>
        <w:rPr>
          <w:sz w:val="18"/>
          <w:szCs w:val="20"/>
          <w:rtl/>
        </w:rPr>
      </w:pPr>
      <w:r w:rsidRPr="008D653C">
        <w:rPr>
          <w:sz w:val="18"/>
          <w:szCs w:val="20"/>
          <w:rtl/>
        </w:rPr>
        <w:t>ממצאים הנוגעים להורים בקהילת יוצאי אתיופיה ולבעלי המקצוע המשרתים קהילה זו (</w:t>
      </w:r>
      <w:proofErr w:type="spellStart"/>
      <w:r w:rsidRPr="008D653C">
        <w:rPr>
          <w:sz w:val="18"/>
          <w:szCs w:val="20"/>
        </w:rPr>
        <w:t>Engdau</w:t>
      </w:r>
      <w:proofErr w:type="spellEnd"/>
      <w:r w:rsidRPr="008D653C">
        <w:rPr>
          <w:sz w:val="18"/>
          <w:szCs w:val="20"/>
        </w:rPr>
        <w:t>-Vanda et al., 2020</w:t>
      </w:r>
      <w:r w:rsidRPr="008D653C">
        <w:rPr>
          <w:sz w:val="18"/>
          <w:szCs w:val="20"/>
          <w:rtl/>
        </w:rPr>
        <w:t xml:space="preserve">) מראים שהסיכון מובנה כתהליך מעגלי שיש בו מספר מהלכים הנובעים זה מזה: אנשי מקצוע מדביקים לילדי הקהילה תווית "ילדים בסיכון"; זו מוטמעת בשיח חברתי רחב יותר; בהמשך, הורים וילדים בקהילה מפנימים דימויים אלה; הפנמה זו בתורה מחזקת את הדימוי ה"סיכוני" (הן בקרב אנשי המקצוע והן בחברה) וחוזר חלילה. הדינמיקה של תהליך מעגלי זה תופסת תאוצה, שהולכת ומנציחה את תפיסתה של קטגוריית הסיכון במונחים </w:t>
      </w:r>
      <w:proofErr w:type="spellStart"/>
      <w:r w:rsidRPr="008D653C">
        <w:rPr>
          <w:sz w:val="18"/>
          <w:szCs w:val="20"/>
          <w:rtl/>
        </w:rPr>
        <w:t>מהותניים</w:t>
      </w:r>
      <w:proofErr w:type="spellEnd"/>
      <w:r w:rsidRPr="008D653C">
        <w:rPr>
          <w:sz w:val="18"/>
          <w:szCs w:val="20"/>
          <w:rtl/>
        </w:rPr>
        <w:t xml:space="preserve"> יותר ויותר, כאילו היא מעידה על "טבעם האמיתי" של ילדים יוצאי אתיופיה (</w:t>
      </w:r>
      <w:proofErr w:type="spellStart"/>
      <w:r w:rsidRPr="008D653C">
        <w:rPr>
          <w:sz w:val="18"/>
          <w:szCs w:val="20"/>
        </w:rPr>
        <w:t>Engdau</w:t>
      </w:r>
      <w:proofErr w:type="spellEnd"/>
      <w:r w:rsidRPr="008D653C">
        <w:rPr>
          <w:sz w:val="18"/>
          <w:szCs w:val="20"/>
        </w:rPr>
        <w:t>-Vanda, 2020</w:t>
      </w:r>
      <w:r w:rsidRPr="008D653C">
        <w:rPr>
          <w:sz w:val="18"/>
          <w:szCs w:val="20"/>
          <w:rtl/>
        </w:rPr>
        <w:t>). המנגנון הזה מוביל להקמתם של מאות פרויקטים, תוכניות מיוחדות, עמותות ותוכניות התערבות לילדים ממוצא אתיופי – מה שנודע כיום כ"תעשיית הסיכון" (</w:t>
      </w:r>
      <w:proofErr w:type="spellStart"/>
      <w:r w:rsidRPr="008D653C">
        <w:rPr>
          <w:sz w:val="18"/>
          <w:szCs w:val="20"/>
          <w:rtl/>
        </w:rPr>
        <w:t>אינגדאו</w:t>
      </w:r>
      <w:proofErr w:type="spellEnd"/>
      <w:r w:rsidRPr="008D653C">
        <w:rPr>
          <w:sz w:val="18"/>
          <w:szCs w:val="20"/>
          <w:rtl/>
        </w:rPr>
        <w:t>-ונדה, 2019). המשותף לכל הפרויקטים הוא שאיפתם "להציל" את הקהילה האתיופית על ידי עידוד חבריה להשתלב בחברה הישראלית (</w:t>
      </w:r>
      <w:proofErr w:type="spellStart"/>
      <w:r w:rsidRPr="008D653C">
        <w:rPr>
          <w:sz w:val="18"/>
          <w:szCs w:val="20"/>
        </w:rPr>
        <w:t>Gatenio-Kalush</w:t>
      </w:r>
      <w:proofErr w:type="spellEnd"/>
      <w:r w:rsidRPr="008D653C">
        <w:rPr>
          <w:sz w:val="18"/>
          <w:szCs w:val="20"/>
        </w:rPr>
        <w:t xml:space="preserve"> et al., 2020</w:t>
      </w:r>
      <w:r w:rsidRPr="008D653C">
        <w:rPr>
          <w:sz w:val="18"/>
          <w:szCs w:val="20"/>
          <w:rtl/>
        </w:rPr>
        <w:t xml:space="preserve">). </w:t>
      </w:r>
    </w:p>
    <w:p w14:paraId="4736F5AB" w14:textId="6A07FBAE" w:rsidR="008D653C" w:rsidRDefault="008D653C" w:rsidP="008D653C">
      <w:pPr>
        <w:spacing w:after="180" w:line="280" w:lineRule="exact"/>
        <w:jc w:val="both"/>
        <w:rPr>
          <w:sz w:val="18"/>
          <w:szCs w:val="20"/>
        </w:rPr>
      </w:pPr>
      <w:r w:rsidRPr="008D653C">
        <w:rPr>
          <w:sz w:val="18"/>
          <w:szCs w:val="20"/>
          <w:rtl/>
        </w:rPr>
        <w:t xml:space="preserve">לסיכום: ממצאי מחקרנו בקהילות שונות תומכים בהבנה שסיכון ומוגנות של ילדים נתפסים על פי רוב כמושגים </w:t>
      </w:r>
      <w:proofErr w:type="spellStart"/>
      <w:r w:rsidRPr="008D653C">
        <w:rPr>
          <w:sz w:val="18"/>
          <w:szCs w:val="20"/>
          <w:rtl/>
        </w:rPr>
        <w:t>מהותניים</w:t>
      </w:r>
      <w:proofErr w:type="spellEnd"/>
      <w:r w:rsidRPr="008D653C">
        <w:rPr>
          <w:sz w:val="18"/>
          <w:szCs w:val="20"/>
          <w:rtl/>
        </w:rPr>
        <w:t xml:space="preserve">, ותפיסה זו היא העומדת בבסיס השיח המקצועי (ואף הציבורי) המתנהל בנושא זה. אנו קוראים לראות מושגים אלה כמושגים מובנים-חברתית ותלויים בהקשר – כקטגוריות שנוצרות בהקשרים שונים, לרבות יחסי כוח בין </w:t>
      </w:r>
      <w:r w:rsidRPr="008D653C">
        <w:rPr>
          <w:sz w:val="18"/>
          <w:szCs w:val="20"/>
          <w:rtl/>
        </w:rPr>
        <w:lastRenderedPageBreak/>
        <w:t>אישיים ובין קבוצתיים בין המגדיר למוגדר, בין ההגמוניה לבין קבוצות שחיות תחת דיכוי מתמשך.</w:t>
      </w:r>
    </w:p>
    <w:p w14:paraId="4F4F25F1" w14:textId="77777777" w:rsidR="00955C47" w:rsidRPr="008D653C" w:rsidRDefault="00955C47" w:rsidP="008D653C">
      <w:pPr>
        <w:spacing w:after="180" w:line="280" w:lineRule="exact"/>
        <w:jc w:val="both"/>
        <w:rPr>
          <w:sz w:val="18"/>
          <w:szCs w:val="20"/>
          <w:rtl/>
        </w:rPr>
      </w:pPr>
    </w:p>
    <w:p w14:paraId="78C6C2E7" w14:textId="6BCF828B" w:rsidR="008D653C" w:rsidRPr="008D653C" w:rsidRDefault="008D653C" w:rsidP="00DE7959">
      <w:pPr>
        <w:pStyle w:val="KOT5"/>
        <w:spacing w:after="0"/>
        <w:ind w:right="0"/>
        <w:outlineLvl w:val="2"/>
        <w:rPr>
          <w:rFonts w:cs="Guttman Aharoni"/>
          <w:color w:val="00B0F0"/>
          <w:rtl/>
        </w:rPr>
      </w:pPr>
      <w:r w:rsidRPr="008D653C">
        <w:rPr>
          <w:rFonts w:cs="Guttman Aharoni"/>
          <w:color w:val="00B0F0"/>
          <w:rtl/>
        </w:rPr>
        <w:t>מיתוס שני: סיכון ומוגנות של ילדים כקטגוריות אוניברסליות</w:t>
      </w:r>
    </w:p>
    <w:p w14:paraId="7C30168B" w14:textId="77777777" w:rsidR="008D653C" w:rsidRPr="008D653C" w:rsidRDefault="008D653C" w:rsidP="008D653C">
      <w:pPr>
        <w:spacing w:after="180" w:line="280" w:lineRule="exact"/>
        <w:jc w:val="both"/>
        <w:rPr>
          <w:sz w:val="18"/>
          <w:szCs w:val="20"/>
          <w:rtl/>
        </w:rPr>
      </w:pPr>
      <w:r w:rsidRPr="008D653C">
        <w:rPr>
          <w:sz w:val="18"/>
          <w:szCs w:val="20"/>
          <w:rtl/>
        </w:rPr>
        <w:t xml:space="preserve">בהלימה לתפיסת הקטגוריות של סיכון ומוגנות של ילדים במונחים </w:t>
      </w:r>
      <w:proofErr w:type="spellStart"/>
      <w:r w:rsidRPr="008D653C">
        <w:rPr>
          <w:sz w:val="18"/>
          <w:szCs w:val="20"/>
          <w:rtl/>
        </w:rPr>
        <w:t>מהותניים</w:t>
      </w:r>
      <w:proofErr w:type="spellEnd"/>
      <w:r w:rsidRPr="008D653C">
        <w:rPr>
          <w:sz w:val="18"/>
          <w:szCs w:val="20"/>
          <w:rtl/>
        </w:rPr>
        <w:t>, הן נתפסות גם כאוניברסליות. התפיסה האוניברסלית שולטת בשיח המקצועי והציבורי בישראל, וייתכן שגם במדינות מערביות אחרות. בדרך כלל עובדים סוציאליים מעריכים וקובעים סיכון על פי מדדים אוניברסליים (</w:t>
      </w:r>
      <w:r w:rsidRPr="008D653C">
        <w:rPr>
          <w:sz w:val="18"/>
          <w:szCs w:val="20"/>
        </w:rPr>
        <w:t>Barry, 2007</w:t>
      </w:r>
      <w:r w:rsidRPr="008D653C">
        <w:rPr>
          <w:sz w:val="18"/>
          <w:szCs w:val="20"/>
          <w:rtl/>
        </w:rPr>
        <w:t>) ובהתאמה לספרות המחקר בתחום, הנוטה להתמקד בגורמים כגון משפחה גדולה (</w:t>
      </w:r>
      <w:r w:rsidRPr="008D653C">
        <w:rPr>
          <w:sz w:val="18"/>
          <w:szCs w:val="20"/>
        </w:rPr>
        <w:t>Murray &amp; Farrington, 2010</w:t>
      </w:r>
      <w:r w:rsidRPr="008D653C">
        <w:rPr>
          <w:sz w:val="18"/>
          <w:szCs w:val="20"/>
          <w:rtl/>
        </w:rPr>
        <w:t>), חוסר השכלה של ההורים (</w:t>
      </w:r>
      <w:proofErr w:type="spellStart"/>
      <w:r w:rsidRPr="008D653C">
        <w:rPr>
          <w:sz w:val="18"/>
          <w:szCs w:val="20"/>
        </w:rPr>
        <w:t>Sonego</w:t>
      </w:r>
      <w:proofErr w:type="spellEnd"/>
      <w:r w:rsidRPr="008D653C">
        <w:rPr>
          <w:sz w:val="18"/>
          <w:szCs w:val="20"/>
        </w:rPr>
        <w:t xml:space="preserve"> et al., 2013</w:t>
      </w:r>
      <w:r w:rsidRPr="008D653C">
        <w:rPr>
          <w:sz w:val="18"/>
          <w:szCs w:val="20"/>
          <w:rtl/>
        </w:rPr>
        <w:t>), אבטלה בקרב ההורים (</w:t>
      </w:r>
      <w:proofErr w:type="spellStart"/>
      <w:r w:rsidRPr="008D653C">
        <w:rPr>
          <w:sz w:val="18"/>
          <w:szCs w:val="20"/>
        </w:rPr>
        <w:t>Pissarides</w:t>
      </w:r>
      <w:proofErr w:type="spellEnd"/>
      <w:r w:rsidRPr="008D653C">
        <w:rPr>
          <w:sz w:val="18"/>
          <w:szCs w:val="20"/>
        </w:rPr>
        <w:t xml:space="preserve"> &amp; Wadsworth, 2013</w:t>
      </w:r>
      <w:r w:rsidRPr="008D653C">
        <w:rPr>
          <w:sz w:val="18"/>
          <w:szCs w:val="20"/>
          <w:rtl/>
        </w:rPr>
        <w:t>), ענישה גופנית (</w:t>
      </w:r>
      <w:r w:rsidRPr="008D653C">
        <w:rPr>
          <w:sz w:val="18"/>
          <w:szCs w:val="20"/>
        </w:rPr>
        <w:t>Gershoff &amp; Grogan-Kaylor, 2016</w:t>
      </w:r>
      <w:r w:rsidRPr="008D653C">
        <w:rPr>
          <w:sz w:val="18"/>
          <w:szCs w:val="20"/>
          <w:rtl/>
        </w:rPr>
        <w:t>) והעדר גישה לחינוך ולפעולות העשרה (</w:t>
      </w:r>
      <w:r w:rsidRPr="008D653C">
        <w:rPr>
          <w:sz w:val="18"/>
          <w:szCs w:val="20"/>
        </w:rPr>
        <w:t>Marchetti et al., 2016</w:t>
      </w:r>
      <w:r w:rsidRPr="008D653C">
        <w:rPr>
          <w:sz w:val="18"/>
          <w:szCs w:val="20"/>
          <w:rtl/>
        </w:rPr>
        <w:t xml:space="preserve">). הספרות נוטה לתאר גורמים אלה כנטולי הקשר. </w:t>
      </w:r>
    </w:p>
    <w:p w14:paraId="5BDDD1CC" w14:textId="77777777" w:rsidR="008D653C" w:rsidRPr="008D653C" w:rsidRDefault="008D653C" w:rsidP="00DE7959">
      <w:pPr>
        <w:spacing w:after="180" w:line="280" w:lineRule="exact"/>
        <w:jc w:val="both"/>
        <w:rPr>
          <w:sz w:val="18"/>
          <w:szCs w:val="20"/>
          <w:rtl/>
        </w:rPr>
      </w:pPr>
      <w:r w:rsidRPr="008D653C">
        <w:rPr>
          <w:sz w:val="18"/>
          <w:szCs w:val="20"/>
          <w:rtl/>
        </w:rPr>
        <w:t xml:space="preserve">השיח האוניברסלי קשור קשר הדוק לכך שגוף הידע המקצועי בתחום התפתחות הילד מבטא ייצוג-חסר של רוב הילדים במדינות שאינן מערביות (לדוגמה ראו </w:t>
      </w:r>
      <w:r w:rsidRPr="008D653C">
        <w:rPr>
          <w:sz w:val="18"/>
          <w:szCs w:val="20"/>
        </w:rPr>
        <w:t>LeVine, 2017</w:t>
      </w:r>
      <w:r w:rsidRPr="008D653C">
        <w:rPr>
          <w:sz w:val="18"/>
          <w:szCs w:val="20"/>
          <w:rtl/>
        </w:rPr>
        <w:t xml:space="preserve">). המאמר רב ההשפעה </w:t>
      </w:r>
      <w:r w:rsidRPr="008D653C">
        <w:rPr>
          <w:b/>
          <w:bCs/>
          <w:sz w:val="18"/>
          <w:szCs w:val="20"/>
          <w:rtl/>
        </w:rPr>
        <w:t>האנשים המוזרים ביותר בעולם</w:t>
      </w:r>
      <w:r w:rsidRPr="008D653C">
        <w:rPr>
          <w:sz w:val="18"/>
          <w:szCs w:val="20"/>
          <w:rtl/>
        </w:rPr>
        <w:t xml:space="preserve"> (</w:t>
      </w:r>
      <w:r w:rsidRPr="008D653C">
        <w:rPr>
          <w:i/>
          <w:sz w:val="18"/>
          <w:szCs w:val="20"/>
        </w:rPr>
        <w:t>The weirdest people in the world</w:t>
      </w:r>
      <w:r w:rsidRPr="008D653C">
        <w:rPr>
          <w:sz w:val="18"/>
          <w:szCs w:val="20"/>
        </w:rPr>
        <w:t>; Heinrich et al., 2010</w:t>
      </w:r>
      <w:r w:rsidRPr="008D653C">
        <w:rPr>
          <w:sz w:val="18"/>
          <w:szCs w:val="20"/>
          <w:rtl/>
        </w:rPr>
        <w:t xml:space="preserve">) דיווח על ייצוג היתר של אוכלוסיות מערביות בכתבי עת בתחום הפסיכולוגיה וטבע את המונח </w:t>
      </w:r>
      <w:r w:rsidRPr="008D653C">
        <w:rPr>
          <w:sz w:val="18"/>
          <w:szCs w:val="20"/>
        </w:rPr>
        <w:t>WEIRD</w:t>
      </w:r>
      <w:r w:rsidRPr="008D653C">
        <w:rPr>
          <w:sz w:val="18"/>
          <w:szCs w:val="20"/>
          <w:rtl/>
        </w:rPr>
        <w:t xml:space="preserve"> כראשי תיבות לתיאור חברות שהן "מערביות, משכילות, מתועשות, עשירות ודמוקרטיות" (</w:t>
      </w:r>
      <w:r w:rsidRPr="008D653C">
        <w:rPr>
          <w:b/>
          <w:sz w:val="18"/>
          <w:szCs w:val="20"/>
        </w:rPr>
        <w:t>W</w:t>
      </w:r>
      <w:r w:rsidRPr="008D653C">
        <w:rPr>
          <w:sz w:val="18"/>
          <w:szCs w:val="20"/>
        </w:rPr>
        <w:t xml:space="preserve">estern, </w:t>
      </w:r>
      <w:r w:rsidRPr="008D653C">
        <w:rPr>
          <w:b/>
          <w:sz w:val="18"/>
          <w:szCs w:val="20"/>
        </w:rPr>
        <w:t>E</w:t>
      </w:r>
      <w:r w:rsidRPr="008D653C">
        <w:rPr>
          <w:sz w:val="18"/>
          <w:szCs w:val="20"/>
        </w:rPr>
        <w:t xml:space="preserve">ducated, </w:t>
      </w:r>
      <w:r w:rsidRPr="008D653C">
        <w:rPr>
          <w:b/>
          <w:sz w:val="18"/>
          <w:szCs w:val="20"/>
        </w:rPr>
        <w:t>I</w:t>
      </w:r>
      <w:r w:rsidRPr="008D653C">
        <w:rPr>
          <w:sz w:val="18"/>
          <w:szCs w:val="20"/>
        </w:rPr>
        <w:t xml:space="preserve">ndustrialized, </w:t>
      </w:r>
      <w:r w:rsidRPr="008D653C">
        <w:rPr>
          <w:b/>
          <w:sz w:val="18"/>
          <w:szCs w:val="20"/>
        </w:rPr>
        <w:t>R</w:t>
      </w:r>
      <w:r w:rsidRPr="008D653C">
        <w:rPr>
          <w:sz w:val="18"/>
          <w:szCs w:val="20"/>
        </w:rPr>
        <w:t xml:space="preserve">ich, and </w:t>
      </w:r>
      <w:r w:rsidRPr="008D653C">
        <w:rPr>
          <w:b/>
          <w:sz w:val="18"/>
          <w:szCs w:val="20"/>
        </w:rPr>
        <w:t>D</w:t>
      </w:r>
      <w:r w:rsidRPr="008D653C">
        <w:rPr>
          <w:sz w:val="18"/>
          <w:szCs w:val="20"/>
        </w:rPr>
        <w:t>emocratic</w:t>
      </w:r>
      <w:r w:rsidRPr="008D653C">
        <w:rPr>
          <w:sz w:val="18"/>
          <w:szCs w:val="20"/>
          <w:rtl/>
        </w:rPr>
        <w:t>). כאשר ילדים הגדלים במדינות מערביות מונים רק 10%-20% מכלל הילדים בעולם, כ-96% מהמחקר על התפתחות הילד, המתפרסם בכתבי עת אמריקניים מובילים בתחום הפסיכולוגיה, מבוסס על דגימות מחברות ה-</w:t>
      </w:r>
      <w:r w:rsidRPr="008D653C">
        <w:rPr>
          <w:sz w:val="18"/>
          <w:szCs w:val="20"/>
        </w:rPr>
        <w:t>WEIRD</w:t>
      </w:r>
      <w:r w:rsidRPr="008D653C">
        <w:rPr>
          <w:sz w:val="18"/>
          <w:szCs w:val="20"/>
          <w:rtl/>
        </w:rPr>
        <w:t>. מכאן נובע החשש ההגיוני שהידע המתבסס על נתונים אלה ייחשב "אוניברסלי" ויוחל על האנושות כולה (</w:t>
      </w:r>
      <w:r w:rsidRPr="008D653C">
        <w:rPr>
          <w:sz w:val="18"/>
          <w:szCs w:val="20"/>
        </w:rPr>
        <w:t xml:space="preserve">Heinrich et al., </w:t>
      </w:r>
      <w:r w:rsidRPr="008D653C">
        <w:rPr>
          <w:bCs/>
          <w:sz w:val="18"/>
          <w:szCs w:val="20"/>
        </w:rPr>
        <w:t>2010</w:t>
      </w:r>
      <w:r w:rsidRPr="008D653C">
        <w:rPr>
          <w:sz w:val="18"/>
          <w:szCs w:val="20"/>
          <w:rtl/>
        </w:rPr>
        <w:t xml:space="preserve">). </w:t>
      </w:r>
    </w:p>
    <w:p w14:paraId="67C67053" w14:textId="77777777" w:rsidR="008D653C" w:rsidRPr="008D653C" w:rsidRDefault="008D653C" w:rsidP="00DE7959">
      <w:pPr>
        <w:spacing w:after="180" w:line="280" w:lineRule="exact"/>
        <w:jc w:val="both"/>
        <w:rPr>
          <w:sz w:val="18"/>
          <w:szCs w:val="20"/>
          <w:rtl/>
        </w:rPr>
      </w:pPr>
      <w:r w:rsidRPr="008D653C">
        <w:rPr>
          <w:sz w:val="18"/>
          <w:szCs w:val="20"/>
          <w:rtl/>
        </w:rPr>
        <w:t>דוגמה בולטת לכך היא תיאוריית ההתקשרות (</w:t>
      </w:r>
      <w:r w:rsidRPr="008D653C">
        <w:rPr>
          <w:rFonts w:eastAsia="Calibri"/>
          <w:sz w:val="18"/>
          <w:szCs w:val="20"/>
        </w:rPr>
        <w:t>Attachment Theory; Bowlby, 1969</w:t>
      </w:r>
      <w:r w:rsidRPr="008D653C">
        <w:rPr>
          <w:sz w:val="18"/>
          <w:szCs w:val="20"/>
          <w:rtl/>
        </w:rPr>
        <w:t>), שנבנתה על סמך מחקר אמפירי, שנערך בעיקר במדינות מערביות, ונחשבת כיום תיאוריה אוניברסלית מובילה של התפתחות הילד. כשיש חשש להתעללות בילדים או להזנחתם, תיאוריית ההתקשרות משמשת כעדשה שדרכה בוחנים עובדים סוציאליים סיכון ומקבלים החלטות, בישראל כמו גם במדינות מערביות אחרות (</w:t>
      </w:r>
      <w:r w:rsidRPr="008D653C">
        <w:rPr>
          <w:rFonts w:eastAsia="Calibri"/>
          <w:sz w:val="18"/>
          <w:szCs w:val="20"/>
        </w:rPr>
        <w:t xml:space="preserve">e.g. </w:t>
      </w:r>
      <w:proofErr w:type="spellStart"/>
      <w:r w:rsidRPr="008D653C">
        <w:rPr>
          <w:rFonts w:eastAsia="Calibri"/>
          <w:sz w:val="18"/>
          <w:szCs w:val="20"/>
        </w:rPr>
        <w:t>Keddell</w:t>
      </w:r>
      <w:proofErr w:type="spellEnd"/>
      <w:r w:rsidRPr="008D653C">
        <w:rPr>
          <w:rFonts w:eastAsia="Calibri"/>
          <w:sz w:val="18"/>
          <w:szCs w:val="20"/>
        </w:rPr>
        <w:t xml:space="preserve">, 2017; </w:t>
      </w:r>
      <w:proofErr w:type="spellStart"/>
      <w:r w:rsidRPr="008D653C">
        <w:rPr>
          <w:rFonts w:eastAsia="Calibri"/>
          <w:sz w:val="18"/>
          <w:szCs w:val="20"/>
        </w:rPr>
        <w:t>Skivenes</w:t>
      </w:r>
      <w:proofErr w:type="spellEnd"/>
      <w:r w:rsidRPr="008D653C">
        <w:rPr>
          <w:rFonts w:eastAsia="Calibri"/>
          <w:sz w:val="18"/>
          <w:szCs w:val="20"/>
        </w:rPr>
        <w:t xml:space="preserve"> &amp; Skramstad, 2013</w:t>
      </w:r>
      <w:r w:rsidRPr="008D653C">
        <w:rPr>
          <w:sz w:val="18"/>
          <w:szCs w:val="20"/>
          <w:rtl/>
        </w:rPr>
        <w:t>). מאחר שתיאוריית ההתקשרות היא אבן בוחן מרכזית בהערכת סיכון, היא עלולה להוביל להתמקדות בהתנהלות הורית מסוימת (או היעדרה) כמקור מרכזי לביטחון רגשי או לחלופין לבעיותיו של הילד, ולהתעלמות מבחינת ההתנהלות גם לאור הקשרים כמו ערכים תרבותיים, עוני, אלימות פוליטית, אבטלה, אפליה ונגישות לשירותים (</w:t>
      </w:r>
      <w:r w:rsidRPr="008D653C">
        <w:rPr>
          <w:rFonts w:eastAsia="Calibri"/>
          <w:sz w:val="18"/>
          <w:szCs w:val="20"/>
        </w:rPr>
        <w:t>Taylor, 2004</w:t>
      </w:r>
      <w:r w:rsidRPr="008D653C">
        <w:rPr>
          <w:sz w:val="18"/>
          <w:szCs w:val="20"/>
          <w:rtl/>
        </w:rPr>
        <w:t xml:space="preserve">). יתר על כן, לעיתים, מתוך ההיגיון הרווח שהבדלים כמוהם כחסכים, מספר </w:t>
      </w:r>
      <w:r w:rsidRPr="008D653C">
        <w:rPr>
          <w:sz w:val="18"/>
          <w:szCs w:val="20"/>
          <w:rtl/>
        </w:rPr>
        <w:lastRenderedPageBreak/>
        <w:t>הילדים במשפחות החיות בעוני או דרכי גידול הילדים המקובלות בחברה מסוימת עשויים להתפרש כגורמי סיכון (</w:t>
      </w:r>
      <w:r w:rsidRPr="008D653C">
        <w:rPr>
          <w:rFonts w:eastAsia="Calibri"/>
          <w:sz w:val="18"/>
          <w:szCs w:val="20"/>
        </w:rPr>
        <w:t>Morelli et al., 2018</w:t>
      </w:r>
      <w:r w:rsidRPr="008D653C">
        <w:rPr>
          <w:sz w:val="18"/>
          <w:szCs w:val="20"/>
          <w:rtl/>
        </w:rPr>
        <w:t xml:space="preserve">). </w:t>
      </w:r>
    </w:p>
    <w:p w14:paraId="42D00B9A" w14:textId="77777777" w:rsidR="008D653C" w:rsidRPr="008D653C" w:rsidRDefault="008D653C" w:rsidP="00DE7959">
      <w:pPr>
        <w:spacing w:after="180" w:line="280" w:lineRule="exact"/>
        <w:jc w:val="both"/>
        <w:rPr>
          <w:sz w:val="18"/>
          <w:szCs w:val="20"/>
          <w:rtl/>
        </w:rPr>
      </w:pPr>
      <w:r w:rsidRPr="008D653C">
        <w:rPr>
          <w:sz w:val="18"/>
          <w:szCs w:val="20"/>
          <w:rtl/>
        </w:rPr>
        <w:t>המחקרים שלנו מעידים, למשל, שבמשפחות חרדיות ברוכות ילדים רווחים רבדים רבים של יחסים (למשל: יצירת מערכות יחסים ברמת הקבוצה או התת-קבוצה) (</w:t>
      </w:r>
      <w:proofErr w:type="spellStart"/>
      <w:r w:rsidRPr="008D653C">
        <w:rPr>
          <w:sz w:val="18"/>
          <w:szCs w:val="20"/>
        </w:rPr>
        <w:t>Bartl</w:t>
      </w:r>
      <w:proofErr w:type="spellEnd"/>
      <w:r w:rsidRPr="008D653C">
        <w:rPr>
          <w:sz w:val="18"/>
          <w:szCs w:val="20"/>
        </w:rPr>
        <w:t xml:space="preserve"> et al., 2020</w:t>
      </w:r>
      <w:r w:rsidRPr="008D653C">
        <w:rPr>
          <w:sz w:val="18"/>
          <w:szCs w:val="20"/>
          <w:rtl/>
        </w:rPr>
        <w:t xml:space="preserve">), ואלה אינם משתקפים בתיאוריות ההתפתחותיות המצויות, העוסקות ביחסי משפחה (כמו תיאוריית ההתקשרות). אנו טוענים אפוא, שבבואנו </w:t>
      </w:r>
      <w:proofErr w:type="spellStart"/>
      <w:r w:rsidRPr="008D653C">
        <w:rPr>
          <w:sz w:val="18"/>
          <w:szCs w:val="20"/>
          <w:rtl/>
        </w:rPr>
        <w:t>לאמוד</w:t>
      </w:r>
      <w:proofErr w:type="spellEnd"/>
      <w:r w:rsidRPr="008D653C">
        <w:rPr>
          <w:sz w:val="18"/>
          <w:szCs w:val="20"/>
          <w:rtl/>
        </w:rPr>
        <w:t xml:space="preserve"> סיכון במשפחות שאינן מערביות, אימוץ מערכת קריטריונים אוניברסלית (שהיא למעשה מערבית), לא רק פגום מבחינה מוסרית ואתית, אלא עלול להיות לא מועיל ואף פוגעני במאמץ להגן על ילדים. יתר על כן, הוא טומן בחובו את הסיכון שהתנהגות תרבותית נורמטיבית תתפרש כהתעללות או כהזנחה (כלומר: בהערכת הסיכון תתקבל תוצאה חיובית שגויה; </w:t>
      </w:r>
      <w:r w:rsidRPr="008D653C">
        <w:rPr>
          <w:sz w:val="18"/>
          <w:szCs w:val="20"/>
        </w:rPr>
        <w:t>false positive</w:t>
      </w:r>
      <w:r w:rsidRPr="008D653C">
        <w:rPr>
          <w:sz w:val="18"/>
          <w:szCs w:val="20"/>
          <w:rtl/>
        </w:rPr>
        <w:t>) (</w:t>
      </w:r>
      <w:r w:rsidRPr="008D653C">
        <w:rPr>
          <w:sz w:val="18"/>
          <w:szCs w:val="20"/>
        </w:rPr>
        <w:t xml:space="preserve">Korbin &amp; </w:t>
      </w:r>
      <w:proofErr w:type="spellStart"/>
      <w:r w:rsidRPr="008D653C">
        <w:rPr>
          <w:sz w:val="18"/>
          <w:szCs w:val="20"/>
        </w:rPr>
        <w:t>Spilsbury</w:t>
      </w:r>
      <w:proofErr w:type="spellEnd"/>
      <w:r w:rsidRPr="008D653C">
        <w:rPr>
          <w:sz w:val="18"/>
          <w:szCs w:val="20"/>
        </w:rPr>
        <w:t>, 1999</w:t>
      </w:r>
      <w:r w:rsidRPr="008D653C">
        <w:rPr>
          <w:sz w:val="18"/>
          <w:szCs w:val="20"/>
          <w:rtl/>
        </w:rPr>
        <w:t>). בהביטנו על ההקשר הרחב, ברור שמערכת הקריטריונים המערבית הפכה אוניברסלית בגלל פערי כוח בין מדינות מפותחות למתפתחות (</w:t>
      </w:r>
      <w:r w:rsidRPr="008D653C">
        <w:rPr>
          <w:rFonts w:eastAsia="Calibri"/>
          <w:sz w:val="18"/>
          <w:szCs w:val="20"/>
        </w:rPr>
        <w:t>global North and global South</w:t>
      </w:r>
      <w:r w:rsidRPr="008D653C">
        <w:rPr>
          <w:sz w:val="18"/>
          <w:szCs w:val="20"/>
          <w:rtl/>
        </w:rPr>
        <w:t>), תוצאה של עשורים רבים של שליטת מדינות המערב בתרבות, בכלכלה ובפוליטיקה העולמיות.</w:t>
      </w:r>
    </w:p>
    <w:p w14:paraId="4259D88E" w14:textId="77777777" w:rsidR="008D653C" w:rsidRPr="008D653C" w:rsidRDefault="008D653C" w:rsidP="008D653C">
      <w:pPr>
        <w:spacing w:after="180" w:line="280" w:lineRule="exact"/>
        <w:jc w:val="both"/>
        <w:rPr>
          <w:sz w:val="18"/>
          <w:szCs w:val="20"/>
          <w:rtl/>
        </w:rPr>
      </w:pPr>
      <w:r w:rsidRPr="008D653C">
        <w:rPr>
          <w:sz w:val="18"/>
          <w:szCs w:val="20"/>
          <w:rtl/>
        </w:rPr>
        <w:t xml:space="preserve">בכל מחקרינו הממצאים מראים בבירור שראיית קטגוריות הסיכון והמוגנות של ילדים כאוניברסליות היא מיתוס, ועלינו לראותן כקטגוריות ייחודיות, מקומיות, תלויות-הקשר, המושפעות מהמיקום החברתי של הילד ומשפחתו. תפיסת הסיכון כאוניברסלי מובילה </w:t>
      </w:r>
      <w:proofErr w:type="spellStart"/>
      <w:r w:rsidRPr="008D653C">
        <w:rPr>
          <w:sz w:val="18"/>
          <w:szCs w:val="20"/>
          <w:rtl/>
        </w:rPr>
        <w:t>לפרקטיקות</w:t>
      </w:r>
      <w:proofErr w:type="spellEnd"/>
      <w:r w:rsidRPr="008D653C">
        <w:rPr>
          <w:sz w:val="18"/>
          <w:szCs w:val="20"/>
          <w:rtl/>
        </w:rPr>
        <w:t xml:space="preserve"> הגנה </w:t>
      </w:r>
      <w:proofErr w:type="spellStart"/>
      <w:r w:rsidRPr="008D653C">
        <w:rPr>
          <w:sz w:val="18"/>
          <w:szCs w:val="20"/>
          <w:rtl/>
        </w:rPr>
        <w:t>דכאניות</w:t>
      </w:r>
      <w:proofErr w:type="spellEnd"/>
      <w:r w:rsidRPr="008D653C">
        <w:rPr>
          <w:sz w:val="18"/>
          <w:szCs w:val="20"/>
          <w:rtl/>
        </w:rPr>
        <w:t xml:space="preserve"> שבסופו של דבר אינן משרתות את הצרכים של הילד ומשפחתו, בעיקר אם הם שייכים לקבוצות מיעוט ולאוכלוסיות שאינן מערביות. </w:t>
      </w:r>
    </w:p>
    <w:p w14:paraId="0BD58F9D" w14:textId="77777777" w:rsidR="008D653C" w:rsidRPr="008D653C" w:rsidRDefault="008D653C" w:rsidP="008D653C">
      <w:pPr>
        <w:spacing w:after="180" w:line="280" w:lineRule="exact"/>
        <w:jc w:val="both"/>
        <w:rPr>
          <w:b/>
          <w:bCs/>
          <w:sz w:val="18"/>
          <w:szCs w:val="20"/>
          <w:rtl/>
        </w:rPr>
      </w:pPr>
    </w:p>
    <w:p w14:paraId="1AF32D37" w14:textId="12CFF7A0" w:rsidR="008D653C" w:rsidRPr="008D653C" w:rsidRDefault="008D653C" w:rsidP="00DE7959">
      <w:pPr>
        <w:pStyle w:val="KOT5"/>
        <w:spacing w:after="0"/>
        <w:ind w:right="0"/>
        <w:outlineLvl w:val="2"/>
        <w:rPr>
          <w:rFonts w:cs="Guttman Aharoni"/>
          <w:color w:val="00B0F0"/>
          <w:rtl/>
        </w:rPr>
      </w:pPr>
      <w:r w:rsidRPr="008D653C">
        <w:rPr>
          <w:rFonts w:cs="Guttman Aharoni"/>
          <w:color w:val="00B0F0"/>
          <w:rtl/>
        </w:rPr>
        <w:t>מיתוס שלישי: סיכון ומוגנות של ילדים כקטגוריות נפרדות, קוטביות ובינאריות</w:t>
      </w:r>
    </w:p>
    <w:p w14:paraId="7E1A4CC7" w14:textId="77777777" w:rsidR="008D653C" w:rsidRPr="008D653C" w:rsidRDefault="008D653C" w:rsidP="008D653C">
      <w:pPr>
        <w:spacing w:after="180" w:line="280" w:lineRule="exact"/>
        <w:jc w:val="both"/>
        <w:rPr>
          <w:sz w:val="18"/>
          <w:szCs w:val="20"/>
          <w:rtl/>
        </w:rPr>
      </w:pPr>
      <w:r w:rsidRPr="008D653C">
        <w:rPr>
          <w:sz w:val="18"/>
          <w:szCs w:val="20"/>
          <w:rtl/>
        </w:rPr>
        <w:t xml:space="preserve">הן בשיח המקצועי והן בשיח הציבורי, סיכון ומוגנות מובנים על פי רוב כשתי קטגוריות נפרדות ובינאריות: צמד מושגים שמשמעותם הפוכה. תפיסה זו מזמינה דימויים פשטניים וחד ממדיים ומתעלמת מהמורכבות של התופעה המדוברת. בחינה מדוקדקת של ממצאינו חושפת שסיכון ומוגנות אינם קטגוריות של "או </w:t>
      </w:r>
      <w:proofErr w:type="spellStart"/>
      <w:r w:rsidRPr="008D653C">
        <w:rPr>
          <w:sz w:val="18"/>
          <w:szCs w:val="20"/>
          <w:rtl/>
        </w:rPr>
        <w:t>או</w:t>
      </w:r>
      <w:proofErr w:type="spellEnd"/>
      <w:r w:rsidRPr="008D653C">
        <w:rPr>
          <w:sz w:val="18"/>
          <w:szCs w:val="20"/>
          <w:rtl/>
        </w:rPr>
        <w:t>", אלא של "גם וגם". לשם המחשה, שאלנו ילדים בני 6-3 על תפיסותיהם בנוגע לסיכון ומוגנות בסביבת חייהם (</w:t>
      </w:r>
      <w:proofErr w:type="spellStart"/>
      <w:r w:rsidRPr="008D653C">
        <w:rPr>
          <w:sz w:val="18"/>
          <w:szCs w:val="20"/>
        </w:rPr>
        <w:t>Ponizovsky-Bergelson</w:t>
      </w:r>
      <w:proofErr w:type="spellEnd"/>
      <w:r w:rsidRPr="008D653C">
        <w:rPr>
          <w:sz w:val="18"/>
          <w:szCs w:val="20"/>
        </w:rPr>
        <w:t xml:space="preserve"> et al., 2020</w:t>
      </w:r>
      <w:r w:rsidRPr="008D653C">
        <w:rPr>
          <w:sz w:val="18"/>
          <w:szCs w:val="20"/>
          <w:rtl/>
        </w:rPr>
        <w:t xml:space="preserve">). למדנו מהם שאפילו אצל ילדים קטנים אין אלה מושגים דיכוטומיים או ישויות נפרדות, אלא מבנים תלויי הקשר; כלומר: בתנאים מסוימים, דבר מה שנתפס כמסוכן יכול לשמש גורם הגנה ולהפך. מגלשה בגן משחקים, למשל, יכולה להיות מסוכנת לילד שאינו זהיר, אך גם מעוררת תחושות הצלחה, הישג והנאה, שילדים רבים דיווחו עליהן כעל גורם מוגנות. ילדים רבים אמרו שחברות בין ילדים חשובה מאוד, מגינה ומעצימה, אך באותה עת עלולה גם להזיק אם יש בה אלימות. אמנם השאלות על סיכון ומוגנות שהציגו החוקרים לפני הילדים היו דיכוטומיות, אבל הם למדו מהם שלא </w:t>
      </w:r>
      <w:r w:rsidRPr="008D653C">
        <w:rPr>
          <w:sz w:val="18"/>
          <w:szCs w:val="20"/>
          <w:rtl/>
        </w:rPr>
        <w:lastRenderedPageBreak/>
        <w:t xml:space="preserve">בהכרח אלה מושגים דיכוטומיים. הממצאים מראים שהילדים הציגו חשיבה יצירתית, מורכבת וגמישה, הרבה מעבר למה שניתן היה לצפות לאור התיאוריות ההתפתחותיות המקובלות במערב. תפיסת הסיכון והמוגנות כמורכבת </w:t>
      </w:r>
      <w:proofErr w:type="spellStart"/>
      <w:r w:rsidRPr="008D653C">
        <w:rPr>
          <w:sz w:val="18"/>
          <w:szCs w:val="20"/>
          <w:rtl/>
        </w:rPr>
        <w:t>וכ"גם</w:t>
      </w:r>
      <w:proofErr w:type="spellEnd"/>
      <w:r w:rsidRPr="008D653C">
        <w:rPr>
          <w:sz w:val="18"/>
          <w:szCs w:val="20"/>
          <w:rtl/>
        </w:rPr>
        <w:t xml:space="preserve"> וגם", כפי שדיווחו הילדים, עלתה גם בראיונות עם הורים רבים, אך נמצאה מעט מאוד אצל העובדים הסוציאליים. כמו כן, הורים רבים קָבלו שהעובדים הסוציאליים מתמקדים רק בסיכון ולא רואים את חוסנן של הקהילות ואת העזרה ההדדית, הטיפול והמניעה הפנים קהילתיים בנושאים של סיכון לילדים (</w:t>
      </w:r>
      <w:proofErr w:type="spellStart"/>
      <w:r w:rsidRPr="008D653C">
        <w:rPr>
          <w:sz w:val="18"/>
          <w:szCs w:val="20"/>
          <w:rtl/>
        </w:rPr>
        <w:t>אינגדאו</w:t>
      </w:r>
      <w:proofErr w:type="spellEnd"/>
      <w:r w:rsidRPr="008D653C">
        <w:rPr>
          <w:sz w:val="18"/>
          <w:szCs w:val="20"/>
          <w:rtl/>
        </w:rPr>
        <w:t xml:space="preserve">-ונדה, 2019; </w:t>
      </w:r>
      <w:r w:rsidRPr="008D653C">
        <w:rPr>
          <w:sz w:val="18"/>
          <w:szCs w:val="20"/>
        </w:rPr>
        <w:t>Yona, 2020</w:t>
      </w:r>
      <w:r w:rsidRPr="008D653C">
        <w:rPr>
          <w:sz w:val="18"/>
          <w:szCs w:val="20"/>
          <w:rtl/>
        </w:rPr>
        <w:t>). ממצאים אלה מעוררים שאלה בדבר הדרכים המקובלות להערכת סיכון, המבוססות על מדדים שנקבעו מראש (</w:t>
      </w:r>
      <w:r w:rsidRPr="008D653C">
        <w:rPr>
          <w:sz w:val="18"/>
          <w:szCs w:val="20"/>
        </w:rPr>
        <w:t>Barry, 2007</w:t>
      </w:r>
      <w:r w:rsidRPr="008D653C">
        <w:rPr>
          <w:sz w:val="18"/>
          <w:szCs w:val="20"/>
          <w:rtl/>
        </w:rPr>
        <w:t xml:space="preserve">) ואשר על פי רוב אינם מתמקדים בחוסן. תיאורן של אותן נסיבות הן כמציבות סיכון והן כמעודדות מוגנות – על פי ההקשר – מעמיד בספק גדול את </w:t>
      </w:r>
      <w:proofErr w:type="spellStart"/>
      <w:r w:rsidRPr="008D653C">
        <w:rPr>
          <w:sz w:val="18"/>
          <w:szCs w:val="20"/>
          <w:rtl/>
        </w:rPr>
        <w:t>הפרקטיקות</w:t>
      </w:r>
      <w:proofErr w:type="spellEnd"/>
      <w:r w:rsidRPr="008D653C">
        <w:rPr>
          <w:sz w:val="18"/>
          <w:szCs w:val="20"/>
          <w:rtl/>
        </w:rPr>
        <w:t xml:space="preserve"> הנוהגות של הערכת סיכון ומוגנות. הוא מדגיש את הצורך לכלול בהערכת סיכון ומוגנות בקרב משפחות וילדים בכלל, ובקרב קבוצות מיעוט בפרט, נסיבות תלויות הקשר ולתת מקום להערכת חוסן אישי וקהילתי. </w:t>
      </w:r>
    </w:p>
    <w:p w14:paraId="5200582A" w14:textId="2A6F5F53" w:rsidR="008D653C" w:rsidRDefault="008D653C" w:rsidP="008D653C">
      <w:pPr>
        <w:spacing w:after="180" w:line="280" w:lineRule="exact"/>
        <w:jc w:val="both"/>
        <w:rPr>
          <w:b/>
          <w:bCs/>
          <w:sz w:val="18"/>
          <w:szCs w:val="20"/>
        </w:rPr>
      </w:pPr>
    </w:p>
    <w:p w14:paraId="0DA8C5A7" w14:textId="77777777" w:rsidR="00955C47" w:rsidRPr="008D653C" w:rsidRDefault="00955C47" w:rsidP="008D653C">
      <w:pPr>
        <w:spacing w:after="180" w:line="280" w:lineRule="exact"/>
        <w:jc w:val="both"/>
        <w:rPr>
          <w:b/>
          <w:bCs/>
          <w:sz w:val="18"/>
          <w:szCs w:val="20"/>
        </w:rPr>
      </w:pPr>
    </w:p>
    <w:p w14:paraId="7243366B" w14:textId="37EE1E3D" w:rsidR="008D653C" w:rsidRPr="008D653C" w:rsidRDefault="008D653C" w:rsidP="00DE7959">
      <w:pPr>
        <w:pStyle w:val="KOT4"/>
        <w:spacing w:after="0"/>
        <w:ind w:left="397" w:right="0" w:hanging="397"/>
        <w:rPr>
          <w:rFonts w:cs="Guttman Aharoni"/>
          <w:color w:val="00B0F0"/>
          <w:sz w:val="32"/>
          <w:szCs w:val="32"/>
          <w:rtl/>
        </w:rPr>
      </w:pPr>
      <w:r>
        <w:rPr>
          <w:rFonts w:cs="Guttman Aharoni" w:hint="cs"/>
          <w:color w:val="00B0F0"/>
          <w:sz w:val="32"/>
          <w:szCs w:val="32"/>
          <w:rtl/>
        </w:rPr>
        <w:t>4.</w:t>
      </w:r>
      <w:r>
        <w:rPr>
          <w:rFonts w:cs="Guttman Aharoni"/>
          <w:color w:val="00B0F0"/>
          <w:sz w:val="32"/>
          <w:szCs w:val="32"/>
          <w:rtl/>
        </w:rPr>
        <w:tab/>
      </w:r>
      <w:r w:rsidRPr="008D653C">
        <w:rPr>
          <w:rFonts w:cs="Guttman Aharoni"/>
          <w:color w:val="00B0F0"/>
          <w:sz w:val="32"/>
          <w:szCs w:val="32"/>
          <w:rtl/>
        </w:rPr>
        <w:t>הערכת סיכון לילדים: דברים שרואים מכאן לא רואים משם</w:t>
      </w:r>
    </w:p>
    <w:p w14:paraId="178BAE0B" w14:textId="77777777" w:rsidR="008D653C" w:rsidRPr="008D653C" w:rsidRDefault="008D653C" w:rsidP="008D653C">
      <w:pPr>
        <w:spacing w:after="180" w:line="280" w:lineRule="exact"/>
        <w:jc w:val="both"/>
        <w:rPr>
          <w:sz w:val="18"/>
          <w:szCs w:val="20"/>
          <w:rtl/>
        </w:rPr>
      </w:pPr>
      <w:r w:rsidRPr="008D653C">
        <w:rPr>
          <w:sz w:val="18"/>
          <w:szCs w:val="20"/>
          <w:rtl/>
        </w:rPr>
        <w:t xml:space="preserve">בחלק זה אנו מבקשים להתבונן במורכבות הגלומה בהערכת סיכון במציאות מגוונת, מרובת תרבויות והקשרים. אנו מתמקדים בפערים, </w:t>
      </w:r>
      <w:proofErr w:type="spellStart"/>
      <w:r w:rsidRPr="008D653C">
        <w:rPr>
          <w:sz w:val="18"/>
          <w:szCs w:val="20"/>
          <w:rtl/>
        </w:rPr>
        <w:t>במיקומיות</w:t>
      </w:r>
      <w:proofErr w:type="spellEnd"/>
      <w:r w:rsidRPr="008D653C">
        <w:rPr>
          <w:sz w:val="18"/>
          <w:szCs w:val="20"/>
          <w:rtl/>
        </w:rPr>
        <w:t xml:space="preserve"> וביחסי הכוח המעורבים בהערכת הסיכון והמוגנות של ילדים, ומציעים לאמץ גישה ביקורתית המכילה מורכבות ומוקירה אותה. </w:t>
      </w:r>
    </w:p>
    <w:p w14:paraId="64A0A98C" w14:textId="77777777" w:rsidR="008D653C" w:rsidRPr="008D653C" w:rsidRDefault="008D653C" w:rsidP="008D653C">
      <w:pPr>
        <w:spacing w:after="180" w:line="280" w:lineRule="exact"/>
        <w:jc w:val="both"/>
        <w:rPr>
          <w:b/>
          <w:bCs/>
          <w:sz w:val="18"/>
          <w:szCs w:val="20"/>
          <w:rtl/>
        </w:rPr>
      </w:pPr>
    </w:p>
    <w:p w14:paraId="029539A1" w14:textId="4F5B629B" w:rsidR="008D653C" w:rsidRPr="008D653C" w:rsidRDefault="008D653C" w:rsidP="00DE7959">
      <w:pPr>
        <w:pStyle w:val="KOT5"/>
        <w:spacing w:after="0"/>
        <w:ind w:right="0"/>
        <w:outlineLvl w:val="2"/>
        <w:rPr>
          <w:rFonts w:cs="Guttman Aharoni"/>
          <w:color w:val="00B0F0"/>
          <w:rtl/>
        </w:rPr>
      </w:pPr>
      <w:r w:rsidRPr="008D653C">
        <w:rPr>
          <w:rFonts w:cs="Guttman Aharoni"/>
          <w:color w:val="00B0F0"/>
          <w:rtl/>
        </w:rPr>
        <w:t>פערים בתפיסות בין הורים לאנשי מקצוע</w:t>
      </w:r>
    </w:p>
    <w:p w14:paraId="31D079D4" w14:textId="77777777" w:rsidR="008D653C" w:rsidRPr="008D653C" w:rsidRDefault="008D653C" w:rsidP="008D653C">
      <w:pPr>
        <w:spacing w:after="180" w:line="280" w:lineRule="exact"/>
        <w:jc w:val="both"/>
        <w:rPr>
          <w:sz w:val="18"/>
          <w:szCs w:val="20"/>
          <w:rtl/>
        </w:rPr>
      </w:pPr>
      <w:r w:rsidRPr="008D653C">
        <w:rPr>
          <w:sz w:val="18"/>
          <w:szCs w:val="20"/>
          <w:rtl/>
        </w:rPr>
        <w:t>מהמחקרים שערכנו על ההבדלים בין נקודת המבט של אנשי המקצוע לזו של הורים בקהילה החרדית ובקהילת יוצאי אתיופיה (</w:t>
      </w:r>
      <w:proofErr w:type="spellStart"/>
      <w:r w:rsidRPr="008D653C">
        <w:rPr>
          <w:sz w:val="18"/>
          <w:szCs w:val="20"/>
        </w:rPr>
        <w:t>Nadan</w:t>
      </w:r>
      <w:proofErr w:type="spellEnd"/>
      <w:r w:rsidRPr="008D653C">
        <w:rPr>
          <w:sz w:val="18"/>
          <w:szCs w:val="20"/>
        </w:rPr>
        <w:t xml:space="preserve"> et al., 2018</w:t>
      </w:r>
      <w:r w:rsidRPr="008D653C">
        <w:rPr>
          <w:sz w:val="18"/>
          <w:szCs w:val="20"/>
          <w:rtl/>
        </w:rPr>
        <w:t>) מצטיירת תמונה מורכבת. מחד גיסא מצאנו הלימה בין אנשי המקצוע להורים בתפיסותיהם בכל הנוגע להתעללות בילדים. פגיעה מינית, למשל, נתפסה כפגיעה בלתי קבילה הן אצל אנשי מקצוע והן אצל הורים בכל הקהילות. מאידך גיסא התגלו אצל ההורים ואנשי המקצוע הבדלים בתפיסת סיכון ומוגנות של ילדים, שהם תולדה של ערכים, נורמות והקשרים שונים הרווחים בקבוצות מיעוט אלה, בייחוד בנושא של הזנחת ילדים. במקרה של הזנחה, הפערים בין תפיסות ההורים ואנשי המקצוע נובעים מפרשנות שונה של מושגים כמו אתניות, עוני, מבנה משפחה (חד הוריות, גרושים) (</w:t>
      </w:r>
      <w:r w:rsidRPr="008D653C">
        <w:rPr>
          <w:sz w:val="18"/>
          <w:szCs w:val="20"/>
        </w:rPr>
        <w:t>Yona, 2020</w:t>
      </w:r>
      <w:r w:rsidRPr="008D653C">
        <w:rPr>
          <w:sz w:val="18"/>
          <w:szCs w:val="20"/>
          <w:rtl/>
        </w:rPr>
        <w:t xml:space="preserve">). נמצא שאיתור מצבי הזנחה הוא עניין </w:t>
      </w:r>
      <w:r w:rsidRPr="008D653C">
        <w:rPr>
          <w:sz w:val="18"/>
          <w:szCs w:val="20"/>
          <w:rtl/>
        </w:rPr>
        <w:lastRenderedPageBreak/>
        <w:t xml:space="preserve">חמקמק ומבלבל. בראיונות שערכנו סיפרו הורים מקהילות החיות בעוני (חרדים, בדואים, יוצאי אתיופיה ותושבי שכונות עוני), שהפצירו בעובדים הסוציאליים להבחין בין הזנחת הילד הנובעת מפתולוגיה בהורות לבין התנאים הסביבתיים והחברתיים-התרבותיים שהם חיים בהם, תנאים המאתגרים הורים וילדים, אך לא בהכרח מובילים להזנחה. </w:t>
      </w:r>
    </w:p>
    <w:p w14:paraId="25DE9788" w14:textId="77777777" w:rsidR="008D653C" w:rsidRPr="008D653C" w:rsidRDefault="008D653C" w:rsidP="00DE7959">
      <w:pPr>
        <w:spacing w:after="180" w:line="280" w:lineRule="exact"/>
        <w:jc w:val="both"/>
        <w:rPr>
          <w:sz w:val="18"/>
          <w:szCs w:val="20"/>
          <w:rtl/>
        </w:rPr>
      </w:pPr>
      <w:r w:rsidRPr="008D653C">
        <w:rPr>
          <w:sz w:val="18"/>
          <w:szCs w:val="20"/>
          <w:rtl/>
        </w:rPr>
        <w:t>בין ההבדלים שנמצאו בהגדרות הסיכון ניתן למנות פערים וסתירות בנוגע למשמעות של רכיבים תרבותיים מרכזיים, כגון מספר הילדים במשפחה, זמינות של משאבים כספיים, תעסוקה, הופעה חיצונית, קרבה פיזית, ענישה גופנית וסיכון רוחני. יש מקרים שבהם גורם כלשהו נתפס אצל אנשי מקצוע כסיכון לילדים, אך לא אצל ההורים וההפך. למשל: עובדים סוציאליים התייחסו לקרבה פיזית בין ילדים החולקים אותו מרחב שינה במשפחה אתיופית כהתנהגות מינית בלתי רצויה, והתעלמו מכך שקרבה כזו נחשבת נורמטיבית בקבוצות שונות שבהן ילדים ישנים ביחד. בתרבויות רבות (למשל אצל חרדים, בדואים ומהגרים מאריתריאה, צרפת ואתיופיה) תופסים הורים ענישה גופנית כפרקטיקה מקובלת בגידול ילדים. ובכל זאת בכל הקבוצות הללו הורים מבחינים בין עונש גופני למטרות חינוכיות לבין אלימות פיזית, הנובעת מכוונת זדון או מהתקף זעם, ונחשבת התעללות הורית (</w:t>
      </w:r>
      <w:proofErr w:type="spellStart"/>
      <w:r w:rsidRPr="008D653C">
        <w:rPr>
          <w:color w:val="222222"/>
          <w:sz w:val="18"/>
          <w:szCs w:val="20"/>
          <w:shd w:val="clear" w:color="auto" w:fill="FFFFFF"/>
        </w:rPr>
        <w:t>Gemara</w:t>
      </w:r>
      <w:proofErr w:type="spellEnd"/>
      <w:r w:rsidRPr="008D653C">
        <w:rPr>
          <w:color w:val="222222"/>
          <w:sz w:val="18"/>
          <w:szCs w:val="20"/>
          <w:shd w:val="clear" w:color="auto" w:fill="FFFFFF"/>
        </w:rPr>
        <w:t xml:space="preserve"> &amp; </w:t>
      </w:r>
      <w:proofErr w:type="spellStart"/>
      <w:r w:rsidRPr="008D653C">
        <w:rPr>
          <w:color w:val="222222"/>
          <w:sz w:val="18"/>
          <w:szCs w:val="20"/>
          <w:shd w:val="clear" w:color="auto" w:fill="FFFFFF"/>
        </w:rPr>
        <w:t>Nadan</w:t>
      </w:r>
      <w:proofErr w:type="spellEnd"/>
      <w:r w:rsidRPr="008D653C">
        <w:rPr>
          <w:color w:val="222222"/>
          <w:sz w:val="18"/>
          <w:szCs w:val="20"/>
          <w:shd w:val="clear" w:color="auto" w:fill="FFFFFF"/>
        </w:rPr>
        <w:t>, 2020</w:t>
      </w:r>
      <w:r w:rsidRPr="008D653C">
        <w:rPr>
          <w:sz w:val="18"/>
          <w:szCs w:val="20"/>
          <w:rtl/>
        </w:rPr>
        <w:t>). דוגמה אחרת היא הורים חרדים הרואים ברוחניות גורם בעל השפעה מרכזית על רווחת ילדיהם, בעוד שעובדים סוציאליים כלל לא ראו בסיכון רוחני גורם סיכון (</w:t>
      </w:r>
      <w:proofErr w:type="spellStart"/>
      <w:r w:rsidRPr="008D653C">
        <w:rPr>
          <w:sz w:val="18"/>
          <w:szCs w:val="20"/>
        </w:rPr>
        <w:t>Nadan</w:t>
      </w:r>
      <w:proofErr w:type="spellEnd"/>
      <w:r w:rsidRPr="008D653C">
        <w:rPr>
          <w:sz w:val="18"/>
          <w:szCs w:val="20"/>
        </w:rPr>
        <w:t xml:space="preserve"> et al., 2018</w:t>
      </w:r>
      <w:r w:rsidRPr="008D653C">
        <w:rPr>
          <w:sz w:val="18"/>
          <w:szCs w:val="20"/>
          <w:rtl/>
        </w:rPr>
        <w:t>). מתח זה מקבל גוונים מורכבים במיוחד בגלל יחסי הכוחות הבלתי מאוזנים בין הצדדים, הנובעים מהתפקיד המקצועי (מטופל לעומת איש מקצוע) ומהמיקום החברתי (פרט המשתייך לקבוצת מיעוט לעומת נציג של הרוב ההגמוני). פערים אלה עלולים להיות מקור למתח בין משפחות לאנשי מקצוע ולהוביל לעוינות ולאי שיתוף פעולה (</w:t>
      </w:r>
      <w:r w:rsidRPr="008D653C">
        <w:rPr>
          <w:sz w:val="18"/>
          <w:szCs w:val="20"/>
        </w:rPr>
        <w:t xml:space="preserve">Schmid &amp; </w:t>
      </w:r>
      <w:proofErr w:type="spellStart"/>
      <w:r w:rsidRPr="008D653C">
        <w:rPr>
          <w:sz w:val="18"/>
          <w:szCs w:val="20"/>
        </w:rPr>
        <w:t>Benbenishty</w:t>
      </w:r>
      <w:proofErr w:type="spellEnd"/>
      <w:r w:rsidRPr="008D653C">
        <w:rPr>
          <w:sz w:val="18"/>
          <w:szCs w:val="20"/>
        </w:rPr>
        <w:t>, 2011</w:t>
      </w:r>
      <w:r w:rsidRPr="008D653C">
        <w:rPr>
          <w:sz w:val="18"/>
          <w:szCs w:val="20"/>
          <w:rtl/>
        </w:rPr>
        <w:t>), ואלה על פי רוב אינם מתיישבים עם העיקרון של טובת הילד. עמדות סותרות אלה משפיעות על מערכת היחסים בין הקהילות לאנשי המקצוע ומעוררות אצל הורים פחד מפני התערבות מזיקה ושרירותית של שירותי הרווחה והעדפה לקבל עזרה מתוך הקהילה, העדפה שאנשי מקצוע מזהים לעיתים כמכשול לפני תוכנית ההתערבות שלהם (</w:t>
      </w:r>
      <w:proofErr w:type="spellStart"/>
      <w:r w:rsidRPr="008D653C">
        <w:rPr>
          <w:sz w:val="18"/>
          <w:szCs w:val="20"/>
        </w:rPr>
        <w:t>Nadan</w:t>
      </w:r>
      <w:proofErr w:type="spellEnd"/>
      <w:r w:rsidRPr="008D653C">
        <w:rPr>
          <w:sz w:val="18"/>
          <w:szCs w:val="20"/>
        </w:rPr>
        <w:t xml:space="preserve"> et al., 2018</w:t>
      </w:r>
      <w:r w:rsidRPr="008D653C">
        <w:rPr>
          <w:sz w:val="18"/>
          <w:szCs w:val="20"/>
          <w:rtl/>
        </w:rPr>
        <w:t>).</w:t>
      </w:r>
    </w:p>
    <w:p w14:paraId="6767FAE5" w14:textId="77777777" w:rsidR="008D653C" w:rsidRPr="008D653C" w:rsidRDefault="008D653C" w:rsidP="00DE7959">
      <w:pPr>
        <w:spacing w:after="180" w:line="280" w:lineRule="exact"/>
        <w:jc w:val="both"/>
        <w:rPr>
          <w:sz w:val="18"/>
          <w:szCs w:val="20"/>
        </w:rPr>
      </w:pPr>
      <w:r w:rsidRPr="008D653C">
        <w:rPr>
          <w:sz w:val="18"/>
          <w:szCs w:val="20"/>
          <w:rtl/>
        </w:rPr>
        <w:t xml:space="preserve">מחקרינו מעלים </w:t>
      </w:r>
      <w:proofErr w:type="spellStart"/>
      <w:r w:rsidRPr="008D653C">
        <w:rPr>
          <w:sz w:val="18"/>
          <w:szCs w:val="20"/>
          <w:rtl/>
        </w:rPr>
        <w:t>שלמיקומיות</w:t>
      </w:r>
      <w:proofErr w:type="spellEnd"/>
      <w:r w:rsidRPr="008D653C">
        <w:rPr>
          <w:sz w:val="18"/>
          <w:szCs w:val="20"/>
          <w:rtl/>
        </w:rPr>
        <w:t xml:space="preserve"> של המתבונן השפעה מרחיקת לכת על אופן התייחסותו לסיכון ולמוגנות. בראיונות שערכנו נטו אנשי מקצוע שבאו מתוך הקהילה הנחקרת לראות נסיבות מסוימות כמספקות הגנה, בעוד אלה שלא השתייכו לקהילה זו, אלא לאוכלוסיות הגמוניות, נטו לראות אותן נסיבות עצמן כמעוררות סיכון (</w:t>
      </w:r>
      <w:proofErr w:type="spellStart"/>
      <w:r w:rsidRPr="008D653C">
        <w:rPr>
          <w:sz w:val="18"/>
          <w:szCs w:val="20"/>
        </w:rPr>
        <w:t>Nadan</w:t>
      </w:r>
      <w:proofErr w:type="spellEnd"/>
      <w:r w:rsidRPr="008D653C">
        <w:rPr>
          <w:sz w:val="18"/>
          <w:szCs w:val="20"/>
        </w:rPr>
        <w:t xml:space="preserve"> et al., 2018</w:t>
      </w:r>
      <w:r w:rsidRPr="008D653C">
        <w:rPr>
          <w:sz w:val="18"/>
          <w:szCs w:val="20"/>
          <w:rtl/>
        </w:rPr>
        <w:t>). עד עתה בחן המחקר על שאלת השתייכותם של אנשי המקצוע לקבוצה התרבותית של מטופליהם בעיקר את השפעת השתייכות זו על יעילות הטיפול ועל העדפת המטופלים (</w:t>
      </w:r>
      <w:r w:rsidRPr="008D653C">
        <w:rPr>
          <w:sz w:val="18"/>
          <w:szCs w:val="20"/>
        </w:rPr>
        <w:t>Cabral &amp; Smith, 2011</w:t>
      </w:r>
      <w:r w:rsidRPr="008D653C">
        <w:rPr>
          <w:sz w:val="18"/>
          <w:szCs w:val="20"/>
          <w:rtl/>
        </w:rPr>
        <w:t>). אך רובו של המחקר התעלם מסוגיית הפרשנות שנותן המטפל לנסיבות ומהתייחסותו הסובייקטיבית להגדרות של סיכון ומוגנות (</w:t>
      </w:r>
      <w:r w:rsidRPr="008D653C">
        <w:rPr>
          <w:sz w:val="18"/>
          <w:szCs w:val="20"/>
        </w:rPr>
        <w:t>Garb, 1997</w:t>
      </w:r>
      <w:r w:rsidRPr="008D653C">
        <w:rPr>
          <w:sz w:val="18"/>
          <w:szCs w:val="20"/>
          <w:rtl/>
        </w:rPr>
        <w:t xml:space="preserve">). כפי שמחקרינו מעידים, השוני בנקודות המבט של מטפלים מתוך הקהילה ומחוצה לה מצביע על </w:t>
      </w:r>
      <w:r w:rsidRPr="008D653C">
        <w:rPr>
          <w:sz w:val="18"/>
          <w:szCs w:val="20"/>
          <w:rtl/>
        </w:rPr>
        <w:lastRenderedPageBreak/>
        <w:t xml:space="preserve">האפשרות של הטיות ושונות באופן שבו עובדים סוציאליים מעריכים מצבי סיכון ומתערבים בהם ועל הסכנות שבפרשנות לא מותאמת. </w:t>
      </w:r>
    </w:p>
    <w:p w14:paraId="1B110FC4" w14:textId="77777777" w:rsidR="008D653C" w:rsidRPr="008D653C" w:rsidRDefault="008D653C" w:rsidP="008D653C">
      <w:pPr>
        <w:spacing w:after="180" w:line="280" w:lineRule="exact"/>
        <w:jc w:val="both"/>
        <w:rPr>
          <w:b/>
          <w:bCs/>
          <w:sz w:val="18"/>
          <w:szCs w:val="20"/>
          <w:rtl/>
        </w:rPr>
      </w:pPr>
    </w:p>
    <w:p w14:paraId="78968D3E" w14:textId="7FE2B7F6" w:rsidR="008D653C" w:rsidRPr="008D653C" w:rsidRDefault="008D653C" w:rsidP="00DE7959">
      <w:pPr>
        <w:pStyle w:val="KOT5"/>
        <w:spacing w:after="0"/>
        <w:ind w:right="0"/>
        <w:outlineLvl w:val="2"/>
        <w:rPr>
          <w:rFonts w:cs="Guttman Aharoni"/>
          <w:color w:val="00B0F0"/>
          <w:rtl/>
        </w:rPr>
      </w:pPr>
      <w:r w:rsidRPr="008D653C">
        <w:rPr>
          <w:rFonts w:cs="Guttman Aharoni"/>
          <w:color w:val="00B0F0"/>
          <w:rtl/>
        </w:rPr>
        <w:t>מיקומיות ויחסי כוח</w:t>
      </w:r>
    </w:p>
    <w:p w14:paraId="42B588D2" w14:textId="77777777" w:rsidR="008D653C" w:rsidRPr="008D653C" w:rsidRDefault="008D653C" w:rsidP="008D653C">
      <w:pPr>
        <w:spacing w:after="180" w:line="280" w:lineRule="exact"/>
        <w:jc w:val="both"/>
        <w:rPr>
          <w:sz w:val="18"/>
          <w:szCs w:val="20"/>
        </w:rPr>
      </w:pPr>
      <w:r w:rsidRPr="008D653C">
        <w:rPr>
          <w:sz w:val="18"/>
          <w:szCs w:val="20"/>
          <w:rtl/>
        </w:rPr>
        <w:t xml:space="preserve">לסובייקטיביות של המתבונן בכל הנוגע לסיכון ומוגנות מסתננות בהכרח </w:t>
      </w:r>
      <w:proofErr w:type="spellStart"/>
      <w:r w:rsidRPr="008D653C">
        <w:rPr>
          <w:sz w:val="18"/>
          <w:szCs w:val="20"/>
          <w:rtl/>
        </w:rPr>
        <w:t>דינמיקות</w:t>
      </w:r>
      <w:proofErr w:type="spellEnd"/>
      <w:r w:rsidRPr="008D653C">
        <w:rPr>
          <w:sz w:val="18"/>
          <w:szCs w:val="20"/>
          <w:rtl/>
        </w:rPr>
        <w:t xml:space="preserve"> של יחסי כוח. ממצאינו מעידים שתפיסות המרואיינים בדבר סיכון ומוגנות השפיעו על פעולתם בתחומים חיוניים, כגון הוצאת ילדים מהבית, הקצאת משאבים, התערבות קלינית ואכיפת חוקים ותקנות. בכל המקרים האלה, גם אם נלקחה בחשבון דעתם של ההורים, </w:t>
      </w:r>
      <w:proofErr w:type="spellStart"/>
      <w:r w:rsidRPr="008D653C">
        <w:rPr>
          <w:sz w:val="18"/>
          <w:szCs w:val="20"/>
          <w:rtl/>
        </w:rPr>
        <w:t>היתה</w:t>
      </w:r>
      <w:proofErr w:type="spellEnd"/>
      <w:r w:rsidRPr="008D653C">
        <w:rPr>
          <w:sz w:val="18"/>
          <w:szCs w:val="20"/>
          <w:rtl/>
        </w:rPr>
        <w:t xml:space="preserve"> ההחלטה הסופית נתונה בידי העובד הסוציאלי (</w:t>
      </w:r>
      <w:proofErr w:type="spellStart"/>
      <w:r w:rsidRPr="008D653C">
        <w:rPr>
          <w:sz w:val="18"/>
          <w:szCs w:val="20"/>
        </w:rPr>
        <w:t>Gemara</w:t>
      </w:r>
      <w:proofErr w:type="spellEnd"/>
      <w:r w:rsidRPr="008D653C">
        <w:rPr>
          <w:sz w:val="18"/>
          <w:szCs w:val="20"/>
        </w:rPr>
        <w:t xml:space="preserve"> et al., 2020</w:t>
      </w:r>
      <w:r w:rsidRPr="008D653C">
        <w:rPr>
          <w:sz w:val="18"/>
          <w:szCs w:val="20"/>
          <w:rtl/>
        </w:rPr>
        <w:t xml:space="preserve">). אכיפת חוקים ותקנות, למשל, משקפת את מאזן הכוח המשפיע על עבודת העובדים הסוציאליים, הנדרשים להחיל את חוקי המעסיק שלהם – המדינה. ענישה גופנית, למשל, שנאסרה בישראל (כמו גם בארצות מערביות רבות אחרות), נחשבת בקבוצות רבות שיטת חינוך מקובלת. אך גם אם העובד הסוציאלי מודע לנורמות המקובלות בחברה שבתוכה הוא עובד, הוא מחויב לפעול על פי החוק. אצל חלק מהעובדים נמצא דיסוננס קוגניטיבי, אשר ההתמודדות </w:t>
      </w:r>
      <w:proofErr w:type="spellStart"/>
      <w:r w:rsidRPr="008D653C">
        <w:rPr>
          <w:sz w:val="18"/>
          <w:szCs w:val="20"/>
          <w:rtl/>
        </w:rPr>
        <w:t>איתו</w:t>
      </w:r>
      <w:proofErr w:type="spellEnd"/>
      <w:r w:rsidRPr="008D653C">
        <w:rPr>
          <w:sz w:val="18"/>
          <w:szCs w:val="20"/>
          <w:rtl/>
        </w:rPr>
        <w:t xml:space="preserve"> כוללת את אימוץ החוק והזדהות גדולה עימו. </w:t>
      </w:r>
      <w:bookmarkStart w:id="8" w:name="_Hlk46051264"/>
    </w:p>
    <w:p w14:paraId="494EBF86" w14:textId="57B324B4" w:rsidR="008D653C" w:rsidRPr="008D653C" w:rsidRDefault="008D653C" w:rsidP="008D653C">
      <w:pPr>
        <w:spacing w:after="180" w:line="280" w:lineRule="exact"/>
        <w:jc w:val="both"/>
        <w:rPr>
          <w:sz w:val="18"/>
          <w:szCs w:val="20"/>
          <w:rtl/>
        </w:rPr>
      </w:pPr>
      <w:r w:rsidRPr="008D653C">
        <w:rPr>
          <w:sz w:val="18"/>
          <w:szCs w:val="20"/>
          <w:rtl/>
        </w:rPr>
        <w:t>יחסי הכוח ניכרים כמובן ביחסי מבוגרים וילדים. דעתם של ילדים בנושא סיכון ומוגנות נעדרת הן מהשיח הציבורי והן מהמחקר האקדמי. ואולם מחקרינו מראים שכבר בגיל שלוש יש לילדים דעות ברורות בנושא זה, כמו גם רעיונות ודרכים להתמודדות ולמניעת סיכון (</w:t>
      </w:r>
      <w:proofErr w:type="spellStart"/>
      <w:r w:rsidRPr="008D653C">
        <w:rPr>
          <w:sz w:val="18"/>
          <w:szCs w:val="20"/>
          <w:shd w:val="clear" w:color="auto" w:fill="FFFFFF"/>
        </w:rPr>
        <w:t>Ponizovsky-Bergelson</w:t>
      </w:r>
      <w:proofErr w:type="spellEnd"/>
      <w:r w:rsidRPr="008D653C">
        <w:rPr>
          <w:sz w:val="18"/>
          <w:szCs w:val="20"/>
        </w:rPr>
        <w:t xml:space="preserve"> et al., 2020; </w:t>
      </w:r>
      <w:proofErr w:type="spellStart"/>
      <w:r w:rsidRPr="008D653C">
        <w:rPr>
          <w:sz w:val="18"/>
          <w:szCs w:val="20"/>
          <w:shd w:val="clear" w:color="auto" w:fill="FFFFFF"/>
        </w:rPr>
        <w:t>Wahle</w:t>
      </w:r>
      <w:proofErr w:type="spellEnd"/>
      <w:r w:rsidRPr="008D653C">
        <w:rPr>
          <w:sz w:val="18"/>
          <w:szCs w:val="20"/>
          <w:shd w:val="clear" w:color="auto" w:fill="FFFFFF"/>
        </w:rPr>
        <w:t xml:space="preserve"> et al.,2017</w:t>
      </w:r>
      <w:r w:rsidRPr="008D653C">
        <w:rPr>
          <w:sz w:val="18"/>
          <w:szCs w:val="20"/>
          <w:rtl/>
        </w:rPr>
        <w:t>)</w:t>
      </w:r>
      <w:r w:rsidR="004D67C3">
        <w:rPr>
          <w:rFonts w:hint="cs"/>
          <w:sz w:val="18"/>
          <w:szCs w:val="20"/>
          <w:rtl/>
        </w:rPr>
        <w:t>.</w:t>
      </w:r>
    </w:p>
    <w:p w14:paraId="6D164C59" w14:textId="77777777" w:rsidR="008D653C" w:rsidRPr="008D653C" w:rsidRDefault="008D653C" w:rsidP="00DE7959">
      <w:pPr>
        <w:spacing w:after="180" w:line="280" w:lineRule="exact"/>
        <w:jc w:val="both"/>
        <w:rPr>
          <w:sz w:val="18"/>
          <w:szCs w:val="20"/>
          <w:rtl/>
        </w:rPr>
      </w:pPr>
      <w:r w:rsidRPr="008D653C">
        <w:rPr>
          <w:sz w:val="18"/>
          <w:szCs w:val="20"/>
          <w:rtl/>
        </w:rPr>
        <w:t>אחת הטענות נגד המודל האקולוגי ומודלים סביבתיים אחרים היא שאין הם לוקחים בחשבון במידה מספקת את יחסי הכוחות בסביבתו של הילד (</w:t>
      </w:r>
      <w:r w:rsidRPr="008D653C">
        <w:rPr>
          <w:sz w:val="18"/>
          <w:szCs w:val="20"/>
        </w:rPr>
        <w:t>Houston, 2017</w:t>
      </w:r>
      <w:r w:rsidRPr="008D653C">
        <w:rPr>
          <w:sz w:val="18"/>
          <w:szCs w:val="20"/>
          <w:rtl/>
        </w:rPr>
        <w:t>). כמענה לחסר זה שילבו חוקרים בתחום (</w:t>
      </w:r>
      <w:proofErr w:type="spellStart"/>
      <w:r w:rsidRPr="008D653C">
        <w:rPr>
          <w:sz w:val="18"/>
          <w:szCs w:val="20"/>
        </w:rPr>
        <w:t>Shalhoub</w:t>
      </w:r>
      <w:proofErr w:type="spellEnd"/>
      <w:r w:rsidRPr="008D653C">
        <w:rPr>
          <w:sz w:val="18"/>
          <w:szCs w:val="20"/>
        </w:rPr>
        <w:t xml:space="preserve">-Kevorkian &amp; </w:t>
      </w:r>
      <w:proofErr w:type="spellStart"/>
      <w:r w:rsidRPr="008D653C">
        <w:rPr>
          <w:sz w:val="18"/>
          <w:szCs w:val="20"/>
        </w:rPr>
        <w:t>Roer-Strier</w:t>
      </w:r>
      <w:proofErr w:type="spellEnd"/>
      <w:r w:rsidRPr="008D653C">
        <w:rPr>
          <w:sz w:val="18"/>
          <w:szCs w:val="20"/>
        </w:rPr>
        <w:t>, 2016</w:t>
      </w:r>
      <w:r w:rsidRPr="008D653C">
        <w:rPr>
          <w:sz w:val="18"/>
          <w:szCs w:val="20"/>
          <w:rtl/>
        </w:rPr>
        <w:t>) במודלים שפיתחו</w:t>
      </w:r>
      <w:r w:rsidRPr="008D653C" w:rsidDel="000842C7">
        <w:rPr>
          <w:sz w:val="18"/>
          <w:szCs w:val="20"/>
          <w:rtl/>
        </w:rPr>
        <w:t xml:space="preserve"> </w:t>
      </w:r>
      <w:r w:rsidRPr="008D653C">
        <w:rPr>
          <w:sz w:val="18"/>
          <w:szCs w:val="20"/>
          <w:rtl/>
        </w:rPr>
        <w:t xml:space="preserve">תיאוריות נוגדות הגמוניה, ובכך הציעו מבט ביקורתי יותר כלפי התופעות החברתיות הנידונות. </w:t>
      </w:r>
      <w:proofErr w:type="spellStart"/>
      <w:r w:rsidRPr="008D653C">
        <w:rPr>
          <w:sz w:val="18"/>
          <w:szCs w:val="20"/>
          <w:rtl/>
        </w:rPr>
        <w:t>פרקטיקות</w:t>
      </w:r>
      <w:proofErr w:type="spellEnd"/>
      <w:r w:rsidRPr="008D653C">
        <w:rPr>
          <w:sz w:val="18"/>
          <w:szCs w:val="20"/>
          <w:rtl/>
        </w:rPr>
        <w:t xml:space="preserve"> רב-תרבותיות מחייבות מודעות ביקורתית להקשר החברתי-הפוליטי (</w:t>
      </w:r>
      <w:proofErr w:type="spellStart"/>
      <w:r w:rsidRPr="008D653C">
        <w:rPr>
          <w:sz w:val="18"/>
          <w:szCs w:val="20"/>
        </w:rPr>
        <w:t>Nadan</w:t>
      </w:r>
      <w:proofErr w:type="spellEnd"/>
      <w:r w:rsidRPr="008D653C">
        <w:rPr>
          <w:sz w:val="18"/>
          <w:szCs w:val="20"/>
        </w:rPr>
        <w:t xml:space="preserve"> et al., 2013</w:t>
      </w:r>
      <w:r w:rsidRPr="008D653C">
        <w:rPr>
          <w:sz w:val="18"/>
          <w:szCs w:val="20"/>
          <w:rtl/>
        </w:rPr>
        <w:t xml:space="preserve">). ממצאים אלה מחזקים את הצורך להביא בחשבון את יחסי הכוחות הרווחים, </w:t>
      </w:r>
      <w:proofErr w:type="spellStart"/>
      <w:r w:rsidRPr="008D653C">
        <w:rPr>
          <w:sz w:val="18"/>
          <w:szCs w:val="20"/>
          <w:rtl/>
        </w:rPr>
        <w:t>כשאומדים</w:t>
      </w:r>
      <w:proofErr w:type="spellEnd"/>
      <w:r w:rsidRPr="008D653C">
        <w:rPr>
          <w:sz w:val="18"/>
          <w:szCs w:val="20"/>
          <w:rtl/>
        </w:rPr>
        <w:t xml:space="preserve"> סיכון ומוגנות של ילדים באופן מודע-הקשר, בעיקר בקרב קבוצות מיעוט. לעובדים סוציאליים עמדת כוח בעלת משקל, וממנה הם יכולים להשפיע על רווחתם של ילדים ומשפחותיהם. המפגש שלהם עם המטופלים מאופיין ביחסי כוחות לא שוויוניים. למשל: דעתם היא הנחשבת בקביעה מהו סיכון ומה מעודד מוגנות. משום כך ברצוננו להדגיש עד כמה חשוב שאנשי מקצוע בתחום יפתחו מודעות רפלקטיבית כלפי התפיסות, האמונות, הגישות והמיקום החברתי (</w:t>
      </w:r>
      <w:proofErr w:type="spellStart"/>
      <w:r w:rsidRPr="008D653C">
        <w:rPr>
          <w:sz w:val="18"/>
          <w:szCs w:val="20"/>
          <w:rtl/>
        </w:rPr>
        <w:t>הפריווילגי</w:t>
      </w:r>
      <w:proofErr w:type="spellEnd"/>
      <w:r w:rsidRPr="008D653C">
        <w:rPr>
          <w:sz w:val="18"/>
          <w:szCs w:val="20"/>
          <w:rtl/>
        </w:rPr>
        <w:t xml:space="preserve"> לעיתים) שלהם עצמם, וכן כלפי הפערים האפשריים בינם לבין המטופלים. מבט כזה יכול לסייע למאמציהם להימנע מלהשתמש לרעה בסמכויותיהם נגד קהילות החיות במערך הקשרים מגוון ולאור </w:t>
      </w:r>
      <w:r w:rsidRPr="008D653C">
        <w:rPr>
          <w:sz w:val="18"/>
          <w:szCs w:val="20"/>
          <w:rtl/>
        </w:rPr>
        <w:lastRenderedPageBreak/>
        <w:t xml:space="preserve">מערכת ערכים שונה. זה חשוב במיוחד, כשמטפלים במשפחות מאוכלוסיות מיעוט, הסובלות מהפרת זכויות אדם ממסדית ועמוקה ומהדרה חברתית. </w:t>
      </w:r>
    </w:p>
    <w:p w14:paraId="0B7BD5EA" w14:textId="77777777" w:rsidR="008D653C" w:rsidRPr="008D653C" w:rsidRDefault="008D653C" w:rsidP="008D653C">
      <w:pPr>
        <w:spacing w:after="180" w:line="280" w:lineRule="exact"/>
        <w:jc w:val="both"/>
        <w:rPr>
          <w:b/>
          <w:bCs/>
          <w:sz w:val="18"/>
          <w:szCs w:val="20"/>
          <w:rtl/>
        </w:rPr>
      </w:pPr>
    </w:p>
    <w:p w14:paraId="28CA34EC" w14:textId="37B84889" w:rsidR="008D653C" w:rsidRPr="008D653C" w:rsidRDefault="008D653C" w:rsidP="00DE7959">
      <w:pPr>
        <w:pStyle w:val="KOT5"/>
        <w:spacing w:after="0"/>
        <w:ind w:right="0"/>
        <w:outlineLvl w:val="2"/>
        <w:rPr>
          <w:rFonts w:cs="Guttman Aharoni"/>
          <w:color w:val="00B0F0"/>
          <w:rtl/>
        </w:rPr>
      </w:pPr>
      <w:r w:rsidRPr="008D653C">
        <w:rPr>
          <w:rFonts w:cs="Guttman Aharoni"/>
          <w:color w:val="00B0F0"/>
          <w:rtl/>
        </w:rPr>
        <w:t>בזכות המורכבות</w:t>
      </w:r>
    </w:p>
    <w:p w14:paraId="705CFD13" w14:textId="77777777" w:rsidR="008D653C" w:rsidRPr="008D653C" w:rsidRDefault="008D653C" w:rsidP="008D653C">
      <w:pPr>
        <w:spacing w:after="180" w:line="280" w:lineRule="exact"/>
        <w:jc w:val="both"/>
        <w:rPr>
          <w:sz w:val="18"/>
          <w:szCs w:val="20"/>
          <w:rtl/>
        </w:rPr>
      </w:pPr>
      <w:r w:rsidRPr="008D653C">
        <w:rPr>
          <w:sz w:val="18"/>
          <w:szCs w:val="20"/>
          <w:rtl/>
        </w:rPr>
        <w:t>גישה המנוגדת לחשיבה הלינארית והבינארית מציעה להכיר במורכבות של המערכת המתוארת, שמרכיביה משפיעים זה על זה והשלם בה גדול מסך חלקיו (</w:t>
      </w:r>
      <w:r w:rsidRPr="008D653C">
        <w:rPr>
          <w:sz w:val="18"/>
          <w:szCs w:val="20"/>
        </w:rPr>
        <w:t>Byrne, 2002</w:t>
      </w:r>
      <w:r w:rsidRPr="008D653C">
        <w:rPr>
          <w:sz w:val="18"/>
          <w:szCs w:val="20"/>
          <w:rtl/>
        </w:rPr>
        <w:t>). רכיב אחד במורכבות קשור לאופי הדינמי, חסר היציבות לעיתים, של ההקשרים השונים שבתוכם אנו פועלים בבואנו לבחון סיכון ומוגנות בקרב ילדים. הביקורת המופנית כלפי גישות "תרבותיות" טוענת שתרבויות נמצאות במצב של שינוי תמידי ואינן קופאות על שמריהן, וכך גם הורות. יש תרבויות המשתנות מהר יותר מאחרות, ויש משפחות שעוברות מתרבות אחת לאחרת, מהלך המוסיף עוד נדבך למורכבות. האופן שבו ילדים, הורים וקהילות תופסים וממשיגים סיכון משתנה לאורך הזמן וממקום למקום. דוגמה טובה לכך היא דרך הבנתן של הורות ותפיסות בדבר סיכון ומוגנות בקרב ילדים עקב הגירה. מחקר בנושא זה (</w:t>
      </w:r>
      <w:proofErr w:type="spellStart"/>
      <w:r w:rsidRPr="008D653C">
        <w:rPr>
          <w:sz w:val="18"/>
          <w:szCs w:val="20"/>
        </w:rPr>
        <w:t>Ulitsa</w:t>
      </w:r>
      <w:proofErr w:type="spellEnd"/>
      <w:r w:rsidRPr="008D653C">
        <w:rPr>
          <w:sz w:val="18"/>
          <w:szCs w:val="20"/>
        </w:rPr>
        <w:t xml:space="preserve"> et al., 2020</w:t>
      </w:r>
      <w:r w:rsidRPr="008D653C">
        <w:rPr>
          <w:sz w:val="18"/>
          <w:szCs w:val="20"/>
          <w:rtl/>
        </w:rPr>
        <w:t xml:space="preserve">) בחן תפיסות בדבר סיכון ילדים בקרב הורים מדור האחד וחצי להגירה מברית המועצות לשעבר ובקרב עובדים סוציאליים. החוקרות מצאו שהתפיסות בקרב ההורים היו מורכבות והיברידיות, ונבעו משני תהליכי חִברוּת שונים: מהערכים ומהנורמות שאפיינו את תהליך החִברוּת שעברו ההורים עצמם אצל הוריהם בברית המועצות (הדור הראשון להגירה); מהערכים, מהנורמות ומהמושגים החינוכיים שרכשו בישראל לאחר ההגירה. ניתן לראות שהמורכבות וההיברידיות כרוכות זו בזו. מנקודת ראותנו, ההיברידיות במקרה זה קשורה להקשרים רבים, ובהם ריבוי זהויות, </w:t>
      </w:r>
      <w:proofErr w:type="spellStart"/>
      <w:r w:rsidRPr="008D653C">
        <w:rPr>
          <w:sz w:val="18"/>
          <w:szCs w:val="20"/>
          <w:rtl/>
        </w:rPr>
        <w:t>פרקטיקות</w:t>
      </w:r>
      <w:proofErr w:type="spellEnd"/>
      <w:r w:rsidRPr="008D653C">
        <w:rPr>
          <w:sz w:val="18"/>
          <w:szCs w:val="20"/>
          <w:rtl/>
        </w:rPr>
        <w:t xml:space="preserve"> של גידול ילדים, יעדי החִברוּת והיסטוריית ההגירה לישראל (ומדיניות האינטגרציה שנקטה המדינה). בעוד ההיברידיות נחשבה בעייתית ואף מקור סיכון מבחינתם של ילדים, אנו מאמינים, שהיא עשויה לתרום למוגנות ולחוסן אצלם. </w:t>
      </w:r>
    </w:p>
    <w:p w14:paraId="3A65BCB6" w14:textId="77777777" w:rsidR="008D653C" w:rsidRPr="008D653C" w:rsidRDefault="008D653C" w:rsidP="00DE7959">
      <w:pPr>
        <w:spacing w:after="180" w:line="280" w:lineRule="exact"/>
        <w:jc w:val="both"/>
        <w:rPr>
          <w:sz w:val="18"/>
          <w:szCs w:val="20"/>
          <w:rtl/>
        </w:rPr>
      </w:pPr>
      <w:r w:rsidRPr="008D653C">
        <w:rPr>
          <w:sz w:val="18"/>
          <w:szCs w:val="20"/>
          <w:rtl/>
        </w:rPr>
        <w:t>היבט אחר, אף הוא סבוך ומבלבל, קשור לרמת המקרו המבנית של סיכון ומוגנות בקרב ילדים. מצד אחד, המדינה מופקדת על שלומם של ילדים ומפעילה מערכות שונות, חוקים ואנשי מקצוע כדי שיישמר. מהצד האחר, קבוצות רבות רואות במדינה עצמה את מקור הסיכון העיקרי המאיים על שלום ילדיהם. זה ניכר במיוחד בהקשר של אלימות פוליטית באזורי עימות – ילדים, הן פלסטינים והן ישראלים, חשופים להתקפות אלימות, למתקפות טילים, לטרור, לפציעה ולמוות (</w:t>
      </w:r>
      <w:proofErr w:type="spellStart"/>
      <w:r w:rsidRPr="008D653C">
        <w:rPr>
          <w:sz w:val="18"/>
          <w:szCs w:val="20"/>
        </w:rPr>
        <w:t>Ponizovsky-Bergelson</w:t>
      </w:r>
      <w:proofErr w:type="spellEnd"/>
      <w:r w:rsidRPr="008D653C">
        <w:rPr>
          <w:sz w:val="18"/>
          <w:szCs w:val="20"/>
        </w:rPr>
        <w:t xml:space="preserve"> et al., 2020</w:t>
      </w:r>
      <w:r w:rsidRPr="008D653C">
        <w:rPr>
          <w:sz w:val="18"/>
          <w:szCs w:val="20"/>
          <w:rtl/>
        </w:rPr>
        <w:t>). מציאות זו מקצינה במיוחד במקרים של הריסות בתים בכפרים הבדואיים הבלתי מוכרים (</w:t>
      </w:r>
      <w:proofErr w:type="spellStart"/>
      <w:r w:rsidRPr="008D653C">
        <w:rPr>
          <w:sz w:val="18"/>
          <w:szCs w:val="20"/>
        </w:rPr>
        <w:t>Marey-Sarwan</w:t>
      </w:r>
      <w:proofErr w:type="spellEnd"/>
      <w:r w:rsidRPr="008D653C">
        <w:rPr>
          <w:sz w:val="18"/>
          <w:szCs w:val="20"/>
        </w:rPr>
        <w:t xml:space="preserve"> &amp; Meir, 2020</w:t>
      </w:r>
      <w:r w:rsidRPr="008D653C">
        <w:rPr>
          <w:sz w:val="18"/>
          <w:szCs w:val="20"/>
          <w:rtl/>
        </w:rPr>
        <w:t>) ובמקרים של מעצר ילדים בידי כוחות הביטחון במזרח ירושלים (</w:t>
      </w:r>
      <w:r w:rsidRPr="008D653C">
        <w:rPr>
          <w:color w:val="000000"/>
          <w:sz w:val="18"/>
          <w:szCs w:val="20"/>
        </w:rPr>
        <w:t xml:space="preserve">Kovner &amp; </w:t>
      </w:r>
      <w:proofErr w:type="spellStart"/>
      <w:r w:rsidRPr="008D653C">
        <w:rPr>
          <w:color w:val="000000"/>
          <w:sz w:val="18"/>
          <w:szCs w:val="20"/>
        </w:rPr>
        <w:t>Shalhoub</w:t>
      </w:r>
      <w:proofErr w:type="spellEnd"/>
      <w:r w:rsidRPr="008D653C">
        <w:rPr>
          <w:color w:val="000000"/>
          <w:sz w:val="18"/>
          <w:szCs w:val="20"/>
        </w:rPr>
        <w:t>-Kevorkian, 2018</w:t>
      </w:r>
      <w:r w:rsidRPr="008D653C">
        <w:rPr>
          <w:sz w:val="18"/>
          <w:szCs w:val="20"/>
          <w:rtl/>
        </w:rPr>
        <w:t xml:space="preserve">). אף כי רשמית שואפת המדינה להגן על ילדים, היא עצמה חושפת אותם למצבי סיכון באמצעות מערכות הביטחון והרווחה שלה ובאמצעות האי-שוויון והאפליה החריפים בהקצאת שירותים ממשלתיים. דוגמה נוספת למורכבות שעלתה מהמחקר היא שעל מנת לממש את זכאותם של ילדים למענים שונים ולתמיכה, על מערכת </w:t>
      </w:r>
      <w:r w:rsidRPr="008D653C">
        <w:rPr>
          <w:sz w:val="18"/>
          <w:szCs w:val="20"/>
          <w:rtl/>
        </w:rPr>
        <w:lastRenderedPageBreak/>
        <w:t>הרווחה להגדירם כ"ילדים בסיכון". הגדרות אלה "נדבקות", ולמגינת ליבם של הורים רבים הן מקור לתיוג ולסטיגמה.</w:t>
      </w:r>
    </w:p>
    <w:p w14:paraId="6C0560DD" w14:textId="1EB34A9F" w:rsidR="008D653C" w:rsidRDefault="008D653C" w:rsidP="008D653C">
      <w:pPr>
        <w:spacing w:after="180" w:line="280" w:lineRule="exact"/>
        <w:jc w:val="both"/>
        <w:rPr>
          <w:b/>
          <w:bCs/>
          <w:sz w:val="18"/>
          <w:szCs w:val="20"/>
        </w:rPr>
      </w:pPr>
    </w:p>
    <w:p w14:paraId="5F427D04" w14:textId="77777777" w:rsidR="00955C47" w:rsidRPr="008D653C" w:rsidRDefault="00955C47" w:rsidP="008D653C">
      <w:pPr>
        <w:spacing w:after="180" w:line="280" w:lineRule="exact"/>
        <w:jc w:val="both"/>
        <w:rPr>
          <w:b/>
          <w:bCs/>
          <w:sz w:val="18"/>
          <w:szCs w:val="20"/>
          <w:rtl/>
        </w:rPr>
      </w:pPr>
    </w:p>
    <w:p w14:paraId="2561FAD1" w14:textId="450AD52A" w:rsidR="008D653C" w:rsidRPr="008D653C" w:rsidRDefault="008D653C" w:rsidP="00DE7959">
      <w:pPr>
        <w:pStyle w:val="KOT4"/>
        <w:spacing w:after="0"/>
        <w:ind w:left="397" w:right="0" w:hanging="397"/>
        <w:rPr>
          <w:rFonts w:cs="Guttman Aharoni"/>
          <w:color w:val="00B0F0"/>
          <w:sz w:val="32"/>
          <w:szCs w:val="32"/>
          <w:rtl/>
        </w:rPr>
      </w:pPr>
      <w:r>
        <w:rPr>
          <w:rFonts w:cs="Guttman Aharoni" w:hint="cs"/>
          <w:color w:val="00B0F0"/>
          <w:sz w:val="32"/>
          <w:szCs w:val="32"/>
          <w:rtl/>
        </w:rPr>
        <w:t>5.</w:t>
      </w:r>
      <w:r>
        <w:rPr>
          <w:rFonts w:cs="Guttman Aharoni"/>
          <w:color w:val="00B0F0"/>
          <w:sz w:val="32"/>
          <w:szCs w:val="32"/>
          <w:rtl/>
        </w:rPr>
        <w:tab/>
      </w:r>
      <w:r w:rsidRPr="008D653C">
        <w:rPr>
          <w:rFonts w:cs="Guttman Aharoni"/>
          <w:color w:val="00B0F0"/>
          <w:sz w:val="32"/>
          <w:szCs w:val="32"/>
          <w:rtl/>
        </w:rPr>
        <w:t>סיכום</w:t>
      </w:r>
    </w:p>
    <w:p w14:paraId="3ADFF992" w14:textId="77777777" w:rsidR="008D653C" w:rsidRPr="008D653C" w:rsidRDefault="008D653C" w:rsidP="008D653C">
      <w:pPr>
        <w:spacing w:after="180" w:line="280" w:lineRule="exact"/>
        <w:jc w:val="both"/>
        <w:rPr>
          <w:sz w:val="18"/>
          <w:szCs w:val="20"/>
          <w:rtl/>
        </w:rPr>
      </w:pPr>
      <w:r w:rsidRPr="008D653C">
        <w:rPr>
          <w:sz w:val="18"/>
          <w:szCs w:val="20"/>
          <w:rtl/>
        </w:rPr>
        <w:t>במאמר זה תוארה גישה מודעת-הקשר להבנת סיכון ומוגנות בקרב ילדים, שפותחה על סמך מחקר שנערך בהשתתפות ילדים, הורים ואנשי מקצוע בקהילות שונות. מתוך מגוון רחב של הקשרים סקרנו במאמר זה דוגמאות משלושה הקשרים מרכזיים (גזענות והדרה, דת ורוחניות וקונפליקט פוליטי ואלימות). בהסתמך על ההמשגה המוצעת בזאת ועל ממצאים תומכים ממחקרינו, הצענו חשיבה מחודשת על אופיין האונטולוגי של הקטגוריות "סיכון" ו"מוגנות" בקרב ילדים. כמו כן אתגרנו שלושה מיתוסים נפוצים שזיהינו בשיח הסיכון, ודנו בסוגיות של הערכת סיכון לילדים, ובכללן פערים בתפיסות, מיקומיות המתבונן ויחסי הכוח ומורכבות בשיח הסיכון. אנו תקווה שמאמר זה יתרום לתפיסה ביקורתית, רפלקטיבית ומורכבת, הלוקחת בחשבון חוסן ויכולת פעולה (</w:t>
      </w:r>
      <w:r w:rsidRPr="008D653C">
        <w:rPr>
          <w:sz w:val="18"/>
          <w:szCs w:val="20"/>
        </w:rPr>
        <w:t>agency</w:t>
      </w:r>
      <w:r w:rsidRPr="008D653C">
        <w:rPr>
          <w:sz w:val="18"/>
          <w:szCs w:val="20"/>
          <w:rtl/>
        </w:rPr>
        <w:t xml:space="preserve">) בנוגע לשיח הסיכון והמוגנות בארץ, כמו גם למחקרי המשך הבוחנים גישה זו. </w:t>
      </w:r>
    </w:p>
    <w:bookmarkEnd w:id="8"/>
    <w:p w14:paraId="3D76211E" w14:textId="14C2F8B1" w:rsidR="008D653C" w:rsidRDefault="008D653C" w:rsidP="008D653C">
      <w:pPr>
        <w:spacing w:after="180" w:line="280" w:lineRule="exact"/>
        <w:jc w:val="both"/>
        <w:rPr>
          <w:sz w:val="18"/>
          <w:szCs w:val="20"/>
        </w:rPr>
      </w:pPr>
    </w:p>
    <w:p w14:paraId="16CB69E8" w14:textId="77777777" w:rsidR="00955C47" w:rsidRPr="008D653C" w:rsidRDefault="00955C47" w:rsidP="008D653C">
      <w:pPr>
        <w:spacing w:after="180" w:line="280" w:lineRule="exact"/>
        <w:jc w:val="both"/>
        <w:rPr>
          <w:sz w:val="18"/>
          <w:szCs w:val="20"/>
          <w:rtl/>
        </w:rPr>
      </w:pPr>
    </w:p>
    <w:p w14:paraId="77E155E2" w14:textId="77777777" w:rsidR="008D653C" w:rsidRPr="008D653C" w:rsidRDefault="008D653C" w:rsidP="00E67D70">
      <w:pPr>
        <w:pStyle w:val="KOT4"/>
        <w:spacing w:after="0"/>
        <w:ind w:left="397" w:right="0" w:hanging="397"/>
        <w:rPr>
          <w:rFonts w:cs="Guttman Aharoni"/>
          <w:color w:val="00B0F0"/>
          <w:sz w:val="32"/>
          <w:szCs w:val="32"/>
          <w:rtl/>
        </w:rPr>
      </w:pPr>
      <w:r w:rsidRPr="008D653C">
        <w:rPr>
          <w:rFonts w:cs="Guttman Aharoni"/>
          <w:color w:val="00B0F0"/>
          <w:sz w:val="32"/>
          <w:szCs w:val="32"/>
          <w:rtl/>
        </w:rPr>
        <w:t>מקורות</w:t>
      </w:r>
    </w:p>
    <w:p w14:paraId="1AA8C513" w14:textId="77777777" w:rsidR="008D653C" w:rsidRPr="008D653C" w:rsidRDefault="008D653C" w:rsidP="004A5EB0">
      <w:pPr>
        <w:spacing w:after="120"/>
        <w:ind w:left="397" w:hanging="397"/>
        <w:jc w:val="both"/>
        <w:rPr>
          <w:sz w:val="18"/>
          <w:szCs w:val="20"/>
          <w:rtl/>
        </w:rPr>
      </w:pPr>
      <w:bookmarkStart w:id="9" w:name="_Hlk56543549"/>
      <w:proofErr w:type="spellStart"/>
      <w:r w:rsidRPr="008D653C">
        <w:rPr>
          <w:sz w:val="18"/>
          <w:szCs w:val="20"/>
          <w:rtl/>
        </w:rPr>
        <w:t>אינגדאו</w:t>
      </w:r>
      <w:proofErr w:type="spellEnd"/>
      <w:r w:rsidRPr="008D653C">
        <w:rPr>
          <w:sz w:val="18"/>
          <w:szCs w:val="20"/>
          <w:rtl/>
        </w:rPr>
        <w:t>-ונדה</w:t>
      </w:r>
      <w:bookmarkEnd w:id="9"/>
      <w:r w:rsidRPr="008D653C">
        <w:rPr>
          <w:sz w:val="18"/>
          <w:szCs w:val="20"/>
          <w:rtl/>
        </w:rPr>
        <w:t xml:space="preserve">, ש' (2019). </w:t>
      </w:r>
      <w:r w:rsidRPr="008D653C">
        <w:rPr>
          <w:b/>
          <w:bCs/>
          <w:sz w:val="18"/>
          <w:szCs w:val="20"/>
          <w:rtl/>
        </w:rPr>
        <w:t>חוסן בהגירה: הסיפור של יהודי אתיופיה בישראל</w:t>
      </w:r>
      <w:r w:rsidRPr="008D653C">
        <w:rPr>
          <w:sz w:val="18"/>
          <w:szCs w:val="20"/>
          <w:rtl/>
        </w:rPr>
        <w:t xml:space="preserve">. רסלינג. </w:t>
      </w:r>
    </w:p>
    <w:p w14:paraId="579D3B0C" w14:textId="77777777" w:rsidR="008D653C" w:rsidRPr="008D653C" w:rsidRDefault="008D653C" w:rsidP="00E67D70">
      <w:pPr>
        <w:bidi w:val="0"/>
        <w:spacing w:after="120"/>
        <w:ind w:left="397" w:hanging="397"/>
        <w:jc w:val="both"/>
        <w:rPr>
          <w:sz w:val="18"/>
          <w:szCs w:val="20"/>
        </w:rPr>
      </w:pPr>
      <w:r w:rsidRPr="008D653C">
        <w:rPr>
          <w:sz w:val="18"/>
          <w:szCs w:val="20"/>
        </w:rPr>
        <w:t xml:space="preserve">Andresen, S. &amp; </w:t>
      </w:r>
      <w:proofErr w:type="spellStart"/>
      <w:r w:rsidRPr="008D653C">
        <w:rPr>
          <w:sz w:val="18"/>
          <w:szCs w:val="20"/>
        </w:rPr>
        <w:t>Fegter</w:t>
      </w:r>
      <w:proofErr w:type="spellEnd"/>
      <w:r w:rsidRPr="008D653C">
        <w:rPr>
          <w:sz w:val="18"/>
          <w:szCs w:val="20"/>
        </w:rPr>
        <w:t xml:space="preserve">, S. (2011). Children growing up in poverty and their ideas on what constitutes a good life: Childhood studies in Germany. </w:t>
      </w:r>
      <w:r w:rsidRPr="008D653C">
        <w:rPr>
          <w:i/>
          <w:sz w:val="18"/>
          <w:szCs w:val="20"/>
        </w:rPr>
        <w:t>Child Indicators Research</w:t>
      </w:r>
      <w:r w:rsidRPr="008D653C">
        <w:rPr>
          <w:sz w:val="18"/>
          <w:szCs w:val="20"/>
        </w:rPr>
        <w:t xml:space="preserve">, </w:t>
      </w:r>
      <w:r w:rsidRPr="008D653C">
        <w:rPr>
          <w:i/>
          <w:sz w:val="18"/>
          <w:szCs w:val="20"/>
        </w:rPr>
        <w:t>4</w:t>
      </w:r>
      <w:r w:rsidRPr="008D653C">
        <w:rPr>
          <w:sz w:val="18"/>
          <w:szCs w:val="20"/>
        </w:rPr>
        <w:t xml:space="preserve">(1), 1-19. </w:t>
      </w:r>
      <w:r w:rsidRPr="008D653C">
        <w:rPr>
          <w:sz w:val="18"/>
          <w:szCs w:val="20"/>
          <w:shd w:val="clear" w:color="auto" w:fill="FFFFFF"/>
        </w:rPr>
        <w:t>doi.org/</w:t>
      </w:r>
      <w:r w:rsidRPr="008D653C">
        <w:rPr>
          <w:sz w:val="18"/>
          <w:szCs w:val="20"/>
        </w:rPr>
        <w:t xml:space="preserve">10.1007/s12187-010-9073-3 </w:t>
      </w:r>
    </w:p>
    <w:p w14:paraId="77D00135" w14:textId="77777777" w:rsidR="004A5EB0" w:rsidRDefault="008D653C" w:rsidP="004A5EB0">
      <w:pPr>
        <w:bidi w:val="0"/>
        <w:ind w:left="397" w:hanging="397"/>
        <w:jc w:val="both"/>
        <w:rPr>
          <w:sz w:val="18"/>
          <w:szCs w:val="20"/>
          <w:shd w:val="clear" w:color="auto" w:fill="FFFFFF"/>
        </w:rPr>
      </w:pPr>
      <w:r w:rsidRPr="008D653C">
        <w:rPr>
          <w:sz w:val="18"/>
          <w:szCs w:val="20"/>
          <w:shd w:val="clear" w:color="auto" w:fill="FFFFFF"/>
        </w:rPr>
        <w:t xml:space="preserve">Askeland, G. A. &amp; </w:t>
      </w:r>
      <w:proofErr w:type="spellStart"/>
      <w:r w:rsidRPr="008D653C">
        <w:rPr>
          <w:sz w:val="18"/>
          <w:szCs w:val="20"/>
          <w:shd w:val="clear" w:color="auto" w:fill="FFFFFF"/>
        </w:rPr>
        <w:t>Døhlie</w:t>
      </w:r>
      <w:proofErr w:type="spellEnd"/>
      <w:r w:rsidRPr="008D653C">
        <w:rPr>
          <w:sz w:val="18"/>
          <w:szCs w:val="20"/>
          <w:shd w:val="clear" w:color="auto" w:fill="FFFFFF"/>
        </w:rPr>
        <w:t xml:space="preserve">, E. (2015). Contextualizing international social work: Religion as a relevant factor. </w:t>
      </w:r>
      <w:r w:rsidRPr="008D653C">
        <w:rPr>
          <w:i/>
          <w:iCs/>
          <w:sz w:val="18"/>
          <w:szCs w:val="20"/>
          <w:shd w:val="clear" w:color="auto" w:fill="FFFFFF"/>
        </w:rPr>
        <w:t>International Social Work, 58</w:t>
      </w:r>
      <w:r w:rsidRPr="008D653C">
        <w:rPr>
          <w:sz w:val="18"/>
          <w:szCs w:val="20"/>
          <w:shd w:val="clear" w:color="auto" w:fill="FFFFFF"/>
        </w:rPr>
        <w:t xml:space="preserve">(2), 261-269. </w:t>
      </w:r>
    </w:p>
    <w:p w14:paraId="45EF30B2" w14:textId="30EC6449"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doi.org/10.1177/0020872813482958</w:t>
      </w:r>
    </w:p>
    <w:p w14:paraId="042C07BE" w14:textId="77777777" w:rsidR="008D653C" w:rsidRPr="008D653C" w:rsidRDefault="008D653C" w:rsidP="00E67D70">
      <w:pPr>
        <w:bidi w:val="0"/>
        <w:spacing w:after="120"/>
        <w:ind w:left="397" w:hanging="397"/>
        <w:jc w:val="both"/>
        <w:rPr>
          <w:sz w:val="18"/>
          <w:szCs w:val="20"/>
        </w:rPr>
      </w:pPr>
      <w:r w:rsidRPr="008D653C">
        <w:rPr>
          <w:sz w:val="18"/>
          <w:szCs w:val="20"/>
        </w:rPr>
        <w:t xml:space="preserve">Barry, M. (2007). </w:t>
      </w:r>
      <w:r w:rsidRPr="008D653C">
        <w:rPr>
          <w:i/>
          <w:iCs/>
          <w:sz w:val="18"/>
          <w:szCs w:val="20"/>
        </w:rPr>
        <w:t>Effective approaches to risk assessment in social work: An international literature review.</w:t>
      </w:r>
      <w:r w:rsidRPr="008D653C">
        <w:rPr>
          <w:sz w:val="18"/>
          <w:szCs w:val="20"/>
        </w:rPr>
        <w:t xml:space="preserve"> Scottish Executive Social Research.</w:t>
      </w:r>
      <w:r w:rsidRPr="008D653C">
        <w:rPr>
          <w:sz w:val="18"/>
          <w:szCs w:val="20"/>
          <w:rtl/>
        </w:rPr>
        <w:t>‏</w:t>
      </w:r>
    </w:p>
    <w:p w14:paraId="2831A6CB" w14:textId="77777777" w:rsidR="008D653C" w:rsidRPr="008D653C" w:rsidRDefault="008D653C" w:rsidP="00E67D70">
      <w:pPr>
        <w:bidi w:val="0"/>
        <w:spacing w:after="120"/>
        <w:ind w:left="397" w:hanging="397"/>
        <w:jc w:val="both"/>
        <w:rPr>
          <w:sz w:val="18"/>
          <w:szCs w:val="20"/>
        </w:rPr>
      </w:pPr>
      <w:proofErr w:type="spellStart"/>
      <w:r w:rsidRPr="008D653C">
        <w:rPr>
          <w:sz w:val="18"/>
          <w:szCs w:val="20"/>
        </w:rPr>
        <w:t>Bartl</w:t>
      </w:r>
      <w:proofErr w:type="spellEnd"/>
      <w:r w:rsidRPr="008D653C">
        <w:rPr>
          <w:sz w:val="18"/>
          <w:szCs w:val="20"/>
        </w:rPr>
        <w:t xml:space="preserve">, H., Keller, H., Zohar, N., &amp; </w:t>
      </w:r>
      <w:proofErr w:type="spellStart"/>
      <w:r w:rsidRPr="008D653C">
        <w:rPr>
          <w:sz w:val="18"/>
          <w:szCs w:val="20"/>
        </w:rPr>
        <w:t>Wahle</w:t>
      </w:r>
      <w:proofErr w:type="spellEnd"/>
      <w:r w:rsidRPr="008D653C">
        <w:rPr>
          <w:sz w:val="18"/>
          <w:szCs w:val="20"/>
        </w:rPr>
        <w:t xml:space="preserve">, N. (2020). Many children, many risks? Listening to the voices of families with many children from the Ultra-Orthodox (Haredi) community in Israel. In D. </w:t>
      </w:r>
      <w:proofErr w:type="spellStart"/>
      <w:r w:rsidRPr="008D653C">
        <w:rPr>
          <w:sz w:val="18"/>
          <w:szCs w:val="20"/>
        </w:rPr>
        <w:t>Roer-Strier</w:t>
      </w:r>
      <w:proofErr w:type="spellEnd"/>
      <w:r w:rsidRPr="008D653C">
        <w:rPr>
          <w:sz w:val="18"/>
          <w:szCs w:val="20"/>
        </w:rPr>
        <w:t xml:space="preserve"> &amp; Y. </w:t>
      </w:r>
      <w:proofErr w:type="spellStart"/>
      <w:r w:rsidRPr="008D653C">
        <w:rPr>
          <w:sz w:val="18"/>
          <w:szCs w:val="20"/>
        </w:rPr>
        <w:t>Nadan</w:t>
      </w:r>
      <w:proofErr w:type="spellEnd"/>
      <w:r w:rsidRPr="008D653C">
        <w:rPr>
          <w:sz w:val="18"/>
          <w:szCs w:val="20"/>
        </w:rPr>
        <w:t xml:space="preserve"> (Eds.), </w:t>
      </w:r>
      <w:r w:rsidRPr="008D653C">
        <w:rPr>
          <w:i/>
          <w:iCs/>
          <w:sz w:val="18"/>
          <w:szCs w:val="20"/>
        </w:rPr>
        <w:t>Context-informed perspectives of child risk and protection in Israel</w:t>
      </w:r>
      <w:r w:rsidRPr="008D653C">
        <w:rPr>
          <w:sz w:val="18"/>
          <w:szCs w:val="20"/>
        </w:rPr>
        <w:t xml:space="preserve"> (pp. 105-130)</w:t>
      </w:r>
      <w:r w:rsidRPr="008D653C">
        <w:rPr>
          <w:i/>
          <w:iCs/>
          <w:sz w:val="18"/>
          <w:szCs w:val="20"/>
        </w:rPr>
        <w:t>.</w:t>
      </w:r>
      <w:r w:rsidRPr="008D653C">
        <w:rPr>
          <w:sz w:val="18"/>
          <w:szCs w:val="20"/>
        </w:rPr>
        <w:t xml:space="preserve"> Springer.</w:t>
      </w:r>
    </w:p>
    <w:p w14:paraId="3A6D00D7" w14:textId="77777777" w:rsidR="004A5EB0" w:rsidRDefault="008D653C" w:rsidP="004A5EB0">
      <w:pPr>
        <w:bidi w:val="0"/>
        <w:ind w:left="397" w:hanging="397"/>
        <w:jc w:val="both"/>
        <w:rPr>
          <w:sz w:val="18"/>
          <w:szCs w:val="20"/>
        </w:rPr>
      </w:pPr>
      <w:r w:rsidRPr="008D653C">
        <w:rPr>
          <w:sz w:val="18"/>
          <w:szCs w:val="20"/>
        </w:rPr>
        <w:lastRenderedPageBreak/>
        <w:t>Ben-</w:t>
      </w:r>
      <w:proofErr w:type="spellStart"/>
      <w:r w:rsidRPr="008D653C">
        <w:rPr>
          <w:sz w:val="18"/>
          <w:szCs w:val="20"/>
        </w:rPr>
        <w:t>Arieh</w:t>
      </w:r>
      <w:proofErr w:type="spellEnd"/>
      <w:r w:rsidRPr="008D653C">
        <w:rPr>
          <w:sz w:val="18"/>
          <w:szCs w:val="20"/>
        </w:rPr>
        <w:t xml:space="preserve">, A. (2005). Where are the children? Children’s role in measuring and monitoring their well-being. </w:t>
      </w:r>
      <w:r w:rsidRPr="008D653C">
        <w:rPr>
          <w:i/>
          <w:sz w:val="18"/>
          <w:szCs w:val="20"/>
        </w:rPr>
        <w:t>Social Indicators Research</w:t>
      </w:r>
      <w:r w:rsidRPr="008D653C">
        <w:rPr>
          <w:sz w:val="18"/>
          <w:szCs w:val="20"/>
        </w:rPr>
        <w:t xml:space="preserve">, </w:t>
      </w:r>
      <w:r w:rsidRPr="008D653C">
        <w:rPr>
          <w:i/>
          <w:sz w:val="18"/>
          <w:szCs w:val="20"/>
        </w:rPr>
        <w:t>74</w:t>
      </w:r>
      <w:r w:rsidRPr="008D653C">
        <w:rPr>
          <w:sz w:val="18"/>
          <w:szCs w:val="20"/>
        </w:rPr>
        <w:t xml:space="preserve">(3), 573-596. </w:t>
      </w:r>
    </w:p>
    <w:p w14:paraId="13D87804" w14:textId="21399DF2"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doi.org/10.1007/s11205-004-4645-6</w:t>
      </w:r>
    </w:p>
    <w:p w14:paraId="7280E2C1" w14:textId="77777777" w:rsidR="008D653C" w:rsidRPr="008D653C" w:rsidRDefault="008D653C" w:rsidP="00E67D70">
      <w:pPr>
        <w:bidi w:val="0"/>
        <w:spacing w:after="120"/>
        <w:ind w:left="397" w:hanging="397"/>
        <w:jc w:val="both"/>
        <w:rPr>
          <w:sz w:val="18"/>
          <w:szCs w:val="20"/>
        </w:rPr>
      </w:pPr>
      <w:r w:rsidRPr="008D653C">
        <w:rPr>
          <w:sz w:val="18"/>
          <w:szCs w:val="20"/>
        </w:rPr>
        <w:t xml:space="preserve">Birger, L. (2020). 'Permanent temporariness': Eritrean refugees’ and social workers’ perceptions of Israeli policies and their implications for family well-being. In D. </w:t>
      </w:r>
      <w:proofErr w:type="spellStart"/>
      <w:r w:rsidRPr="008D653C">
        <w:rPr>
          <w:sz w:val="18"/>
          <w:szCs w:val="20"/>
        </w:rPr>
        <w:t>Roer-Strier</w:t>
      </w:r>
      <w:proofErr w:type="spellEnd"/>
      <w:r w:rsidRPr="008D653C">
        <w:rPr>
          <w:sz w:val="18"/>
          <w:szCs w:val="20"/>
        </w:rPr>
        <w:t xml:space="preserve"> &amp; Y. </w:t>
      </w:r>
      <w:proofErr w:type="spellStart"/>
      <w:r w:rsidRPr="008D653C">
        <w:rPr>
          <w:sz w:val="18"/>
          <w:szCs w:val="20"/>
        </w:rPr>
        <w:t>Nadan</w:t>
      </w:r>
      <w:proofErr w:type="spellEnd"/>
      <w:r w:rsidRPr="008D653C">
        <w:rPr>
          <w:sz w:val="18"/>
          <w:szCs w:val="20"/>
        </w:rPr>
        <w:t xml:space="preserve"> (Eds.) </w:t>
      </w:r>
      <w:r w:rsidRPr="008D653C">
        <w:rPr>
          <w:i/>
          <w:iCs/>
          <w:sz w:val="18"/>
          <w:szCs w:val="20"/>
        </w:rPr>
        <w:t>Context-informed perspectives of child risk and protection in Israel</w:t>
      </w:r>
      <w:r w:rsidRPr="008D653C">
        <w:rPr>
          <w:sz w:val="18"/>
          <w:szCs w:val="20"/>
        </w:rPr>
        <w:t xml:space="preserve"> (pp. 217-240)</w:t>
      </w:r>
      <w:r w:rsidRPr="008D653C">
        <w:rPr>
          <w:i/>
          <w:iCs/>
          <w:sz w:val="18"/>
          <w:szCs w:val="20"/>
        </w:rPr>
        <w:t xml:space="preserve">. </w:t>
      </w:r>
      <w:r w:rsidRPr="008D653C">
        <w:rPr>
          <w:sz w:val="18"/>
          <w:szCs w:val="20"/>
        </w:rPr>
        <w:t>Springer.</w:t>
      </w:r>
    </w:p>
    <w:p w14:paraId="15E39A46" w14:textId="77777777" w:rsidR="004A5EB0" w:rsidRDefault="008D653C" w:rsidP="004A5EB0">
      <w:pPr>
        <w:bidi w:val="0"/>
        <w:ind w:left="397" w:hanging="397"/>
        <w:jc w:val="both"/>
        <w:rPr>
          <w:sz w:val="18"/>
          <w:szCs w:val="20"/>
        </w:rPr>
      </w:pPr>
      <w:bookmarkStart w:id="10" w:name="_Hlk36832158"/>
      <w:r w:rsidRPr="008D653C">
        <w:rPr>
          <w:sz w:val="18"/>
          <w:szCs w:val="20"/>
        </w:rPr>
        <w:t xml:space="preserve">Birger, L., </w:t>
      </w:r>
      <w:proofErr w:type="spellStart"/>
      <w:r w:rsidRPr="008D653C">
        <w:rPr>
          <w:sz w:val="18"/>
          <w:szCs w:val="20"/>
        </w:rPr>
        <w:t>Nadan</w:t>
      </w:r>
      <w:proofErr w:type="spellEnd"/>
      <w:r w:rsidRPr="008D653C">
        <w:rPr>
          <w:sz w:val="18"/>
          <w:szCs w:val="20"/>
        </w:rPr>
        <w:t xml:space="preserve">, Y., &amp; </w:t>
      </w:r>
      <w:proofErr w:type="spellStart"/>
      <w:r w:rsidRPr="008D653C">
        <w:rPr>
          <w:sz w:val="18"/>
          <w:szCs w:val="20"/>
        </w:rPr>
        <w:t>Ajzenstadt</w:t>
      </w:r>
      <w:proofErr w:type="spellEnd"/>
      <w:r w:rsidRPr="008D653C">
        <w:rPr>
          <w:sz w:val="18"/>
          <w:szCs w:val="20"/>
        </w:rPr>
        <w:t xml:space="preserve">, M. (2020). </w:t>
      </w:r>
      <w:proofErr w:type="spellStart"/>
      <w:r w:rsidRPr="008D653C">
        <w:rPr>
          <w:sz w:val="18"/>
          <w:szCs w:val="20"/>
        </w:rPr>
        <w:t>Politicisation</w:t>
      </w:r>
      <w:proofErr w:type="spellEnd"/>
      <w:r w:rsidRPr="008D653C">
        <w:rPr>
          <w:sz w:val="18"/>
          <w:szCs w:val="20"/>
        </w:rPr>
        <w:t xml:space="preserve"> processes in everyday practice with refugees: The experiences of Israeli and German social workers. </w:t>
      </w:r>
      <w:r w:rsidRPr="008D653C">
        <w:rPr>
          <w:i/>
          <w:iCs/>
          <w:sz w:val="18"/>
          <w:szCs w:val="20"/>
        </w:rPr>
        <w:t>European Journal of Social Work</w:t>
      </w:r>
      <w:r w:rsidRPr="008D653C">
        <w:rPr>
          <w:sz w:val="18"/>
          <w:szCs w:val="20"/>
        </w:rPr>
        <w:t xml:space="preserve">, </w:t>
      </w:r>
      <w:r w:rsidRPr="008D653C">
        <w:rPr>
          <w:i/>
          <w:iCs/>
          <w:sz w:val="18"/>
          <w:szCs w:val="20"/>
        </w:rPr>
        <w:t>23</w:t>
      </w:r>
      <w:r w:rsidRPr="008D653C">
        <w:rPr>
          <w:sz w:val="18"/>
          <w:szCs w:val="20"/>
        </w:rPr>
        <w:t xml:space="preserve">(6), 1019-1031. </w:t>
      </w:r>
    </w:p>
    <w:p w14:paraId="5587F3E2" w14:textId="5E80FFD6"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 xml:space="preserve">doi.org/10.1080/13691457.2020.1793107 </w:t>
      </w:r>
    </w:p>
    <w:p w14:paraId="5BA402FC" w14:textId="77777777" w:rsidR="008D653C" w:rsidRPr="008D653C" w:rsidRDefault="008D653C" w:rsidP="00E67D70">
      <w:pPr>
        <w:bidi w:val="0"/>
        <w:spacing w:after="120"/>
        <w:ind w:left="397" w:hanging="397"/>
        <w:jc w:val="both"/>
        <w:rPr>
          <w:sz w:val="18"/>
          <w:szCs w:val="20"/>
        </w:rPr>
      </w:pPr>
      <w:r w:rsidRPr="008D653C">
        <w:rPr>
          <w:sz w:val="18"/>
          <w:szCs w:val="20"/>
        </w:rPr>
        <w:t xml:space="preserve">Bloomberg, N. &amp; </w:t>
      </w:r>
      <w:proofErr w:type="spellStart"/>
      <w:r w:rsidRPr="008D653C">
        <w:rPr>
          <w:sz w:val="18"/>
          <w:szCs w:val="20"/>
        </w:rPr>
        <w:t>Serdtse</w:t>
      </w:r>
      <w:bookmarkEnd w:id="10"/>
      <w:proofErr w:type="spellEnd"/>
      <w:r w:rsidRPr="008D653C">
        <w:rPr>
          <w:sz w:val="18"/>
          <w:szCs w:val="20"/>
        </w:rPr>
        <w:t xml:space="preserve">, Y. (2020). Perceptions of child risk and protection among French immigrant mothers in Israel. In D. </w:t>
      </w:r>
      <w:proofErr w:type="spellStart"/>
      <w:r w:rsidRPr="008D653C">
        <w:rPr>
          <w:sz w:val="18"/>
          <w:szCs w:val="20"/>
        </w:rPr>
        <w:t>Roer-Strier</w:t>
      </w:r>
      <w:proofErr w:type="spellEnd"/>
      <w:r w:rsidRPr="008D653C">
        <w:rPr>
          <w:sz w:val="18"/>
          <w:szCs w:val="20"/>
        </w:rPr>
        <w:t xml:space="preserve"> &amp; Y. </w:t>
      </w:r>
      <w:proofErr w:type="spellStart"/>
      <w:r w:rsidRPr="008D653C">
        <w:rPr>
          <w:sz w:val="18"/>
          <w:szCs w:val="20"/>
        </w:rPr>
        <w:t>Nadan</w:t>
      </w:r>
      <w:proofErr w:type="spellEnd"/>
      <w:r w:rsidRPr="008D653C">
        <w:rPr>
          <w:sz w:val="18"/>
          <w:szCs w:val="20"/>
        </w:rPr>
        <w:t xml:space="preserve"> (Eds.) </w:t>
      </w:r>
      <w:r w:rsidRPr="008D653C">
        <w:rPr>
          <w:i/>
          <w:iCs/>
          <w:sz w:val="18"/>
          <w:szCs w:val="20"/>
        </w:rPr>
        <w:t>Context-informed perspectives of child risk and protection in Israel</w:t>
      </w:r>
      <w:r w:rsidRPr="008D653C">
        <w:rPr>
          <w:sz w:val="18"/>
          <w:szCs w:val="20"/>
        </w:rPr>
        <w:t xml:space="preserve"> (pp. 131-148)</w:t>
      </w:r>
      <w:r w:rsidRPr="008D653C">
        <w:rPr>
          <w:i/>
          <w:iCs/>
          <w:sz w:val="18"/>
          <w:szCs w:val="20"/>
        </w:rPr>
        <w:t xml:space="preserve">. </w:t>
      </w:r>
      <w:r w:rsidRPr="008D653C">
        <w:rPr>
          <w:sz w:val="18"/>
          <w:szCs w:val="20"/>
        </w:rPr>
        <w:t>Springer.</w:t>
      </w:r>
    </w:p>
    <w:p w14:paraId="3E136E3D" w14:textId="77777777" w:rsidR="008D653C" w:rsidRPr="008D653C" w:rsidRDefault="008D653C" w:rsidP="00E67D70">
      <w:pPr>
        <w:bidi w:val="0"/>
        <w:spacing w:after="120"/>
        <w:ind w:left="397" w:hanging="397"/>
        <w:jc w:val="both"/>
        <w:rPr>
          <w:sz w:val="18"/>
          <w:szCs w:val="20"/>
        </w:rPr>
      </w:pPr>
      <w:r w:rsidRPr="008D653C">
        <w:rPr>
          <w:sz w:val="18"/>
          <w:szCs w:val="20"/>
        </w:rPr>
        <w:t xml:space="preserve">Bowlby, J. (1969). </w:t>
      </w:r>
      <w:r w:rsidRPr="008D653C">
        <w:rPr>
          <w:i/>
          <w:iCs/>
          <w:sz w:val="18"/>
          <w:szCs w:val="20"/>
        </w:rPr>
        <w:t>Attachment and loss</w:t>
      </w:r>
      <w:r w:rsidRPr="008D653C">
        <w:rPr>
          <w:sz w:val="18"/>
          <w:szCs w:val="20"/>
        </w:rPr>
        <w:t xml:space="preserve"> – </w:t>
      </w:r>
      <w:r w:rsidRPr="008D653C">
        <w:rPr>
          <w:i/>
          <w:iCs/>
          <w:sz w:val="18"/>
          <w:szCs w:val="20"/>
        </w:rPr>
        <w:t>Volume I: Attachment</w:t>
      </w:r>
      <w:r w:rsidRPr="008D653C">
        <w:rPr>
          <w:sz w:val="18"/>
          <w:szCs w:val="20"/>
        </w:rPr>
        <w:t>. Penguin.</w:t>
      </w:r>
    </w:p>
    <w:p w14:paraId="0A78FB32" w14:textId="77777777" w:rsidR="008D653C" w:rsidRPr="008D653C" w:rsidRDefault="008D653C" w:rsidP="00E67D70">
      <w:pPr>
        <w:bidi w:val="0"/>
        <w:spacing w:after="120"/>
        <w:ind w:left="397" w:hanging="397"/>
        <w:jc w:val="both"/>
        <w:rPr>
          <w:sz w:val="18"/>
          <w:szCs w:val="20"/>
          <w:shd w:val="clear" w:color="auto" w:fill="FFFFFF"/>
        </w:rPr>
      </w:pPr>
      <w:r w:rsidRPr="008D653C">
        <w:rPr>
          <w:sz w:val="18"/>
          <w:szCs w:val="20"/>
          <w:shd w:val="clear" w:color="auto" w:fill="FFFFFF"/>
        </w:rPr>
        <w:t xml:space="preserve">Byrne, D. (2002). </w:t>
      </w:r>
      <w:r w:rsidRPr="008D653C">
        <w:rPr>
          <w:i/>
          <w:iCs/>
          <w:sz w:val="18"/>
          <w:szCs w:val="20"/>
          <w:shd w:val="clear" w:color="auto" w:fill="FFFFFF"/>
        </w:rPr>
        <w:t>Complexity theory and the social sciences: An introduction.</w:t>
      </w:r>
      <w:r w:rsidRPr="008D653C">
        <w:rPr>
          <w:sz w:val="18"/>
          <w:szCs w:val="20"/>
          <w:shd w:val="clear" w:color="auto" w:fill="FFFFFF"/>
        </w:rPr>
        <w:t xml:space="preserve"> Routledge.</w:t>
      </w:r>
    </w:p>
    <w:p w14:paraId="1C625ED8" w14:textId="77777777" w:rsidR="004A5EB0" w:rsidRDefault="008D653C" w:rsidP="004A5EB0">
      <w:pPr>
        <w:bidi w:val="0"/>
        <w:ind w:left="397" w:hanging="397"/>
        <w:jc w:val="both"/>
        <w:rPr>
          <w:sz w:val="18"/>
          <w:szCs w:val="20"/>
        </w:rPr>
      </w:pPr>
      <w:r w:rsidRPr="008D653C">
        <w:rPr>
          <w:sz w:val="18"/>
          <w:szCs w:val="20"/>
        </w:rPr>
        <w:t xml:space="preserve">Cabral, R. R. &amp; Smith, T. B. (2011). Racial/ethnic matching of clients and therapists in mental health services: A meta-analytic review of preferences, perceptions, and outcomes. </w:t>
      </w:r>
      <w:r w:rsidRPr="008D653C">
        <w:rPr>
          <w:i/>
          <w:iCs/>
          <w:sz w:val="18"/>
          <w:szCs w:val="20"/>
        </w:rPr>
        <w:t>Journal of Counseling Psychology</w:t>
      </w:r>
      <w:r w:rsidRPr="008D653C">
        <w:rPr>
          <w:sz w:val="18"/>
          <w:szCs w:val="20"/>
        </w:rPr>
        <w:t>,</w:t>
      </w:r>
      <w:r w:rsidRPr="008D653C">
        <w:rPr>
          <w:i/>
          <w:iCs/>
          <w:sz w:val="18"/>
          <w:szCs w:val="20"/>
        </w:rPr>
        <w:t xml:space="preserve"> 58</w:t>
      </w:r>
      <w:r w:rsidRPr="008D653C">
        <w:rPr>
          <w:sz w:val="18"/>
          <w:szCs w:val="20"/>
        </w:rPr>
        <w:t>(4), 537-554.</w:t>
      </w:r>
      <w:r w:rsidRPr="008D653C">
        <w:rPr>
          <w:sz w:val="18"/>
          <w:szCs w:val="20"/>
          <w:rtl/>
        </w:rPr>
        <w:t>‏</w:t>
      </w:r>
      <w:r w:rsidRPr="008D653C">
        <w:rPr>
          <w:sz w:val="18"/>
          <w:szCs w:val="20"/>
        </w:rPr>
        <w:t xml:space="preserve"> </w:t>
      </w:r>
    </w:p>
    <w:p w14:paraId="5E496941" w14:textId="02193712"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doi.org/10.1037/a0025266</w:t>
      </w:r>
    </w:p>
    <w:p w14:paraId="4157D661" w14:textId="77777777" w:rsidR="008D653C" w:rsidRPr="008D653C" w:rsidRDefault="008D653C" w:rsidP="00E67D70">
      <w:pPr>
        <w:bidi w:val="0"/>
        <w:spacing w:after="120"/>
        <w:ind w:left="397" w:hanging="397"/>
        <w:jc w:val="both"/>
        <w:rPr>
          <w:sz w:val="18"/>
          <w:szCs w:val="20"/>
        </w:rPr>
      </w:pPr>
      <w:r w:rsidRPr="008D653C">
        <w:rPr>
          <w:sz w:val="18"/>
          <w:szCs w:val="20"/>
        </w:rPr>
        <w:t xml:space="preserve">Charmaz, K. (2014). </w:t>
      </w:r>
      <w:r w:rsidRPr="008D653C">
        <w:rPr>
          <w:i/>
          <w:iCs/>
          <w:sz w:val="18"/>
          <w:szCs w:val="20"/>
        </w:rPr>
        <w:t>Constructing grounded theory</w:t>
      </w:r>
      <w:r w:rsidRPr="008D653C">
        <w:rPr>
          <w:sz w:val="18"/>
          <w:szCs w:val="20"/>
        </w:rPr>
        <w:t xml:space="preserve"> (2nd ed.). Sage.</w:t>
      </w:r>
    </w:p>
    <w:p w14:paraId="61C81310" w14:textId="77777777" w:rsidR="008D653C" w:rsidRPr="008D653C" w:rsidRDefault="008D653C" w:rsidP="00E67D70">
      <w:pPr>
        <w:bidi w:val="0"/>
        <w:spacing w:after="120"/>
        <w:ind w:left="397" w:hanging="397"/>
        <w:jc w:val="both"/>
        <w:rPr>
          <w:sz w:val="18"/>
          <w:szCs w:val="20"/>
        </w:rPr>
      </w:pPr>
      <w:r w:rsidRPr="008D653C">
        <w:rPr>
          <w:sz w:val="18"/>
          <w:szCs w:val="20"/>
        </w:rPr>
        <w:t xml:space="preserve">Charmaz, K. (2017). The power of constructivist grounded theory for critical inquiry. </w:t>
      </w:r>
      <w:r w:rsidRPr="008D653C">
        <w:rPr>
          <w:i/>
          <w:iCs/>
          <w:sz w:val="18"/>
          <w:szCs w:val="20"/>
        </w:rPr>
        <w:t>Qualitative Inquiry, 2</w:t>
      </w:r>
      <w:r w:rsidRPr="008D653C">
        <w:rPr>
          <w:sz w:val="18"/>
          <w:szCs w:val="20"/>
        </w:rPr>
        <w:t>3(1), 34-45.</w:t>
      </w:r>
    </w:p>
    <w:p w14:paraId="5390461F" w14:textId="77777777" w:rsidR="008D653C" w:rsidRPr="008D653C" w:rsidRDefault="008D653C" w:rsidP="00E67D70">
      <w:pPr>
        <w:bidi w:val="0"/>
        <w:spacing w:after="120"/>
        <w:ind w:left="397" w:hanging="397"/>
        <w:jc w:val="both"/>
        <w:rPr>
          <w:sz w:val="18"/>
          <w:szCs w:val="20"/>
        </w:rPr>
      </w:pPr>
      <w:r w:rsidRPr="008D653C">
        <w:rPr>
          <w:sz w:val="18"/>
          <w:szCs w:val="20"/>
        </w:rPr>
        <w:t xml:space="preserve">Corbin, J. &amp; Strauss, A. (2015). </w:t>
      </w:r>
      <w:r w:rsidRPr="008D653C">
        <w:rPr>
          <w:i/>
          <w:iCs/>
          <w:sz w:val="18"/>
          <w:szCs w:val="20"/>
        </w:rPr>
        <w:t>Basics of qualitative research: Techniques and procedures for developing grounded theory</w:t>
      </w:r>
      <w:r w:rsidRPr="008D653C">
        <w:rPr>
          <w:sz w:val="18"/>
          <w:szCs w:val="20"/>
        </w:rPr>
        <w:t xml:space="preserve"> (4th ed.). Sage Publications.</w:t>
      </w:r>
    </w:p>
    <w:p w14:paraId="60DEF005" w14:textId="77777777" w:rsidR="008D653C" w:rsidRPr="004A5EB0" w:rsidRDefault="008D653C" w:rsidP="004A5EB0">
      <w:pPr>
        <w:pStyle w:val="B-kot-3"/>
        <w:keepNext w:val="0"/>
        <w:tabs>
          <w:tab w:val="left" w:pos="0"/>
        </w:tabs>
        <w:bidi w:val="0"/>
        <w:spacing w:line="240" w:lineRule="exact"/>
        <w:ind w:left="397" w:hanging="397"/>
        <w:jc w:val="both"/>
        <w:outlineLvl w:val="9"/>
        <w:rPr>
          <w:rFonts w:cs="David"/>
          <w:b w:val="0"/>
          <w:bCs w:val="0"/>
          <w:sz w:val="18"/>
          <w:szCs w:val="20"/>
        </w:rPr>
      </w:pPr>
      <w:r w:rsidRPr="004A5EB0">
        <w:rPr>
          <w:rFonts w:cs="David"/>
          <w:b w:val="0"/>
          <w:bCs w:val="0"/>
          <w:sz w:val="18"/>
          <w:szCs w:val="20"/>
        </w:rPr>
        <w:t>Crenshaw, K. (1989). Demarginalizing the intersection of race and sex: A Black feminist critique of antidiscrimination doctrine, feminist theory and antiracist politics.</w:t>
      </w:r>
      <w:r w:rsidRPr="004A5EB0">
        <w:rPr>
          <w:rFonts w:cs="David"/>
          <w:b w:val="0"/>
          <w:bCs w:val="0"/>
          <w:i/>
          <w:iCs/>
          <w:sz w:val="18"/>
          <w:szCs w:val="20"/>
        </w:rPr>
        <w:t xml:space="preserve"> University of Chicago Legal Forum</w:t>
      </w:r>
      <w:r w:rsidRPr="004A5EB0">
        <w:rPr>
          <w:rFonts w:cs="David"/>
          <w:b w:val="0"/>
          <w:bCs w:val="0"/>
          <w:sz w:val="18"/>
          <w:szCs w:val="20"/>
        </w:rPr>
        <w:t>,</w:t>
      </w:r>
      <w:r w:rsidRPr="004A5EB0">
        <w:rPr>
          <w:rFonts w:cs="David"/>
          <w:b w:val="0"/>
          <w:bCs w:val="0"/>
          <w:i/>
          <w:iCs/>
          <w:sz w:val="18"/>
          <w:szCs w:val="20"/>
        </w:rPr>
        <w:t xml:space="preserve"> 1989</w:t>
      </w:r>
      <w:r w:rsidRPr="004A5EB0">
        <w:rPr>
          <w:rFonts w:cs="David"/>
          <w:b w:val="0"/>
          <w:bCs w:val="0"/>
          <w:sz w:val="18"/>
          <w:szCs w:val="20"/>
        </w:rPr>
        <w:t>,</w:t>
      </w:r>
      <w:r w:rsidRPr="004A5EB0">
        <w:rPr>
          <w:rFonts w:cs="David"/>
          <w:b w:val="0"/>
          <w:bCs w:val="0"/>
          <w:i/>
          <w:iCs/>
          <w:sz w:val="18"/>
          <w:szCs w:val="20"/>
        </w:rPr>
        <w:t xml:space="preserve"> </w:t>
      </w:r>
      <w:r w:rsidRPr="004A5EB0">
        <w:rPr>
          <w:rFonts w:cs="David"/>
          <w:b w:val="0"/>
          <w:bCs w:val="0"/>
          <w:sz w:val="18"/>
          <w:szCs w:val="20"/>
        </w:rPr>
        <w:t>139-167.</w:t>
      </w:r>
    </w:p>
    <w:p w14:paraId="63AAEB12" w14:textId="77777777" w:rsidR="008D653C" w:rsidRPr="004A5EB0" w:rsidRDefault="008D653C" w:rsidP="004A5EB0">
      <w:pPr>
        <w:pStyle w:val="B-kot-3"/>
        <w:keepNext w:val="0"/>
        <w:tabs>
          <w:tab w:val="left" w:pos="0"/>
        </w:tabs>
        <w:bidi w:val="0"/>
        <w:spacing w:line="240" w:lineRule="exact"/>
        <w:ind w:left="397" w:hanging="397"/>
        <w:jc w:val="both"/>
        <w:outlineLvl w:val="9"/>
        <w:rPr>
          <w:rFonts w:cs="David"/>
          <w:b w:val="0"/>
          <w:bCs w:val="0"/>
          <w:sz w:val="18"/>
          <w:szCs w:val="20"/>
        </w:rPr>
      </w:pPr>
      <w:r w:rsidRPr="004A5EB0">
        <w:rPr>
          <w:rFonts w:cs="David"/>
          <w:b w:val="0"/>
          <w:bCs w:val="0"/>
          <w:sz w:val="18"/>
          <w:szCs w:val="20"/>
        </w:rPr>
        <w:t xml:space="preserve">Creswell, J. W. &amp; Creswell, J. D. (2017). </w:t>
      </w:r>
      <w:r w:rsidRPr="004A5EB0">
        <w:rPr>
          <w:rFonts w:cs="David"/>
          <w:b w:val="0"/>
          <w:bCs w:val="0"/>
          <w:i/>
          <w:iCs/>
          <w:sz w:val="18"/>
          <w:szCs w:val="20"/>
        </w:rPr>
        <w:t>Research design: Qualitative, quantitative, and mixed methods' approaches.</w:t>
      </w:r>
      <w:r w:rsidRPr="004A5EB0">
        <w:rPr>
          <w:rFonts w:cs="David"/>
          <w:b w:val="0"/>
          <w:bCs w:val="0"/>
          <w:sz w:val="18"/>
          <w:szCs w:val="20"/>
        </w:rPr>
        <w:t xml:space="preserve"> Sage Publications.</w:t>
      </w:r>
    </w:p>
    <w:p w14:paraId="2F090A06" w14:textId="77777777" w:rsidR="008D653C" w:rsidRPr="004A5EB0" w:rsidRDefault="008D653C" w:rsidP="004A5EB0">
      <w:pPr>
        <w:pStyle w:val="B-kot-3"/>
        <w:keepNext w:val="0"/>
        <w:tabs>
          <w:tab w:val="left" w:pos="0"/>
        </w:tabs>
        <w:bidi w:val="0"/>
        <w:spacing w:line="240" w:lineRule="exact"/>
        <w:ind w:left="397" w:hanging="397"/>
        <w:jc w:val="both"/>
        <w:outlineLvl w:val="9"/>
        <w:rPr>
          <w:rFonts w:cs="David"/>
          <w:b w:val="0"/>
          <w:bCs w:val="0"/>
          <w:sz w:val="18"/>
          <w:szCs w:val="20"/>
        </w:rPr>
      </w:pPr>
      <w:r w:rsidRPr="004A5EB0">
        <w:rPr>
          <w:rFonts w:cs="David"/>
          <w:b w:val="0"/>
          <w:bCs w:val="0"/>
          <w:sz w:val="18"/>
          <w:szCs w:val="20"/>
        </w:rPr>
        <w:t xml:space="preserve">Denzin, N. K. &amp; Lincoln, Y. S. (2011). </w:t>
      </w:r>
      <w:r w:rsidRPr="004A5EB0">
        <w:rPr>
          <w:rFonts w:cs="David"/>
          <w:b w:val="0"/>
          <w:bCs w:val="0"/>
          <w:i/>
          <w:iCs/>
          <w:sz w:val="18"/>
          <w:szCs w:val="20"/>
        </w:rPr>
        <w:t>The Sage handbook of qualitative research</w:t>
      </w:r>
      <w:r w:rsidRPr="004A5EB0">
        <w:rPr>
          <w:rFonts w:cs="David"/>
          <w:b w:val="0"/>
          <w:bCs w:val="0"/>
          <w:sz w:val="18"/>
          <w:szCs w:val="20"/>
        </w:rPr>
        <w:t xml:space="preserve"> (4th ed.). Sage Publications. </w:t>
      </w:r>
    </w:p>
    <w:p w14:paraId="08D26505" w14:textId="77777777" w:rsidR="008D653C" w:rsidRPr="004A5EB0" w:rsidRDefault="008D653C" w:rsidP="004A5EB0">
      <w:pPr>
        <w:pStyle w:val="B-kot-3"/>
        <w:keepNext w:val="0"/>
        <w:tabs>
          <w:tab w:val="left" w:pos="0"/>
        </w:tabs>
        <w:bidi w:val="0"/>
        <w:spacing w:line="240" w:lineRule="exact"/>
        <w:ind w:left="397" w:hanging="397"/>
        <w:jc w:val="both"/>
        <w:outlineLvl w:val="9"/>
        <w:rPr>
          <w:rFonts w:cs="David"/>
          <w:b w:val="0"/>
          <w:bCs w:val="0"/>
          <w:sz w:val="18"/>
          <w:szCs w:val="20"/>
          <w:shd w:val="clear" w:color="auto" w:fill="FFFFFF"/>
        </w:rPr>
      </w:pPr>
      <w:proofErr w:type="spellStart"/>
      <w:r w:rsidRPr="004A5EB0">
        <w:rPr>
          <w:rFonts w:cs="David"/>
          <w:b w:val="0"/>
          <w:bCs w:val="0"/>
          <w:sz w:val="18"/>
          <w:szCs w:val="20"/>
          <w:shd w:val="clear" w:color="auto" w:fill="FFFFFF"/>
        </w:rPr>
        <w:t>Engdau</w:t>
      </w:r>
      <w:proofErr w:type="spellEnd"/>
      <w:r w:rsidRPr="004A5EB0">
        <w:rPr>
          <w:rFonts w:cs="David"/>
          <w:b w:val="0"/>
          <w:bCs w:val="0"/>
          <w:sz w:val="18"/>
          <w:szCs w:val="20"/>
          <w:shd w:val="clear" w:color="auto" w:fill="FFFFFF"/>
        </w:rPr>
        <w:t xml:space="preserve">‐Vanda, S. (2020). The circular construction of “risk” for children of oppressed groups: Israeli social workers’ perspectives on children of Ethiopian origin. </w:t>
      </w:r>
      <w:r w:rsidRPr="004A5EB0">
        <w:rPr>
          <w:rFonts w:cs="David"/>
          <w:b w:val="0"/>
          <w:bCs w:val="0"/>
          <w:i/>
          <w:iCs/>
          <w:sz w:val="18"/>
          <w:szCs w:val="20"/>
          <w:shd w:val="clear" w:color="auto" w:fill="FFFFFF"/>
        </w:rPr>
        <w:t>Child &amp; Family Social Work</w:t>
      </w:r>
      <w:r w:rsidRPr="004A5EB0">
        <w:rPr>
          <w:rFonts w:cs="David"/>
          <w:b w:val="0"/>
          <w:bCs w:val="0"/>
          <w:sz w:val="18"/>
          <w:szCs w:val="20"/>
          <w:shd w:val="clear" w:color="auto" w:fill="FFFFFF"/>
        </w:rPr>
        <w:t xml:space="preserve">, </w:t>
      </w:r>
      <w:r w:rsidRPr="004A5EB0">
        <w:rPr>
          <w:rFonts w:cs="David"/>
          <w:b w:val="0"/>
          <w:bCs w:val="0"/>
          <w:i/>
          <w:iCs/>
          <w:sz w:val="18"/>
          <w:szCs w:val="20"/>
          <w:shd w:val="clear" w:color="auto" w:fill="FFFFFF"/>
        </w:rPr>
        <w:t>25</w:t>
      </w:r>
      <w:r w:rsidRPr="004A5EB0">
        <w:rPr>
          <w:rFonts w:cs="David"/>
          <w:b w:val="0"/>
          <w:bCs w:val="0"/>
          <w:sz w:val="18"/>
          <w:szCs w:val="20"/>
          <w:shd w:val="clear" w:color="auto" w:fill="FFFFFF"/>
        </w:rPr>
        <w:t>(3), 602-610. doi.org/10.1111/cfs.12732</w:t>
      </w:r>
    </w:p>
    <w:p w14:paraId="0A7A2652" w14:textId="77777777" w:rsidR="008D653C" w:rsidRPr="004A5EB0" w:rsidRDefault="008D653C" w:rsidP="004A5EB0">
      <w:pPr>
        <w:pStyle w:val="B-kot-3"/>
        <w:keepNext w:val="0"/>
        <w:tabs>
          <w:tab w:val="left" w:pos="0"/>
        </w:tabs>
        <w:bidi w:val="0"/>
        <w:spacing w:line="240" w:lineRule="exact"/>
        <w:ind w:left="397" w:hanging="397"/>
        <w:jc w:val="both"/>
        <w:outlineLvl w:val="9"/>
        <w:rPr>
          <w:rFonts w:cs="David"/>
          <w:b w:val="0"/>
          <w:bCs w:val="0"/>
          <w:sz w:val="18"/>
          <w:szCs w:val="20"/>
        </w:rPr>
      </w:pPr>
      <w:proofErr w:type="spellStart"/>
      <w:r w:rsidRPr="004A5EB0">
        <w:rPr>
          <w:rFonts w:cs="David"/>
          <w:b w:val="0"/>
          <w:bCs w:val="0"/>
          <w:sz w:val="18"/>
          <w:szCs w:val="20"/>
        </w:rPr>
        <w:lastRenderedPageBreak/>
        <w:t>Engdau</w:t>
      </w:r>
      <w:proofErr w:type="spellEnd"/>
      <w:r w:rsidRPr="004A5EB0">
        <w:rPr>
          <w:rFonts w:cs="David"/>
          <w:b w:val="0"/>
          <w:bCs w:val="0"/>
          <w:sz w:val="18"/>
          <w:szCs w:val="20"/>
        </w:rPr>
        <w:t xml:space="preserve">-Vanda, S., </w:t>
      </w:r>
      <w:proofErr w:type="spellStart"/>
      <w:r w:rsidRPr="004A5EB0">
        <w:rPr>
          <w:rFonts w:cs="David"/>
          <w:b w:val="0"/>
          <w:bCs w:val="0"/>
          <w:sz w:val="18"/>
          <w:szCs w:val="20"/>
        </w:rPr>
        <w:t>Gatenio-Kalush</w:t>
      </w:r>
      <w:proofErr w:type="spellEnd"/>
      <w:r w:rsidRPr="004A5EB0">
        <w:rPr>
          <w:rFonts w:cs="David"/>
          <w:b w:val="0"/>
          <w:bCs w:val="0"/>
          <w:sz w:val="18"/>
          <w:szCs w:val="20"/>
        </w:rPr>
        <w:t xml:space="preserve">, M., &amp; </w:t>
      </w:r>
      <w:proofErr w:type="spellStart"/>
      <w:r w:rsidRPr="004A5EB0">
        <w:rPr>
          <w:rFonts w:cs="David"/>
          <w:b w:val="0"/>
          <w:bCs w:val="0"/>
          <w:sz w:val="18"/>
          <w:szCs w:val="20"/>
        </w:rPr>
        <w:t>Karni</w:t>
      </w:r>
      <w:proofErr w:type="spellEnd"/>
      <w:r w:rsidRPr="004A5EB0">
        <w:rPr>
          <w:rFonts w:cs="David"/>
          <w:b w:val="0"/>
          <w:bCs w:val="0"/>
          <w:sz w:val="18"/>
          <w:szCs w:val="20"/>
        </w:rPr>
        <w:t xml:space="preserve">, B. (2020). Seeing eye to eye? Social workers’ and parents’ perceptions of risk and protection regarding children of Ethiopian origin. In D. </w:t>
      </w:r>
      <w:proofErr w:type="spellStart"/>
      <w:r w:rsidRPr="004A5EB0">
        <w:rPr>
          <w:rFonts w:cs="David"/>
          <w:b w:val="0"/>
          <w:bCs w:val="0"/>
          <w:sz w:val="18"/>
          <w:szCs w:val="20"/>
        </w:rPr>
        <w:t>Roer-Strier</w:t>
      </w:r>
      <w:proofErr w:type="spellEnd"/>
      <w:r w:rsidRPr="004A5EB0">
        <w:rPr>
          <w:rFonts w:cs="David"/>
          <w:b w:val="0"/>
          <w:bCs w:val="0"/>
          <w:sz w:val="18"/>
          <w:szCs w:val="20"/>
        </w:rPr>
        <w:t xml:space="preserve"> &amp; Y. </w:t>
      </w:r>
      <w:proofErr w:type="spellStart"/>
      <w:r w:rsidRPr="004A5EB0">
        <w:rPr>
          <w:rFonts w:cs="David"/>
          <w:b w:val="0"/>
          <w:bCs w:val="0"/>
          <w:sz w:val="18"/>
          <w:szCs w:val="20"/>
        </w:rPr>
        <w:t>Nadan</w:t>
      </w:r>
      <w:proofErr w:type="spellEnd"/>
      <w:r w:rsidRPr="004A5EB0">
        <w:rPr>
          <w:rFonts w:cs="David"/>
          <w:b w:val="0"/>
          <w:bCs w:val="0"/>
          <w:sz w:val="18"/>
          <w:szCs w:val="20"/>
        </w:rPr>
        <w:t xml:space="preserve"> (Eds.) </w:t>
      </w:r>
      <w:r w:rsidRPr="004A5EB0">
        <w:rPr>
          <w:rFonts w:cs="David"/>
          <w:b w:val="0"/>
          <w:bCs w:val="0"/>
          <w:i/>
          <w:iCs/>
          <w:sz w:val="18"/>
          <w:szCs w:val="20"/>
        </w:rPr>
        <w:t>Context-informed perspectives of child risk and protection in Israel</w:t>
      </w:r>
      <w:r w:rsidRPr="004A5EB0">
        <w:rPr>
          <w:rFonts w:cs="David"/>
          <w:b w:val="0"/>
          <w:bCs w:val="0"/>
          <w:sz w:val="18"/>
          <w:szCs w:val="20"/>
        </w:rPr>
        <w:t xml:space="preserve"> (pp. 61-80)</w:t>
      </w:r>
      <w:r w:rsidRPr="004A5EB0">
        <w:rPr>
          <w:rFonts w:cs="David"/>
          <w:b w:val="0"/>
          <w:bCs w:val="0"/>
          <w:i/>
          <w:iCs/>
          <w:sz w:val="18"/>
          <w:szCs w:val="20"/>
        </w:rPr>
        <w:t>.</w:t>
      </w:r>
      <w:r w:rsidRPr="004A5EB0">
        <w:rPr>
          <w:rFonts w:cs="David"/>
          <w:b w:val="0"/>
          <w:bCs w:val="0"/>
          <w:sz w:val="18"/>
          <w:szCs w:val="20"/>
        </w:rPr>
        <w:t xml:space="preserve"> Springer.</w:t>
      </w:r>
    </w:p>
    <w:p w14:paraId="7C974B03" w14:textId="77777777" w:rsidR="004A5EB0" w:rsidRDefault="008D653C" w:rsidP="004A5EB0">
      <w:pPr>
        <w:pStyle w:val="B-kot-3"/>
        <w:keepNext w:val="0"/>
        <w:tabs>
          <w:tab w:val="left" w:pos="0"/>
        </w:tabs>
        <w:bidi w:val="0"/>
        <w:spacing w:after="0" w:line="240" w:lineRule="exact"/>
        <w:ind w:left="397" w:hanging="397"/>
        <w:jc w:val="both"/>
        <w:outlineLvl w:val="9"/>
        <w:rPr>
          <w:rFonts w:cs="David"/>
          <w:b w:val="0"/>
          <w:bCs w:val="0"/>
          <w:sz w:val="18"/>
          <w:szCs w:val="20"/>
        </w:rPr>
      </w:pPr>
      <w:r w:rsidRPr="004A5EB0">
        <w:rPr>
          <w:rFonts w:cs="David"/>
          <w:b w:val="0"/>
          <w:bCs w:val="0"/>
          <w:sz w:val="18"/>
          <w:szCs w:val="20"/>
        </w:rPr>
        <w:t xml:space="preserve">Garb, H. N. (1997). Race bias, social class bias, and gender bias in clinical judgment. </w:t>
      </w:r>
      <w:r w:rsidRPr="004A5EB0">
        <w:rPr>
          <w:rFonts w:cs="David"/>
          <w:b w:val="0"/>
          <w:bCs w:val="0"/>
          <w:i/>
          <w:iCs/>
          <w:sz w:val="18"/>
          <w:szCs w:val="20"/>
        </w:rPr>
        <w:t>Clinical Psychology: Science and Practice</w:t>
      </w:r>
      <w:r w:rsidRPr="004A5EB0">
        <w:rPr>
          <w:rFonts w:cs="David"/>
          <w:b w:val="0"/>
          <w:bCs w:val="0"/>
          <w:sz w:val="18"/>
          <w:szCs w:val="20"/>
        </w:rPr>
        <w:t>,</w:t>
      </w:r>
      <w:r w:rsidRPr="004A5EB0">
        <w:rPr>
          <w:rFonts w:cs="David"/>
          <w:b w:val="0"/>
          <w:bCs w:val="0"/>
          <w:i/>
          <w:iCs/>
          <w:sz w:val="18"/>
          <w:szCs w:val="20"/>
        </w:rPr>
        <w:t xml:space="preserve"> 4</w:t>
      </w:r>
      <w:r w:rsidRPr="004A5EB0">
        <w:rPr>
          <w:rFonts w:cs="David"/>
          <w:b w:val="0"/>
          <w:bCs w:val="0"/>
          <w:sz w:val="18"/>
          <w:szCs w:val="20"/>
        </w:rPr>
        <w:t xml:space="preserve">(2), 99-120. </w:t>
      </w:r>
    </w:p>
    <w:p w14:paraId="0B1CBF6E" w14:textId="39DA08FB"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doi.org/10.1111/j.1468-</w:t>
      </w:r>
      <w:proofErr w:type="gramStart"/>
      <w:r w:rsidRPr="004A5EB0">
        <w:rPr>
          <w:sz w:val="16"/>
          <w:szCs w:val="18"/>
          <w:shd w:val="clear" w:color="auto" w:fill="FFFFFF"/>
        </w:rPr>
        <w:t>2850.1997.tb</w:t>
      </w:r>
      <w:proofErr w:type="gramEnd"/>
      <w:r w:rsidRPr="004A5EB0">
        <w:rPr>
          <w:sz w:val="16"/>
          <w:szCs w:val="18"/>
          <w:shd w:val="clear" w:color="auto" w:fill="FFFFFF"/>
        </w:rPr>
        <w:t>00104.x</w:t>
      </w:r>
    </w:p>
    <w:p w14:paraId="68E895CE" w14:textId="77777777" w:rsidR="008D653C" w:rsidRPr="004A5EB0" w:rsidRDefault="008D653C" w:rsidP="004A5EB0">
      <w:pPr>
        <w:pStyle w:val="B-kot-3"/>
        <w:keepNext w:val="0"/>
        <w:tabs>
          <w:tab w:val="left" w:pos="0"/>
        </w:tabs>
        <w:bidi w:val="0"/>
        <w:spacing w:line="240" w:lineRule="exact"/>
        <w:ind w:left="397" w:hanging="397"/>
        <w:jc w:val="both"/>
        <w:outlineLvl w:val="9"/>
        <w:rPr>
          <w:rFonts w:cs="David"/>
          <w:b w:val="0"/>
          <w:bCs w:val="0"/>
          <w:sz w:val="18"/>
          <w:szCs w:val="20"/>
        </w:rPr>
      </w:pPr>
      <w:proofErr w:type="spellStart"/>
      <w:r w:rsidRPr="004A5EB0">
        <w:rPr>
          <w:rFonts w:cs="David"/>
          <w:b w:val="0"/>
          <w:bCs w:val="0"/>
          <w:sz w:val="18"/>
          <w:szCs w:val="20"/>
        </w:rPr>
        <w:t>Gatenio-Kalush</w:t>
      </w:r>
      <w:proofErr w:type="spellEnd"/>
      <w:r w:rsidRPr="004A5EB0">
        <w:rPr>
          <w:rFonts w:cs="David"/>
          <w:b w:val="0"/>
          <w:bCs w:val="0"/>
          <w:sz w:val="18"/>
          <w:szCs w:val="20"/>
        </w:rPr>
        <w:t xml:space="preserve">, M., </w:t>
      </w:r>
      <w:proofErr w:type="spellStart"/>
      <w:r w:rsidRPr="004A5EB0">
        <w:rPr>
          <w:rFonts w:cs="David"/>
          <w:b w:val="0"/>
          <w:bCs w:val="0"/>
          <w:sz w:val="18"/>
          <w:szCs w:val="20"/>
        </w:rPr>
        <w:t>Engdau</w:t>
      </w:r>
      <w:proofErr w:type="spellEnd"/>
      <w:r w:rsidRPr="004A5EB0">
        <w:rPr>
          <w:rFonts w:cs="David"/>
          <w:b w:val="0"/>
          <w:bCs w:val="0"/>
          <w:sz w:val="18"/>
          <w:szCs w:val="20"/>
        </w:rPr>
        <w:t xml:space="preserve">-Vanda, S., &amp; Shmuel, N. (2020). Risk complexity – Culture and identity in migration: The case of Ethiopian Jews. In D. </w:t>
      </w:r>
      <w:proofErr w:type="spellStart"/>
      <w:r w:rsidRPr="004A5EB0">
        <w:rPr>
          <w:rFonts w:cs="David"/>
          <w:b w:val="0"/>
          <w:bCs w:val="0"/>
          <w:sz w:val="18"/>
          <w:szCs w:val="20"/>
        </w:rPr>
        <w:t>Roer-Strier</w:t>
      </w:r>
      <w:proofErr w:type="spellEnd"/>
      <w:r w:rsidRPr="004A5EB0">
        <w:rPr>
          <w:rFonts w:cs="David"/>
          <w:b w:val="0"/>
          <w:bCs w:val="0"/>
          <w:sz w:val="18"/>
          <w:szCs w:val="20"/>
        </w:rPr>
        <w:t xml:space="preserve"> &amp; Y. </w:t>
      </w:r>
      <w:proofErr w:type="spellStart"/>
      <w:r w:rsidRPr="004A5EB0">
        <w:rPr>
          <w:rFonts w:cs="David"/>
          <w:b w:val="0"/>
          <w:bCs w:val="0"/>
          <w:sz w:val="18"/>
          <w:szCs w:val="20"/>
        </w:rPr>
        <w:t>Nadan</w:t>
      </w:r>
      <w:proofErr w:type="spellEnd"/>
      <w:r w:rsidRPr="004A5EB0">
        <w:rPr>
          <w:rFonts w:cs="David"/>
          <w:b w:val="0"/>
          <w:bCs w:val="0"/>
          <w:sz w:val="18"/>
          <w:szCs w:val="20"/>
        </w:rPr>
        <w:t xml:space="preserve"> (Eds.) </w:t>
      </w:r>
      <w:r w:rsidRPr="004A5EB0">
        <w:rPr>
          <w:rFonts w:cs="David"/>
          <w:b w:val="0"/>
          <w:bCs w:val="0"/>
          <w:i/>
          <w:iCs/>
          <w:sz w:val="18"/>
          <w:szCs w:val="20"/>
        </w:rPr>
        <w:t>Context-informed perspectives of child risk and protection in Israel</w:t>
      </w:r>
      <w:r w:rsidRPr="004A5EB0">
        <w:rPr>
          <w:rFonts w:cs="David"/>
          <w:b w:val="0"/>
          <w:bCs w:val="0"/>
          <w:sz w:val="18"/>
          <w:szCs w:val="20"/>
        </w:rPr>
        <w:t xml:space="preserve"> (pp. 41-60)</w:t>
      </w:r>
      <w:r w:rsidRPr="004A5EB0">
        <w:rPr>
          <w:rFonts w:cs="David"/>
          <w:b w:val="0"/>
          <w:bCs w:val="0"/>
          <w:i/>
          <w:iCs/>
          <w:sz w:val="18"/>
          <w:szCs w:val="20"/>
        </w:rPr>
        <w:t>.</w:t>
      </w:r>
      <w:r w:rsidRPr="004A5EB0">
        <w:rPr>
          <w:rFonts w:cs="David"/>
          <w:b w:val="0"/>
          <w:bCs w:val="0"/>
          <w:sz w:val="18"/>
          <w:szCs w:val="20"/>
        </w:rPr>
        <w:t xml:space="preserve"> Springer.</w:t>
      </w:r>
    </w:p>
    <w:p w14:paraId="21EA9DF6" w14:textId="77777777" w:rsidR="004A5EB0" w:rsidRDefault="008D653C" w:rsidP="004A5EB0">
      <w:pPr>
        <w:bidi w:val="0"/>
        <w:ind w:left="397" w:hanging="397"/>
        <w:jc w:val="both"/>
        <w:rPr>
          <w:sz w:val="18"/>
          <w:szCs w:val="20"/>
          <w:shd w:val="clear" w:color="auto" w:fill="FFFFFF"/>
        </w:rPr>
      </w:pPr>
      <w:proofErr w:type="spellStart"/>
      <w:r w:rsidRPr="004A5EB0">
        <w:rPr>
          <w:sz w:val="18"/>
          <w:szCs w:val="20"/>
          <w:shd w:val="clear" w:color="auto" w:fill="FFFFFF"/>
        </w:rPr>
        <w:t>Gemara</w:t>
      </w:r>
      <w:proofErr w:type="spellEnd"/>
      <w:r w:rsidRPr="004A5EB0">
        <w:rPr>
          <w:sz w:val="18"/>
          <w:szCs w:val="20"/>
          <w:shd w:val="clear" w:color="auto" w:fill="FFFFFF"/>
        </w:rPr>
        <w:t xml:space="preserve">, N. &amp; </w:t>
      </w:r>
      <w:proofErr w:type="spellStart"/>
      <w:r w:rsidRPr="004A5EB0">
        <w:rPr>
          <w:sz w:val="18"/>
          <w:szCs w:val="20"/>
          <w:shd w:val="clear" w:color="auto" w:fill="FFFFFF"/>
        </w:rPr>
        <w:t>Nadan</w:t>
      </w:r>
      <w:proofErr w:type="spellEnd"/>
      <w:r w:rsidRPr="004A5EB0">
        <w:rPr>
          <w:sz w:val="18"/>
          <w:szCs w:val="20"/>
          <w:shd w:val="clear" w:color="auto" w:fill="FFFFFF"/>
        </w:rPr>
        <w:t xml:space="preserve">, Y. (2020). 'He who </w:t>
      </w:r>
      <w:proofErr w:type="spellStart"/>
      <w:r w:rsidRPr="004A5EB0">
        <w:rPr>
          <w:sz w:val="18"/>
          <w:szCs w:val="20"/>
          <w:shd w:val="clear" w:color="auto" w:fill="FFFFFF"/>
        </w:rPr>
        <w:t>spareth</w:t>
      </w:r>
      <w:proofErr w:type="spellEnd"/>
      <w:r w:rsidRPr="004A5EB0">
        <w:rPr>
          <w:sz w:val="18"/>
          <w:szCs w:val="20"/>
          <w:shd w:val="clear" w:color="auto" w:fill="FFFFFF"/>
        </w:rPr>
        <w:t xml:space="preserve"> the rod </w:t>
      </w:r>
      <w:proofErr w:type="spellStart"/>
      <w:r w:rsidRPr="004A5EB0">
        <w:rPr>
          <w:sz w:val="18"/>
          <w:szCs w:val="20"/>
          <w:shd w:val="clear" w:color="auto" w:fill="FFFFFF"/>
        </w:rPr>
        <w:t>hateth</w:t>
      </w:r>
      <w:proofErr w:type="spellEnd"/>
      <w:r w:rsidRPr="004A5EB0">
        <w:rPr>
          <w:sz w:val="18"/>
          <w:szCs w:val="20"/>
          <w:shd w:val="clear" w:color="auto" w:fill="FFFFFF"/>
        </w:rPr>
        <w:t xml:space="preserve"> his son': Perceptions regarding corporal punishment among Ultra-Orthodox Jewish fathers in Israel. </w:t>
      </w:r>
      <w:r w:rsidRPr="004A5EB0">
        <w:rPr>
          <w:i/>
          <w:iCs/>
          <w:sz w:val="18"/>
          <w:szCs w:val="20"/>
          <w:shd w:val="clear" w:color="auto" w:fill="FFFFFF"/>
        </w:rPr>
        <w:t xml:space="preserve">Journal of Interpersonal Violence. </w:t>
      </w:r>
      <w:r w:rsidRPr="004A5EB0">
        <w:rPr>
          <w:sz w:val="18"/>
          <w:szCs w:val="20"/>
          <w:shd w:val="clear" w:color="auto" w:fill="FFFFFF"/>
        </w:rPr>
        <w:t xml:space="preserve">Advance online publication. </w:t>
      </w:r>
    </w:p>
    <w:p w14:paraId="3DC7FE8A" w14:textId="7BFFDDBD"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doi.org/0886260520908026.</w:t>
      </w:r>
    </w:p>
    <w:p w14:paraId="3C7CD3E4" w14:textId="77777777" w:rsidR="008D653C" w:rsidRPr="004A5EB0" w:rsidRDefault="008D653C" w:rsidP="004A5EB0">
      <w:pPr>
        <w:pStyle w:val="B-kot-3"/>
        <w:keepNext w:val="0"/>
        <w:bidi w:val="0"/>
        <w:spacing w:line="240" w:lineRule="exact"/>
        <w:ind w:left="397" w:hanging="397"/>
        <w:jc w:val="both"/>
        <w:outlineLvl w:val="9"/>
        <w:rPr>
          <w:rFonts w:cs="David"/>
          <w:b w:val="0"/>
          <w:bCs w:val="0"/>
          <w:i/>
          <w:iCs/>
          <w:sz w:val="18"/>
          <w:szCs w:val="20"/>
        </w:rPr>
      </w:pPr>
      <w:proofErr w:type="spellStart"/>
      <w:r w:rsidRPr="004A5EB0">
        <w:rPr>
          <w:rFonts w:cs="David"/>
          <w:b w:val="0"/>
          <w:bCs w:val="0"/>
          <w:sz w:val="18"/>
          <w:szCs w:val="20"/>
        </w:rPr>
        <w:t>Gemara</w:t>
      </w:r>
      <w:proofErr w:type="spellEnd"/>
      <w:r w:rsidRPr="004A5EB0">
        <w:rPr>
          <w:rFonts w:cs="David"/>
          <w:b w:val="0"/>
          <w:bCs w:val="0"/>
          <w:sz w:val="18"/>
          <w:szCs w:val="20"/>
        </w:rPr>
        <w:t xml:space="preserve">, N., &amp; </w:t>
      </w:r>
      <w:proofErr w:type="spellStart"/>
      <w:r w:rsidRPr="004A5EB0">
        <w:rPr>
          <w:rFonts w:cs="David"/>
          <w:b w:val="0"/>
          <w:bCs w:val="0"/>
          <w:sz w:val="18"/>
          <w:szCs w:val="20"/>
        </w:rPr>
        <w:t>Nadan</w:t>
      </w:r>
      <w:proofErr w:type="spellEnd"/>
      <w:r w:rsidRPr="004A5EB0">
        <w:rPr>
          <w:rFonts w:cs="David"/>
          <w:b w:val="0"/>
          <w:bCs w:val="0"/>
          <w:sz w:val="18"/>
          <w:szCs w:val="20"/>
        </w:rPr>
        <w:t xml:space="preserve">, Y., &amp; </w:t>
      </w:r>
      <w:proofErr w:type="spellStart"/>
      <w:r w:rsidRPr="004A5EB0">
        <w:rPr>
          <w:rFonts w:cs="David"/>
          <w:b w:val="0"/>
          <w:bCs w:val="0"/>
          <w:sz w:val="18"/>
          <w:szCs w:val="20"/>
        </w:rPr>
        <w:t>Roer-Strier</w:t>
      </w:r>
      <w:proofErr w:type="spellEnd"/>
      <w:r w:rsidRPr="004A5EB0">
        <w:rPr>
          <w:rFonts w:cs="David"/>
          <w:b w:val="0"/>
          <w:bCs w:val="0"/>
          <w:sz w:val="18"/>
          <w:szCs w:val="20"/>
        </w:rPr>
        <w:t xml:space="preserve">, D. (2020). Social workers’ constructions of child risk and protection in the Ultra-Orthodox Jewish community. </w:t>
      </w:r>
      <w:r w:rsidRPr="004A5EB0">
        <w:rPr>
          <w:rFonts w:cs="David"/>
          <w:b w:val="0"/>
          <w:bCs w:val="0"/>
          <w:i/>
          <w:iCs/>
          <w:sz w:val="18"/>
          <w:szCs w:val="20"/>
        </w:rPr>
        <w:t>Journal of Social Work.</w:t>
      </w:r>
      <w:r w:rsidRPr="004A5EB0">
        <w:rPr>
          <w:rFonts w:cs="David"/>
          <w:b w:val="0"/>
          <w:bCs w:val="0"/>
          <w:sz w:val="18"/>
          <w:szCs w:val="20"/>
        </w:rPr>
        <w:t xml:space="preserve"> Advance online publication. </w:t>
      </w:r>
      <w:r w:rsidRPr="004A5EB0">
        <w:rPr>
          <w:rFonts w:cs="David"/>
          <w:b w:val="0"/>
          <w:bCs w:val="0"/>
          <w:sz w:val="18"/>
          <w:szCs w:val="20"/>
          <w:shd w:val="clear" w:color="auto" w:fill="FFFFFF"/>
        </w:rPr>
        <w:t>doi.org/</w:t>
      </w:r>
      <w:r w:rsidRPr="004A5EB0">
        <w:rPr>
          <w:rFonts w:cs="David"/>
          <w:b w:val="0"/>
          <w:bCs w:val="0"/>
          <w:sz w:val="18"/>
          <w:szCs w:val="20"/>
        </w:rPr>
        <w:t>10.1177/1468017320956966</w:t>
      </w:r>
    </w:p>
    <w:p w14:paraId="1BD9B0EA" w14:textId="77777777" w:rsidR="008D653C" w:rsidRPr="008D653C" w:rsidRDefault="008D653C" w:rsidP="00E67D70">
      <w:pPr>
        <w:bidi w:val="0"/>
        <w:spacing w:after="120"/>
        <w:ind w:left="397" w:hanging="397"/>
        <w:jc w:val="both"/>
        <w:rPr>
          <w:sz w:val="18"/>
          <w:szCs w:val="20"/>
          <w:shd w:val="clear" w:color="auto" w:fill="FFFFFF"/>
        </w:rPr>
      </w:pPr>
      <w:proofErr w:type="spellStart"/>
      <w:r w:rsidRPr="008D653C">
        <w:rPr>
          <w:sz w:val="18"/>
          <w:szCs w:val="20"/>
          <w:shd w:val="clear" w:color="auto" w:fill="FFFFFF"/>
        </w:rPr>
        <w:t>Gergen</w:t>
      </w:r>
      <w:proofErr w:type="spellEnd"/>
      <w:r w:rsidRPr="008D653C">
        <w:rPr>
          <w:sz w:val="18"/>
          <w:szCs w:val="20"/>
          <w:shd w:val="clear" w:color="auto" w:fill="FFFFFF"/>
        </w:rPr>
        <w:t xml:space="preserve">, K. J. (2015). </w:t>
      </w:r>
      <w:r w:rsidRPr="008D653C">
        <w:rPr>
          <w:i/>
          <w:iCs/>
          <w:sz w:val="18"/>
          <w:szCs w:val="20"/>
          <w:shd w:val="clear" w:color="auto" w:fill="FFFFFF"/>
        </w:rPr>
        <w:t>An invitation to social construction</w:t>
      </w:r>
      <w:r w:rsidRPr="008D653C">
        <w:rPr>
          <w:sz w:val="18"/>
          <w:szCs w:val="20"/>
          <w:shd w:val="clear" w:color="auto" w:fill="FFFFFF"/>
        </w:rPr>
        <w:t xml:space="preserve"> (3rd ed.). Sage Publications.</w:t>
      </w:r>
    </w:p>
    <w:p w14:paraId="6EDC180E" w14:textId="77777777" w:rsidR="004A5EB0" w:rsidRDefault="008D653C" w:rsidP="004A5EB0">
      <w:pPr>
        <w:bidi w:val="0"/>
        <w:ind w:left="397" w:hanging="397"/>
        <w:jc w:val="both"/>
        <w:rPr>
          <w:sz w:val="18"/>
          <w:szCs w:val="20"/>
        </w:rPr>
      </w:pPr>
      <w:r w:rsidRPr="008D653C">
        <w:rPr>
          <w:sz w:val="18"/>
          <w:szCs w:val="20"/>
        </w:rPr>
        <w:t xml:space="preserve">Gershoff, E. T. &amp; Grogan-Kaylor, A. (2016). Spanking and child outcomes: </w:t>
      </w:r>
      <w:proofErr w:type="gramStart"/>
      <w:r w:rsidRPr="008D653C">
        <w:rPr>
          <w:sz w:val="18"/>
          <w:szCs w:val="20"/>
        </w:rPr>
        <w:t>Old</w:t>
      </w:r>
      <w:proofErr w:type="gramEnd"/>
      <w:r w:rsidRPr="008D653C">
        <w:rPr>
          <w:sz w:val="18"/>
          <w:szCs w:val="20"/>
        </w:rPr>
        <w:t xml:space="preserve"> </w:t>
      </w:r>
      <w:r w:rsidRPr="004A5EB0">
        <w:rPr>
          <w:spacing w:val="-2"/>
          <w:sz w:val="18"/>
          <w:szCs w:val="20"/>
        </w:rPr>
        <w:t xml:space="preserve">controversies and new meta-analyses. </w:t>
      </w:r>
      <w:r w:rsidRPr="004A5EB0">
        <w:rPr>
          <w:i/>
          <w:iCs/>
          <w:spacing w:val="-2"/>
          <w:sz w:val="18"/>
          <w:szCs w:val="20"/>
        </w:rPr>
        <w:t>Journal of Family Psychology</w:t>
      </w:r>
      <w:r w:rsidRPr="004A5EB0">
        <w:rPr>
          <w:spacing w:val="-2"/>
          <w:sz w:val="18"/>
          <w:szCs w:val="20"/>
        </w:rPr>
        <w:t>,</w:t>
      </w:r>
      <w:r w:rsidRPr="004A5EB0">
        <w:rPr>
          <w:i/>
          <w:iCs/>
          <w:spacing w:val="-2"/>
          <w:sz w:val="18"/>
          <w:szCs w:val="20"/>
        </w:rPr>
        <w:t xml:space="preserve"> 30</w:t>
      </w:r>
      <w:r w:rsidRPr="004A5EB0">
        <w:rPr>
          <w:spacing w:val="-2"/>
          <w:sz w:val="18"/>
          <w:szCs w:val="20"/>
        </w:rPr>
        <w:t>(4), 453-469.</w:t>
      </w:r>
      <w:r w:rsidRPr="008D653C">
        <w:rPr>
          <w:sz w:val="18"/>
          <w:szCs w:val="20"/>
        </w:rPr>
        <w:t xml:space="preserve"> </w:t>
      </w:r>
    </w:p>
    <w:p w14:paraId="0964C7BE" w14:textId="0D0AB55B"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 xml:space="preserve">doi.org/10.1037/fam0000191 </w:t>
      </w:r>
    </w:p>
    <w:p w14:paraId="1CCFBD14" w14:textId="77777777" w:rsidR="004A5EB0" w:rsidRDefault="008D653C" w:rsidP="004A5EB0">
      <w:pPr>
        <w:bidi w:val="0"/>
        <w:ind w:left="397" w:hanging="397"/>
        <w:jc w:val="both"/>
        <w:rPr>
          <w:sz w:val="18"/>
          <w:szCs w:val="20"/>
        </w:rPr>
      </w:pPr>
      <w:r w:rsidRPr="008D653C">
        <w:rPr>
          <w:sz w:val="18"/>
          <w:szCs w:val="20"/>
        </w:rPr>
        <w:t xml:space="preserve">Heinrich, J., Heine, S. J., &amp; </w:t>
      </w:r>
      <w:proofErr w:type="spellStart"/>
      <w:r w:rsidRPr="008D653C">
        <w:rPr>
          <w:sz w:val="18"/>
          <w:szCs w:val="20"/>
        </w:rPr>
        <w:t>Norenzayan</w:t>
      </w:r>
      <w:proofErr w:type="spellEnd"/>
      <w:r w:rsidRPr="008D653C">
        <w:rPr>
          <w:sz w:val="18"/>
          <w:szCs w:val="20"/>
        </w:rPr>
        <w:t xml:space="preserve">, A. (2010). The weirdest people in the world? </w:t>
      </w:r>
      <w:r w:rsidRPr="008D653C">
        <w:rPr>
          <w:i/>
          <w:iCs/>
          <w:sz w:val="18"/>
          <w:szCs w:val="20"/>
        </w:rPr>
        <w:t>Behavioral and Brain Sciences</w:t>
      </w:r>
      <w:r w:rsidRPr="008D653C">
        <w:rPr>
          <w:sz w:val="18"/>
          <w:szCs w:val="20"/>
        </w:rPr>
        <w:t>,</w:t>
      </w:r>
      <w:r w:rsidRPr="008D653C">
        <w:rPr>
          <w:i/>
          <w:iCs/>
          <w:sz w:val="18"/>
          <w:szCs w:val="20"/>
        </w:rPr>
        <w:t xml:space="preserve"> 33</w:t>
      </w:r>
      <w:r w:rsidRPr="008D653C">
        <w:rPr>
          <w:sz w:val="18"/>
          <w:szCs w:val="20"/>
        </w:rPr>
        <w:t xml:space="preserve">(2-3), 61-83. </w:t>
      </w:r>
    </w:p>
    <w:p w14:paraId="7A4F897B" w14:textId="669C7F62"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doi.org/10.1017/S0140525X0999152X</w:t>
      </w:r>
    </w:p>
    <w:p w14:paraId="585A1C22" w14:textId="77777777" w:rsidR="008D653C" w:rsidRPr="008D653C" w:rsidRDefault="008D653C" w:rsidP="00E67D70">
      <w:pPr>
        <w:bidi w:val="0"/>
        <w:spacing w:after="120"/>
        <w:ind w:left="397" w:hanging="397"/>
        <w:jc w:val="both"/>
        <w:rPr>
          <w:sz w:val="18"/>
          <w:szCs w:val="20"/>
          <w:shd w:val="clear" w:color="auto" w:fill="FFFFFF"/>
        </w:rPr>
      </w:pPr>
      <w:r w:rsidRPr="008D653C">
        <w:rPr>
          <w:sz w:val="18"/>
          <w:szCs w:val="20"/>
          <w:shd w:val="clear" w:color="auto" w:fill="FFFFFF"/>
        </w:rPr>
        <w:t xml:space="preserve">Holland, S. (2004). </w:t>
      </w:r>
      <w:r w:rsidRPr="008D653C">
        <w:rPr>
          <w:i/>
          <w:iCs/>
          <w:sz w:val="18"/>
          <w:szCs w:val="20"/>
          <w:shd w:val="clear" w:color="auto" w:fill="FFFFFF"/>
        </w:rPr>
        <w:t>Child and family assessment in social work practice</w:t>
      </w:r>
      <w:r w:rsidRPr="008D653C">
        <w:rPr>
          <w:sz w:val="18"/>
          <w:szCs w:val="20"/>
          <w:shd w:val="clear" w:color="auto" w:fill="FFFFFF"/>
        </w:rPr>
        <w:t xml:space="preserve">. </w:t>
      </w:r>
      <w:r w:rsidRPr="008D653C">
        <w:rPr>
          <w:rStyle w:val="nlmyear"/>
          <w:sz w:val="18"/>
          <w:szCs w:val="20"/>
          <w:shd w:val="clear" w:color="auto" w:fill="FFFFFF"/>
        </w:rPr>
        <w:t>Sage Publications</w:t>
      </w:r>
      <w:r w:rsidRPr="008D653C">
        <w:rPr>
          <w:sz w:val="18"/>
          <w:szCs w:val="20"/>
          <w:shd w:val="clear" w:color="auto" w:fill="FFFFFF"/>
        </w:rPr>
        <w:t>.</w:t>
      </w:r>
    </w:p>
    <w:p w14:paraId="13F62649" w14:textId="77777777" w:rsidR="008D653C" w:rsidRPr="008D653C" w:rsidRDefault="008D653C" w:rsidP="00E67D70">
      <w:pPr>
        <w:bidi w:val="0"/>
        <w:spacing w:after="120"/>
        <w:ind w:left="397" w:hanging="397"/>
        <w:jc w:val="both"/>
        <w:rPr>
          <w:sz w:val="18"/>
          <w:szCs w:val="20"/>
        </w:rPr>
      </w:pPr>
      <w:r w:rsidRPr="008D653C">
        <w:rPr>
          <w:sz w:val="18"/>
          <w:szCs w:val="20"/>
        </w:rPr>
        <w:t xml:space="preserve">Houston, S. (2017). Towards a critical ecology of child development in social work: Aligning the theories of Bronfenbrenner and Bourdieu. </w:t>
      </w:r>
      <w:r w:rsidRPr="008D653C">
        <w:rPr>
          <w:i/>
          <w:iCs/>
          <w:sz w:val="18"/>
          <w:szCs w:val="20"/>
        </w:rPr>
        <w:t>Families, Relationships and Societies</w:t>
      </w:r>
      <w:r w:rsidRPr="008D653C">
        <w:rPr>
          <w:sz w:val="18"/>
          <w:szCs w:val="20"/>
        </w:rPr>
        <w:t>,</w:t>
      </w:r>
      <w:r w:rsidRPr="008D653C">
        <w:rPr>
          <w:i/>
          <w:iCs/>
          <w:sz w:val="18"/>
          <w:szCs w:val="20"/>
        </w:rPr>
        <w:t xml:space="preserve"> 6</w:t>
      </w:r>
      <w:r w:rsidRPr="008D653C">
        <w:rPr>
          <w:sz w:val="18"/>
          <w:szCs w:val="20"/>
        </w:rPr>
        <w:t>(1), 53-69.</w:t>
      </w:r>
      <w:r w:rsidRPr="008D653C">
        <w:rPr>
          <w:sz w:val="18"/>
          <w:szCs w:val="20"/>
          <w:rtl/>
        </w:rPr>
        <w:t>‏</w:t>
      </w:r>
      <w:r w:rsidRPr="008D653C">
        <w:rPr>
          <w:sz w:val="18"/>
          <w:szCs w:val="20"/>
        </w:rPr>
        <w:t xml:space="preserve"> </w:t>
      </w:r>
      <w:r w:rsidRPr="008D653C">
        <w:rPr>
          <w:sz w:val="18"/>
          <w:szCs w:val="20"/>
          <w:shd w:val="clear" w:color="auto" w:fill="FFFFFF"/>
        </w:rPr>
        <w:t>doi.org/</w:t>
      </w:r>
      <w:r w:rsidRPr="008D653C">
        <w:rPr>
          <w:sz w:val="18"/>
          <w:szCs w:val="20"/>
        </w:rPr>
        <w:t>10.1332/204674315X14281321359847</w:t>
      </w:r>
    </w:p>
    <w:p w14:paraId="65278181" w14:textId="77777777" w:rsidR="008D653C" w:rsidRPr="008D653C" w:rsidRDefault="008D653C" w:rsidP="00E67D70">
      <w:pPr>
        <w:bidi w:val="0"/>
        <w:spacing w:after="120"/>
        <w:ind w:left="397" w:hanging="397"/>
        <w:jc w:val="both"/>
        <w:rPr>
          <w:sz w:val="18"/>
          <w:szCs w:val="20"/>
          <w:shd w:val="clear" w:color="auto" w:fill="FFFFFF"/>
        </w:rPr>
      </w:pPr>
      <w:r w:rsidRPr="008D653C">
        <w:rPr>
          <w:sz w:val="18"/>
          <w:szCs w:val="20"/>
          <w:shd w:val="clear" w:color="auto" w:fill="FFFFFF"/>
        </w:rPr>
        <w:t xml:space="preserve">Kagan, M., </w:t>
      </w:r>
      <w:proofErr w:type="spellStart"/>
      <w:r w:rsidRPr="008D653C">
        <w:rPr>
          <w:sz w:val="18"/>
          <w:szCs w:val="20"/>
          <w:shd w:val="clear" w:color="auto" w:fill="FFFFFF"/>
        </w:rPr>
        <w:t>Orkibi</w:t>
      </w:r>
      <w:proofErr w:type="spellEnd"/>
      <w:r w:rsidRPr="008D653C">
        <w:rPr>
          <w:sz w:val="18"/>
          <w:szCs w:val="20"/>
          <w:shd w:val="clear" w:color="auto" w:fill="FFFFFF"/>
        </w:rPr>
        <w:t xml:space="preserve">, E., &amp; </w:t>
      </w:r>
      <w:proofErr w:type="spellStart"/>
      <w:r w:rsidRPr="008D653C">
        <w:rPr>
          <w:sz w:val="18"/>
          <w:szCs w:val="20"/>
          <w:shd w:val="clear" w:color="auto" w:fill="FFFFFF"/>
        </w:rPr>
        <w:t>Zychlinski</w:t>
      </w:r>
      <w:proofErr w:type="spellEnd"/>
      <w:r w:rsidRPr="008D653C">
        <w:rPr>
          <w:sz w:val="18"/>
          <w:szCs w:val="20"/>
          <w:shd w:val="clear" w:color="auto" w:fill="FFFFFF"/>
        </w:rPr>
        <w:t xml:space="preserve">, E. (2018). 'Wicked', 'deceptive', and 'blood sucking': Cyberbullying against social workers in Israel as claims-making activity. </w:t>
      </w:r>
      <w:r w:rsidRPr="008D653C">
        <w:rPr>
          <w:i/>
          <w:iCs/>
          <w:sz w:val="18"/>
          <w:szCs w:val="20"/>
          <w:shd w:val="clear" w:color="auto" w:fill="FFFFFF"/>
        </w:rPr>
        <w:t>Qualitative Social Work</w:t>
      </w:r>
      <w:r w:rsidRPr="008D653C">
        <w:rPr>
          <w:sz w:val="18"/>
          <w:szCs w:val="20"/>
          <w:shd w:val="clear" w:color="auto" w:fill="FFFFFF"/>
        </w:rPr>
        <w:t>,</w:t>
      </w:r>
      <w:r w:rsidRPr="008D653C">
        <w:rPr>
          <w:i/>
          <w:iCs/>
          <w:sz w:val="18"/>
          <w:szCs w:val="20"/>
          <w:shd w:val="clear" w:color="auto" w:fill="FFFFFF"/>
        </w:rPr>
        <w:t xml:space="preserve"> 17</w:t>
      </w:r>
      <w:r w:rsidRPr="008D653C">
        <w:rPr>
          <w:sz w:val="18"/>
          <w:szCs w:val="20"/>
          <w:shd w:val="clear" w:color="auto" w:fill="FFFFFF"/>
        </w:rPr>
        <w:t>(6), 778-794. doi.org/10.1177/1473325017694952</w:t>
      </w:r>
    </w:p>
    <w:p w14:paraId="16ED3172" w14:textId="77777777" w:rsidR="004A5EB0" w:rsidRDefault="008D653C" w:rsidP="004A5EB0">
      <w:pPr>
        <w:bidi w:val="0"/>
        <w:ind w:left="397" w:hanging="397"/>
        <w:jc w:val="both"/>
        <w:rPr>
          <w:sz w:val="18"/>
          <w:szCs w:val="20"/>
        </w:rPr>
      </w:pPr>
      <w:proofErr w:type="spellStart"/>
      <w:r w:rsidRPr="008D653C">
        <w:rPr>
          <w:sz w:val="18"/>
          <w:szCs w:val="20"/>
        </w:rPr>
        <w:t>Keddell</w:t>
      </w:r>
      <w:proofErr w:type="spellEnd"/>
      <w:r w:rsidRPr="008D653C">
        <w:rPr>
          <w:sz w:val="18"/>
          <w:szCs w:val="20"/>
        </w:rPr>
        <w:t xml:space="preserve">, E. (2017). Interpreting children’s best interests: Needs, attachment, and decision-making. </w:t>
      </w:r>
      <w:r w:rsidRPr="008D653C">
        <w:rPr>
          <w:i/>
          <w:iCs/>
          <w:sz w:val="18"/>
          <w:szCs w:val="20"/>
        </w:rPr>
        <w:t>Journal of Social Work</w:t>
      </w:r>
      <w:r w:rsidRPr="008D653C">
        <w:rPr>
          <w:sz w:val="18"/>
          <w:szCs w:val="20"/>
        </w:rPr>
        <w:t>,</w:t>
      </w:r>
      <w:r w:rsidRPr="008D653C">
        <w:rPr>
          <w:i/>
          <w:iCs/>
          <w:sz w:val="18"/>
          <w:szCs w:val="20"/>
        </w:rPr>
        <w:t xml:space="preserve"> 17</w:t>
      </w:r>
      <w:r w:rsidRPr="008D653C">
        <w:rPr>
          <w:sz w:val="18"/>
          <w:szCs w:val="20"/>
        </w:rPr>
        <w:t xml:space="preserve">(3), 324-342. </w:t>
      </w:r>
    </w:p>
    <w:p w14:paraId="37A01A8A" w14:textId="3ABD9AEC"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https://doi.org/10.1177/1468017316644694</w:t>
      </w:r>
    </w:p>
    <w:p w14:paraId="1426F075" w14:textId="77777777" w:rsidR="008D653C" w:rsidRPr="008D653C" w:rsidRDefault="008D653C" w:rsidP="00E67D70">
      <w:pPr>
        <w:bidi w:val="0"/>
        <w:spacing w:after="120"/>
        <w:ind w:left="397" w:hanging="397"/>
        <w:jc w:val="both"/>
        <w:rPr>
          <w:sz w:val="18"/>
          <w:szCs w:val="20"/>
        </w:rPr>
      </w:pPr>
      <w:bookmarkStart w:id="11" w:name="_Hlk36832200"/>
      <w:proofErr w:type="spellStart"/>
      <w:r w:rsidRPr="008D653C">
        <w:rPr>
          <w:sz w:val="18"/>
          <w:szCs w:val="20"/>
        </w:rPr>
        <w:lastRenderedPageBreak/>
        <w:t>Keesing</w:t>
      </w:r>
      <w:proofErr w:type="spellEnd"/>
      <w:r w:rsidRPr="008D653C">
        <w:rPr>
          <w:sz w:val="18"/>
          <w:szCs w:val="20"/>
        </w:rPr>
        <w:t xml:space="preserve">, R., </w:t>
      </w:r>
      <w:proofErr w:type="spellStart"/>
      <w:r w:rsidRPr="008D653C">
        <w:rPr>
          <w:sz w:val="18"/>
          <w:szCs w:val="20"/>
        </w:rPr>
        <w:t>Gemara</w:t>
      </w:r>
      <w:proofErr w:type="spellEnd"/>
      <w:r w:rsidRPr="008D653C">
        <w:rPr>
          <w:sz w:val="18"/>
          <w:szCs w:val="20"/>
        </w:rPr>
        <w:t xml:space="preserve">, N., &amp; Pollak, M. </w:t>
      </w:r>
      <w:bookmarkEnd w:id="11"/>
      <w:r w:rsidRPr="008D653C">
        <w:rPr>
          <w:sz w:val="18"/>
          <w:szCs w:val="20"/>
        </w:rPr>
        <w:t xml:space="preserve">(2020). Parental and professional perspectives of child risk and protection in Israel’s Ultra-Orthodox community. In D. </w:t>
      </w:r>
      <w:proofErr w:type="spellStart"/>
      <w:r w:rsidRPr="008D653C">
        <w:rPr>
          <w:sz w:val="18"/>
          <w:szCs w:val="20"/>
        </w:rPr>
        <w:t>Roer-Strier</w:t>
      </w:r>
      <w:proofErr w:type="spellEnd"/>
      <w:r w:rsidRPr="008D653C">
        <w:rPr>
          <w:sz w:val="18"/>
          <w:szCs w:val="20"/>
        </w:rPr>
        <w:t xml:space="preserve"> &amp; Y. </w:t>
      </w:r>
      <w:proofErr w:type="spellStart"/>
      <w:r w:rsidRPr="008D653C">
        <w:rPr>
          <w:sz w:val="18"/>
          <w:szCs w:val="20"/>
        </w:rPr>
        <w:t>Nadan</w:t>
      </w:r>
      <w:proofErr w:type="spellEnd"/>
      <w:r w:rsidRPr="008D653C">
        <w:rPr>
          <w:sz w:val="18"/>
          <w:szCs w:val="20"/>
        </w:rPr>
        <w:t xml:space="preserve"> (Eds.) </w:t>
      </w:r>
      <w:r w:rsidRPr="008D653C">
        <w:rPr>
          <w:i/>
          <w:iCs/>
          <w:sz w:val="18"/>
          <w:szCs w:val="20"/>
        </w:rPr>
        <w:t>Context-informed perspectives of child risk and protection in Israel</w:t>
      </w:r>
      <w:r w:rsidRPr="008D653C">
        <w:rPr>
          <w:sz w:val="18"/>
          <w:szCs w:val="20"/>
        </w:rPr>
        <w:t xml:space="preserve"> (pp. 81-104)</w:t>
      </w:r>
      <w:r w:rsidRPr="008D653C">
        <w:rPr>
          <w:i/>
          <w:iCs/>
          <w:sz w:val="18"/>
          <w:szCs w:val="20"/>
        </w:rPr>
        <w:t>.</w:t>
      </w:r>
      <w:r w:rsidRPr="008D653C">
        <w:rPr>
          <w:sz w:val="18"/>
          <w:szCs w:val="20"/>
        </w:rPr>
        <w:t xml:space="preserve"> Springer.</w:t>
      </w:r>
    </w:p>
    <w:p w14:paraId="34E3878E" w14:textId="77777777" w:rsidR="008D653C" w:rsidRPr="008D653C" w:rsidRDefault="008D653C" w:rsidP="00E67D70">
      <w:pPr>
        <w:bidi w:val="0"/>
        <w:spacing w:after="120"/>
        <w:ind w:left="397" w:hanging="397"/>
        <w:jc w:val="both"/>
        <w:rPr>
          <w:sz w:val="18"/>
          <w:szCs w:val="20"/>
        </w:rPr>
      </w:pPr>
      <w:r w:rsidRPr="008D653C">
        <w:rPr>
          <w:sz w:val="18"/>
          <w:szCs w:val="20"/>
        </w:rPr>
        <w:t xml:space="preserve">Korbin, J. E. &amp; </w:t>
      </w:r>
      <w:proofErr w:type="spellStart"/>
      <w:r w:rsidRPr="008D653C">
        <w:rPr>
          <w:sz w:val="18"/>
          <w:szCs w:val="20"/>
        </w:rPr>
        <w:t>Spilsbury</w:t>
      </w:r>
      <w:proofErr w:type="spellEnd"/>
      <w:r w:rsidRPr="008D653C">
        <w:rPr>
          <w:sz w:val="18"/>
          <w:szCs w:val="20"/>
        </w:rPr>
        <w:t xml:space="preserve">, J. S. (1999). Cultural competence and child neglect. In H. Dubowitz (Ed.), </w:t>
      </w:r>
      <w:r w:rsidRPr="008D653C">
        <w:rPr>
          <w:i/>
          <w:iCs/>
          <w:sz w:val="18"/>
          <w:szCs w:val="20"/>
        </w:rPr>
        <w:t>Neglected children: Research, practice and policy</w:t>
      </w:r>
      <w:r w:rsidRPr="008D653C">
        <w:rPr>
          <w:sz w:val="18"/>
          <w:szCs w:val="20"/>
        </w:rPr>
        <w:t xml:space="preserve"> (pp. 69-88). Sage Publications.</w:t>
      </w:r>
    </w:p>
    <w:p w14:paraId="17D41E44" w14:textId="77777777" w:rsidR="008D653C" w:rsidRPr="008D653C" w:rsidRDefault="008D653C" w:rsidP="00E67D70">
      <w:pPr>
        <w:bidi w:val="0"/>
        <w:spacing w:after="120"/>
        <w:ind w:left="397" w:hanging="397"/>
        <w:jc w:val="both"/>
        <w:rPr>
          <w:sz w:val="18"/>
          <w:szCs w:val="20"/>
        </w:rPr>
      </w:pPr>
      <w:r w:rsidRPr="008D653C">
        <w:rPr>
          <w:sz w:val="18"/>
          <w:szCs w:val="20"/>
        </w:rPr>
        <w:t xml:space="preserve">Kovner, B. (2020). Children’s rights, protection and access to justice: The case of Palestinian children in East Jerusalem. In D. </w:t>
      </w:r>
      <w:proofErr w:type="spellStart"/>
      <w:r w:rsidRPr="008D653C">
        <w:rPr>
          <w:sz w:val="18"/>
          <w:szCs w:val="20"/>
        </w:rPr>
        <w:t>Roer-Strier</w:t>
      </w:r>
      <w:proofErr w:type="spellEnd"/>
      <w:r w:rsidRPr="008D653C">
        <w:rPr>
          <w:sz w:val="18"/>
          <w:szCs w:val="20"/>
        </w:rPr>
        <w:t xml:space="preserve"> &amp; Y. </w:t>
      </w:r>
      <w:proofErr w:type="spellStart"/>
      <w:r w:rsidRPr="008D653C">
        <w:rPr>
          <w:sz w:val="18"/>
          <w:szCs w:val="20"/>
        </w:rPr>
        <w:t>Nadan</w:t>
      </w:r>
      <w:proofErr w:type="spellEnd"/>
      <w:r w:rsidRPr="008D653C">
        <w:rPr>
          <w:sz w:val="18"/>
          <w:szCs w:val="20"/>
        </w:rPr>
        <w:t xml:space="preserve"> (Eds.), </w:t>
      </w:r>
      <w:r w:rsidRPr="008D653C">
        <w:rPr>
          <w:i/>
          <w:iCs/>
          <w:sz w:val="18"/>
          <w:szCs w:val="20"/>
        </w:rPr>
        <w:t xml:space="preserve">Context-informed perspectives of child risk and protection in Israel </w:t>
      </w:r>
      <w:r w:rsidRPr="008D653C">
        <w:rPr>
          <w:sz w:val="18"/>
          <w:szCs w:val="20"/>
        </w:rPr>
        <w:t>(pp. 241-262)</w:t>
      </w:r>
      <w:r w:rsidRPr="008D653C">
        <w:rPr>
          <w:i/>
          <w:iCs/>
          <w:sz w:val="18"/>
          <w:szCs w:val="20"/>
        </w:rPr>
        <w:t>.</w:t>
      </w:r>
      <w:r w:rsidRPr="008D653C">
        <w:rPr>
          <w:sz w:val="18"/>
          <w:szCs w:val="20"/>
        </w:rPr>
        <w:t xml:space="preserve"> Springer.</w:t>
      </w:r>
    </w:p>
    <w:p w14:paraId="3F99DBB6" w14:textId="77777777" w:rsidR="008D653C" w:rsidRPr="008D653C" w:rsidRDefault="008D653C" w:rsidP="00E67D70">
      <w:pPr>
        <w:bidi w:val="0"/>
        <w:spacing w:after="120"/>
        <w:ind w:left="397" w:hanging="397"/>
        <w:jc w:val="both"/>
        <w:rPr>
          <w:sz w:val="18"/>
          <w:szCs w:val="20"/>
        </w:rPr>
      </w:pPr>
      <w:r w:rsidRPr="008D653C">
        <w:rPr>
          <w:sz w:val="18"/>
          <w:szCs w:val="20"/>
        </w:rPr>
        <w:t xml:space="preserve">Kovner, B. &amp; </w:t>
      </w:r>
      <w:proofErr w:type="spellStart"/>
      <w:r w:rsidRPr="008D653C">
        <w:rPr>
          <w:sz w:val="18"/>
          <w:szCs w:val="20"/>
        </w:rPr>
        <w:t>Shalhoub</w:t>
      </w:r>
      <w:proofErr w:type="spellEnd"/>
      <w:r w:rsidRPr="008D653C">
        <w:rPr>
          <w:sz w:val="18"/>
          <w:szCs w:val="20"/>
        </w:rPr>
        <w:t xml:space="preserve">-Kevorkian, N. (2018). Child arrest, settler colonialism, and the Israeli juvenile system: A case study of occupied East Jerusalem. </w:t>
      </w:r>
      <w:r w:rsidRPr="008D653C">
        <w:rPr>
          <w:i/>
          <w:iCs/>
          <w:sz w:val="18"/>
          <w:szCs w:val="20"/>
        </w:rPr>
        <w:t>The British Journal of Criminology</w:t>
      </w:r>
      <w:r w:rsidRPr="008D653C">
        <w:rPr>
          <w:sz w:val="18"/>
          <w:szCs w:val="20"/>
        </w:rPr>
        <w:t>,</w:t>
      </w:r>
      <w:r w:rsidRPr="008D653C">
        <w:rPr>
          <w:i/>
          <w:iCs/>
          <w:sz w:val="18"/>
          <w:szCs w:val="20"/>
        </w:rPr>
        <w:t xml:space="preserve"> 58</w:t>
      </w:r>
      <w:r w:rsidRPr="008D653C">
        <w:rPr>
          <w:sz w:val="18"/>
          <w:szCs w:val="20"/>
        </w:rPr>
        <w:t xml:space="preserve">(3), 709-729. </w:t>
      </w:r>
      <w:r w:rsidRPr="008D653C">
        <w:rPr>
          <w:sz w:val="18"/>
          <w:szCs w:val="20"/>
          <w:shd w:val="clear" w:color="auto" w:fill="FFFFFF"/>
        </w:rPr>
        <w:t>doi.org/</w:t>
      </w:r>
      <w:r w:rsidRPr="008D653C">
        <w:rPr>
          <w:sz w:val="18"/>
          <w:szCs w:val="20"/>
        </w:rPr>
        <w:t>10.1093/</w:t>
      </w:r>
      <w:proofErr w:type="spellStart"/>
      <w:r w:rsidRPr="008D653C">
        <w:rPr>
          <w:sz w:val="18"/>
          <w:szCs w:val="20"/>
        </w:rPr>
        <w:t>bjc</w:t>
      </w:r>
      <w:proofErr w:type="spellEnd"/>
      <w:r w:rsidRPr="008D653C">
        <w:rPr>
          <w:sz w:val="18"/>
          <w:szCs w:val="20"/>
        </w:rPr>
        <w:t>/azx059</w:t>
      </w:r>
    </w:p>
    <w:p w14:paraId="0C8EBA20" w14:textId="77777777" w:rsidR="008D653C" w:rsidRPr="008D653C" w:rsidRDefault="008D653C" w:rsidP="00E67D70">
      <w:pPr>
        <w:bidi w:val="0"/>
        <w:spacing w:after="120"/>
        <w:ind w:left="397" w:hanging="397"/>
        <w:jc w:val="both"/>
        <w:rPr>
          <w:sz w:val="18"/>
          <w:szCs w:val="20"/>
        </w:rPr>
      </w:pPr>
      <w:r w:rsidRPr="008D653C">
        <w:rPr>
          <w:sz w:val="18"/>
          <w:szCs w:val="20"/>
        </w:rPr>
        <w:t xml:space="preserve">Levine, R. A. (2017) Challenging developmental doctrines through cross-cultural research. In J. </w:t>
      </w:r>
      <w:proofErr w:type="spellStart"/>
      <w:r w:rsidRPr="008D653C">
        <w:rPr>
          <w:sz w:val="18"/>
          <w:szCs w:val="20"/>
        </w:rPr>
        <w:t>Cassaniti</w:t>
      </w:r>
      <w:proofErr w:type="spellEnd"/>
      <w:r w:rsidRPr="008D653C">
        <w:rPr>
          <w:sz w:val="18"/>
          <w:szCs w:val="20"/>
        </w:rPr>
        <w:t xml:space="preserve"> &amp; U. Menon (Eds.), </w:t>
      </w:r>
      <w:r w:rsidRPr="008D653C">
        <w:rPr>
          <w:i/>
          <w:iCs/>
          <w:sz w:val="18"/>
          <w:szCs w:val="20"/>
        </w:rPr>
        <w:t xml:space="preserve">Universalism without uniformity: Explorations in mind and culture </w:t>
      </w:r>
      <w:r w:rsidRPr="008D653C">
        <w:rPr>
          <w:sz w:val="18"/>
          <w:szCs w:val="20"/>
        </w:rPr>
        <w:t>(pp. 23-31). Chicago: University of Chicago Press.</w:t>
      </w:r>
    </w:p>
    <w:p w14:paraId="5A870B68" w14:textId="77777777" w:rsidR="008D653C" w:rsidRPr="008D653C" w:rsidRDefault="008D653C" w:rsidP="00E67D70">
      <w:pPr>
        <w:bidi w:val="0"/>
        <w:spacing w:after="120"/>
        <w:ind w:left="397" w:hanging="397"/>
        <w:jc w:val="both"/>
        <w:rPr>
          <w:sz w:val="18"/>
          <w:szCs w:val="20"/>
        </w:rPr>
      </w:pPr>
      <w:r w:rsidRPr="008D653C">
        <w:rPr>
          <w:sz w:val="18"/>
          <w:szCs w:val="20"/>
        </w:rPr>
        <w:t xml:space="preserve">Marchetti, R., Wilson, R. H., &amp; Dunham, M. (2016). Academic achievement and extracurricular school activities of at-risk high school students. </w:t>
      </w:r>
      <w:r w:rsidRPr="008D653C">
        <w:rPr>
          <w:i/>
          <w:iCs/>
          <w:sz w:val="18"/>
          <w:szCs w:val="20"/>
        </w:rPr>
        <w:t>Educational Research Quarterly</w:t>
      </w:r>
      <w:r w:rsidRPr="008D653C">
        <w:rPr>
          <w:sz w:val="18"/>
          <w:szCs w:val="20"/>
        </w:rPr>
        <w:t>,</w:t>
      </w:r>
      <w:r w:rsidRPr="008D653C">
        <w:rPr>
          <w:i/>
          <w:iCs/>
          <w:sz w:val="18"/>
          <w:szCs w:val="20"/>
        </w:rPr>
        <w:t xml:space="preserve"> 39</w:t>
      </w:r>
      <w:r w:rsidRPr="008D653C">
        <w:rPr>
          <w:sz w:val="18"/>
          <w:szCs w:val="20"/>
        </w:rPr>
        <w:t>(4), 3-20.</w:t>
      </w:r>
      <w:r w:rsidRPr="008D653C">
        <w:rPr>
          <w:sz w:val="18"/>
          <w:szCs w:val="20"/>
          <w:rtl/>
        </w:rPr>
        <w:t>‏</w:t>
      </w:r>
    </w:p>
    <w:p w14:paraId="09CD6DF3" w14:textId="77777777" w:rsidR="008D653C" w:rsidRPr="008D653C" w:rsidRDefault="008D653C" w:rsidP="00E67D70">
      <w:pPr>
        <w:bidi w:val="0"/>
        <w:spacing w:after="120"/>
        <w:ind w:left="397" w:hanging="397"/>
        <w:jc w:val="both"/>
        <w:rPr>
          <w:sz w:val="18"/>
          <w:szCs w:val="20"/>
        </w:rPr>
      </w:pPr>
      <w:proofErr w:type="spellStart"/>
      <w:r w:rsidRPr="008D653C">
        <w:rPr>
          <w:sz w:val="18"/>
          <w:szCs w:val="20"/>
        </w:rPr>
        <w:t>Marey‐Sarwan</w:t>
      </w:r>
      <w:proofErr w:type="spellEnd"/>
      <w:r w:rsidRPr="008D653C">
        <w:rPr>
          <w:sz w:val="18"/>
          <w:szCs w:val="20"/>
        </w:rPr>
        <w:t xml:space="preserve">, I. (2020). ‘Seeing through their eyes’: Towards understanding risk and protection perspectives of young Bedouin children in the </w:t>
      </w:r>
      <w:proofErr w:type="spellStart"/>
      <w:r w:rsidRPr="008D653C">
        <w:rPr>
          <w:sz w:val="18"/>
          <w:szCs w:val="20"/>
        </w:rPr>
        <w:t>unrecognised</w:t>
      </w:r>
      <w:proofErr w:type="spellEnd"/>
      <w:r w:rsidRPr="008D653C">
        <w:rPr>
          <w:sz w:val="18"/>
          <w:szCs w:val="20"/>
        </w:rPr>
        <w:t xml:space="preserve"> villages of the </w:t>
      </w:r>
      <w:proofErr w:type="spellStart"/>
      <w:r w:rsidRPr="008D653C">
        <w:rPr>
          <w:sz w:val="18"/>
          <w:szCs w:val="20"/>
        </w:rPr>
        <w:t>Naqab</w:t>
      </w:r>
      <w:proofErr w:type="spellEnd"/>
      <w:r w:rsidRPr="008D653C">
        <w:rPr>
          <w:sz w:val="18"/>
          <w:szCs w:val="20"/>
        </w:rPr>
        <w:t xml:space="preserve">. </w:t>
      </w:r>
      <w:r w:rsidRPr="008D653C">
        <w:rPr>
          <w:i/>
          <w:iCs/>
          <w:sz w:val="18"/>
          <w:szCs w:val="20"/>
        </w:rPr>
        <w:t>Children &amp; Society</w:t>
      </w:r>
      <w:r w:rsidRPr="008D653C">
        <w:rPr>
          <w:sz w:val="18"/>
          <w:szCs w:val="20"/>
        </w:rPr>
        <w:t>,</w:t>
      </w:r>
      <w:r w:rsidRPr="008D653C">
        <w:rPr>
          <w:i/>
          <w:iCs/>
          <w:sz w:val="18"/>
          <w:szCs w:val="20"/>
        </w:rPr>
        <w:t xml:space="preserve"> 34</w:t>
      </w:r>
      <w:r w:rsidRPr="008D653C">
        <w:rPr>
          <w:sz w:val="18"/>
          <w:szCs w:val="20"/>
        </w:rPr>
        <w:t xml:space="preserve">(2), 151-169. </w:t>
      </w:r>
      <w:r w:rsidRPr="008D653C">
        <w:rPr>
          <w:sz w:val="18"/>
          <w:szCs w:val="20"/>
          <w:shd w:val="clear" w:color="auto" w:fill="FFFFFF"/>
        </w:rPr>
        <w:t>doi.org/</w:t>
      </w:r>
      <w:r w:rsidRPr="008D653C">
        <w:rPr>
          <w:sz w:val="18"/>
          <w:szCs w:val="20"/>
        </w:rPr>
        <w:t>10.1111/chso.12364</w:t>
      </w:r>
    </w:p>
    <w:p w14:paraId="28FFBC99" w14:textId="77777777" w:rsidR="008D653C" w:rsidRPr="008D653C" w:rsidRDefault="008D653C" w:rsidP="00E67D70">
      <w:pPr>
        <w:bidi w:val="0"/>
        <w:spacing w:after="120"/>
        <w:ind w:left="397" w:hanging="397"/>
        <w:jc w:val="both"/>
        <w:rPr>
          <w:sz w:val="18"/>
          <w:szCs w:val="20"/>
        </w:rPr>
      </w:pPr>
      <w:bookmarkStart w:id="12" w:name="_Hlk36832281"/>
      <w:proofErr w:type="spellStart"/>
      <w:r w:rsidRPr="008D653C">
        <w:rPr>
          <w:sz w:val="18"/>
          <w:szCs w:val="20"/>
        </w:rPr>
        <w:t>Marey-Sarwan</w:t>
      </w:r>
      <w:proofErr w:type="spellEnd"/>
      <w:r w:rsidRPr="008D653C">
        <w:rPr>
          <w:sz w:val="18"/>
          <w:szCs w:val="20"/>
        </w:rPr>
        <w:t>, I. &amp; Meir, G. (2020</w:t>
      </w:r>
      <w:bookmarkEnd w:id="12"/>
      <w:r w:rsidRPr="008D653C">
        <w:rPr>
          <w:sz w:val="18"/>
          <w:szCs w:val="20"/>
        </w:rPr>
        <w:t xml:space="preserve">). Parental and professional perspectives of child risk and protection in unrecognized Bedouin villages in the </w:t>
      </w:r>
      <w:proofErr w:type="spellStart"/>
      <w:r w:rsidRPr="008D653C">
        <w:rPr>
          <w:sz w:val="18"/>
          <w:szCs w:val="20"/>
        </w:rPr>
        <w:t>Naqab</w:t>
      </w:r>
      <w:proofErr w:type="spellEnd"/>
      <w:r w:rsidRPr="008D653C">
        <w:rPr>
          <w:sz w:val="18"/>
          <w:szCs w:val="20"/>
        </w:rPr>
        <w:t xml:space="preserve">: An intersectionality-informed approach. In D. </w:t>
      </w:r>
      <w:proofErr w:type="spellStart"/>
      <w:r w:rsidRPr="008D653C">
        <w:rPr>
          <w:sz w:val="18"/>
          <w:szCs w:val="20"/>
        </w:rPr>
        <w:t>Roer-Strier</w:t>
      </w:r>
      <w:proofErr w:type="spellEnd"/>
      <w:r w:rsidRPr="008D653C">
        <w:rPr>
          <w:sz w:val="18"/>
          <w:szCs w:val="20"/>
        </w:rPr>
        <w:t xml:space="preserve"> &amp; Y. </w:t>
      </w:r>
      <w:proofErr w:type="spellStart"/>
      <w:r w:rsidRPr="008D653C">
        <w:rPr>
          <w:sz w:val="18"/>
          <w:szCs w:val="20"/>
        </w:rPr>
        <w:t>Nadan</w:t>
      </w:r>
      <w:proofErr w:type="spellEnd"/>
      <w:r w:rsidRPr="008D653C">
        <w:rPr>
          <w:sz w:val="18"/>
          <w:szCs w:val="20"/>
        </w:rPr>
        <w:t xml:space="preserve"> (Eds.) </w:t>
      </w:r>
      <w:r w:rsidRPr="008D653C">
        <w:rPr>
          <w:i/>
          <w:iCs/>
          <w:sz w:val="18"/>
          <w:szCs w:val="20"/>
        </w:rPr>
        <w:t>Context-informed perspectives of child risk and protection in Israel</w:t>
      </w:r>
      <w:r w:rsidRPr="008D653C">
        <w:rPr>
          <w:sz w:val="18"/>
          <w:szCs w:val="20"/>
        </w:rPr>
        <w:t xml:space="preserve"> (pp. 149-170)</w:t>
      </w:r>
      <w:r w:rsidRPr="008D653C">
        <w:rPr>
          <w:i/>
          <w:iCs/>
          <w:sz w:val="18"/>
          <w:szCs w:val="20"/>
        </w:rPr>
        <w:t>.</w:t>
      </w:r>
      <w:r w:rsidRPr="008D653C">
        <w:rPr>
          <w:sz w:val="18"/>
          <w:szCs w:val="20"/>
        </w:rPr>
        <w:t xml:space="preserve"> Springer.</w:t>
      </w:r>
    </w:p>
    <w:p w14:paraId="75F311B2" w14:textId="77777777" w:rsidR="008D653C" w:rsidRPr="008D653C" w:rsidRDefault="008D653C" w:rsidP="00E67D70">
      <w:pPr>
        <w:bidi w:val="0"/>
        <w:spacing w:after="120"/>
        <w:ind w:left="397" w:hanging="397"/>
        <w:jc w:val="both"/>
        <w:rPr>
          <w:sz w:val="18"/>
          <w:szCs w:val="20"/>
          <w:shd w:val="clear" w:color="auto" w:fill="FFFFFF"/>
        </w:rPr>
      </w:pPr>
      <w:proofErr w:type="spellStart"/>
      <w:r w:rsidRPr="008D653C">
        <w:rPr>
          <w:sz w:val="18"/>
          <w:szCs w:val="20"/>
          <w:shd w:val="clear" w:color="auto" w:fill="FFFFFF"/>
        </w:rPr>
        <w:t>Marey-Sarwan</w:t>
      </w:r>
      <w:proofErr w:type="spellEnd"/>
      <w:r w:rsidRPr="008D653C">
        <w:rPr>
          <w:sz w:val="18"/>
          <w:szCs w:val="20"/>
          <w:shd w:val="clear" w:color="auto" w:fill="FFFFFF"/>
        </w:rPr>
        <w:t xml:space="preserve">, I. &amp; </w:t>
      </w:r>
      <w:proofErr w:type="spellStart"/>
      <w:r w:rsidRPr="008D653C">
        <w:rPr>
          <w:sz w:val="18"/>
          <w:szCs w:val="20"/>
          <w:shd w:val="clear" w:color="auto" w:fill="FFFFFF"/>
        </w:rPr>
        <w:t>Roer-Strier</w:t>
      </w:r>
      <w:proofErr w:type="spellEnd"/>
      <w:r w:rsidRPr="008D653C">
        <w:rPr>
          <w:sz w:val="18"/>
          <w:szCs w:val="20"/>
          <w:shd w:val="clear" w:color="auto" w:fill="FFFFFF"/>
        </w:rPr>
        <w:t xml:space="preserve">, D. (2017). Parents’ perceptions of risk for children: A case study of Bedouin parents from unrecognized villages in Israel. </w:t>
      </w:r>
      <w:r w:rsidRPr="008D653C">
        <w:rPr>
          <w:i/>
          <w:iCs/>
          <w:sz w:val="18"/>
          <w:szCs w:val="20"/>
          <w:shd w:val="clear" w:color="auto" w:fill="FFFFFF"/>
        </w:rPr>
        <w:t>Social Service Review</w:t>
      </w:r>
      <w:r w:rsidRPr="008D653C">
        <w:rPr>
          <w:sz w:val="18"/>
          <w:szCs w:val="20"/>
          <w:shd w:val="clear" w:color="auto" w:fill="FFFFFF"/>
        </w:rPr>
        <w:t xml:space="preserve">, </w:t>
      </w:r>
      <w:r w:rsidRPr="008D653C">
        <w:rPr>
          <w:i/>
          <w:iCs/>
          <w:sz w:val="18"/>
          <w:szCs w:val="20"/>
          <w:shd w:val="clear" w:color="auto" w:fill="FFFFFF"/>
        </w:rPr>
        <w:t>91</w:t>
      </w:r>
      <w:r w:rsidRPr="008D653C">
        <w:rPr>
          <w:sz w:val="18"/>
          <w:szCs w:val="20"/>
          <w:shd w:val="clear" w:color="auto" w:fill="FFFFFF"/>
        </w:rPr>
        <w:t>(2), 171-202. doi.org/10.1086/692101</w:t>
      </w:r>
    </w:p>
    <w:p w14:paraId="53A557D1" w14:textId="77777777" w:rsidR="004A5EB0" w:rsidRDefault="008D653C" w:rsidP="004A5EB0">
      <w:pPr>
        <w:bidi w:val="0"/>
        <w:ind w:left="397" w:hanging="397"/>
        <w:jc w:val="both"/>
        <w:rPr>
          <w:sz w:val="18"/>
          <w:szCs w:val="20"/>
        </w:rPr>
      </w:pPr>
      <w:r w:rsidRPr="008D653C">
        <w:rPr>
          <w:sz w:val="18"/>
          <w:szCs w:val="20"/>
        </w:rPr>
        <w:t xml:space="preserve">Morelli, G., Quinn, N., Chaudhary, N., </w:t>
      </w:r>
      <w:proofErr w:type="spellStart"/>
      <w:r w:rsidRPr="008D653C">
        <w:rPr>
          <w:sz w:val="18"/>
          <w:szCs w:val="20"/>
        </w:rPr>
        <w:t>Vicedo</w:t>
      </w:r>
      <w:proofErr w:type="spellEnd"/>
      <w:r w:rsidRPr="008D653C">
        <w:rPr>
          <w:sz w:val="18"/>
          <w:szCs w:val="20"/>
        </w:rPr>
        <w:t xml:space="preserve">, M., </w:t>
      </w:r>
      <w:proofErr w:type="spellStart"/>
      <w:r w:rsidRPr="008D653C">
        <w:rPr>
          <w:sz w:val="18"/>
          <w:szCs w:val="20"/>
        </w:rPr>
        <w:t>Rosabal-Coto</w:t>
      </w:r>
      <w:proofErr w:type="spellEnd"/>
      <w:r w:rsidRPr="008D653C">
        <w:rPr>
          <w:sz w:val="18"/>
          <w:szCs w:val="20"/>
        </w:rPr>
        <w:t xml:space="preserve">, M., Keller, H., Murray, M., et al. (2018). Ethical challenges of parenting intervention in low- to middle-income countries. </w:t>
      </w:r>
      <w:r w:rsidRPr="008D653C">
        <w:rPr>
          <w:i/>
          <w:iCs/>
          <w:sz w:val="18"/>
          <w:szCs w:val="20"/>
        </w:rPr>
        <w:t>Journal of Cross-Cultural Psychology</w:t>
      </w:r>
      <w:r w:rsidRPr="008D653C">
        <w:rPr>
          <w:sz w:val="18"/>
          <w:szCs w:val="20"/>
        </w:rPr>
        <w:t>,</w:t>
      </w:r>
      <w:r w:rsidRPr="008D653C">
        <w:rPr>
          <w:i/>
          <w:iCs/>
          <w:sz w:val="18"/>
          <w:szCs w:val="20"/>
        </w:rPr>
        <w:t xml:space="preserve"> 49</w:t>
      </w:r>
      <w:r w:rsidRPr="008D653C">
        <w:rPr>
          <w:sz w:val="18"/>
          <w:szCs w:val="20"/>
        </w:rPr>
        <w:t xml:space="preserve">(1), 5-24. </w:t>
      </w:r>
    </w:p>
    <w:p w14:paraId="08FACAE2" w14:textId="084ED746"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doi.org/10.1177/0022022117746241</w:t>
      </w:r>
    </w:p>
    <w:p w14:paraId="18460543" w14:textId="77777777" w:rsidR="008D653C" w:rsidRPr="008D653C" w:rsidRDefault="008D653C" w:rsidP="00E67D70">
      <w:pPr>
        <w:bidi w:val="0"/>
        <w:spacing w:after="120"/>
        <w:ind w:left="397" w:hanging="397"/>
        <w:jc w:val="both"/>
        <w:rPr>
          <w:sz w:val="18"/>
          <w:szCs w:val="20"/>
          <w:shd w:val="clear" w:color="auto" w:fill="FFFFFF"/>
        </w:rPr>
      </w:pPr>
      <w:r w:rsidRPr="008D653C">
        <w:rPr>
          <w:sz w:val="18"/>
          <w:szCs w:val="20"/>
          <w:shd w:val="clear" w:color="auto" w:fill="FFFFFF"/>
        </w:rPr>
        <w:t xml:space="preserve">Murray, J. &amp; Farrington, D. P. (2010). Risk factors for conduct disorder and delinquency: Key findings from longitudinal studies. </w:t>
      </w:r>
      <w:r w:rsidRPr="008D653C">
        <w:rPr>
          <w:i/>
          <w:iCs/>
          <w:sz w:val="18"/>
          <w:szCs w:val="20"/>
          <w:shd w:val="clear" w:color="auto" w:fill="FFFFFF"/>
        </w:rPr>
        <w:t>The Canadian Journal of Psychiatry</w:t>
      </w:r>
      <w:r w:rsidRPr="008D653C">
        <w:rPr>
          <w:sz w:val="18"/>
          <w:szCs w:val="20"/>
          <w:shd w:val="clear" w:color="auto" w:fill="FFFFFF"/>
        </w:rPr>
        <w:t>,</w:t>
      </w:r>
      <w:r w:rsidRPr="008D653C">
        <w:rPr>
          <w:i/>
          <w:iCs/>
          <w:sz w:val="18"/>
          <w:szCs w:val="20"/>
          <w:shd w:val="clear" w:color="auto" w:fill="FFFFFF"/>
        </w:rPr>
        <w:t xml:space="preserve"> 55</w:t>
      </w:r>
      <w:r w:rsidRPr="008D653C">
        <w:rPr>
          <w:sz w:val="18"/>
          <w:szCs w:val="20"/>
          <w:shd w:val="clear" w:color="auto" w:fill="FFFFFF"/>
        </w:rPr>
        <w:t>(10), 633-642.</w:t>
      </w:r>
      <w:r w:rsidRPr="008D653C">
        <w:rPr>
          <w:sz w:val="18"/>
          <w:szCs w:val="20"/>
          <w:shd w:val="clear" w:color="auto" w:fill="FFFFFF"/>
          <w:rtl/>
        </w:rPr>
        <w:t>‏</w:t>
      </w:r>
      <w:r w:rsidRPr="008D653C">
        <w:rPr>
          <w:sz w:val="18"/>
          <w:szCs w:val="20"/>
          <w:shd w:val="clear" w:color="auto" w:fill="FFFFFF"/>
        </w:rPr>
        <w:t xml:space="preserve"> doi.org/10.1177/070674371005501003</w:t>
      </w:r>
    </w:p>
    <w:p w14:paraId="5144A7EA" w14:textId="77777777" w:rsidR="008D653C" w:rsidRPr="008D653C" w:rsidRDefault="008D653C" w:rsidP="00E67D70">
      <w:pPr>
        <w:bidi w:val="0"/>
        <w:spacing w:after="120"/>
        <w:ind w:left="397" w:hanging="397"/>
        <w:jc w:val="both"/>
        <w:rPr>
          <w:sz w:val="18"/>
          <w:szCs w:val="20"/>
          <w:shd w:val="clear" w:color="auto" w:fill="FFFFFF"/>
        </w:rPr>
      </w:pPr>
      <w:proofErr w:type="spellStart"/>
      <w:r w:rsidRPr="008D653C">
        <w:rPr>
          <w:sz w:val="18"/>
          <w:szCs w:val="20"/>
          <w:shd w:val="clear" w:color="auto" w:fill="FFFFFF"/>
        </w:rPr>
        <w:lastRenderedPageBreak/>
        <w:t>Nadan</w:t>
      </w:r>
      <w:proofErr w:type="spellEnd"/>
      <w:r w:rsidRPr="008D653C">
        <w:rPr>
          <w:sz w:val="18"/>
          <w:szCs w:val="20"/>
          <w:shd w:val="clear" w:color="auto" w:fill="FFFFFF"/>
        </w:rPr>
        <w:t xml:space="preserve">, Y. &amp; Ganz, Z. (2018). Perspectives of Ultra-Orthodox children in Israel on risk and protection: The intersection of culture, religion, spirituality, and socio-political context. </w:t>
      </w:r>
      <w:r w:rsidRPr="008D653C">
        <w:rPr>
          <w:i/>
          <w:iCs/>
          <w:sz w:val="18"/>
          <w:szCs w:val="20"/>
          <w:shd w:val="clear" w:color="auto" w:fill="FFFFFF"/>
        </w:rPr>
        <w:t>Childhood</w:t>
      </w:r>
      <w:r w:rsidRPr="008D653C">
        <w:rPr>
          <w:sz w:val="18"/>
          <w:szCs w:val="20"/>
          <w:shd w:val="clear" w:color="auto" w:fill="FFFFFF"/>
        </w:rPr>
        <w:t xml:space="preserve">, </w:t>
      </w:r>
      <w:r w:rsidRPr="008D653C">
        <w:rPr>
          <w:i/>
          <w:iCs/>
          <w:sz w:val="18"/>
          <w:szCs w:val="20"/>
          <w:shd w:val="clear" w:color="auto" w:fill="FFFFFF"/>
        </w:rPr>
        <w:t>25</w:t>
      </w:r>
      <w:r w:rsidRPr="008D653C">
        <w:rPr>
          <w:sz w:val="18"/>
          <w:szCs w:val="20"/>
          <w:shd w:val="clear" w:color="auto" w:fill="FFFFFF"/>
        </w:rPr>
        <w:t>(3), 325-339. doi.org/10.1177/0907568218774096</w:t>
      </w:r>
    </w:p>
    <w:p w14:paraId="660F4A75" w14:textId="77777777" w:rsidR="004A5EB0" w:rsidRDefault="008D653C" w:rsidP="004A5EB0">
      <w:pPr>
        <w:bidi w:val="0"/>
        <w:ind w:left="397" w:hanging="397"/>
        <w:jc w:val="both"/>
        <w:rPr>
          <w:sz w:val="18"/>
          <w:szCs w:val="20"/>
          <w:shd w:val="clear" w:color="auto" w:fill="FFFFFF"/>
        </w:rPr>
      </w:pPr>
      <w:proofErr w:type="spellStart"/>
      <w:r w:rsidRPr="008D653C">
        <w:rPr>
          <w:sz w:val="18"/>
          <w:szCs w:val="20"/>
          <w:shd w:val="clear" w:color="auto" w:fill="FFFFFF"/>
        </w:rPr>
        <w:t>Nadan</w:t>
      </w:r>
      <w:proofErr w:type="spellEnd"/>
      <w:r w:rsidRPr="008D653C">
        <w:rPr>
          <w:sz w:val="18"/>
          <w:szCs w:val="20"/>
          <w:shd w:val="clear" w:color="auto" w:fill="FFFFFF"/>
        </w:rPr>
        <w:t xml:space="preserve">, Y., </w:t>
      </w:r>
      <w:proofErr w:type="spellStart"/>
      <w:r w:rsidRPr="008D653C">
        <w:rPr>
          <w:sz w:val="18"/>
          <w:szCs w:val="20"/>
          <w:shd w:val="clear" w:color="auto" w:fill="FFFFFF"/>
        </w:rPr>
        <w:t>Gemara</w:t>
      </w:r>
      <w:proofErr w:type="spellEnd"/>
      <w:r w:rsidRPr="008D653C">
        <w:rPr>
          <w:sz w:val="18"/>
          <w:szCs w:val="20"/>
          <w:shd w:val="clear" w:color="auto" w:fill="FFFFFF"/>
        </w:rPr>
        <w:t xml:space="preserve">, N., </w:t>
      </w:r>
      <w:proofErr w:type="spellStart"/>
      <w:r w:rsidRPr="008D653C">
        <w:rPr>
          <w:sz w:val="18"/>
          <w:szCs w:val="20"/>
          <w:shd w:val="clear" w:color="auto" w:fill="FFFFFF"/>
        </w:rPr>
        <w:t>Keesing</w:t>
      </w:r>
      <w:proofErr w:type="spellEnd"/>
      <w:r w:rsidRPr="008D653C">
        <w:rPr>
          <w:sz w:val="18"/>
          <w:szCs w:val="20"/>
          <w:shd w:val="clear" w:color="auto" w:fill="FFFFFF"/>
        </w:rPr>
        <w:t xml:space="preserve">, R., Bamberger, E., </w:t>
      </w:r>
      <w:proofErr w:type="spellStart"/>
      <w:r w:rsidRPr="008D653C">
        <w:rPr>
          <w:sz w:val="18"/>
          <w:szCs w:val="20"/>
          <w:shd w:val="clear" w:color="auto" w:fill="FFFFFF"/>
        </w:rPr>
        <w:t>Roer-Strier</w:t>
      </w:r>
      <w:proofErr w:type="spellEnd"/>
      <w:r w:rsidRPr="008D653C">
        <w:rPr>
          <w:sz w:val="18"/>
          <w:szCs w:val="20"/>
          <w:shd w:val="clear" w:color="auto" w:fill="FFFFFF"/>
        </w:rPr>
        <w:t xml:space="preserve">, D., &amp; Korbin, J. (2019). 'Spiritual risk': A parental perception of risk for children in the Ultra-Orthodox Jewish Community. </w:t>
      </w:r>
      <w:r w:rsidRPr="008D653C">
        <w:rPr>
          <w:i/>
          <w:iCs/>
          <w:sz w:val="18"/>
          <w:szCs w:val="20"/>
          <w:shd w:val="clear" w:color="auto" w:fill="FFFFFF"/>
        </w:rPr>
        <w:t>The British Journal of Social Work</w:t>
      </w:r>
      <w:r w:rsidRPr="008D653C">
        <w:rPr>
          <w:sz w:val="18"/>
          <w:szCs w:val="20"/>
          <w:shd w:val="clear" w:color="auto" w:fill="FFFFFF"/>
        </w:rPr>
        <w:t xml:space="preserve">, </w:t>
      </w:r>
      <w:r w:rsidRPr="008D653C">
        <w:rPr>
          <w:i/>
          <w:iCs/>
          <w:sz w:val="18"/>
          <w:szCs w:val="20"/>
          <w:shd w:val="clear" w:color="auto" w:fill="FFFFFF"/>
        </w:rPr>
        <w:t>49</w:t>
      </w:r>
      <w:r w:rsidRPr="008D653C">
        <w:rPr>
          <w:sz w:val="18"/>
          <w:szCs w:val="20"/>
          <w:shd w:val="clear" w:color="auto" w:fill="FFFFFF"/>
        </w:rPr>
        <w:t xml:space="preserve">(5), 1198-1215. </w:t>
      </w:r>
    </w:p>
    <w:p w14:paraId="51EAAE46" w14:textId="285528E9"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doi.org/10.1093/</w:t>
      </w:r>
      <w:proofErr w:type="spellStart"/>
      <w:r w:rsidRPr="004A5EB0">
        <w:rPr>
          <w:sz w:val="16"/>
          <w:szCs w:val="18"/>
          <w:shd w:val="clear" w:color="auto" w:fill="FFFFFF"/>
        </w:rPr>
        <w:t>bjsw</w:t>
      </w:r>
      <w:proofErr w:type="spellEnd"/>
      <w:r w:rsidRPr="004A5EB0">
        <w:rPr>
          <w:sz w:val="16"/>
          <w:szCs w:val="18"/>
          <w:shd w:val="clear" w:color="auto" w:fill="FFFFFF"/>
        </w:rPr>
        <w:t>/bcy092</w:t>
      </w:r>
    </w:p>
    <w:p w14:paraId="332C8D58" w14:textId="77777777" w:rsidR="008D653C" w:rsidRPr="008D653C" w:rsidRDefault="008D653C" w:rsidP="00E67D70">
      <w:pPr>
        <w:tabs>
          <w:tab w:val="left" w:pos="426"/>
        </w:tabs>
        <w:bidi w:val="0"/>
        <w:spacing w:after="120"/>
        <w:ind w:left="397" w:hanging="397"/>
        <w:jc w:val="both"/>
        <w:rPr>
          <w:sz w:val="18"/>
          <w:szCs w:val="20"/>
        </w:rPr>
      </w:pPr>
      <w:proofErr w:type="spellStart"/>
      <w:r w:rsidRPr="008D653C">
        <w:rPr>
          <w:sz w:val="18"/>
          <w:szCs w:val="20"/>
        </w:rPr>
        <w:t>Nadan</w:t>
      </w:r>
      <w:proofErr w:type="spellEnd"/>
      <w:r w:rsidRPr="008D653C">
        <w:rPr>
          <w:sz w:val="18"/>
          <w:szCs w:val="20"/>
        </w:rPr>
        <w:t xml:space="preserve">, Y., </w:t>
      </w:r>
      <w:proofErr w:type="spellStart"/>
      <w:r w:rsidRPr="008D653C">
        <w:rPr>
          <w:sz w:val="18"/>
          <w:szCs w:val="20"/>
        </w:rPr>
        <w:t>Roer-Strier</w:t>
      </w:r>
      <w:proofErr w:type="spellEnd"/>
      <w:r w:rsidRPr="008D653C">
        <w:rPr>
          <w:sz w:val="18"/>
          <w:szCs w:val="20"/>
        </w:rPr>
        <w:t xml:space="preserve">. D., </w:t>
      </w:r>
      <w:proofErr w:type="spellStart"/>
      <w:r w:rsidRPr="008D653C">
        <w:rPr>
          <w:sz w:val="18"/>
          <w:szCs w:val="20"/>
        </w:rPr>
        <w:t>Gemara</w:t>
      </w:r>
      <w:proofErr w:type="spellEnd"/>
      <w:r w:rsidRPr="008D653C">
        <w:rPr>
          <w:sz w:val="18"/>
          <w:szCs w:val="20"/>
        </w:rPr>
        <w:t xml:space="preserve">, N., </w:t>
      </w:r>
      <w:proofErr w:type="spellStart"/>
      <w:r w:rsidRPr="008D653C">
        <w:rPr>
          <w:sz w:val="18"/>
          <w:szCs w:val="20"/>
        </w:rPr>
        <w:t>Engdau</w:t>
      </w:r>
      <w:proofErr w:type="spellEnd"/>
      <w:r w:rsidRPr="008D653C">
        <w:rPr>
          <w:sz w:val="18"/>
          <w:szCs w:val="20"/>
        </w:rPr>
        <w:t xml:space="preserve">-Vanda, S., &amp; Tener, D. (2018). In the eyes of the beholder: Parental and professional value mismatch in child risk and protection in two communities in Israel. </w:t>
      </w:r>
      <w:r w:rsidRPr="008D653C">
        <w:rPr>
          <w:i/>
          <w:iCs/>
          <w:sz w:val="18"/>
          <w:szCs w:val="20"/>
        </w:rPr>
        <w:t>International Journal of Psychology, 53</w:t>
      </w:r>
      <w:r w:rsidRPr="008D653C">
        <w:rPr>
          <w:sz w:val="18"/>
          <w:szCs w:val="20"/>
        </w:rPr>
        <w:t xml:space="preserve">(Suppl. 2), 23-33. </w:t>
      </w:r>
      <w:r w:rsidRPr="008D653C">
        <w:rPr>
          <w:sz w:val="18"/>
          <w:szCs w:val="20"/>
          <w:shd w:val="clear" w:color="auto" w:fill="FFFFFF"/>
        </w:rPr>
        <w:t>doi.org/</w:t>
      </w:r>
      <w:r w:rsidRPr="008D653C">
        <w:rPr>
          <w:sz w:val="18"/>
          <w:szCs w:val="20"/>
        </w:rPr>
        <w:t>10.1002/ijop.12513</w:t>
      </w:r>
    </w:p>
    <w:p w14:paraId="4F37419C" w14:textId="77777777" w:rsidR="008D653C" w:rsidRPr="008D653C" w:rsidRDefault="008D653C" w:rsidP="00E67D70">
      <w:pPr>
        <w:bidi w:val="0"/>
        <w:spacing w:after="120"/>
        <w:ind w:left="397" w:hanging="397"/>
        <w:jc w:val="both"/>
        <w:rPr>
          <w:sz w:val="18"/>
          <w:szCs w:val="20"/>
          <w:shd w:val="clear" w:color="auto" w:fill="FFFFFF"/>
        </w:rPr>
      </w:pPr>
      <w:proofErr w:type="spellStart"/>
      <w:r w:rsidRPr="008D653C">
        <w:rPr>
          <w:sz w:val="18"/>
          <w:szCs w:val="20"/>
          <w:shd w:val="clear" w:color="auto" w:fill="FFFFFF"/>
        </w:rPr>
        <w:t>Nadan</w:t>
      </w:r>
      <w:proofErr w:type="spellEnd"/>
      <w:r w:rsidRPr="008D653C">
        <w:rPr>
          <w:sz w:val="18"/>
          <w:szCs w:val="20"/>
          <w:shd w:val="clear" w:color="auto" w:fill="FFFFFF"/>
        </w:rPr>
        <w:t>, Y., Weinberg-</w:t>
      </w:r>
      <w:proofErr w:type="spellStart"/>
      <w:r w:rsidRPr="008D653C">
        <w:rPr>
          <w:sz w:val="18"/>
          <w:szCs w:val="20"/>
          <w:shd w:val="clear" w:color="auto" w:fill="FFFFFF"/>
        </w:rPr>
        <w:t>Kurnik</w:t>
      </w:r>
      <w:proofErr w:type="spellEnd"/>
      <w:r w:rsidRPr="008D653C">
        <w:rPr>
          <w:sz w:val="18"/>
          <w:szCs w:val="20"/>
          <w:shd w:val="clear" w:color="auto" w:fill="FFFFFF"/>
        </w:rPr>
        <w:t xml:space="preserve">, G., &amp; Ben-Ari, A. (2013). Bringing context and power relations to the fore: Intergroup dialogue as a tool in social work education. </w:t>
      </w:r>
      <w:r w:rsidRPr="008D653C">
        <w:rPr>
          <w:i/>
          <w:iCs/>
          <w:sz w:val="18"/>
          <w:szCs w:val="20"/>
          <w:shd w:val="clear" w:color="auto" w:fill="FFFFFF"/>
        </w:rPr>
        <w:t>British Journal of Social Work</w:t>
      </w:r>
      <w:r w:rsidRPr="008D653C">
        <w:rPr>
          <w:sz w:val="18"/>
          <w:szCs w:val="20"/>
          <w:shd w:val="clear" w:color="auto" w:fill="FFFFFF"/>
        </w:rPr>
        <w:t>,</w:t>
      </w:r>
      <w:r w:rsidRPr="008D653C">
        <w:rPr>
          <w:i/>
          <w:iCs/>
          <w:sz w:val="18"/>
          <w:szCs w:val="20"/>
          <w:shd w:val="clear" w:color="auto" w:fill="FFFFFF"/>
        </w:rPr>
        <w:t xml:space="preserve"> 45</w:t>
      </w:r>
      <w:r w:rsidRPr="008D653C">
        <w:rPr>
          <w:sz w:val="18"/>
          <w:szCs w:val="20"/>
          <w:shd w:val="clear" w:color="auto" w:fill="FFFFFF"/>
        </w:rPr>
        <w:t>(1), 260-277. doi.org/10.1093/</w:t>
      </w:r>
      <w:proofErr w:type="spellStart"/>
      <w:r w:rsidRPr="008D653C">
        <w:rPr>
          <w:sz w:val="18"/>
          <w:szCs w:val="20"/>
          <w:shd w:val="clear" w:color="auto" w:fill="FFFFFF"/>
        </w:rPr>
        <w:t>bjsw</w:t>
      </w:r>
      <w:proofErr w:type="spellEnd"/>
      <w:r w:rsidRPr="008D653C">
        <w:rPr>
          <w:sz w:val="18"/>
          <w:szCs w:val="20"/>
          <w:shd w:val="clear" w:color="auto" w:fill="FFFFFF"/>
        </w:rPr>
        <w:t>/bct116</w:t>
      </w:r>
    </w:p>
    <w:p w14:paraId="15DCD2F1" w14:textId="77777777" w:rsidR="008D653C" w:rsidRPr="008D653C" w:rsidRDefault="008D653C" w:rsidP="00E67D70">
      <w:pPr>
        <w:bidi w:val="0"/>
        <w:spacing w:after="120"/>
        <w:ind w:left="397" w:hanging="397"/>
        <w:jc w:val="both"/>
        <w:rPr>
          <w:sz w:val="18"/>
          <w:szCs w:val="20"/>
        </w:rPr>
      </w:pPr>
      <w:proofErr w:type="spellStart"/>
      <w:r w:rsidRPr="008D653C">
        <w:rPr>
          <w:sz w:val="18"/>
          <w:szCs w:val="20"/>
        </w:rPr>
        <w:t>Pissarides</w:t>
      </w:r>
      <w:proofErr w:type="spellEnd"/>
      <w:r w:rsidRPr="008D653C">
        <w:rPr>
          <w:sz w:val="18"/>
          <w:szCs w:val="20"/>
        </w:rPr>
        <w:t xml:space="preserve">, C. &amp; Wadsworth, J. (2013). Unemployment risks. In E. McLaughlin (Ed.), </w:t>
      </w:r>
      <w:r w:rsidRPr="008D653C">
        <w:rPr>
          <w:i/>
          <w:iCs/>
          <w:sz w:val="18"/>
          <w:szCs w:val="20"/>
        </w:rPr>
        <w:t>Understanding unemployment</w:t>
      </w:r>
      <w:r w:rsidRPr="008D653C">
        <w:rPr>
          <w:sz w:val="18"/>
          <w:szCs w:val="20"/>
        </w:rPr>
        <w:t xml:space="preserve"> (pp. 71-92). Routledge. </w:t>
      </w:r>
    </w:p>
    <w:p w14:paraId="53953626" w14:textId="386A0427" w:rsidR="008D653C" w:rsidRPr="004A5EB0" w:rsidRDefault="008D653C" w:rsidP="00955C47">
      <w:pPr>
        <w:bidi w:val="0"/>
        <w:ind w:left="397" w:hanging="397"/>
        <w:jc w:val="both"/>
        <w:rPr>
          <w:sz w:val="16"/>
          <w:szCs w:val="18"/>
          <w:shd w:val="clear" w:color="auto" w:fill="FFFFFF"/>
        </w:rPr>
      </w:pPr>
      <w:r w:rsidRPr="008D653C">
        <w:rPr>
          <w:sz w:val="18"/>
          <w:szCs w:val="20"/>
          <w:shd w:val="clear" w:color="auto" w:fill="FFFFFF"/>
        </w:rPr>
        <w:t>Plotkin-</w:t>
      </w:r>
      <w:proofErr w:type="spellStart"/>
      <w:r w:rsidRPr="008D653C">
        <w:rPr>
          <w:sz w:val="18"/>
          <w:szCs w:val="20"/>
          <w:shd w:val="clear" w:color="auto" w:fill="FFFFFF"/>
        </w:rPr>
        <w:t>Amrami</w:t>
      </w:r>
      <w:proofErr w:type="spellEnd"/>
      <w:r w:rsidRPr="008D653C">
        <w:rPr>
          <w:sz w:val="18"/>
          <w:szCs w:val="20"/>
          <w:shd w:val="clear" w:color="auto" w:fill="FFFFFF"/>
        </w:rPr>
        <w:t xml:space="preserve">, G. (2018). How is a new category 'born'? On mechanisms of formation, cycles of recognition, and the looping effect of 'national trauma'. </w:t>
      </w:r>
      <w:r w:rsidRPr="008D653C">
        <w:rPr>
          <w:i/>
          <w:iCs/>
          <w:sz w:val="18"/>
          <w:szCs w:val="20"/>
          <w:shd w:val="clear" w:color="auto" w:fill="FFFFFF"/>
        </w:rPr>
        <w:t>Health, 22</w:t>
      </w:r>
      <w:r w:rsidRPr="008D653C">
        <w:rPr>
          <w:sz w:val="18"/>
          <w:szCs w:val="20"/>
          <w:shd w:val="clear" w:color="auto" w:fill="FFFFFF"/>
        </w:rPr>
        <w:t xml:space="preserve">(5), </w:t>
      </w:r>
      <w:r w:rsidR="00955C47">
        <w:rPr>
          <w:sz w:val="18"/>
          <w:szCs w:val="20"/>
          <w:shd w:val="clear" w:color="auto" w:fill="FFFFFF"/>
        </w:rPr>
        <w:br/>
      </w:r>
      <w:r w:rsidRPr="004A5EB0">
        <w:rPr>
          <w:sz w:val="16"/>
          <w:szCs w:val="18"/>
          <w:shd w:val="clear" w:color="auto" w:fill="FFFFFF"/>
        </w:rPr>
        <w:t>413-431. doi.org/10.1177/1363459317695631</w:t>
      </w:r>
    </w:p>
    <w:p w14:paraId="1E4B3E67" w14:textId="77777777" w:rsidR="008D653C" w:rsidRPr="008D653C" w:rsidRDefault="008D653C" w:rsidP="00E67D70">
      <w:pPr>
        <w:bidi w:val="0"/>
        <w:spacing w:after="120"/>
        <w:ind w:left="397" w:hanging="397"/>
        <w:jc w:val="both"/>
        <w:rPr>
          <w:sz w:val="18"/>
          <w:szCs w:val="20"/>
          <w:shd w:val="clear" w:color="auto" w:fill="FFFFFF"/>
        </w:rPr>
      </w:pPr>
      <w:proofErr w:type="spellStart"/>
      <w:r w:rsidRPr="008D653C">
        <w:rPr>
          <w:sz w:val="18"/>
          <w:szCs w:val="20"/>
          <w:shd w:val="clear" w:color="auto" w:fill="FFFFFF"/>
        </w:rPr>
        <w:t>Wahle</w:t>
      </w:r>
      <w:proofErr w:type="spellEnd"/>
      <w:r w:rsidRPr="008D653C">
        <w:rPr>
          <w:sz w:val="18"/>
          <w:szCs w:val="20"/>
          <w:shd w:val="clear" w:color="auto" w:fill="FFFFFF"/>
        </w:rPr>
        <w:t xml:space="preserve">, N., </w:t>
      </w:r>
      <w:proofErr w:type="spellStart"/>
      <w:r w:rsidRPr="008D653C">
        <w:rPr>
          <w:sz w:val="18"/>
          <w:szCs w:val="20"/>
          <w:shd w:val="clear" w:color="auto" w:fill="FFFFFF"/>
        </w:rPr>
        <w:t>Ponizovsky-Bergelson</w:t>
      </w:r>
      <w:proofErr w:type="spellEnd"/>
      <w:r w:rsidRPr="008D653C">
        <w:rPr>
          <w:sz w:val="18"/>
          <w:szCs w:val="20"/>
          <w:shd w:val="clear" w:color="auto" w:fill="FFFFFF"/>
        </w:rPr>
        <w:t xml:space="preserve">, Y., Dayan, Y., </w:t>
      </w:r>
      <w:proofErr w:type="spellStart"/>
      <w:r w:rsidRPr="008D653C">
        <w:rPr>
          <w:sz w:val="18"/>
          <w:szCs w:val="20"/>
          <w:shd w:val="clear" w:color="auto" w:fill="FFFFFF"/>
        </w:rPr>
        <w:t>Erlichman</w:t>
      </w:r>
      <w:proofErr w:type="spellEnd"/>
      <w:r w:rsidRPr="008D653C">
        <w:rPr>
          <w:sz w:val="18"/>
          <w:szCs w:val="20"/>
          <w:shd w:val="clear" w:color="auto" w:fill="FFFFFF"/>
        </w:rPr>
        <w:t xml:space="preserve">, O., &amp; </w:t>
      </w:r>
      <w:proofErr w:type="spellStart"/>
      <w:r w:rsidRPr="008D653C">
        <w:rPr>
          <w:sz w:val="18"/>
          <w:szCs w:val="20"/>
          <w:shd w:val="clear" w:color="auto" w:fill="FFFFFF"/>
        </w:rPr>
        <w:t>Roer-Strier</w:t>
      </w:r>
      <w:proofErr w:type="spellEnd"/>
      <w:r w:rsidRPr="008D653C">
        <w:rPr>
          <w:sz w:val="18"/>
          <w:szCs w:val="20"/>
          <w:shd w:val="clear" w:color="auto" w:fill="FFFFFF"/>
        </w:rPr>
        <w:t xml:space="preserve">, D. (2017). </w:t>
      </w:r>
      <w:hyperlink r:id="rId8" w:tgtFrame="_blank" w:history="1">
        <w:r w:rsidRPr="008D653C">
          <w:rPr>
            <w:sz w:val="18"/>
            <w:szCs w:val="20"/>
            <w:shd w:val="clear" w:color="auto" w:fill="FFFFFF"/>
          </w:rPr>
          <w:t>On the margins of racism, immigration and war: Perspectives on risk and protection of young children of Ethiopian origin in Israel</w:t>
        </w:r>
      </w:hyperlink>
      <w:r w:rsidRPr="008D653C">
        <w:rPr>
          <w:sz w:val="18"/>
          <w:szCs w:val="20"/>
          <w:shd w:val="clear" w:color="auto" w:fill="FFFFFF"/>
        </w:rPr>
        <w:t xml:space="preserve">. </w:t>
      </w:r>
      <w:hyperlink r:id="rId9" w:tgtFrame="_blank" w:history="1">
        <w:r w:rsidRPr="008D653C">
          <w:rPr>
            <w:i/>
            <w:iCs/>
            <w:sz w:val="18"/>
            <w:szCs w:val="20"/>
            <w:shd w:val="clear" w:color="auto" w:fill="FFFFFF"/>
          </w:rPr>
          <w:t>European Early Childhood Education Research Journal</w:t>
        </w:r>
      </w:hyperlink>
      <w:r w:rsidRPr="008D653C">
        <w:rPr>
          <w:i/>
          <w:iCs/>
          <w:sz w:val="18"/>
          <w:szCs w:val="20"/>
          <w:shd w:val="clear" w:color="auto" w:fill="FFFFFF"/>
        </w:rPr>
        <w:t>, 25</w:t>
      </w:r>
      <w:r w:rsidRPr="008D653C">
        <w:rPr>
          <w:sz w:val="18"/>
          <w:szCs w:val="20"/>
          <w:shd w:val="clear" w:color="auto" w:fill="FFFFFF"/>
        </w:rPr>
        <w:t>(2), 305-320.</w:t>
      </w:r>
    </w:p>
    <w:p w14:paraId="47A5ACCA" w14:textId="77777777" w:rsidR="008D653C" w:rsidRPr="008D653C" w:rsidRDefault="008D653C" w:rsidP="00E67D70">
      <w:pPr>
        <w:bidi w:val="0"/>
        <w:spacing w:after="120"/>
        <w:ind w:left="397" w:hanging="397"/>
        <w:jc w:val="both"/>
        <w:rPr>
          <w:sz w:val="18"/>
          <w:szCs w:val="20"/>
          <w:shd w:val="clear" w:color="auto" w:fill="FFFFFF"/>
        </w:rPr>
      </w:pPr>
      <w:proofErr w:type="spellStart"/>
      <w:r w:rsidRPr="008D653C">
        <w:rPr>
          <w:sz w:val="18"/>
          <w:szCs w:val="20"/>
          <w:shd w:val="clear" w:color="auto" w:fill="FFFFFF"/>
        </w:rPr>
        <w:t>Ponizovsky</w:t>
      </w:r>
      <w:proofErr w:type="spellEnd"/>
      <w:r w:rsidRPr="008D653C">
        <w:rPr>
          <w:sz w:val="18"/>
          <w:szCs w:val="20"/>
          <w:shd w:val="clear" w:color="auto" w:fill="FFFFFF"/>
          <w:rtl/>
        </w:rPr>
        <w:t>-</w:t>
      </w:r>
      <w:proofErr w:type="spellStart"/>
      <w:r w:rsidRPr="008D653C">
        <w:rPr>
          <w:sz w:val="18"/>
          <w:szCs w:val="20"/>
          <w:shd w:val="clear" w:color="auto" w:fill="FFFFFF"/>
        </w:rPr>
        <w:t>Bergelson</w:t>
      </w:r>
      <w:proofErr w:type="spellEnd"/>
      <w:r w:rsidRPr="008D653C">
        <w:rPr>
          <w:sz w:val="18"/>
          <w:szCs w:val="20"/>
          <w:shd w:val="clear" w:color="auto" w:fill="FFFFFF"/>
        </w:rPr>
        <w:t>, Y</w:t>
      </w:r>
      <w:r w:rsidRPr="008D653C">
        <w:rPr>
          <w:sz w:val="18"/>
          <w:szCs w:val="20"/>
          <w:shd w:val="clear" w:color="auto" w:fill="FFFFFF"/>
          <w:rtl/>
        </w:rPr>
        <w:t>.</w:t>
      </w:r>
      <w:r w:rsidRPr="008D653C">
        <w:rPr>
          <w:sz w:val="18"/>
          <w:szCs w:val="20"/>
          <w:shd w:val="clear" w:color="auto" w:fill="FFFFFF"/>
        </w:rPr>
        <w:t xml:space="preserve">, </w:t>
      </w:r>
      <w:proofErr w:type="spellStart"/>
      <w:r w:rsidRPr="008D653C">
        <w:rPr>
          <w:sz w:val="18"/>
          <w:szCs w:val="20"/>
          <w:shd w:val="clear" w:color="auto" w:fill="FFFFFF"/>
        </w:rPr>
        <w:t>Roer-Strier</w:t>
      </w:r>
      <w:proofErr w:type="spellEnd"/>
      <w:r w:rsidRPr="008D653C">
        <w:rPr>
          <w:sz w:val="18"/>
          <w:szCs w:val="20"/>
          <w:shd w:val="clear" w:color="auto" w:fill="FFFFFF"/>
        </w:rPr>
        <w:t xml:space="preserve"> D</w:t>
      </w:r>
      <w:r w:rsidRPr="008D653C">
        <w:rPr>
          <w:sz w:val="18"/>
          <w:szCs w:val="20"/>
          <w:shd w:val="clear" w:color="auto" w:fill="FFFFFF"/>
          <w:rtl/>
        </w:rPr>
        <w:t>.</w:t>
      </w:r>
      <w:r w:rsidRPr="008D653C">
        <w:rPr>
          <w:sz w:val="18"/>
          <w:szCs w:val="20"/>
          <w:shd w:val="clear" w:color="auto" w:fill="FFFFFF"/>
        </w:rPr>
        <w:t xml:space="preserve">, Dayan, Y., &amp; Whale, N. (2019). Children’s perspectives of risk and protection. In T. </w:t>
      </w:r>
      <w:proofErr w:type="spellStart"/>
      <w:r w:rsidRPr="008D653C">
        <w:rPr>
          <w:sz w:val="18"/>
          <w:szCs w:val="20"/>
          <w:shd w:val="clear" w:color="auto" w:fill="FFFFFF"/>
        </w:rPr>
        <w:t>Tulviste</w:t>
      </w:r>
      <w:proofErr w:type="spellEnd"/>
      <w:r w:rsidRPr="008D653C">
        <w:rPr>
          <w:sz w:val="18"/>
          <w:szCs w:val="20"/>
          <w:shd w:val="clear" w:color="auto" w:fill="FFFFFF"/>
        </w:rPr>
        <w:t xml:space="preserve">, J. Gibbons, &amp; D. Best (Eds.), </w:t>
      </w:r>
      <w:r w:rsidRPr="008D653C">
        <w:rPr>
          <w:i/>
          <w:iCs/>
          <w:sz w:val="18"/>
          <w:szCs w:val="20"/>
          <w:shd w:val="clear" w:color="auto" w:fill="FFFFFF"/>
        </w:rPr>
        <w:t>Children’s social worlds in cultural context</w:t>
      </w:r>
      <w:r w:rsidRPr="008D653C">
        <w:rPr>
          <w:sz w:val="18"/>
          <w:szCs w:val="20"/>
          <w:shd w:val="clear" w:color="auto" w:fill="FFFFFF"/>
        </w:rPr>
        <w:t xml:space="preserve"> (pp. 201-216). Springer.</w:t>
      </w:r>
    </w:p>
    <w:p w14:paraId="39E2A424" w14:textId="77777777" w:rsidR="008D653C" w:rsidRPr="008D653C" w:rsidRDefault="008D653C" w:rsidP="00E67D70">
      <w:pPr>
        <w:bidi w:val="0"/>
        <w:spacing w:after="120"/>
        <w:ind w:left="397" w:hanging="397"/>
        <w:jc w:val="both"/>
        <w:rPr>
          <w:sz w:val="18"/>
          <w:szCs w:val="20"/>
        </w:rPr>
      </w:pPr>
      <w:proofErr w:type="spellStart"/>
      <w:r w:rsidRPr="008D653C">
        <w:rPr>
          <w:sz w:val="18"/>
          <w:szCs w:val="20"/>
        </w:rPr>
        <w:t>Ponizovsky-Bergelson</w:t>
      </w:r>
      <w:proofErr w:type="spellEnd"/>
      <w:r w:rsidRPr="008D653C">
        <w:rPr>
          <w:sz w:val="18"/>
          <w:szCs w:val="20"/>
        </w:rPr>
        <w:t xml:space="preserve">, Y., Dayan, Y., </w:t>
      </w:r>
      <w:proofErr w:type="spellStart"/>
      <w:r w:rsidRPr="008D653C">
        <w:rPr>
          <w:sz w:val="18"/>
          <w:szCs w:val="20"/>
        </w:rPr>
        <w:t>Marey-Sarwan</w:t>
      </w:r>
      <w:proofErr w:type="spellEnd"/>
      <w:r w:rsidRPr="008D653C">
        <w:rPr>
          <w:sz w:val="18"/>
          <w:szCs w:val="20"/>
        </w:rPr>
        <w:t xml:space="preserve">, I., </w:t>
      </w:r>
      <w:proofErr w:type="spellStart"/>
      <w:r w:rsidRPr="008D653C">
        <w:rPr>
          <w:sz w:val="18"/>
          <w:szCs w:val="20"/>
        </w:rPr>
        <w:t>Roer-Strier</w:t>
      </w:r>
      <w:proofErr w:type="spellEnd"/>
      <w:r w:rsidRPr="008D653C">
        <w:rPr>
          <w:sz w:val="18"/>
          <w:szCs w:val="20"/>
        </w:rPr>
        <w:t xml:space="preserve">. D., &amp; </w:t>
      </w:r>
      <w:proofErr w:type="spellStart"/>
      <w:r w:rsidRPr="008D653C">
        <w:rPr>
          <w:sz w:val="18"/>
          <w:szCs w:val="20"/>
        </w:rPr>
        <w:t>Wahle</w:t>
      </w:r>
      <w:proofErr w:type="spellEnd"/>
      <w:r w:rsidRPr="008D653C">
        <w:rPr>
          <w:sz w:val="18"/>
          <w:szCs w:val="20"/>
        </w:rPr>
        <w:t xml:space="preserve">, N. (2020). Young children’s perspectives of risk and protection. In D. </w:t>
      </w:r>
      <w:proofErr w:type="spellStart"/>
      <w:r w:rsidRPr="008D653C">
        <w:rPr>
          <w:sz w:val="18"/>
          <w:szCs w:val="20"/>
        </w:rPr>
        <w:t>Roer-Strier</w:t>
      </w:r>
      <w:proofErr w:type="spellEnd"/>
      <w:r w:rsidRPr="008D653C">
        <w:rPr>
          <w:sz w:val="18"/>
          <w:szCs w:val="20"/>
        </w:rPr>
        <w:t xml:space="preserve"> &amp; Y. </w:t>
      </w:r>
      <w:proofErr w:type="spellStart"/>
      <w:r w:rsidRPr="008D653C">
        <w:rPr>
          <w:sz w:val="18"/>
          <w:szCs w:val="20"/>
        </w:rPr>
        <w:t>Nadan</w:t>
      </w:r>
      <w:proofErr w:type="spellEnd"/>
      <w:r w:rsidRPr="008D653C">
        <w:rPr>
          <w:sz w:val="18"/>
          <w:szCs w:val="20"/>
        </w:rPr>
        <w:t xml:space="preserve"> (Eds.) </w:t>
      </w:r>
      <w:r w:rsidRPr="008D653C">
        <w:rPr>
          <w:i/>
          <w:iCs/>
          <w:sz w:val="18"/>
          <w:szCs w:val="20"/>
        </w:rPr>
        <w:t xml:space="preserve">Context-informed perspectives of child risk and protection in Israel </w:t>
      </w:r>
      <w:r w:rsidRPr="008D653C">
        <w:rPr>
          <w:sz w:val="18"/>
          <w:szCs w:val="20"/>
        </w:rPr>
        <w:t>(pp. 263-288)</w:t>
      </w:r>
      <w:r w:rsidRPr="008D653C">
        <w:rPr>
          <w:i/>
          <w:iCs/>
          <w:sz w:val="18"/>
          <w:szCs w:val="20"/>
        </w:rPr>
        <w:t>.</w:t>
      </w:r>
      <w:r w:rsidRPr="008D653C">
        <w:rPr>
          <w:sz w:val="18"/>
          <w:szCs w:val="20"/>
        </w:rPr>
        <w:t xml:space="preserve"> Springer.</w:t>
      </w:r>
    </w:p>
    <w:p w14:paraId="46BFBBFD" w14:textId="77777777" w:rsidR="008D653C" w:rsidRPr="008D653C" w:rsidRDefault="008D653C" w:rsidP="00E67D70">
      <w:pPr>
        <w:bidi w:val="0"/>
        <w:spacing w:after="120"/>
        <w:ind w:left="397" w:hanging="397"/>
        <w:jc w:val="both"/>
        <w:rPr>
          <w:sz w:val="18"/>
          <w:szCs w:val="20"/>
        </w:rPr>
      </w:pPr>
      <w:proofErr w:type="spellStart"/>
      <w:r w:rsidRPr="008D653C">
        <w:rPr>
          <w:sz w:val="18"/>
          <w:szCs w:val="20"/>
        </w:rPr>
        <w:t>Roer-Strier</w:t>
      </w:r>
      <w:proofErr w:type="spellEnd"/>
      <w:r w:rsidRPr="008D653C">
        <w:rPr>
          <w:sz w:val="18"/>
          <w:szCs w:val="20"/>
        </w:rPr>
        <w:t xml:space="preserve">, D. &amp; </w:t>
      </w:r>
      <w:proofErr w:type="spellStart"/>
      <w:r w:rsidRPr="008D653C">
        <w:rPr>
          <w:sz w:val="18"/>
          <w:szCs w:val="20"/>
        </w:rPr>
        <w:t>Nadan</w:t>
      </w:r>
      <w:proofErr w:type="spellEnd"/>
      <w:r w:rsidRPr="008D653C">
        <w:rPr>
          <w:sz w:val="18"/>
          <w:szCs w:val="20"/>
        </w:rPr>
        <w:t xml:space="preserve">, Y. (Eds.) (2020). </w:t>
      </w:r>
      <w:r w:rsidRPr="008D653C">
        <w:rPr>
          <w:i/>
          <w:iCs/>
          <w:sz w:val="18"/>
          <w:szCs w:val="20"/>
        </w:rPr>
        <w:t xml:space="preserve">Context-informed perspectives of child risk and protection in Israel. </w:t>
      </w:r>
      <w:r w:rsidRPr="008D653C">
        <w:rPr>
          <w:sz w:val="18"/>
          <w:szCs w:val="20"/>
        </w:rPr>
        <w:t>Springer.</w:t>
      </w:r>
    </w:p>
    <w:p w14:paraId="449BBA9E" w14:textId="77777777" w:rsidR="008D653C" w:rsidRPr="008D653C" w:rsidRDefault="008D653C" w:rsidP="00E67D70">
      <w:pPr>
        <w:bidi w:val="0"/>
        <w:spacing w:after="120"/>
        <w:ind w:left="397" w:hanging="397"/>
        <w:mirrorIndents/>
        <w:jc w:val="both"/>
        <w:rPr>
          <w:sz w:val="18"/>
          <w:szCs w:val="20"/>
        </w:rPr>
      </w:pPr>
      <w:r w:rsidRPr="008D653C">
        <w:rPr>
          <w:sz w:val="18"/>
          <w:szCs w:val="20"/>
        </w:rPr>
        <w:t xml:space="preserve">Saar-Heiman, Y. &amp; Gupta, A. (2020). The poverty-aware paradigm for child protection: A critical framework for policy and practice. </w:t>
      </w:r>
      <w:r w:rsidRPr="008D653C">
        <w:rPr>
          <w:i/>
          <w:iCs/>
          <w:sz w:val="18"/>
          <w:szCs w:val="20"/>
        </w:rPr>
        <w:t>The British Journal of Social Work</w:t>
      </w:r>
      <w:r w:rsidRPr="008D653C">
        <w:rPr>
          <w:sz w:val="18"/>
          <w:szCs w:val="20"/>
        </w:rPr>
        <w:t>,</w:t>
      </w:r>
      <w:r w:rsidRPr="008D653C">
        <w:rPr>
          <w:i/>
          <w:iCs/>
          <w:sz w:val="18"/>
          <w:szCs w:val="20"/>
        </w:rPr>
        <w:t xml:space="preserve"> 50</w:t>
      </w:r>
      <w:r w:rsidRPr="008D653C">
        <w:rPr>
          <w:sz w:val="18"/>
          <w:szCs w:val="20"/>
        </w:rPr>
        <w:t xml:space="preserve">(4), 1167-1184. </w:t>
      </w:r>
      <w:r w:rsidRPr="008D653C">
        <w:rPr>
          <w:sz w:val="18"/>
          <w:szCs w:val="20"/>
          <w:shd w:val="clear" w:color="auto" w:fill="FFFFFF"/>
        </w:rPr>
        <w:t>doi.org/</w:t>
      </w:r>
      <w:r w:rsidRPr="008D653C">
        <w:rPr>
          <w:sz w:val="18"/>
          <w:szCs w:val="20"/>
        </w:rPr>
        <w:t>10.1093/</w:t>
      </w:r>
      <w:proofErr w:type="spellStart"/>
      <w:r w:rsidRPr="008D653C">
        <w:rPr>
          <w:sz w:val="18"/>
          <w:szCs w:val="20"/>
        </w:rPr>
        <w:t>bjsw</w:t>
      </w:r>
      <w:proofErr w:type="spellEnd"/>
      <w:r w:rsidRPr="008D653C">
        <w:rPr>
          <w:sz w:val="18"/>
          <w:szCs w:val="20"/>
        </w:rPr>
        <w:t>/bcz093</w:t>
      </w:r>
    </w:p>
    <w:p w14:paraId="03B5E86E" w14:textId="77777777" w:rsidR="004A5EB0" w:rsidRPr="004A5EB0" w:rsidRDefault="008D653C" w:rsidP="004A5EB0">
      <w:pPr>
        <w:bidi w:val="0"/>
        <w:ind w:left="397" w:hanging="397"/>
        <w:mirrorIndents/>
        <w:jc w:val="both"/>
        <w:rPr>
          <w:spacing w:val="-2"/>
          <w:sz w:val="18"/>
          <w:szCs w:val="20"/>
        </w:rPr>
      </w:pPr>
      <w:r w:rsidRPr="004A5EB0">
        <w:rPr>
          <w:spacing w:val="-2"/>
          <w:sz w:val="18"/>
          <w:szCs w:val="20"/>
        </w:rPr>
        <w:t xml:space="preserve">Schmid, H. &amp; </w:t>
      </w:r>
      <w:proofErr w:type="spellStart"/>
      <w:r w:rsidRPr="004A5EB0">
        <w:rPr>
          <w:spacing w:val="-2"/>
          <w:sz w:val="18"/>
          <w:szCs w:val="20"/>
        </w:rPr>
        <w:t>Benbenishty</w:t>
      </w:r>
      <w:proofErr w:type="spellEnd"/>
      <w:r w:rsidRPr="004A5EB0">
        <w:rPr>
          <w:spacing w:val="-2"/>
          <w:sz w:val="18"/>
          <w:szCs w:val="20"/>
        </w:rPr>
        <w:t xml:space="preserve">, R. (2011). Public attitudes toward child maltreatment in Israel: Implications for policy. </w:t>
      </w:r>
      <w:r w:rsidRPr="004A5EB0">
        <w:rPr>
          <w:i/>
          <w:iCs/>
          <w:spacing w:val="-2"/>
          <w:sz w:val="18"/>
          <w:szCs w:val="20"/>
        </w:rPr>
        <w:t>Children and Youth Services Review</w:t>
      </w:r>
      <w:r w:rsidRPr="004A5EB0">
        <w:rPr>
          <w:spacing w:val="-2"/>
          <w:sz w:val="18"/>
          <w:szCs w:val="20"/>
        </w:rPr>
        <w:t>,</w:t>
      </w:r>
      <w:r w:rsidRPr="004A5EB0">
        <w:rPr>
          <w:i/>
          <w:iCs/>
          <w:spacing w:val="-2"/>
          <w:sz w:val="18"/>
          <w:szCs w:val="20"/>
        </w:rPr>
        <w:t xml:space="preserve"> 33</w:t>
      </w:r>
      <w:r w:rsidRPr="004A5EB0">
        <w:rPr>
          <w:spacing w:val="-2"/>
          <w:sz w:val="18"/>
          <w:szCs w:val="20"/>
        </w:rPr>
        <w:t xml:space="preserve">(7), 1181-1188. </w:t>
      </w:r>
    </w:p>
    <w:p w14:paraId="255313D8" w14:textId="6929CD4D"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doi.org/10.1016/j.childyouth.2011.02.015</w:t>
      </w:r>
    </w:p>
    <w:p w14:paraId="7F2D1424" w14:textId="77777777" w:rsidR="008D653C" w:rsidRPr="008D653C" w:rsidRDefault="008D653C" w:rsidP="00E67D70">
      <w:pPr>
        <w:bidi w:val="0"/>
        <w:spacing w:after="120"/>
        <w:ind w:left="397" w:hanging="397"/>
        <w:jc w:val="both"/>
        <w:rPr>
          <w:sz w:val="18"/>
          <w:szCs w:val="20"/>
          <w:shd w:val="clear" w:color="auto" w:fill="FFFFFF"/>
        </w:rPr>
      </w:pPr>
      <w:proofErr w:type="spellStart"/>
      <w:r w:rsidRPr="008D653C">
        <w:rPr>
          <w:sz w:val="18"/>
          <w:szCs w:val="20"/>
          <w:shd w:val="clear" w:color="auto" w:fill="FFFFFF"/>
        </w:rPr>
        <w:lastRenderedPageBreak/>
        <w:t>Shalhoub</w:t>
      </w:r>
      <w:proofErr w:type="spellEnd"/>
      <w:r w:rsidRPr="008D653C">
        <w:rPr>
          <w:sz w:val="18"/>
          <w:szCs w:val="20"/>
          <w:shd w:val="clear" w:color="auto" w:fill="FFFFFF"/>
        </w:rPr>
        <w:t xml:space="preserve">-Kevorkian, N. &amp; </w:t>
      </w:r>
      <w:proofErr w:type="spellStart"/>
      <w:r w:rsidRPr="008D653C">
        <w:rPr>
          <w:sz w:val="18"/>
          <w:szCs w:val="20"/>
          <w:shd w:val="clear" w:color="auto" w:fill="FFFFFF"/>
        </w:rPr>
        <w:t>Roer-Strier</w:t>
      </w:r>
      <w:proofErr w:type="spellEnd"/>
      <w:r w:rsidRPr="008D653C">
        <w:rPr>
          <w:sz w:val="18"/>
          <w:szCs w:val="20"/>
          <w:shd w:val="clear" w:color="auto" w:fill="FFFFFF"/>
        </w:rPr>
        <w:t xml:space="preserve">, D. (2016). Context-informed, counter-hegemonic qualitative research: Insights from an Israeli/Palestinian research team studying loss. </w:t>
      </w:r>
      <w:r w:rsidRPr="008D653C">
        <w:rPr>
          <w:i/>
          <w:iCs/>
          <w:sz w:val="18"/>
          <w:szCs w:val="20"/>
          <w:shd w:val="clear" w:color="auto" w:fill="FFFFFF"/>
        </w:rPr>
        <w:t>Qualitative Social Work</w:t>
      </w:r>
      <w:r w:rsidRPr="008D653C">
        <w:rPr>
          <w:sz w:val="18"/>
          <w:szCs w:val="20"/>
          <w:shd w:val="clear" w:color="auto" w:fill="FFFFFF"/>
        </w:rPr>
        <w:t>,</w:t>
      </w:r>
      <w:r w:rsidRPr="008D653C">
        <w:rPr>
          <w:i/>
          <w:iCs/>
          <w:sz w:val="18"/>
          <w:szCs w:val="20"/>
          <w:shd w:val="clear" w:color="auto" w:fill="FFFFFF"/>
        </w:rPr>
        <w:t xml:space="preserve"> 15</w:t>
      </w:r>
      <w:r w:rsidRPr="008D653C">
        <w:rPr>
          <w:sz w:val="18"/>
          <w:szCs w:val="20"/>
          <w:shd w:val="clear" w:color="auto" w:fill="FFFFFF"/>
        </w:rPr>
        <w:t>(4), 552-569. doi.org/10.1177/1473325015595545</w:t>
      </w:r>
    </w:p>
    <w:p w14:paraId="7F6A9EA3" w14:textId="77777777" w:rsidR="008D653C" w:rsidRPr="008D653C" w:rsidRDefault="008D653C" w:rsidP="00E67D70">
      <w:pPr>
        <w:bidi w:val="0"/>
        <w:spacing w:after="120"/>
        <w:ind w:left="397" w:hanging="397"/>
        <w:jc w:val="both"/>
        <w:rPr>
          <w:sz w:val="18"/>
          <w:szCs w:val="20"/>
        </w:rPr>
      </w:pPr>
      <w:proofErr w:type="spellStart"/>
      <w:r w:rsidRPr="008D653C">
        <w:rPr>
          <w:sz w:val="18"/>
          <w:szCs w:val="20"/>
        </w:rPr>
        <w:t>Skivenes</w:t>
      </w:r>
      <w:proofErr w:type="spellEnd"/>
      <w:r w:rsidRPr="008D653C">
        <w:rPr>
          <w:sz w:val="18"/>
          <w:szCs w:val="20"/>
        </w:rPr>
        <w:t xml:space="preserve">, M. &amp; Skramstad, H. (2013). The emotional dimension in risk assessment: A cross-country study of the perceptions of child welfare workers in England, Norway, and California (United States). </w:t>
      </w:r>
      <w:r w:rsidRPr="008D653C">
        <w:rPr>
          <w:i/>
          <w:iCs/>
          <w:sz w:val="18"/>
          <w:szCs w:val="20"/>
        </w:rPr>
        <w:t>The British Journal of Social Work, 45</w:t>
      </w:r>
      <w:r w:rsidRPr="008D653C">
        <w:rPr>
          <w:sz w:val="18"/>
          <w:szCs w:val="20"/>
        </w:rPr>
        <w:t xml:space="preserve">(3), 809-824. </w:t>
      </w:r>
      <w:r w:rsidRPr="008D653C">
        <w:rPr>
          <w:sz w:val="18"/>
          <w:szCs w:val="20"/>
          <w:shd w:val="clear" w:color="auto" w:fill="FFFFFF"/>
        </w:rPr>
        <w:t>doi.org/</w:t>
      </w:r>
      <w:r w:rsidRPr="008D653C">
        <w:rPr>
          <w:sz w:val="18"/>
          <w:szCs w:val="20"/>
        </w:rPr>
        <w:t>10.1093/</w:t>
      </w:r>
      <w:proofErr w:type="spellStart"/>
      <w:r w:rsidRPr="008D653C">
        <w:rPr>
          <w:sz w:val="18"/>
          <w:szCs w:val="20"/>
        </w:rPr>
        <w:t>bjsw</w:t>
      </w:r>
      <w:proofErr w:type="spellEnd"/>
      <w:r w:rsidRPr="008D653C">
        <w:rPr>
          <w:sz w:val="18"/>
          <w:szCs w:val="20"/>
        </w:rPr>
        <w:t>/bct177</w:t>
      </w:r>
    </w:p>
    <w:p w14:paraId="499EF080" w14:textId="77777777" w:rsidR="004A5EB0" w:rsidRDefault="008D653C" w:rsidP="004A5EB0">
      <w:pPr>
        <w:bidi w:val="0"/>
        <w:ind w:left="397" w:hanging="397"/>
        <w:jc w:val="both"/>
        <w:rPr>
          <w:sz w:val="18"/>
          <w:szCs w:val="20"/>
          <w:shd w:val="clear" w:color="auto" w:fill="FFFFFF"/>
        </w:rPr>
      </w:pPr>
      <w:r w:rsidRPr="008D653C">
        <w:rPr>
          <w:sz w:val="18"/>
          <w:szCs w:val="20"/>
          <w:shd w:val="clear" w:color="auto" w:fill="FFFFFF"/>
        </w:rPr>
        <w:t xml:space="preserve">Smeeton, J. (2020). 'A murky business': A phenomenological ontology of risk in child protection social work. </w:t>
      </w:r>
      <w:r w:rsidRPr="008D653C">
        <w:rPr>
          <w:i/>
          <w:iCs/>
          <w:sz w:val="18"/>
          <w:szCs w:val="20"/>
          <w:shd w:val="clear" w:color="auto" w:fill="FFFFFF"/>
        </w:rPr>
        <w:t>Qualitative Social Work</w:t>
      </w:r>
      <w:r w:rsidRPr="008D653C">
        <w:rPr>
          <w:sz w:val="18"/>
          <w:szCs w:val="20"/>
          <w:shd w:val="clear" w:color="auto" w:fill="FFFFFF"/>
        </w:rPr>
        <w:t>,</w:t>
      </w:r>
      <w:r w:rsidRPr="008D653C">
        <w:rPr>
          <w:i/>
          <w:iCs/>
          <w:sz w:val="18"/>
          <w:szCs w:val="20"/>
          <w:shd w:val="clear" w:color="auto" w:fill="FFFFFF"/>
        </w:rPr>
        <w:t xml:space="preserve"> 19</w:t>
      </w:r>
      <w:r w:rsidRPr="008D653C">
        <w:rPr>
          <w:sz w:val="18"/>
          <w:szCs w:val="20"/>
          <w:shd w:val="clear" w:color="auto" w:fill="FFFFFF"/>
        </w:rPr>
        <w:t xml:space="preserve">(2), 284-300. </w:t>
      </w:r>
    </w:p>
    <w:p w14:paraId="3854D345" w14:textId="162CA411"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doi.org/10.1177/14733250188157321473325018815732.</w:t>
      </w:r>
    </w:p>
    <w:p w14:paraId="12DDFF6E" w14:textId="77777777" w:rsidR="004A5EB0" w:rsidRDefault="008D653C" w:rsidP="004A5EB0">
      <w:pPr>
        <w:bidi w:val="0"/>
        <w:ind w:left="397" w:hanging="397"/>
        <w:jc w:val="both"/>
        <w:rPr>
          <w:sz w:val="18"/>
          <w:szCs w:val="20"/>
          <w:shd w:val="clear" w:color="auto" w:fill="FFFFFF"/>
        </w:rPr>
      </w:pPr>
      <w:proofErr w:type="spellStart"/>
      <w:r w:rsidRPr="008D653C">
        <w:rPr>
          <w:sz w:val="18"/>
          <w:szCs w:val="20"/>
          <w:shd w:val="clear" w:color="auto" w:fill="FFFFFF"/>
        </w:rPr>
        <w:t>Sonego</w:t>
      </w:r>
      <w:proofErr w:type="spellEnd"/>
      <w:r w:rsidRPr="008D653C">
        <w:rPr>
          <w:sz w:val="18"/>
          <w:szCs w:val="20"/>
          <w:shd w:val="clear" w:color="auto" w:fill="FFFFFF"/>
        </w:rPr>
        <w:t xml:space="preserve">, M., </w:t>
      </w:r>
      <w:proofErr w:type="spellStart"/>
      <w:r w:rsidRPr="008D653C">
        <w:rPr>
          <w:sz w:val="18"/>
          <w:szCs w:val="20"/>
          <w:shd w:val="clear" w:color="auto" w:fill="FFFFFF"/>
        </w:rPr>
        <w:t>Llácer</w:t>
      </w:r>
      <w:proofErr w:type="spellEnd"/>
      <w:r w:rsidRPr="008D653C">
        <w:rPr>
          <w:sz w:val="18"/>
          <w:szCs w:val="20"/>
          <w:shd w:val="clear" w:color="auto" w:fill="FFFFFF"/>
        </w:rPr>
        <w:t xml:space="preserve">, A., </w:t>
      </w:r>
      <w:proofErr w:type="spellStart"/>
      <w:r w:rsidRPr="008D653C">
        <w:rPr>
          <w:sz w:val="18"/>
          <w:szCs w:val="20"/>
          <w:shd w:val="clear" w:color="auto" w:fill="FFFFFF"/>
        </w:rPr>
        <w:t>Galán</w:t>
      </w:r>
      <w:proofErr w:type="spellEnd"/>
      <w:r w:rsidRPr="008D653C">
        <w:rPr>
          <w:sz w:val="18"/>
          <w:szCs w:val="20"/>
          <w:shd w:val="clear" w:color="auto" w:fill="FFFFFF"/>
        </w:rPr>
        <w:t xml:space="preserve">, I., &amp; Simón, F. (2013). The influence of parental education on child mental health in Spain. </w:t>
      </w:r>
      <w:r w:rsidRPr="008D653C">
        <w:rPr>
          <w:i/>
          <w:iCs/>
          <w:sz w:val="18"/>
          <w:szCs w:val="20"/>
          <w:shd w:val="clear" w:color="auto" w:fill="FFFFFF"/>
        </w:rPr>
        <w:t>Quality of Life Research, 22</w:t>
      </w:r>
      <w:r w:rsidRPr="008D653C">
        <w:rPr>
          <w:sz w:val="18"/>
          <w:szCs w:val="20"/>
          <w:shd w:val="clear" w:color="auto" w:fill="FFFFFF"/>
        </w:rPr>
        <w:t>(1), 203-211.</w:t>
      </w:r>
      <w:r w:rsidRPr="008D653C">
        <w:rPr>
          <w:sz w:val="18"/>
          <w:szCs w:val="20"/>
          <w:shd w:val="clear" w:color="auto" w:fill="FFFFFF"/>
          <w:rtl/>
        </w:rPr>
        <w:t>‏</w:t>
      </w:r>
      <w:r w:rsidRPr="008D653C">
        <w:rPr>
          <w:sz w:val="18"/>
          <w:szCs w:val="20"/>
          <w:shd w:val="clear" w:color="auto" w:fill="FFFFFF"/>
        </w:rPr>
        <w:t xml:space="preserve"> </w:t>
      </w:r>
    </w:p>
    <w:p w14:paraId="2939C1E1" w14:textId="29ADFD5F"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doi.org/10.1007/s11136-012-0130-x</w:t>
      </w:r>
    </w:p>
    <w:p w14:paraId="3FD0D830" w14:textId="77777777" w:rsidR="004A5EB0" w:rsidRDefault="008D653C" w:rsidP="004A5EB0">
      <w:pPr>
        <w:bidi w:val="0"/>
        <w:ind w:left="397" w:hanging="397"/>
        <w:jc w:val="both"/>
        <w:rPr>
          <w:sz w:val="18"/>
          <w:szCs w:val="20"/>
          <w:shd w:val="clear" w:color="auto" w:fill="FFFFFF"/>
        </w:rPr>
      </w:pPr>
      <w:proofErr w:type="spellStart"/>
      <w:r w:rsidRPr="008D653C">
        <w:rPr>
          <w:sz w:val="18"/>
          <w:szCs w:val="20"/>
          <w:shd w:val="clear" w:color="auto" w:fill="FFFFFF"/>
        </w:rPr>
        <w:t>Strier</w:t>
      </w:r>
      <w:proofErr w:type="spellEnd"/>
      <w:r w:rsidRPr="008D653C">
        <w:rPr>
          <w:sz w:val="18"/>
          <w:szCs w:val="20"/>
          <w:shd w:val="clear" w:color="auto" w:fill="FFFFFF"/>
        </w:rPr>
        <w:t xml:space="preserve">, R. &amp; Feldman, G. (2017). Reengineering social work’s political passion: Policy practice and neo-liberalism. </w:t>
      </w:r>
      <w:r w:rsidRPr="008D653C">
        <w:rPr>
          <w:i/>
          <w:iCs/>
          <w:sz w:val="18"/>
          <w:szCs w:val="20"/>
          <w:shd w:val="clear" w:color="auto" w:fill="FFFFFF"/>
        </w:rPr>
        <w:t>British Journal of Social Work</w:t>
      </w:r>
      <w:r w:rsidRPr="008D653C">
        <w:rPr>
          <w:sz w:val="18"/>
          <w:szCs w:val="20"/>
          <w:shd w:val="clear" w:color="auto" w:fill="FFFFFF"/>
        </w:rPr>
        <w:t>,</w:t>
      </w:r>
      <w:r w:rsidRPr="008D653C">
        <w:rPr>
          <w:i/>
          <w:iCs/>
          <w:sz w:val="18"/>
          <w:szCs w:val="20"/>
          <w:shd w:val="clear" w:color="auto" w:fill="FFFFFF"/>
        </w:rPr>
        <w:t xml:space="preserve"> 48</w:t>
      </w:r>
      <w:r w:rsidRPr="008D653C">
        <w:rPr>
          <w:sz w:val="18"/>
          <w:szCs w:val="20"/>
          <w:shd w:val="clear" w:color="auto" w:fill="FFFFFF"/>
        </w:rPr>
        <w:t xml:space="preserve">(3), 751-768. </w:t>
      </w:r>
    </w:p>
    <w:p w14:paraId="27CF96FA" w14:textId="0DF9B63C"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doi.org/10.1093/</w:t>
      </w:r>
      <w:proofErr w:type="spellStart"/>
      <w:r w:rsidRPr="004A5EB0">
        <w:rPr>
          <w:sz w:val="16"/>
          <w:szCs w:val="18"/>
          <w:shd w:val="clear" w:color="auto" w:fill="FFFFFF"/>
        </w:rPr>
        <w:t>bjsw</w:t>
      </w:r>
      <w:proofErr w:type="spellEnd"/>
      <w:r w:rsidRPr="004A5EB0">
        <w:rPr>
          <w:sz w:val="16"/>
          <w:szCs w:val="18"/>
          <w:shd w:val="clear" w:color="auto" w:fill="FFFFFF"/>
        </w:rPr>
        <w:t>/bcx064</w:t>
      </w:r>
    </w:p>
    <w:p w14:paraId="5FC331D2" w14:textId="77777777" w:rsidR="004A5EB0" w:rsidRDefault="008D653C" w:rsidP="004A5EB0">
      <w:pPr>
        <w:bidi w:val="0"/>
        <w:ind w:left="397" w:hanging="397"/>
        <w:jc w:val="both"/>
        <w:rPr>
          <w:sz w:val="18"/>
          <w:szCs w:val="20"/>
        </w:rPr>
      </w:pPr>
      <w:r w:rsidRPr="008D653C">
        <w:rPr>
          <w:sz w:val="18"/>
          <w:szCs w:val="20"/>
        </w:rPr>
        <w:t xml:space="preserve">Taylor, C. (2004). Underpinning knowledge for childcare practice: Reconsidering child development theory. </w:t>
      </w:r>
      <w:r w:rsidRPr="008D653C">
        <w:rPr>
          <w:i/>
          <w:iCs/>
          <w:sz w:val="18"/>
          <w:szCs w:val="20"/>
        </w:rPr>
        <w:t>Child &amp; Family Social Work</w:t>
      </w:r>
      <w:r w:rsidRPr="008D653C">
        <w:rPr>
          <w:sz w:val="18"/>
          <w:szCs w:val="20"/>
        </w:rPr>
        <w:t>,</w:t>
      </w:r>
      <w:r w:rsidRPr="008D653C">
        <w:rPr>
          <w:i/>
          <w:iCs/>
          <w:sz w:val="18"/>
          <w:szCs w:val="20"/>
        </w:rPr>
        <w:t xml:space="preserve"> 9</w:t>
      </w:r>
      <w:r w:rsidRPr="008D653C">
        <w:rPr>
          <w:sz w:val="18"/>
          <w:szCs w:val="20"/>
        </w:rPr>
        <w:t xml:space="preserve">(3), 225-235. </w:t>
      </w:r>
    </w:p>
    <w:p w14:paraId="61DFBE2C" w14:textId="4A0292B6"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doi.org/10.1111/j.1365-2206.</w:t>
      </w:r>
      <w:proofErr w:type="gramStart"/>
      <w:r w:rsidRPr="004A5EB0">
        <w:rPr>
          <w:sz w:val="16"/>
          <w:szCs w:val="18"/>
          <w:shd w:val="clear" w:color="auto" w:fill="FFFFFF"/>
        </w:rPr>
        <w:t>2004.00330.x</w:t>
      </w:r>
      <w:proofErr w:type="gramEnd"/>
    </w:p>
    <w:p w14:paraId="5F8F9784" w14:textId="77777777" w:rsidR="008D653C" w:rsidRPr="008D653C" w:rsidRDefault="008D653C" w:rsidP="00E67D70">
      <w:pPr>
        <w:bidi w:val="0"/>
        <w:spacing w:after="120"/>
        <w:ind w:left="397" w:hanging="397"/>
        <w:jc w:val="both"/>
        <w:rPr>
          <w:sz w:val="18"/>
          <w:szCs w:val="20"/>
        </w:rPr>
      </w:pPr>
      <w:proofErr w:type="spellStart"/>
      <w:r w:rsidRPr="008D653C">
        <w:rPr>
          <w:sz w:val="18"/>
          <w:szCs w:val="20"/>
        </w:rPr>
        <w:t>Ulitsa</w:t>
      </w:r>
      <w:proofErr w:type="spellEnd"/>
      <w:r w:rsidRPr="008D653C">
        <w:rPr>
          <w:sz w:val="18"/>
          <w:szCs w:val="20"/>
        </w:rPr>
        <w:t xml:space="preserve">, N., Yona, L., &amp; </w:t>
      </w:r>
      <w:proofErr w:type="spellStart"/>
      <w:r w:rsidRPr="008D653C">
        <w:rPr>
          <w:sz w:val="18"/>
          <w:szCs w:val="20"/>
        </w:rPr>
        <w:t>Gogonsky</w:t>
      </w:r>
      <w:proofErr w:type="spellEnd"/>
      <w:r w:rsidRPr="008D653C">
        <w:rPr>
          <w:sz w:val="18"/>
          <w:szCs w:val="20"/>
        </w:rPr>
        <w:t>, A. (2020). Child risk</w:t>
      </w:r>
      <w:r w:rsidRPr="008D653C">
        <w:rPr>
          <w:sz w:val="18"/>
          <w:szCs w:val="20"/>
          <w:rtl/>
        </w:rPr>
        <w:t xml:space="preserve"> </w:t>
      </w:r>
      <w:r w:rsidRPr="008D653C">
        <w:rPr>
          <w:sz w:val="18"/>
          <w:szCs w:val="20"/>
        </w:rPr>
        <w:t xml:space="preserve">and protection: Perceptions of one-and-a-half generation immigrant parents from the Former Soviet Union and Israeli social workers. In D. </w:t>
      </w:r>
      <w:proofErr w:type="spellStart"/>
      <w:r w:rsidRPr="008D653C">
        <w:rPr>
          <w:sz w:val="18"/>
          <w:szCs w:val="20"/>
        </w:rPr>
        <w:t>Roer-Strier</w:t>
      </w:r>
      <w:proofErr w:type="spellEnd"/>
      <w:r w:rsidRPr="008D653C">
        <w:rPr>
          <w:sz w:val="18"/>
          <w:szCs w:val="20"/>
        </w:rPr>
        <w:t xml:space="preserve"> &amp; Y. </w:t>
      </w:r>
      <w:proofErr w:type="spellStart"/>
      <w:r w:rsidRPr="008D653C">
        <w:rPr>
          <w:sz w:val="18"/>
          <w:szCs w:val="20"/>
        </w:rPr>
        <w:t>Nadan</w:t>
      </w:r>
      <w:proofErr w:type="spellEnd"/>
      <w:r w:rsidRPr="008D653C">
        <w:rPr>
          <w:sz w:val="18"/>
          <w:szCs w:val="20"/>
        </w:rPr>
        <w:t xml:space="preserve"> (Eds.) </w:t>
      </w:r>
      <w:r w:rsidRPr="008D653C">
        <w:rPr>
          <w:i/>
          <w:iCs/>
          <w:sz w:val="18"/>
          <w:szCs w:val="20"/>
        </w:rPr>
        <w:t>Context-informed perspectives of child risk and protection in Israel</w:t>
      </w:r>
      <w:r w:rsidRPr="008D653C">
        <w:rPr>
          <w:sz w:val="18"/>
          <w:szCs w:val="20"/>
        </w:rPr>
        <w:t xml:space="preserve"> (pp. 171-196)</w:t>
      </w:r>
      <w:r w:rsidRPr="008D653C">
        <w:rPr>
          <w:i/>
          <w:iCs/>
          <w:sz w:val="18"/>
          <w:szCs w:val="20"/>
        </w:rPr>
        <w:t>.</w:t>
      </w:r>
      <w:r w:rsidRPr="008D653C">
        <w:rPr>
          <w:sz w:val="18"/>
          <w:szCs w:val="20"/>
        </w:rPr>
        <w:t xml:space="preserve"> Springer.</w:t>
      </w:r>
    </w:p>
    <w:p w14:paraId="6DB6CDC1" w14:textId="77777777" w:rsidR="004A5EB0" w:rsidRDefault="008D653C" w:rsidP="004A5EB0">
      <w:pPr>
        <w:bidi w:val="0"/>
        <w:ind w:left="397" w:hanging="397"/>
        <w:jc w:val="both"/>
        <w:rPr>
          <w:sz w:val="18"/>
          <w:szCs w:val="20"/>
        </w:rPr>
      </w:pPr>
      <w:proofErr w:type="spellStart"/>
      <w:r w:rsidRPr="008D653C">
        <w:rPr>
          <w:sz w:val="18"/>
          <w:szCs w:val="20"/>
        </w:rPr>
        <w:t>Wahle</w:t>
      </w:r>
      <w:proofErr w:type="spellEnd"/>
      <w:r w:rsidRPr="008D653C">
        <w:rPr>
          <w:sz w:val="18"/>
          <w:szCs w:val="20"/>
        </w:rPr>
        <w:t xml:space="preserve">, N., </w:t>
      </w:r>
      <w:proofErr w:type="spellStart"/>
      <w:r w:rsidRPr="008D653C">
        <w:rPr>
          <w:sz w:val="18"/>
          <w:szCs w:val="20"/>
        </w:rPr>
        <w:t>Ponizovsky-Bergelson</w:t>
      </w:r>
      <w:proofErr w:type="spellEnd"/>
      <w:r w:rsidRPr="008D653C">
        <w:rPr>
          <w:sz w:val="18"/>
          <w:szCs w:val="20"/>
        </w:rPr>
        <w:t xml:space="preserve">, Y., Dayan, Y., </w:t>
      </w:r>
      <w:proofErr w:type="spellStart"/>
      <w:r w:rsidRPr="008D653C">
        <w:rPr>
          <w:sz w:val="18"/>
          <w:szCs w:val="20"/>
        </w:rPr>
        <w:t>Erlichman</w:t>
      </w:r>
      <w:proofErr w:type="spellEnd"/>
      <w:r w:rsidRPr="008D653C">
        <w:rPr>
          <w:sz w:val="18"/>
          <w:szCs w:val="20"/>
        </w:rPr>
        <w:t xml:space="preserve">, O., &amp; </w:t>
      </w:r>
      <w:proofErr w:type="spellStart"/>
      <w:r w:rsidRPr="008D653C">
        <w:rPr>
          <w:sz w:val="18"/>
          <w:szCs w:val="20"/>
        </w:rPr>
        <w:t>Roer-Strier</w:t>
      </w:r>
      <w:proofErr w:type="spellEnd"/>
      <w:r w:rsidRPr="008D653C">
        <w:rPr>
          <w:sz w:val="18"/>
          <w:szCs w:val="20"/>
        </w:rPr>
        <w:t xml:space="preserve">, D. (2017). On the margins of racism, immigration, and war: Perspectives on risk and protection of young children of Ethiopian origin in Israel. </w:t>
      </w:r>
      <w:r w:rsidRPr="008D653C">
        <w:rPr>
          <w:i/>
          <w:iCs/>
          <w:sz w:val="18"/>
          <w:szCs w:val="20"/>
        </w:rPr>
        <w:t>European Early Childhood Education Research Journal</w:t>
      </w:r>
      <w:r w:rsidRPr="008D653C">
        <w:rPr>
          <w:sz w:val="18"/>
          <w:szCs w:val="20"/>
        </w:rPr>
        <w:t>,</w:t>
      </w:r>
      <w:r w:rsidRPr="008D653C">
        <w:rPr>
          <w:i/>
          <w:iCs/>
          <w:sz w:val="18"/>
          <w:szCs w:val="20"/>
        </w:rPr>
        <w:t xml:space="preserve"> 25</w:t>
      </w:r>
      <w:r w:rsidRPr="008D653C">
        <w:rPr>
          <w:sz w:val="18"/>
          <w:szCs w:val="20"/>
        </w:rPr>
        <w:t xml:space="preserve">(2), 305-320. </w:t>
      </w:r>
    </w:p>
    <w:p w14:paraId="22B4949F" w14:textId="5E5B4018" w:rsidR="008D653C" w:rsidRPr="004A5EB0" w:rsidRDefault="008D653C" w:rsidP="004A5EB0">
      <w:pPr>
        <w:bidi w:val="0"/>
        <w:spacing w:after="120"/>
        <w:ind w:left="397" w:hanging="397"/>
        <w:rPr>
          <w:sz w:val="16"/>
          <w:szCs w:val="18"/>
          <w:shd w:val="clear" w:color="auto" w:fill="FFFFFF"/>
        </w:rPr>
      </w:pPr>
      <w:r w:rsidRPr="004A5EB0">
        <w:rPr>
          <w:sz w:val="16"/>
          <w:szCs w:val="18"/>
          <w:shd w:val="clear" w:color="auto" w:fill="FFFFFF"/>
        </w:rPr>
        <w:t>doi.org/10.1080/1350293X.2017.1288387</w:t>
      </w:r>
    </w:p>
    <w:p w14:paraId="04B6604C" w14:textId="77777777" w:rsidR="008D653C" w:rsidRPr="008D653C" w:rsidRDefault="008D653C" w:rsidP="00E67D70">
      <w:pPr>
        <w:bidi w:val="0"/>
        <w:spacing w:after="120"/>
        <w:ind w:left="397" w:hanging="397"/>
        <w:jc w:val="both"/>
        <w:rPr>
          <w:sz w:val="18"/>
          <w:szCs w:val="20"/>
        </w:rPr>
      </w:pPr>
      <w:r w:rsidRPr="008D653C">
        <w:rPr>
          <w:sz w:val="18"/>
          <w:szCs w:val="20"/>
        </w:rPr>
        <w:t xml:space="preserve">Yona, L. (2020). Challenging social workers’ envisioned definitions of child neglect: Perspectives of mothers living in an impoverished neighborhood. In D. </w:t>
      </w:r>
      <w:proofErr w:type="spellStart"/>
      <w:r w:rsidRPr="008D653C">
        <w:rPr>
          <w:sz w:val="18"/>
          <w:szCs w:val="20"/>
        </w:rPr>
        <w:t>Roer-Strier</w:t>
      </w:r>
      <w:proofErr w:type="spellEnd"/>
      <w:r w:rsidRPr="008D653C">
        <w:rPr>
          <w:sz w:val="18"/>
          <w:szCs w:val="20"/>
        </w:rPr>
        <w:t xml:space="preserve"> &amp; Y. </w:t>
      </w:r>
      <w:proofErr w:type="spellStart"/>
      <w:r w:rsidRPr="008D653C">
        <w:rPr>
          <w:sz w:val="18"/>
          <w:szCs w:val="20"/>
        </w:rPr>
        <w:t>Nadan</w:t>
      </w:r>
      <w:proofErr w:type="spellEnd"/>
      <w:r w:rsidRPr="008D653C">
        <w:rPr>
          <w:sz w:val="18"/>
          <w:szCs w:val="20"/>
        </w:rPr>
        <w:t xml:space="preserve"> (Eds.) </w:t>
      </w:r>
      <w:r w:rsidRPr="008D653C">
        <w:rPr>
          <w:i/>
          <w:iCs/>
          <w:sz w:val="18"/>
          <w:szCs w:val="20"/>
        </w:rPr>
        <w:t>Context-informed perspectives of child risk and protection in Israel</w:t>
      </w:r>
      <w:r w:rsidRPr="008D653C">
        <w:rPr>
          <w:sz w:val="18"/>
          <w:szCs w:val="20"/>
        </w:rPr>
        <w:t xml:space="preserve"> (pp. 197-216)</w:t>
      </w:r>
      <w:r w:rsidRPr="008D653C">
        <w:rPr>
          <w:i/>
          <w:iCs/>
          <w:sz w:val="18"/>
          <w:szCs w:val="20"/>
        </w:rPr>
        <w:t>.</w:t>
      </w:r>
      <w:r w:rsidRPr="008D653C">
        <w:rPr>
          <w:sz w:val="18"/>
          <w:szCs w:val="20"/>
        </w:rPr>
        <w:t xml:space="preserve"> Springer.</w:t>
      </w:r>
    </w:p>
    <w:p w14:paraId="6398F07D" w14:textId="562E12F9" w:rsidR="008D653C" w:rsidRPr="008D653C" w:rsidRDefault="008D653C" w:rsidP="00E67D70">
      <w:pPr>
        <w:bidi w:val="0"/>
        <w:spacing w:after="120"/>
        <w:ind w:left="397" w:hanging="397"/>
        <w:jc w:val="both"/>
        <w:rPr>
          <w:sz w:val="18"/>
          <w:szCs w:val="20"/>
        </w:rPr>
      </w:pPr>
      <w:r w:rsidRPr="008D653C">
        <w:rPr>
          <w:sz w:val="18"/>
          <w:szCs w:val="20"/>
        </w:rPr>
        <w:t xml:space="preserve">Yona, L. &amp; </w:t>
      </w:r>
      <w:proofErr w:type="spellStart"/>
      <w:r w:rsidRPr="008D653C">
        <w:rPr>
          <w:sz w:val="18"/>
          <w:szCs w:val="20"/>
        </w:rPr>
        <w:t>Nadan</w:t>
      </w:r>
      <w:proofErr w:type="spellEnd"/>
      <w:r w:rsidRPr="008D653C">
        <w:rPr>
          <w:sz w:val="18"/>
          <w:szCs w:val="20"/>
        </w:rPr>
        <w:t>, Y. (R&amp;R). Mind the gap: Parental and professional perceptions of 'risk' for children living in poverty.</w:t>
      </w:r>
      <w:r w:rsidRPr="008D653C">
        <w:rPr>
          <w:i/>
          <w:iCs/>
          <w:sz w:val="18"/>
          <w:szCs w:val="20"/>
        </w:rPr>
        <w:t xml:space="preserve"> Child &amp; Family Social Work</w:t>
      </w:r>
      <w:r w:rsidRPr="008D653C">
        <w:rPr>
          <w:sz w:val="18"/>
          <w:szCs w:val="20"/>
        </w:rPr>
        <w:t>. Advance online publication. doi.org/10.1111/cfs.12840</w:t>
      </w:r>
    </w:p>
    <w:p w14:paraId="694E97A0" w14:textId="4957CF67" w:rsidR="00B65652" w:rsidRDefault="008D653C" w:rsidP="00955C47">
      <w:pPr>
        <w:bidi w:val="0"/>
        <w:spacing w:after="120"/>
        <w:ind w:left="397" w:hanging="397"/>
        <w:jc w:val="both"/>
        <w:rPr>
          <w:sz w:val="18"/>
          <w:szCs w:val="20"/>
          <w:shd w:val="clear" w:color="auto" w:fill="FFFFFF"/>
          <w:rtl/>
        </w:rPr>
      </w:pPr>
      <w:r w:rsidRPr="008D653C">
        <w:rPr>
          <w:sz w:val="18"/>
          <w:szCs w:val="20"/>
          <w:shd w:val="clear" w:color="auto" w:fill="FFFFFF"/>
        </w:rPr>
        <w:t xml:space="preserve">Young, A. (1995). </w:t>
      </w:r>
      <w:r w:rsidRPr="008D653C">
        <w:rPr>
          <w:i/>
          <w:iCs/>
          <w:sz w:val="18"/>
          <w:szCs w:val="20"/>
          <w:shd w:val="clear" w:color="auto" w:fill="FFFFFF"/>
        </w:rPr>
        <w:t>The harmony of illusions: Inventing post-traumatic stress disorder.</w:t>
      </w:r>
      <w:r w:rsidRPr="008D653C" w:rsidDel="002E11C5">
        <w:rPr>
          <w:sz w:val="18"/>
          <w:szCs w:val="20"/>
          <w:shd w:val="clear" w:color="auto" w:fill="FFFFFF"/>
        </w:rPr>
        <w:t xml:space="preserve"> </w:t>
      </w:r>
      <w:r w:rsidRPr="008D653C">
        <w:rPr>
          <w:sz w:val="18"/>
          <w:szCs w:val="20"/>
          <w:shd w:val="clear" w:color="auto" w:fill="FFFFFF"/>
        </w:rPr>
        <w:t>Princeton University Press.</w:t>
      </w:r>
    </w:p>
    <w:p w14:paraId="2087840F" w14:textId="77777777" w:rsidR="00731BD7" w:rsidRDefault="00731BD7" w:rsidP="00731BD7">
      <w:pPr>
        <w:bidi w:val="0"/>
        <w:spacing w:after="120"/>
        <w:ind w:left="397" w:hanging="397"/>
        <w:jc w:val="both"/>
        <w:rPr>
          <w:sz w:val="18"/>
          <w:szCs w:val="20"/>
        </w:rPr>
        <w:sectPr w:rsidR="00731BD7" w:rsidSect="00731BD7">
          <w:headerReference w:type="even" r:id="rId10"/>
          <w:headerReference w:type="default" r:id="rId11"/>
          <w:headerReference w:type="first" r:id="rId12"/>
          <w:footerReference w:type="first" r:id="rId13"/>
          <w:pgSz w:w="11906" w:h="16838" w:code="9"/>
          <w:pgMar w:top="3515" w:right="2722" w:bottom="2948" w:left="2722" w:header="2665" w:footer="2665" w:gutter="0"/>
          <w:pgNumType w:start="19"/>
          <w:cols w:space="708"/>
          <w:titlePg/>
          <w:docGrid w:linePitch="360"/>
        </w:sectPr>
      </w:pPr>
    </w:p>
    <w:p w14:paraId="48BC822D" w14:textId="02DAD770" w:rsidR="00731BD7" w:rsidRPr="008D653C" w:rsidRDefault="00731BD7" w:rsidP="00731BD7">
      <w:pPr>
        <w:bidi w:val="0"/>
        <w:spacing w:after="120"/>
        <w:ind w:left="397" w:hanging="397"/>
        <w:jc w:val="both"/>
        <w:rPr>
          <w:sz w:val="18"/>
          <w:szCs w:val="20"/>
          <w:rtl/>
        </w:rPr>
      </w:pPr>
    </w:p>
    <w:sectPr w:rsidR="00731BD7" w:rsidRPr="008D653C" w:rsidSect="00731BD7">
      <w:footerReference w:type="first" r:id="rId14"/>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9F7E" w14:textId="77777777" w:rsidR="009A33CB" w:rsidRDefault="009A33CB">
      <w:pPr>
        <w:spacing w:line="240" w:lineRule="auto"/>
      </w:pPr>
      <w:r>
        <w:separator/>
      </w:r>
    </w:p>
  </w:endnote>
  <w:endnote w:type="continuationSeparator" w:id="0">
    <w:p w14:paraId="25596242" w14:textId="77777777" w:rsidR="009A33CB" w:rsidRDefault="009A3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2851A96F" w:rsidR="003C255E" w:rsidRDefault="008D653C" w:rsidP="00DE795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115</w:t>
    </w:r>
    <w:r w:rsidRPr="0090645A">
      <w:rPr>
        <w:rFonts w:hint="cs"/>
        <w:sz w:val="16"/>
        <w:szCs w:val="16"/>
        <w:rtl/>
      </w:rPr>
      <w:t xml:space="preserve">, </w:t>
    </w:r>
    <w:r>
      <w:rPr>
        <w:rFonts w:hint="cs"/>
        <w:sz w:val="16"/>
        <w:szCs w:val="16"/>
        <w:rtl/>
      </w:rPr>
      <w:t xml:space="preserve">דצמבר </w:t>
    </w:r>
    <w:r w:rsidRPr="0090645A">
      <w:rPr>
        <w:rFonts w:hint="cs"/>
        <w:sz w:val="16"/>
        <w:szCs w:val="16"/>
        <w:rtl/>
      </w:rPr>
      <w:t>20</w:t>
    </w:r>
    <w:r>
      <w:rPr>
        <w:rFonts w:hint="cs"/>
        <w:sz w:val="16"/>
        <w:szCs w:val="16"/>
        <w:rtl/>
      </w:rPr>
      <w:t>21</w:t>
    </w:r>
    <w:r w:rsidR="00731BD7">
      <w:rPr>
        <w:rFonts w:hint="cs"/>
        <w:sz w:val="16"/>
        <w:szCs w:val="16"/>
        <w:rtl/>
      </w:rPr>
      <w:t>: 39-19</w:t>
    </w:r>
    <w:r w:rsidR="003C255E">
      <w:rPr>
        <w:sz w:val="16"/>
        <w:szCs w:val="16"/>
      </w:rPr>
      <w:tab/>
    </w:r>
    <w:r>
      <w:rPr>
        <w:sz w:val="16"/>
        <w:szCs w:val="16"/>
        <w:rtl/>
      </w:rPr>
      <w:t>נשלח לפרסום ב-</w:t>
    </w:r>
    <w:r w:rsidRPr="00E519D9">
      <w:rPr>
        <w:sz w:val="16"/>
        <w:szCs w:val="16"/>
        <w:rtl/>
      </w:rPr>
      <w:t xml:space="preserve"> 14.12.20</w:t>
    </w:r>
    <w:r>
      <w:rPr>
        <w:sz w:val="16"/>
        <w:szCs w:val="16"/>
        <w:rtl/>
      </w:rPr>
      <w:t>, התקבל ב-</w:t>
    </w:r>
    <w:r w:rsidRPr="00E519D9">
      <w:rPr>
        <w:sz w:val="16"/>
        <w:szCs w:val="16"/>
        <w:rtl/>
      </w:rPr>
      <w:t>19.2.21</w:t>
    </w:r>
  </w:p>
  <w:p w14:paraId="58EDC6ED" w14:textId="77777777" w:rsidR="00DE7959" w:rsidRPr="003C255E" w:rsidRDefault="00DE7959" w:rsidP="00DE7959">
    <w:pPr>
      <w:pStyle w:val="Header"/>
      <w:tabs>
        <w:tab w:val="clear" w:pos="4153"/>
        <w:tab w:val="clear" w:pos="8306"/>
        <w:tab w:val="center" w:pos="3345"/>
        <w:tab w:val="right" w:pos="6691"/>
      </w:tabs>
      <w:spacing w:line="200" w:lineRule="exact"/>
      <w:rPr>
        <w:sz w:val="16"/>
        <w:szCs w:val="16"/>
      </w:rPr>
    </w:pPr>
  </w:p>
  <w:p w14:paraId="34F54532" w14:textId="77777777" w:rsidR="00DE7959" w:rsidRPr="00A17DA2" w:rsidRDefault="00DE7959" w:rsidP="00DE7959">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A035" w14:textId="77777777" w:rsidR="00731BD7" w:rsidRPr="00A17DA2" w:rsidRDefault="00731BD7" w:rsidP="00DE7959">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83DA" w14:textId="77777777" w:rsidR="009A33CB" w:rsidRDefault="009A33CB" w:rsidP="00A04D35">
      <w:pPr>
        <w:spacing w:before="120" w:after="80"/>
        <w:rPr>
          <w:rFonts w:cs="FrankRuehl"/>
          <w:sz w:val="18"/>
          <w:szCs w:val="18"/>
        </w:rPr>
      </w:pPr>
      <w:r>
        <w:rPr>
          <w:rFonts w:cs="FrankRuehl" w:hint="cs"/>
          <w:sz w:val="18"/>
          <w:szCs w:val="18"/>
          <w:rtl/>
        </w:rPr>
        <w:t>_____________</w:t>
      </w:r>
    </w:p>
  </w:footnote>
  <w:footnote w:type="continuationSeparator" w:id="0">
    <w:p w14:paraId="56724EAA" w14:textId="77777777" w:rsidR="009A33CB" w:rsidRDefault="009A33CB">
      <w:r>
        <w:continuationSeparator/>
      </w:r>
    </w:p>
  </w:footnote>
  <w:footnote w:type="continuationNotice" w:id="1">
    <w:p w14:paraId="1E639C7F" w14:textId="77777777" w:rsidR="009A33CB" w:rsidRDefault="009A33CB">
      <w:pPr>
        <w:rPr>
          <w:rtl/>
        </w:rPr>
      </w:pPr>
    </w:p>
  </w:footnote>
  <w:footnote w:id="2">
    <w:p w14:paraId="5619AD43" w14:textId="77777777" w:rsidR="008D653C" w:rsidRPr="008D653C" w:rsidRDefault="008D653C" w:rsidP="008D653C">
      <w:pPr>
        <w:keepLines/>
        <w:spacing w:line="200" w:lineRule="exact"/>
        <w:ind w:left="397" w:hanging="397"/>
        <w:jc w:val="both"/>
        <w:rPr>
          <w:sz w:val="14"/>
          <w:szCs w:val="16"/>
          <w:rtl/>
        </w:rPr>
      </w:pPr>
      <w:r w:rsidRPr="008D653C">
        <w:rPr>
          <w:sz w:val="14"/>
          <w:szCs w:val="16"/>
        </w:rPr>
        <w:footnoteRef/>
      </w:r>
      <w:r w:rsidRPr="008D653C">
        <w:rPr>
          <w:sz w:val="14"/>
          <w:szCs w:val="16"/>
        </w:rPr>
        <w:t xml:space="preserve"> </w:t>
      </w:r>
      <w:r w:rsidRPr="008D653C">
        <w:rPr>
          <w:sz w:val="14"/>
          <w:szCs w:val="16"/>
          <w:rtl/>
        </w:rPr>
        <w:tab/>
        <w:t>פרופסור</w:t>
      </w:r>
      <w:r w:rsidRPr="008D653C">
        <w:rPr>
          <w:rFonts w:hint="cs"/>
          <w:sz w:val="14"/>
          <w:szCs w:val="16"/>
          <w:rtl/>
        </w:rPr>
        <w:t xml:space="preserve"> מן המניין</w:t>
      </w:r>
      <w:r w:rsidRPr="008D653C">
        <w:rPr>
          <w:sz w:val="14"/>
          <w:szCs w:val="16"/>
          <w:rtl/>
        </w:rPr>
        <w:t xml:space="preserve">, מנהלת חממת נבט, בית הספר לעבודה סוציאלית ולרווחה חברתית ע"ש </w:t>
      </w:r>
      <w:r w:rsidRPr="008D653C">
        <w:rPr>
          <w:rFonts w:hint="cs"/>
          <w:sz w:val="14"/>
          <w:szCs w:val="16"/>
          <w:rtl/>
        </w:rPr>
        <w:t xml:space="preserve">פאול </w:t>
      </w:r>
      <w:proofErr w:type="spellStart"/>
      <w:r w:rsidRPr="008D653C">
        <w:rPr>
          <w:sz w:val="14"/>
          <w:szCs w:val="16"/>
          <w:rtl/>
        </w:rPr>
        <w:t>ברוואלד</w:t>
      </w:r>
      <w:proofErr w:type="spellEnd"/>
      <w:r w:rsidRPr="008D653C">
        <w:rPr>
          <w:sz w:val="14"/>
          <w:szCs w:val="16"/>
          <w:rtl/>
        </w:rPr>
        <w:t>, האוניברסיטה העברית בירושלים.</w:t>
      </w:r>
    </w:p>
  </w:footnote>
  <w:footnote w:id="3">
    <w:p w14:paraId="3218B90F" w14:textId="77777777" w:rsidR="008D653C" w:rsidRPr="008D653C" w:rsidRDefault="008D653C" w:rsidP="008D653C">
      <w:pPr>
        <w:keepLines/>
        <w:spacing w:line="200" w:lineRule="exact"/>
        <w:ind w:left="397" w:hanging="397"/>
        <w:jc w:val="both"/>
        <w:rPr>
          <w:sz w:val="14"/>
          <w:szCs w:val="16"/>
          <w:rtl/>
        </w:rPr>
      </w:pPr>
      <w:r w:rsidRPr="008D653C">
        <w:rPr>
          <w:sz w:val="14"/>
          <w:szCs w:val="16"/>
        </w:rPr>
        <w:footnoteRef/>
      </w:r>
      <w:r w:rsidRPr="008D653C">
        <w:rPr>
          <w:sz w:val="14"/>
          <w:szCs w:val="16"/>
        </w:rPr>
        <w:t xml:space="preserve"> </w:t>
      </w:r>
      <w:r w:rsidRPr="008D653C">
        <w:rPr>
          <w:sz w:val="14"/>
          <w:szCs w:val="16"/>
          <w:rtl/>
        </w:rPr>
        <w:tab/>
      </w:r>
      <w:r w:rsidRPr="008D653C">
        <w:rPr>
          <w:rFonts w:hint="cs"/>
          <w:sz w:val="14"/>
          <w:szCs w:val="16"/>
          <w:rtl/>
        </w:rPr>
        <w:t xml:space="preserve">פרופסור חבר, </w:t>
      </w:r>
      <w:r w:rsidRPr="008D653C">
        <w:rPr>
          <w:sz w:val="14"/>
          <w:szCs w:val="16"/>
          <w:rtl/>
        </w:rPr>
        <w:t>חממת נבט, בי</w:t>
      </w:r>
      <w:r w:rsidRPr="008D653C">
        <w:rPr>
          <w:rFonts w:hint="cs"/>
          <w:sz w:val="14"/>
          <w:szCs w:val="16"/>
          <w:rtl/>
        </w:rPr>
        <w:t>ת הספר</w:t>
      </w:r>
      <w:r w:rsidRPr="008D653C">
        <w:rPr>
          <w:sz w:val="14"/>
          <w:szCs w:val="16"/>
          <w:rtl/>
        </w:rPr>
        <w:t xml:space="preserve"> לעבודה סוציאלית ולרווחה חברתית</w:t>
      </w:r>
      <w:r w:rsidRPr="008D653C">
        <w:rPr>
          <w:rFonts w:hint="cs"/>
          <w:sz w:val="14"/>
          <w:szCs w:val="16"/>
          <w:rtl/>
        </w:rPr>
        <w:t xml:space="preserve"> ע"ש פאול </w:t>
      </w:r>
      <w:proofErr w:type="spellStart"/>
      <w:r w:rsidRPr="008D653C">
        <w:rPr>
          <w:rFonts w:hint="cs"/>
          <w:sz w:val="14"/>
          <w:szCs w:val="16"/>
          <w:rtl/>
        </w:rPr>
        <w:t>ברוואלד</w:t>
      </w:r>
      <w:proofErr w:type="spellEnd"/>
      <w:r w:rsidRPr="008D653C">
        <w:rPr>
          <w:sz w:val="14"/>
          <w:szCs w:val="16"/>
          <w:rtl/>
        </w:rPr>
        <w:t>, האוניברסיטה העברית בירושלים.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6B59D96C"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B65652">
      <w:rPr>
        <w:rFonts w:ascii="David" w:hAnsi="David" w:cs="David" w:hint="cs"/>
        <w:b w:val="0"/>
        <w:bCs w:val="0"/>
        <w:sz w:val="18"/>
        <w:szCs w:val="18"/>
        <w:rt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70F6F347" w:rsidR="007667D8" w:rsidRPr="00CA633F" w:rsidRDefault="008D653C" w:rsidP="00446E1E">
    <w:pPr>
      <w:pStyle w:val="Heading1"/>
      <w:tabs>
        <w:tab w:val="center" w:pos="4536"/>
        <w:tab w:val="right" w:pos="9072"/>
      </w:tabs>
      <w:jc w:val="right"/>
      <w:rPr>
        <w:rFonts w:ascii="David" w:hAnsi="David" w:cs="David"/>
        <w:b w:val="0"/>
        <w:bCs w:val="0"/>
        <w:noProof/>
        <w:color w:val="A6A6A6"/>
        <w:sz w:val="20"/>
        <w:szCs w:val="20"/>
      </w:rPr>
    </w:pPr>
    <w:r w:rsidRPr="008D653C">
      <w:rPr>
        <w:rFonts w:ascii="David" w:hAnsi="David" w:cs="David"/>
        <w:b w:val="0"/>
        <w:bCs w:val="0"/>
        <w:noProof/>
        <w:sz w:val="18"/>
        <w:szCs w:val="18"/>
        <w:rtl/>
      </w:rPr>
      <w:t>ילדים בסיכון: בחינת מיתוסים לאור גישה מודעת-הקשר</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1B822889"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F4A1A"/>
    <w:multiLevelType w:val="hybridMultilevel"/>
    <w:tmpl w:val="5A862AA0"/>
    <w:lvl w:ilvl="0" w:tplc="2A3E105E">
      <w:start w:val="7"/>
      <w:numFmt w:val="decimal"/>
      <w:lvlText w:val="%1."/>
      <w:lvlJc w:val="left"/>
      <w:pPr>
        <w:ind w:left="90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24"/>
  </w:num>
  <w:num w:numId="4">
    <w:abstractNumId w:val="21"/>
  </w:num>
  <w:num w:numId="5">
    <w:abstractNumId w:val="7"/>
  </w:num>
  <w:num w:numId="6">
    <w:abstractNumId w:val="20"/>
  </w:num>
  <w:num w:numId="7">
    <w:abstractNumId w:val="14"/>
  </w:num>
  <w:num w:numId="8">
    <w:abstractNumId w:val="0"/>
  </w:num>
  <w:num w:numId="9">
    <w:abstractNumId w:val="6"/>
  </w:num>
  <w:num w:numId="10">
    <w:abstractNumId w:val="23"/>
  </w:num>
  <w:num w:numId="11">
    <w:abstractNumId w:val="22"/>
  </w:num>
  <w:num w:numId="12">
    <w:abstractNumId w:val="18"/>
  </w:num>
  <w:num w:numId="13">
    <w:abstractNumId w:val="10"/>
  </w:num>
  <w:num w:numId="14">
    <w:abstractNumId w:val="5"/>
  </w:num>
  <w:num w:numId="15">
    <w:abstractNumId w:val="9"/>
  </w:num>
  <w:num w:numId="16">
    <w:abstractNumId w:val="3"/>
  </w:num>
  <w:num w:numId="17">
    <w:abstractNumId w:val="25"/>
  </w:num>
  <w:num w:numId="18">
    <w:abstractNumId w:val="19"/>
  </w:num>
  <w:num w:numId="19">
    <w:abstractNumId w:val="8"/>
  </w:num>
  <w:num w:numId="20">
    <w:abstractNumId w:val="2"/>
  </w:num>
  <w:num w:numId="21">
    <w:abstractNumId w:val="1"/>
  </w:num>
  <w:num w:numId="22">
    <w:abstractNumId w:val="4"/>
  </w:num>
  <w:num w:numId="23">
    <w:abstractNumId w:val="16"/>
  </w:num>
  <w:num w:numId="24">
    <w:abstractNumId w:val="11"/>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211FB"/>
    <w:rsid w:val="00042A45"/>
    <w:rsid w:val="00053FEE"/>
    <w:rsid w:val="000552ED"/>
    <w:rsid w:val="000660A4"/>
    <w:rsid w:val="000A3731"/>
    <w:rsid w:val="000C13C4"/>
    <w:rsid w:val="000C236E"/>
    <w:rsid w:val="000C32F6"/>
    <w:rsid w:val="000E38FA"/>
    <w:rsid w:val="000E40C0"/>
    <w:rsid w:val="000E730A"/>
    <w:rsid w:val="000F1382"/>
    <w:rsid w:val="000F7FCC"/>
    <w:rsid w:val="00111FEC"/>
    <w:rsid w:val="00126BBB"/>
    <w:rsid w:val="001403E5"/>
    <w:rsid w:val="00152DDF"/>
    <w:rsid w:val="00160BCD"/>
    <w:rsid w:val="00164AB3"/>
    <w:rsid w:val="0018721E"/>
    <w:rsid w:val="00192386"/>
    <w:rsid w:val="001A0002"/>
    <w:rsid w:val="001D2C96"/>
    <w:rsid w:val="002044C6"/>
    <w:rsid w:val="00204AC0"/>
    <w:rsid w:val="00224C6A"/>
    <w:rsid w:val="00227591"/>
    <w:rsid w:val="00234C6B"/>
    <w:rsid w:val="002519BC"/>
    <w:rsid w:val="00272B00"/>
    <w:rsid w:val="00282B63"/>
    <w:rsid w:val="002C45DF"/>
    <w:rsid w:val="002D1E69"/>
    <w:rsid w:val="002F0EE3"/>
    <w:rsid w:val="00303665"/>
    <w:rsid w:val="003151B1"/>
    <w:rsid w:val="00317DCD"/>
    <w:rsid w:val="00336EF9"/>
    <w:rsid w:val="00360F01"/>
    <w:rsid w:val="00374196"/>
    <w:rsid w:val="00395EC5"/>
    <w:rsid w:val="003B537C"/>
    <w:rsid w:val="003C255E"/>
    <w:rsid w:val="003C3C55"/>
    <w:rsid w:val="003D1152"/>
    <w:rsid w:val="003D16D1"/>
    <w:rsid w:val="003D4AF9"/>
    <w:rsid w:val="00401641"/>
    <w:rsid w:val="00405788"/>
    <w:rsid w:val="004112B2"/>
    <w:rsid w:val="00416142"/>
    <w:rsid w:val="00424C06"/>
    <w:rsid w:val="00433DFB"/>
    <w:rsid w:val="004347AC"/>
    <w:rsid w:val="00446E1E"/>
    <w:rsid w:val="004543DB"/>
    <w:rsid w:val="0045651F"/>
    <w:rsid w:val="0046547D"/>
    <w:rsid w:val="00466666"/>
    <w:rsid w:val="00471658"/>
    <w:rsid w:val="004735F5"/>
    <w:rsid w:val="004A5EB0"/>
    <w:rsid w:val="004A71EC"/>
    <w:rsid w:val="004C47F0"/>
    <w:rsid w:val="004D67C3"/>
    <w:rsid w:val="00510775"/>
    <w:rsid w:val="00512B59"/>
    <w:rsid w:val="00514F6D"/>
    <w:rsid w:val="005201C4"/>
    <w:rsid w:val="00523BDE"/>
    <w:rsid w:val="00527001"/>
    <w:rsid w:val="005368B8"/>
    <w:rsid w:val="005416E9"/>
    <w:rsid w:val="005579CB"/>
    <w:rsid w:val="005619D8"/>
    <w:rsid w:val="0059386B"/>
    <w:rsid w:val="005B6002"/>
    <w:rsid w:val="005D5F14"/>
    <w:rsid w:val="005F635C"/>
    <w:rsid w:val="00602FED"/>
    <w:rsid w:val="00606992"/>
    <w:rsid w:val="006131D1"/>
    <w:rsid w:val="006154FA"/>
    <w:rsid w:val="0062321C"/>
    <w:rsid w:val="006358E3"/>
    <w:rsid w:val="0065160D"/>
    <w:rsid w:val="00652D7C"/>
    <w:rsid w:val="0065797B"/>
    <w:rsid w:val="00657997"/>
    <w:rsid w:val="00671EDF"/>
    <w:rsid w:val="006824DB"/>
    <w:rsid w:val="00683B19"/>
    <w:rsid w:val="006A07E8"/>
    <w:rsid w:val="006A5C0E"/>
    <w:rsid w:val="006B39AB"/>
    <w:rsid w:val="006C5BE6"/>
    <w:rsid w:val="006D0F89"/>
    <w:rsid w:val="006D270A"/>
    <w:rsid w:val="006E0F39"/>
    <w:rsid w:val="006F062C"/>
    <w:rsid w:val="00707EC7"/>
    <w:rsid w:val="007178F3"/>
    <w:rsid w:val="00721527"/>
    <w:rsid w:val="007240DD"/>
    <w:rsid w:val="00731BD7"/>
    <w:rsid w:val="00733272"/>
    <w:rsid w:val="007377A3"/>
    <w:rsid w:val="007667D8"/>
    <w:rsid w:val="00776EE2"/>
    <w:rsid w:val="00782E0D"/>
    <w:rsid w:val="00796021"/>
    <w:rsid w:val="007A6CDA"/>
    <w:rsid w:val="007B7399"/>
    <w:rsid w:val="007C7168"/>
    <w:rsid w:val="007C726C"/>
    <w:rsid w:val="007D59DF"/>
    <w:rsid w:val="007F29C9"/>
    <w:rsid w:val="0081739A"/>
    <w:rsid w:val="008243A6"/>
    <w:rsid w:val="00827A5F"/>
    <w:rsid w:val="00837F2F"/>
    <w:rsid w:val="00840D01"/>
    <w:rsid w:val="0084161C"/>
    <w:rsid w:val="008A4FAD"/>
    <w:rsid w:val="008D653C"/>
    <w:rsid w:val="008F7821"/>
    <w:rsid w:val="009023FC"/>
    <w:rsid w:val="009041F4"/>
    <w:rsid w:val="0090645A"/>
    <w:rsid w:val="00913099"/>
    <w:rsid w:val="00916371"/>
    <w:rsid w:val="00921795"/>
    <w:rsid w:val="009465AD"/>
    <w:rsid w:val="00946CCA"/>
    <w:rsid w:val="009522CA"/>
    <w:rsid w:val="009533A1"/>
    <w:rsid w:val="00955C47"/>
    <w:rsid w:val="00956C10"/>
    <w:rsid w:val="009A33CB"/>
    <w:rsid w:val="009B0512"/>
    <w:rsid w:val="009B53E8"/>
    <w:rsid w:val="009C5E89"/>
    <w:rsid w:val="009D7325"/>
    <w:rsid w:val="009E30A1"/>
    <w:rsid w:val="00A04D35"/>
    <w:rsid w:val="00A17DA2"/>
    <w:rsid w:val="00A27C04"/>
    <w:rsid w:val="00A36D7F"/>
    <w:rsid w:val="00A41FB6"/>
    <w:rsid w:val="00A6479A"/>
    <w:rsid w:val="00A73CF4"/>
    <w:rsid w:val="00A910EE"/>
    <w:rsid w:val="00A91A32"/>
    <w:rsid w:val="00A953FC"/>
    <w:rsid w:val="00A95F73"/>
    <w:rsid w:val="00AC3F0C"/>
    <w:rsid w:val="00AE03A0"/>
    <w:rsid w:val="00AE0A3D"/>
    <w:rsid w:val="00AE31E1"/>
    <w:rsid w:val="00AF7379"/>
    <w:rsid w:val="00B045C9"/>
    <w:rsid w:val="00B23956"/>
    <w:rsid w:val="00B468E5"/>
    <w:rsid w:val="00B65652"/>
    <w:rsid w:val="00B81818"/>
    <w:rsid w:val="00B86148"/>
    <w:rsid w:val="00BC1FB3"/>
    <w:rsid w:val="00C2342E"/>
    <w:rsid w:val="00C36CE5"/>
    <w:rsid w:val="00C44CE1"/>
    <w:rsid w:val="00C456EB"/>
    <w:rsid w:val="00C517A2"/>
    <w:rsid w:val="00C93533"/>
    <w:rsid w:val="00CA56D2"/>
    <w:rsid w:val="00CA5B5A"/>
    <w:rsid w:val="00CA633F"/>
    <w:rsid w:val="00CA7399"/>
    <w:rsid w:val="00CA7495"/>
    <w:rsid w:val="00CD593B"/>
    <w:rsid w:val="00CF5FCA"/>
    <w:rsid w:val="00CF7A4A"/>
    <w:rsid w:val="00D20154"/>
    <w:rsid w:val="00D20DE5"/>
    <w:rsid w:val="00D21D40"/>
    <w:rsid w:val="00D614D3"/>
    <w:rsid w:val="00D73C8D"/>
    <w:rsid w:val="00D92080"/>
    <w:rsid w:val="00D9338F"/>
    <w:rsid w:val="00D94E6C"/>
    <w:rsid w:val="00DA1730"/>
    <w:rsid w:val="00DA26AC"/>
    <w:rsid w:val="00DB2F51"/>
    <w:rsid w:val="00DD08CB"/>
    <w:rsid w:val="00DE7959"/>
    <w:rsid w:val="00DF30C9"/>
    <w:rsid w:val="00DF330D"/>
    <w:rsid w:val="00E14513"/>
    <w:rsid w:val="00E61D38"/>
    <w:rsid w:val="00E63B78"/>
    <w:rsid w:val="00E67D70"/>
    <w:rsid w:val="00E94167"/>
    <w:rsid w:val="00E95DB4"/>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A0917"/>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99"/>
    <w:qFormat/>
    <w:pPr>
      <w:spacing w:after="200" w:line="276" w:lineRule="auto"/>
      <w:ind w:left="720"/>
    </w:pPr>
    <w:rPr>
      <w:rFonts w:ascii="Calibri" w:eastAsia="Calibri" w:hAnsi="Calibri" w:cs="Arial"/>
      <w:sz w:val="22"/>
      <w:szCs w:val="22"/>
    </w:rPr>
  </w:style>
  <w:style w:type="character" w:customStyle="1" w:styleId="ListParagraphChar">
    <w:name w:val="List Paragraph Char"/>
    <w:link w:val="ListParagraph"/>
    <w:uiPriority w:val="99"/>
    <w:rsid w:val="008D653C"/>
    <w:rPr>
      <w:rFonts w:ascii="Calibri" w:eastAsia="Calibri" w:hAnsi="Calibri" w:cs="Arial"/>
      <w:sz w:val="22"/>
      <w:szCs w:val="22"/>
      <w:lang w:val="en-US" w:eastAsia="en-US"/>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nlmyear">
    <w:name w:val="nlm_year"/>
    <w:basedOn w:val="DefaultParagraphFont"/>
    <w:rsid w:val="008D653C"/>
  </w:style>
  <w:style w:type="character" w:customStyle="1" w:styleId="nlmpublisher-name">
    <w:name w:val="nlm_publisher-name"/>
    <w:basedOn w:val="DefaultParagraphFont"/>
    <w:rsid w:val="008D653C"/>
  </w:style>
  <w:style w:type="table" w:customStyle="1" w:styleId="GridTable5Dark-Accent31">
    <w:name w:val="Grid Table 5 Dark - Accent 31"/>
    <w:basedOn w:val="TableNormal"/>
    <w:uiPriority w:val="50"/>
    <w:rsid w:val="008D653C"/>
    <w:rPr>
      <w:rFonts w:ascii="Calibri" w:eastAsia="Calibri" w:hAnsi="Calibri" w:cs="Arial"/>
      <w:sz w:val="22"/>
      <w:szCs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88D5043208227D46AD24C93992EE38F2" ma:contentTypeVersion="1" ma:contentTypeDescription="צור מסמך חדש." ma:contentTypeScope="" ma:versionID="3a5b3c0d631c9efdf76ecdc1c43c13b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D146C2B6-B86D-4EF5-8971-133E7AA9F45F}"/>
</file>

<file path=customXml/itemProps3.xml><?xml version="1.0" encoding="utf-8"?>
<ds:datastoreItem xmlns:ds="http://schemas.openxmlformats.org/officeDocument/2006/customXml" ds:itemID="{A77B118B-8CC9-42B8-90BC-7CEF63949EBE}"/>
</file>

<file path=customXml/itemProps4.xml><?xml version="1.0" encoding="utf-8"?>
<ds:datastoreItem xmlns:ds="http://schemas.openxmlformats.org/officeDocument/2006/customXml" ds:itemID="{0F45C297-6ED9-4148-AD80-24918D0B8EF7}"/>
</file>

<file path=docProps/app.xml><?xml version="1.0" encoding="utf-8"?>
<Properties xmlns="http://schemas.openxmlformats.org/officeDocument/2006/extended-properties" xmlns:vt="http://schemas.openxmlformats.org/officeDocument/2006/docPropsVTypes">
  <Template>Normal.dotm</Template>
  <TotalTime>52</TotalTime>
  <Pages>22</Pages>
  <Words>6997</Words>
  <Characters>39889</Characters>
  <Application>Microsoft Office Word</Application>
  <DocSecurity>0</DocSecurity>
  <Lines>332</Lines>
  <Paragraphs>93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Onit Computer Services Ltd</Company>
  <LinksUpToDate>false</LinksUpToDate>
  <CharactersWithSpaces>46793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Mordechai Frankel</cp:lastModifiedBy>
  <cp:revision>10</cp:revision>
  <cp:lastPrinted>2020-01-02T10:11:00Z</cp:lastPrinted>
  <dcterms:created xsi:type="dcterms:W3CDTF">2021-10-20T13:03:00Z</dcterms:created>
  <dcterms:modified xsi:type="dcterms:W3CDTF">2021-11-20T17:45:00Z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0x01010088D5043208227D46AD24C93992EE38F2</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