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77777777" w:rsidR="00F165AC" w:rsidRPr="00693F09" w:rsidRDefault="00F165AC" w:rsidP="00F165AC">
      <w:pPr>
        <w:pStyle w:val="BNAME"/>
        <w:bidi w:val="0"/>
        <w:spacing w:before="0"/>
        <w:outlineLvl w:val="1"/>
        <w:rPr>
          <w:rFonts w:ascii="Tahoma" w:hAnsi="Tahoma" w:cs="Tahoma"/>
          <w:b w:val="0"/>
          <w:bCs w:val="0"/>
          <w:sz w:val="28"/>
          <w:szCs w:val="28"/>
        </w:rPr>
      </w:pPr>
      <w:r w:rsidRPr="00693F09">
        <w:rPr>
          <w:rFonts w:ascii="Tahoma" w:hAnsi="Tahoma" w:cs="Tahoma"/>
          <w:b w:val="0"/>
          <w:bCs w:val="0"/>
          <w:sz w:val="28"/>
          <w:szCs w:val="28"/>
        </w:rPr>
        <w:t xml:space="preserve">Israel Journal of </w:t>
      </w:r>
    </w:p>
    <w:p w14:paraId="59BAECF7" w14:textId="77777777" w:rsidR="00F165AC" w:rsidRPr="00693F09" w:rsidRDefault="00F165AC" w:rsidP="00F165AC">
      <w:pPr>
        <w:pStyle w:val="BNAME"/>
        <w:bidi w:val="0"/>
        <w:spacing w:before="0" w:after="1680"/>
        <w:outlineLvl w:val="0"/>
        <w:rPr>
          <w:rFonts w:ascii="Tahoma" w:hAnsi="Tahoma" w:cs="Tahoma"/>
          <w:rtl/>
        </w:rPr>
      </w:pPr>
      <w:r w:rsidRPr="00693F09">
        <w:rPr>
          <w:rFonts w:ascii="Tahoma" w:hAnsi="Tahoma" w:cs="Tahoma"/>
        </w:rPr>
        <w:t>SOCIAL POLICY</w:t>
      </w:r>
    </w:p>
    <w:p w14:paraId="7366413A" w14:textId="34E152FE" w:rsidR="003B0CA1" w:rsidRDefault="003B0CA1" w:rsidP="003B0CA1">
      <w:pPr>
        <w:tabs>
          <w:tab w:val="right" w:pos="1927"/>
        </w:tabs>
        <w:bidi w:val="0"/>
        <w:jc w:val="center"/>
        <w:rPr>
          <w:rFonts w:eastAsia="Arial Unicode MS" w:cs="Arial Unicode MS"/>
          <w:color w:val="0070C0"/>
          <w:sz w:val="28"/>
          <w:szCs w:val="26"/>
        </w:rPr>
      </w:pPr>
    </w:p>
    <w:p w14:paraId="4339BD1B" w14:textId="19187EB1" w:rsidR="003B0CA1" w:rsidRDefault="003B0CA1" w:rsidP="003B0CA1">
      <w:pPr>
        <w:tabs>
          <w:tab w:val="right" w:pos="1927"/>
        </w:tabs>
        <w:bidi w:val="0"/>
        <w:jc w:val="center"/>
        <w:rPr>
          <w:rFonts w:eastAsia="Arial Unicode MS" w:cs="Arial Unicode MS"/>
          <w:color w:val="0070C0"/>
          <w:sz w:val="28"/>
          <w:szCs w:val="26"/>
        </w:rPr>
      </w:pPr>
    </w:p>
    <w:p w14:paraId="5BC10386" w14:textId="16B10080" w:rsidR="003B0CA1" w:rsidRDefault="003B0CA1" w:rsidP="003B0CA1">
      <w:pPr>
        <w:tabs>
          <w:tab w:val="right" w:pos="1927"/>
        </w:tabs>
        <w:bidi w:val="0"/>
        <w:jc w:val="center"/>
        <w:rPr>
          <w:rFonts w:eastAsia="Arial Unicode MS" w:cs="Arial Unicode MS"/>
          <w:color w:val="0070C0"/>
          <w:sz w:val="28"/>
          <w:szCs w:val="26"/>
        </w:rPr>
      </w:pPr>
    </w:p>
    <w:p w14:paraId="1F6CF9A8" w14:textId="77777777" w:rsidR="003B0CA1" w:rsidRDefault="003B0CA1" w:rsidP="003B0CA1">
      <w:pPr>
        <w:tabs>
          <w:tab w:val="right" w:pos="1927"/>
        </w:tabs>
        <w:bidi w:val="0"/>
        <w:jc w:val="center"/>
        <w:rPr>
          <w:rFonts w:eastAsia="Arial Unicode MS" w:cs="Arial Unicode MS"/>
          <w:color w:val="0070C0"/>
          <w:sz w:val="28"/>
          <w:szCs w:val="26"/>
          <w:rtl/>
        </w:rPr>
      </w:pPr>
    </w:p>
    <w:p w14:paraId="28481DDD" w14:textId="56E3DD08" w:rsidR="00522824" w:rsidRPr="00522824" w:rsidRDefault="00522824" w:rsidP="00522824">
      <w:pPr>
        <w:pStyle w:val="BNAME"/>
        <w:bidi w:val="0"/>
        <w:spacing w:before="0" w:after="120" w:line="340" w:lineRule="exact"/>
        <w:outlineLvl w:val="1"/>
        <w:rPr>
          <w:rFonts w:ascii="Swis721 BT" w:hAnsi="Swis721 BT"/>
          <w:b w:val="0"/>
          <w:bCs w:val="0"/>
          <w:sz w:val="24"/>
          <w:szCs w:val="26"/>
          <w:rtl/>
        </w:rPr>
      </w:pPr>
    </w:p>
    <w:p w14:paraId="71AE5F2E" w14:textId="7EA36FF7" w:rsidR="00522824" w:rsidRPr="00522824" w:rsidRDefault="00522824" w:rsidP="00522824">
      <w:pPr>
        <w:pStyle w:val="BNAME"/>
        <w:bidi w:val="0"/>
        <w:spacing w:before="0" w:after="120" w:line="340" w:lineRule="exact"/>
        <w:outlineLvl w:val="1"/>
        <w:rPr>
          <w:rFonts w:ascii="Swis721 BT" w:hAnsi="Swis721 BT"/>
          <w:b w:val="0"/>
          <w:bCs w:val="0"/>
          <w:sz w:val="22"/>
          <w:szCs w:val="24"/>
        </w:rPr>
      </w:pPr>
    </w:p>
    <w:p w14:paraId="432EE57A" w14:textId="77777777" w:rsidR="00522824" w:rsidRDefault="00522824" w:rsidP="00522824">
      <w:pPr>
        <w:bidi w:val="0"/>
        <w:spacing w:line="240" w:lineRule="atLeast"/>
        <w:jc w:val="right"/>
        <w:rPr>
          <w:b/>
          <w:bCs/>
          <w:sz w:val="20"/>
        </w:rPr>
      </w:pPr>
    </w:p>
    <w:p w14:paraId="19CE0B19" w14:textId="65387D61" w:rsidR="0089386D" w:rsidRDefault="00083814" w:rsidP="00522824">
      <w:pPr>
        <w:bidi w:val="0"/>
        <w:spacing w:before="3200" w:line="240" w:lineRule="atLeast"/>
        <w:jc w:val="right"/>
        <w:rPr>
          <w:b/>
          <w:bCs/>
          <w:sz w:val="20"/>
          <w:rtl/>
        </w:rPr>
      </w:pPr>
      <w:r>
        <w:rPr>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Default="0089386D" w:rsidP="0089386D">
      <w:pPr>
        <w:pStyle w:val="BNAME"/>
        <w:bidi w:val="0"/>
        <w:spacing w:before="0" w:after="12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Published by</w:t>
      </w:r>
    </w:p>
    <w:p w14:paraId="7B84F7B9" w14:textId="77777777" w:rsidR="0089386D" w:rsidRDefault="0089386D" w:rsidP="00B30C16">
      <w:pPr>
        <w:pStyle w:val="BNAME"/>
        <w:bidi w:val="0"/>
        <w:spacing w:before="0" w:after="24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THE NATIONAL INSURANCE INSTITUTE OF ISRAEL</w:t>
      </w:r>
    </w:p>
    <w:p w14:paraId="3720766F" w14:textId="660E1C34" w:rsidR="006D3934" w:rsidRPr="00693F09" w:rsidRDefault="008220C8" w:rsidP="008F67D2">
      <w:pPr>
        <w:pStyle w:val="BNAME"/>
        <w:bidi w:val="0"/>
        <w:spacing w:before="0" w:after="120" w:line="240" w:lineRule="exact"/>
        <w:jc w:val="right"/>
        <w:rPr>
          <w:rFonts w:ascii="Tahoma" w:hAnsi="Tahoma" w:cs="Tahoma"/>
          <w:b w:val="0"/>
          <w:bCs w:val="0"/>
          <w:sz w:val="18"/>
          <w:szCs w:val="18"/>
        </w:rPr>
      </w:pPr>
      <w:r>
        <w:rPr>
          <w:rFonts w:ascii="Tahoma" w:hAnsi="Tahoma" w:cs="Tahoma"/>
          <w:b w:val="0"/>
          <w:bCs w:val="0"/>
          <w:sz w:val="18"/>
          <w:szCs w:val="18"/>
        </w:rPr>
        <w:t>December</w:t>
      </w:r>
      <w:r w:rsidR="00C25AE4" w:rsidRPr="00693F09">
        <w:rPr>
          <w:rFonts w:ascii="Tahoma" w:hAnsi="Tahoma" w:cs="Tahoma"/>
          <w:b w:val="0"/>
          <w:bCs w:val="0"/>
          <w:sz w:val="18"/>
          <w:szCs w:val="18"/>
        </w:rPr>
        <w:t xml:space="preserve"> </w:t>
      </w:r>
      <w:r w:rsidR="006D3934" w:rsidRPr="00693F09">
        <w:rPr>
          <w:rFonts w:ascii="Tahoma" w:hAnsi="Tahoma" w:cs="Tahoma"/>
          <w:b w:val="0"/>
          <w:bCs w:val="0"/>
          <w:sz w:val="18"/>
          <w:szCs w:val="18"/>
        </w:rPr>
        <w:t>20</w:t>
      </w:r>
      <w:r w:rsidR="000D35C8" w:rsidRPr="00693F09">
        <w:rPr>
          <w:rFonts w:ascii="Tahoma" w:hAnsi="Tahoma" w:cs="Tahoma"/>
          <w:b w:val="0"/>
          <w:bCs w:val="0"/>
          <w:sz w:val="18"/>
          <w:szCs w:val="18"/>
        </w:rPr>
        <w:t>2</w:t>
      </w:r>
      <w:r w:rsidR="008F67D2" w:rsidRPr="00693F09">
        <w:rPr>
          <w:rFonts w:ascii="Tahoma" w:hAnsi="Tahoma" w:cs="Tahoma"/>
          <w:b w:val="0"/>
          <w:bCs w:val="0"/>
          <w:sz w:val="18"/>
          <w:szCs w:val="18"/>
        </w:rPr>
        <w:t>1</w:t>
      </w:r>
    </w:p>
    <w:p w14:paraId="736C4E79" w14:textId="77236D08" w:rsidR="006D3934" w:rsidRPr="00693F09" w:rsidRDefault="006D3934" w:rsidP="008F67D2">
      <w:pPr>
        <w:pStyle w:val="BNAME"/>
        <w:bidi w:val="0"/>
        <w:spacing w:before="0" w:line="240" w:lineRule="exact"/>
        <w:jc w:val="right"/>
        <w:rPr>
          <w:rFonts w:ascii="Tahoma" w:hAnsi="Tahoma" w:cs="Tahoma"/>
          <w:b w:val="0"/>
          <w:bCs w:val="0"/>
          <w:sz w:val="18"/>
          <w:szCs w:val="18"/>
        </w:rPr>
      </w:pPr>
      <w:r w:rsidRPr="00693F09">
        <w:rPr>
          <w:rFonts w:ascii="Tahoma" w:hAnsi="Tahoma" w:cs="Tahoma"/>
          <w:b w:val="0"/>
          <w:bCs w:val="0"/>
          <w:sz w:val="18"/>
          <w:szCs w:val="18"/>
        </w:rPr>
        <w:t xml:space="preserve">No. </w:t>
      </w:r>
      <w:r w:rsidR="00C25AE4" w:rsidRPr="00693F09">
        <w:rPr>
          <w:rFonts w:ascii="Tahoma" w:hAnsi="Tahoma" w:cs="Tahoma"/>
          <w:b w:val="0"/>
          <w:bCs w:val="0"/>
          <w:sz w:val="18"/>
          <w:szCs w:val="18"/>
        </w:rPr>
        <w:t>11</w:t>
      </w:r>
      <w:r w:rsidR="008220C8">
        <w:rPr>
          <w:rFonts w:ascii="Tahoma" w:hAnsi="Tahoma" w:cs="Tahoma"/>
          <w:b w:val="0"/>
          <w:bCs w:val="0"/>
          <w:sz w:val="18"/>
          <w:szCs w:val="18"/>
        </w:rPr>
        <w:t>5</w:t>
      </w:r>
    </w:p>
    <w:p w14:paraId="1D0B631B" w14:textId="0F19F58F" w:rsidR="003B0CA1" w:rsidRDefault="003B0CA1">
      <w:pPr>
        <w:bidi w:val="0"/>
        <w:spacing w:line="240" w:lineRule="auto"/>
        <w:rPr>
          <w:rFonts w:cs="Times New Roman"/>
          <w:sz w:val="18"/>
          <w:szCs w:val="18"/>
        </w:rPr>
      </w:pPr>
      <w:r>
        <w:rPr>
          <w:rFonts w:cs="Times New Roman"/>
          <w:b/>
          <w:bCs/>
          <w:sz w:val="18"/>
          <w:szCs w:val="18"/>
        </w:rPr>
        <w:br w:type="page"/>
      </w:r>
    </w:p>
    <w:p w14:paraId="71EE3A66" w14:textId="77777777" w:rsidR="00E202C2" w:rsidRDefault="00E202C2" w:rsidP="00165447">
      <w:pPr>
        <w:pStyle w:val="BNAME"/>
        <w:bidi w:val="0"/>
        <w:spacing w:before="0" w:after="120" w:line="240" w:lineRule="exact"/>
        <w:ind w:right="3600"/>
        <w:jc w:val="left"/>
        <w:rPr>
          <w:rFonts w:ascii="Times New Roman" w:hAnsi="Times New Roman" w:cs="Times New Roman"/>
          <w:b w:val="0"/>
          <w:bCs w:val="0"/>
          <w:sz w:val="18"/>
          <w:szCs w:val="18"/>
        </w:rPr>
      </w:pPr>
    </w:p>
    <w:p w14:paraId="58E5D30E" w14:textId="77777777" w:rsidR="0089386D" w:rsidRDefault="0089386D" w:rsidP="004E0BE3">
      <w:pPr>
        <w:pStyle w:val="BNAME"/>
        <w:bidi w:val="0"/>
        <w:spacing w:before="5760" w:after="12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sz w:val="18"/>
          <w:szCs w:val="18"/>
        </w:rPr>
        <w:t>EDITORIAL BOARD</w:t>
      </w:r>
    </w:p>
    <w:p w14:paraId="03DEAE89" w14:textId="77777777" w:rsidR="0089386D" w:rsidRDefault="0089386D" w:rsidP="0089386D">
      <w:pPr>
        <w:pStyle w:val="BNAME"/>
        <w:bidi w:val="0"/>
        <w:spacing w:before="0" w:line="200" w:lineRule="exact"/>
        <w:ind w:right="2550"/>
        <w:jc w:val="left"/>
        <w:rPr>
          <w:rFonts w:ascii="Times New Roman" w:hAnsi="Times New Roman" w:cs="Times New Roman"/>
          <w:b w:val="0"/>
          <w:bCs w:val="0"/>
          <w:sz w:val="18"/>
          <w:szCs w:val="18"/>
          <w:rtl/>
          <w:lang w:val="en-GB"/>
        </w:rPr>
      </w:pPr>
    </w:p>
    <w:p w14:paraId="10DA6735" w14:textId="77777777" w:rsidR="0089386D" w:rsidRDefault="00213A15" w:rsidP="00B7129D">
      <w:pPr>
        <w:pStyle w:val="BNAME"/>
        <w:bidi w:val="0"/>
        <w:spacing w:before="0" w:line="200" w:lineRule="exact"/>
        <w:ind w:right="2730"/>
        <w:jc w:val="left"/>
        <w:rPr>
          <w:rFonts w:ascii="Times New Roman" w:hAnsi="Times New Roman" w:cs="Times New Roman"/>
          <w:b w:val="0"/>
          <w:bCs w:val="0"/>
          <w:sz w:val="18"/>
          <w:szCs w:val="18"/>
        </w:rPr>
      </w:pPr>
      <w:r>
        <w:rPr>
          <w:rFonts w:ascii="Times New Roman" w:hAnsi="Times New Roman" w:cs="Times New Roman"/>
          <w:b w:val="0"/>
          <w:bCs w:val="0"/>
          <w:sz w:val="18"/>
          <w:szCs w:val="18"/>
        </w:rPr>
        <w:t>Israel (</w:t>
      </w:r>
      <w:proofErr w:type="spellStart"/>
      <w:r>
        <w:rPr>
          <w:rFonts w:ascii="Times New Roman" w:hAnsi="Times New Roman" w:cs="Times New Roman"/>
          <w:b w:val="0"/>
          <w:bCs w:val="0"/>
          <w:sz w:val="18"/>
          <w:szCs w:val="18"/>
        </w:rPr>
        <w:t>Issi</w:t>
      </w:r>
      <w:proofErr w:type="spellEnd"/>
      <w:r>
        <w:rPr>
          <w:rFonts w:ascii="Times New Roman" w:hAnsi="Times New Roman" w:cs="Times New Roman"/>
          <w:b w:val="0"/>
          <w:bCs w:val="0"/>
          <w:sz w:val="18"/>
          <w:szCs w:val="18"/>
        </w:rPr>
        <w:t>) Doron</w:t>
      </w:r>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Editor in ch</w:t>
      </w:r>
      <w:r w:rsidR="00B7129D">
        <w:rPr>
          <w:rFonts w:ascii="Times New Roman" w:hAnsi="Times New Roman" w:cs="Times New Roman"/>
          <w:b w:val="0"/>
          <w:bCs w:val="0"/>
          <w:i/>
          <w:iCs/>
          <w:sz w:val="18"/>
          <w:szCs w:val="18"/>
        </w:rPr>
        <w:t>i</w:t>
      </w:r>
      <w:r w:rsidR="0089386D">
        <w:rPr>
          <w:rFonts w:ascii="Times New Roman" w:hAnsi="Times New Roman" w:cs="Times New Roman"/>
          <w:b w:val="0"/>
          <w:bCs w:val="0"/>
          <w:i/>
          <w:iCs/>
          <w:sz w:val="18"/>
          <w:szCs w:val="18"/>
        </w:rPr>
        <w:t>ef</w:t>
      </w:r>
    </w:p>
    <w:p w14:paraId="25B620E4" w14:textId="6DFA9F85" w:rsidR="0089386D" w:rsidRDefault="003A0180" w:rsidP="00083814">
      <w:pPr>
        <w:pStyle w:val="BNAME"/>
        <w:bidi w:val="0"/>
        <w:spacing w:before="0" w:line="200" w:lineRule="exact"/>
        <w:ind w:right="2730"/>
        <w:jc w:val="left"/>
        <w:rPr>
          <w:rFonts w:ascii="Times New Roman" w:hAnsi="Times New Roman" w:cs="Times New Roman"/>
          <w:b w:val="0"/>
          <w:bCs w:val="0"/>
          <w:sz w:val="18"/>
          <w:szCs w:val="18"/>
        </w:rPr>
      </w:pPr>
      <w:proofErr w:type="spellStart"/>
      <w:r w:rsidRPr="003A0180">
        <w:rPr>
          <w:rFonts w:ascii="Times New Roman" w:hAnsi="Times New Roman" w:cs="Times New Roman"/>
          <w:b w:val="0"/>
          <w:bCs w:val="0"/>
          <w:sz w:val="18"/>
          <w:szCs w:val="18"/>
        </w:rPr>
        <w:t>Nitsa</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Kaliner</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Kasir</w:t>
      </w:r>
      <w:proofErr w:type="spellEnd"/>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Chairman</w:t>
      </w:r>
    </w:p>
    <w:p w14:paraId="57188CFD" w14:textId="77777777" w:rsidR="00083814" w:rsidRPr="00F11288" w:rsidRDefault="00083814" w:rsidP="0089386D">
      <w:pPr>
        <w:pStyle w:val="BNAME"/>
        <w:bidi w:val="0"/>
        <w:spacing w:before="0" w:line="200" w:lineRule="exact"/>
        <w:ind w:right="3600"/>
        <w:jc w:val="left"/>
        <w:rPr>
          <w:rFonts w:ascii="Times New Roman" w:hAnsi="Times New Roman" w:cs="Times New Roman"/>
          <w:b w:val="0"/>
          <w:bCs w:val="0"/>
          <w:sz w:val="18"/>
          <w:szCs w:val="18"/>
        </w:rPr>
      </w:pPr>
      <w:r w:rsidRPr="00F11288">
        <w:rPr>
          <w:rFonts w:ascii="Times New Roman" w:hAnsi="Times New Roman" w:cs="Times New Roman"/>
          <w:b w:val="0"/>
          <w:bCs w:val="0"/>
          <w:sz w:val="18"/>
          <w:szCs w:val="18"/>
        </w:rPr>
        <w:t>Suliman Abu Bader</w:t>
      </w:r>
    </w:p>
    <w:p w14:paraId="63E5AEA8" w14:textId="77777777" w:rsidR="0089386D" w:rsidRPr="002F6AFD" w:rsidRDefault="0089386D" w:rsidP="00083814">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 xml:space="preserve">Leah </w:t>
      </w:r>
      <w:proofErr w:type="spellStart"/>
      <w:r w:rsidRPr="002F6AFD">
        <w:rPr>
          <w:rFonts w:ascii="Times New Roman" w:hAnsi="Times New Roman" w:cs="Times New Roman"/>
          <w:b w:val="0"/>
          <w:bCs w:val="0"/>
          <w:sz w:val="18"/>
          <w:szCs w:val="18"/>
          <w:lang w:val="fr-CH"/>
        </w:rPr>
        <w:t>Achdut</w:t>
      </w:r>
      <w:proofErr w:type="spellEnd"/>
    </w:p>
    <w:p w14:paraId="7D6A60AF" w14:textId="77777777" w:rsidR="00213A15" w:rsidRPr="002F6AFD" w:rsidRDefault="00213A15" w:rsidP="00213A15">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Jon Anson</w:t>
      </w:r>
    </w:p>
    <w:p w14:paraId="750C0ADD" w14:textId="77777777" w:rsidR="00083814" w:rsidRPr="002F6AFD" w:rsidRDefault="00083814" w:rsidP="00F11288">
      <w:pPr>
        <w:pStyle w:val="BNAME"/>
        <w:bidi w:val="0"/>
        <w:spacing w:before="0" w:line="200" w:lineRule="exact"/>
        <w:ind w:right="3600"/>
        <w:jc w:val="left"/>
        <w:rPr>
          <w:rFonts w:ascii="Times New Roman" w:hAnsi="Times New Roman" w:cs="Times New Roman"/>
          <w:b w:val="0"/>
          <w:bCs w:val="0"/>
          <w:sz w:val="18"/>
          <w:szCs w:val="18"/>
          <w:lang w:val="fr-CH"/>
        </w:rPr>
      </w:pPr>
      <w:proofErr w:type="spellStart"/>
      <w:r w:rsidRPr="002F6AFD">
        <w:rPr>
          <w:rFonts w:ascii="Times New Roman" w:hAnsi="Times New Roman" w:cs="Times New Roman"/>
          <w:b w:val="0"/>
          <w:bCs w:val="0"/>
          <w:sz w:val="18"/>
          <w:szCs w:val="18"/>
          <w:lang w:val="fr-CH"/>
        </w:rPr>
        <w:t>Liat</w:t>
      </w:r>
      <w:proofErr w:type="spellEnd"/>
      <w:r w:rsidRPr="002F6AFD">
        <w:rPr>
          <w:rFonts w:ascii="Times New Roman" w:hAnsi="Times New Roman" w:cs="Times New Roman"/>
          <w:b w:val="0"/>
          <w:bCs w:val="0"/>
          <w:sz w:val="18"/>
          <w:szCs w:val="18"/>
          <w:lang w:val="fr-CH"/>
        </w:rPr>
        <w:t xml:space="preserve"> </w:t>
      </w:r>
      <w:proofErr w:type="spellStart"/>
      <w:r w:rsidRPr="002F6AFD">
        <w:rPr>
          <w:rFonts w:ascii="Times New Roman" w:hAnsi="Times New Roman" w:cs="Times New Roman"/>
          <w:b w:val="0"/>
          <w:bCs w:val="0"/>
          <w:sz w:val="18"/>
          <w:szCs w:val="18"/>
          <w:lang w:val="fr-CH"/>
        </w:rPr>
        <w:t>Ayalon</w:t>
      </w:r>
      <w:proofErr w:type="spellEnd"/>
    </w:p>
    <w:p w14:paraId="6A09B2B3" w14:textId="77777777" w:rsidR="0089386D" w:rsidRPr="0004379A" w:rsidRDefault="0089386D" w:rsidP="0089386D">
      <w:pPr>
        <w:pStyle w:val="BNAME"/>
        <w:bidi w:val="0"/>
        <w:spacing w:before="0" w:line="200" w:lineRule="exact"/>
        <w:ind w:right="3600"/>
        <w:jc w:val="left"/>
        <w:rPr>
          <w:rFonts w:ascii="Times New Roman" w:hAnsi="Times New Roman" w:cs="Times New Roman"/>
          <w:b w:val="0"/>
          <w:bCs w:val="0"/>
          <w:sz w:val="18"/>
          <w:szCs w:val="18"/>
          <w:rtl/>
        </w:rPr>
      </w:pPr>
      <w:r w:rsidRPr="002F6AFD">
        <w:rPr>
          <w:rFonts w:ascii="Times New Roman" w:hAnsi="Times New Roman" w:cs="Times New Roman"/>
          <w:b w:val="0"/>
          <w:bCs w:val="0"/>
          <w:sz w:val="18"/>
          <w:szCs w:val="18"/>
          <w:lang w:val="fr-CH"/>
        </w:rPr>
        <w:t>Orly Benjamin</w:t>
      </w:r>
    </w:p>
    <w:p w14:paraId="111964F5" w14:textId="77777777" w:rsidR="0089386D" w:rsidRPr="002F6AFD" w:rsidRDefault="0089386D" w:rsidP="0089386D">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Nissim Cohen</w:t>
      </w:r>
    </w:p>
    <w:p w14:paraId="1642BC03" w14:textId="77777777" w:rsidR="0089386D" w:rsidRPr="00294F47" w:rsidRDefault="0089386D" w:rsidP="0089386D">
      <w:pPr>
        <w:pStyle w:val="BNAME"/>
        <w:bidi w:val="0"/>
        <w:spacing w:before="0" w:line="200" w:lineRule="exact"/>
        <w:ind w:right="3600"/>
        <w:jc w:val="left"/>
        <w:rPr>
          <w:rFonts w:ascii="Times New Roman" w:hAnsi="Times New Roman" w:cs="Times New Roman"/>
          <w:b w:val="0"/>
          <w:bCs w:val="0"/>
          <w:sz w:val="18"/>
          <w:szCs w:val="18"/>
          <w:lang w:val="fr-FR"/>
        </w:rPr>
      </w:pPr>
      <w:r w:rsidRPr="00294F47">
        <w:rPr>
          <w:rFonts w:ascii="Times New Roman" w:hAnsi="Times New Roman" w:cs="Times New Roman"/>
          <w:b w:val="0"/>
          <w:bCs w:val="0"/>
          <w:sz w:val="18"/>
          <w:szCs w:val="18"/>
          <w:lang w:val="fr-FR"/>
        </w:rPr>
        <w:t>Sylvie Fogiel-</w:t>
      </w:r>
      <w:proofErr w:type="spellStart"/>
      <w:r w:rsidRPr="00294F47">
        <w:rPr>
          <w:rFonts w:ascii="Times New Roman" w:hAnsi="Times New Roman" w:cs="Times New Roman"/>
          <w:b w:val="0"/>
          <w:bCs w:val="0"/>
          <w:sz w:val="18"/>
          <w:szCs w:val="18"/>
          <w:lang w:val="fr-FR"/>
        </w:rPr>
        <w:t>Bijaoui</w:t>
      </w:r>
      <w:proofErr w:type="spellEnd"/>
    </w:p>
    <w:p w14:paraId="19336AA0" w14:textId="77777777" w:rsidR="0089386D" w:rsidRPr="00A34C35" w:rsidRDefault="0089386D" w:rsidP="0089386D">
      <w:pPr>
        <w:pStyle w:val="BNAME"/>
        <w:bidi w:val="0"/>
        <w:spacing w:before="0" w:line="200" w:lineRule="exact"/>
        <w:ind w:right="3600"/>
        <w:jc w:val="left"/>
        <w:rPr>
          <w:rFonts w:ascii="Times New Roman" w:hAnsi="Times New Roman" w:cs="Times New Roman"/>
          <w:b w:val="0"/>
          <w:bCs w:val="0"/>
          <w:sz w:val="18"/>
          <w:szCs w:val="18"/>
        </w:rPr>
      </w:pPr>
      <w:r w:rsidRPr="00A34C35">
        <w:rPr>
          <w:rFonts w:ascii="Times New Roman" w:hAnsi="Times New Roman" w:cs="Times New Roman"/>
          <w:b w:val="0"/>
          <w:bCs w:val="0"/>
          <w:sz w:val="18"/>
          <w:szCs w:val="18"/>
        </w:rPr>
        <w:t>John Gal</w:t>
      </w:r>
    </w:p>
    <w:p w14:paraId="648E440E" w14:textId="77777777" w:rsidR="0089386D" w:rsidRDefault="0089386D" w:rsidP="0089386D">
      <w:pPr>
        <w:pStyle w:val="BNAME"/>
        <w:bidi w:val="0"/>
        <w:spacing w:before="0" w:line="200" w:lineRule="exact"/>
        <w:ind w:right="3600"/>
        <w:jc w:val="left"/>
        <w:rPr>
          <w:rFonts w:ascii="Times New Roman" w:hAnsi="Times New Roman" w:cs="Times New Roman"/>
          <w:b w:val="0"/>
          <w:bCs w:val="0"/>
          <w:sz w:val="18"/>
          <w:szCs w:val="18"/>
        </w:rPr>
      </w:pPr>
      <w:proofErr w:type="spellStart"/>
      <w:r w:rsidRPr="00A34C35">
        <w:rPr>
          <w:rFonts w:ascii="Times New Roman" w:hAnsi="Times New Roman" w:cs="Times New Roman"/>
          <w:b w:val="0"/>
          <w:bCs w:val="0"/>
          <w:sz w:val="18"/>
          <w:szCs w:val="18"/>
        </w:rPr>
        <w:t>Jochanan</w:t>
      </w:r>
      <w:proofErr w:type="spellEnd"/>
      <w:r w:rsidRPr="00A34C35">
        <w:rPr>
          <w:rFonts w:ascii="Times New Roman" w:hAnsi="Times New Roman" w:cs="Times New Roman"/>
          <w:b w:val="0"/>
          <w:bCs w:val="0"/>
          <w:sz w:val="18"/>
          <w:szCs w:val="18"/>
        </w:rPr>
        <w:t xml:space="preserve"> </w:t>
      </w:r>
      <w:proofErr w:type="spellStart"/>
      <w:r w:rsidRPr="00A34C35">
        <w:rPr>
          <w:rFonts w:ascii="Times New Roman" w:hAnsi="Times New Roman" w:cs="Times New Roman"/>
          <w:b w:val="0"/>
          <w:bCs w:val="0"/>
          <w:sz w:val="18"/>
          <w:szCs w:val="18"/>
        </w:rPr>
        <w:t>Stessman</w:t>
      </w:r>
      <w:proofErr w:type="spellEnd"/>
    </w:p>
    <w:p w14:paraId="40D5B550" w14:textId="77777777" w:rsidR="00681365" w:rsidRPr="00A34C35" w:rsidRDefault="00681365" w:rsidP="00681365">
      <w:pPr>
        <w:pStyle w:val="BNAME"/>
        <w:bidi w:val="0"/>
        <w:spacing w:before="0" w:line="200" w:lineRule="exact"/>
        <w:ind w:right="3600"/>
        <w:jc w:val="left"/>
        <w:rPr>
          <w:rFonts w:ascii="Times New Roman" w:hAnsi="Times New Roman" w:cs="Times New Roman"/>
          <w:b w:val="0"/>
          <w:bCs w:val="0"/>
          <w:sz w:val="18"/>
          <w:szCs w:val="18"/>
        </w:rPr>
      </w:pPr>
      <w:proofErr w:type="spellStart"/>
      <w:r w:rsidRPr="00681365">
        <w:rPr>
          <w:rFonts w:ascii="Times New Roman" w:hAnsi="Times New Roman" w:cs="Times New Roman"/>
          <w:b w:val="0"/>
          <w:bCs w:val="0"/>
          <w:sz w:val="18"/>
          <w:szCs w:val="18"/>
        </w:rPr>
        <w:t>Aviad</w:t>
      </w:r>
      <w:proofErr w:type="spellEnd"/>
      <w:r w:rsidRPr="00681365">
        <w:rPr>
          <w:rFonts w:ascii="Times New Roman" w:hAnsi="Times New Roman" w:cs="Times New Roman"/>
          <w:b w:val="0"/>
          <w:bCs w:val="0"/>
          <w:sz w:val="18"/>
          <w:szCs w:val="18"/>
        </w:rPr>
        <w:t xml:space="preserve"> Tur-Sinai</w:t>
      </w:r>
    </w:p>
    <w:p w14:paraId="61998AF0"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p>
    <w:p w14:paraId="5A7400F6"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Managing Editor:</w:t>
      </w:r>
      <w:r>
        <w:rPr>
          <w:rFonts w:ascii="Times New Roman" w:hAnsi="Times New Roman" w:cs="Times New Roman"/>
          <w:b w:val="0"/>
          <w:bCs w:val="0"/>
          <w:sz w:val="18"/>
          <w:szCs w:val="18"/>
        </w:rPr>
        <w:t xml:space="preserve"> Maya </w:t>
      </w:r>
      <w:proofErr w:type="spellStart"/>
      <w:r>
        <w:rPr>
          <w:rFonts w:ascii="Times New Roman" w:hAnsi="Times New Roman" w:cs="Times New Roman"/>
          <w:b w:val="0"/>
          <w:bCs w:val="0"/>
          <w:sz w:val="18"/>
          <w:szCs w:val="18"/>
        </w:rPr>
        <w:t>Orev</w:t>
      </w:r>
      <w:proofErr w:type="spellEnd"/>
      <w:r>
        <w:rPr>
          <w:rFonts w:ascii="Times New Roman" w:hAnsi="Times New Roman" w:cs="Times New Roman"/>
          <w:b w:val="0"/>
          <w:bCs w:val="0"/>
          <w:sz w:val="18"/>
          <w:szCs w:val="18"/>
        </w:rPr>
        <w:t>-Attal</w:t>
      </w:r>
    </w:p>
    <w:p w14:paraId="09AC7809"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Typesetting:</w:t>
      </w:r>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Onit</w:t>
      </w:r>
      <w:proofErr w:type="spellEnd"/>
      <w:r>
        <w:rPr>
          <w:rFonts w:ascii="Times New Roman" w:hAnsi="Times New Roman" w:cs="Times New Roman"/>
          <w:b w:val="0"/>
          <w:bCs w:val="0"/>
          <w:sz w:val="18"/>
          <w:szCs w:val="18"/>
        </w:rPr>
        <w:t xml:space="preserve"> Computer Services Ltd.</w:t>
      </w:r>
    </w:p>
    <w:p w14:paraId="3885B874" w14:textId="77777777" w:rsidR="001A1A47" w:rsidRDefault="0089386D" w:rsidP="00111442">
      <w:pPr>
        <w:pStyle w:val="KOT4"/>
        <w:bidi w:val="0"/>
        <w:spacing w:after="240"/>
        <w:ind w:right="0"/>
        <w:rPr>
          <w:b w:val="0"/>
          <w:bCs w:val="0"/>
          <w:color w:val="00B0F0"/>
          <w:sz w:val="30"/>
          <w:szCs w:val="30"/>
        </w:rPr>
      </w:pPr>
      <w:r w:rsidRPr="00E1186E">
        <w:rPr>
          <w:rFonts w:ascii="Times New Roman" w:hAnsi="Times New Roman" w:cs="Times New Roman"/>
          <w:color w:val="0070C0"/>
          <w:sz w:val="24"/>
          <w:szCs w:val="24"/>
        </w:rPr>
        <w:br w:type="page"/>
      </w:r>
      <w:r w:rsidRPr="00E66CAC">
        <w:rPr>
          <w:b w:val="0"/>
          <w:bCs w:val="0"/>
          <w:color w:val="00B0F0"/>
          <w:sz w:val="30"/>
          <w:szCs w:val="30"/>
        </w:rPr>
        <w:lastRenderedPageBreak/>
        <w:t>C</w:t>
      </w:r>
      <w:r w:rsidR="00111442">
        <w:rPr>
          <w:b w:val="0"/>
          <w:bCs w:val="0"/>
          <w:color w:val="00B0F0"/>
          <w:sz w:val="30"/>
          <w:szCs w:val="30"/>
        </w:rPr>
        <w:t>ontents</w:t>
      </w:r>
    </w:p>
    <w:p w14:paraId="6B30A9FD" w14:textId="771BA130"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Non-governance in time of cris</w:t>
      </w:r>
      <w:r w:rsidR="00D76FB8">
        <w:rPr>
          <w:rFonts w:ascii="Times New Roman" w:eastAsia="Times New Roman" w:hAnsi="Times New Roman" w:cs="Times New Roman"/>
          <w:b/>
          <w:bCs/>
          <w:sz w:val="24"/>
          <w:szCs w:val="24"/>
          <w:lang w:eastAsia="he-IL"/>
        </w:rPr>
        <w:t>i</w:t>
      </w:r>
      <w:r w:rsidRPr="0073567B">
        <w:rPr>
          <w:rFonts w:ascii="Times New Roman" w:eastAsia="Times New Roman" w:hAnsi="Times New Roman" w:cs="Times New Roman"/>
          <w:b/>
          <w:bCs/>
          <w:sz w:val="24"/>
          <w:szCs w:val="24"/>
          <w:lang w:eastAsia="he-IL"/>
        </w:rPr>
        <w:t>s: the lack of policy evaluation and its impact on the way Israel deals with the COVID-19 crisis</w:t>
      </w:r>
    </w:p>
    <w:p w14:paraId="44F6303E" w14:textId="5309B075" w:rsidR="0073567B" w:rsidRPr="0073567B" w:rsidRDefault="0073567B" w:rsidP="0073567B">
      <w:pPr>
        <w:tabs>
          <w:tab w:val="right" w:leader="dot" w:pos="6124"/>
          <w:tab w:val="left" w:pos="6237"/>
        </w:tabs>
        <w:bidi w:val="0"/>
        <w:spacing w:after="240"/>
        <w:ind w:left="567"/>
        <w:rPr>
          <w:rFonts w:eastAsiaTheme="minorHAnsi"/>
        </w:rPr>
      </w:pPr>
      <w:r w:rsidRPr="0073567B">
        <w:rPr>
          <w:rFonts w:eastAsiaTheme="minorHAnsi"/>
        </w:rPr>
        <w:t xml:space="preserve">Ron </w:t>
      </w:r>
      <w:proofErr w:type="spellStart"/>
      <w:r w:rsidRPr="0073567B">
        <w:rPr>
          <w:rFonts w:eastAsiaTheme="minorHAnsi"/>
        </w:rPr>
        <w:t>Tzur</w:t>
      </w:r>
      <w:proofErr w:type="spellEnd"/>
      <w:r w:rsidRPr="0073567B">
        <w:rPr>
          <w:rFonts w:eastAsiaTheme="minorHAnsi"/>
        </w:rPr>
        <w:t xml:space="preserve"> and Nissim Cohen</w:t>
      </w:r>
    </w:p>
    <w:p w14:paraId="0BA313F4" w14:textId="77777777"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At-risk children: revisiting myths in the risk discourse in light of a context-informed perspective</w:t>
      </w:r>
    </w:p>
    <w:p w14:paraId="2D588148" w14:textId="10C8664B" w:rsidR="008220C8" w:rsidRDefault="0073567B" w:rsidP="0073567B">
      <w:pPr>
        <w:tabs>
          <w:tab w:val="right" w:leader="dot" w:pos="6124"/>
          <w:tab w:val="left" w:pos="6237"/>
        </w:tabs>
        <w:bidi w:val="0"/>
        <w:spacing w:after="240"/>
        <w:ind w:left="567"/>
        <w:rPr>
          <w:rFonts w:eastAsiaTheme="minorHAnsi"/>
        </w:rPr>
      </w:pPr>
      <w:proofErr w:type="spellStart"/>
      <w:r w:rsidRPr="0073567B">
        <w:rPr>
          <w:rFonts w:eastAsiaTheme="minorHAnsi"/>
        </w:rPr>
        <w:t>Dorit</w:t>
      </w:r>
      <w:proofErr w:type="spellEnd"/>
      <w:r w:rsidRPr="0073567B">
        <w:rPr>
          <w:rFonts w:eastAsiaTheme="minorHAnsi"/>
        </w:rPr>
        <w:t xml:space="preserve"> </w:t>
      </w:r>
      <w:proofErr w:type="spellStart"/>
      <w:r w:rsidRPr="0073567B">
        <w:rPr>
          <w:rFonts w:eastAsiaTheme="minorHAnsi"/>
        </w:rPr>
        <w:t>Roer-Strier</w:t>
      </w:r>
      <w:proofErr w:type="spellEnd"/>
      <w:r>
        <w:rPr>
          <w:rFonts w:eastAsiaTheme="minorHAnsi"/>
        </w:rPr>
        <w:t xml:space="preserve"> </w:t>
      </w:r>
      <w:r w:rsidRPr="0073567B">
        <w:rPr>
          <w:rFonts w:eastAsiaTheme="minorHAnsi"/>
        </w:rPr>
        <w:t xml:space="preserve">and </w:t>
      </w:r>
      <w:proofErr w:type="spellStart"/>
      <w:r w:rsidRPr="0073567B">
        <w:rPr>
          <w:rFonts w:eastAsiaTheme="minorHAnsi"/>
        </w:rPr>
        <w:t>Yochay</w:t>
      </w:r>
      <w:proofErr w:type="spellEnd"/>
      <w:r w:rsidRPr="0073567B">
        <w:rPr>
          <w:rFonts w:eastAsiaTheme="minorHAnsi"/>
        </w:rPr>
        <w:t xml:space="preserve"> </w:t>
      </w:r>
      <w:proofErr w:type="spellStart"/>
      <w:r w:rsidRPr="0073567B">
        <w:rPr>
          <w:rFonts w:eastAsiaTheme="minorHAnsi"/>
        </w:rPr>
        <w:t>Nadan</w:t>
      </w:r>
      <w:proofErr w:type="spellEnd"/>
    </w:p>
    <w:p w14:paraId="668D3237" w14:textId="77777777"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Violence against social service providers and coping mechanisms at the frontline – the case of teachers and social workers in Israel</w:t>
      </w:r>
    </w:p>
    <w:p w14:paraId="2614640B" w14:textId="4D2EA04C" w:rsidR="008220C8" w:rsidRDefault="0073567B" w:rsidP="0073567B">
      <w:pPr>
        <w:tabs>
          <w:tab w:val="right" w:leader="dot" w:pos="6124"/>
          <w:tab w:val="left" w:pos="6237"/>
        </w:tabs>
        <w:bidi w:val="0"/>
        <w:spacing w:after="240"/>
        <w:ind w:left="567"/>
        <w:rPr>
          <w:rFonts w:eastAsiaTheme="minorHAnsi"/>
        </w:rPr>
      </w:pPr>
      <w:proofErr w:type="spellStart"/>
      <w:r w:rsidRPr="0073567B">
        <w:rPr>
          <w:rFonts w:eastAsiaTheme="minorHAnsi"/>
        </w:rPr>
        <w:t>Maayan</w:t>
      </w:r>
      <w:proofErr w:type="spellEnd"/>
      <w:r w:rsidRPr="0073567B">
        <w:rPr>
          <w:rFonts w:eastAsiaTheme="minorHAnsi"/>
        </w:rPr>
        <w:t xml:space="preserve"> </w:t>
      </w:r>
      <w:proofErr w:type="spellStart"/>
      <w:r w:rsidRPr="0073567B">
        <w:rPr>
          <w:rFonts w:eastAsiaTheme="minorHAnsi"/>
        </w:rPr>
        <w:t>Davidovitz</w:t>
      </w:r>
      <w:proofErr w:type="spellEnd"/>
      <w:r>
        <w:rPr>
          <w:rFonts w:eastAsiaTheme="minorHAnsi"/>
        </w:rPr>
        <w:t xml:space="preserve"> </w:t>
      </w:r>
      <w:r w:rsidRPr="0073567B">
        <w:rPr>
          <w:rFonts w:eastAsiaTheme="minorHAnsi"/>
        </w:rPr>
        <w:t>and Nissim Cohen</w:t>
      </w:r>
      <w:r>
        <w:rPr>
          <w:rFonts w:eastAsiaTheme="minorHAnsi"/>
        </w:rPr>
        <w:t xml:space="preserve"> </w:t>
      </w:r>
    </w:p>
    <w:p w14:paraId="710CEEF3" w14:textId="77777777"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Human rights, terminal illness and imprisonment: the case of compassionate release</w:t>
      </w:r>
    </w:p>
    <w:p w14:paraId="6CD8C264" w14:textId="7FB907F5" w:rsidR="0073567B" w:rsidRDefault="0073567B" w:rsidP="0073567B">
      <w:pPr>
        <w:tabs>
          <w:tab w:val="right" w:leader="dot" w:pos="6124"/>
          <w:tab w:val="left" w:pos="6237"/>
        </w:tabs>
        <w:bidi w:val="0"/>
        <w:spacing w:after="240"/>
        <w:ind w:left="567"/>
        <w:rPr>
          <w:rFonts w:eastAsiaTheme="minorHAnsi"/>
        </w:rPr>
      </w:pPr>
      <w:proofErr w:type="spellStart"/>
      <w:r w:rsidRPr="0073567B">
        <w:rPr>
          <w:rFonts w:eastAsiaTheme="minorHAnsi"/>
        </w:rPr>
        <w:t>Netanel</w:t>
      </w:r>
      <w:proofErr w:type="spellEnd"/>
      <w:r w:rsidRPr="0073567B">
        <w:rPr>
          <w:rFonts w:eastAsiaTheme="minorHAnsi"/>
        </w:rPr>
        <w:t xml:space="preserve"> Dagan</w:t>
      </w:r>
    </w:p>
    <w:p w14:paraId="6A359890" w14:textId="77777777"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Standards are a prerequisite for equality, standardization is its enemy</w:t>
      </w:r>
    </w:p>
    <w:p w14:paraId="252ACB65" w14:textId="394FFBBE" w:rsidR="0073567B" w:rsidRPr="0073567B" w:rsidRDefault="0073567B" w:rsidP="0073567B">
      <w:pPr>
        <w:tabs>
          <w:tab w:val="right" w:leader="dot" w:pos="6124"/>
          <w:tab w:val="left" w:pos="6237"/>
        </w:tabs>
        <w:bidi w:val="0"/>
        <w:spacing w:after="240"/>
        <w:ind w:left="567"/>
        <w:rPr>
          <w:rFonts w:eastAsiaTheme="minorHAnsi"/>
        </w:rPr>
      </w:pPr>
      <w:proofErr w:type="spellStart"/>
      <w:r w:rsidRPr="0073567B">
        <w:rPr>
          <w:rFonts w:eastAsiaTheme="minorHAnsi"/>
        </w:rPr>
        <w:t>Smadar</w:t>
      </w:r>
      <w:proofErr w:type="spellEnd"/>
      <w:r w:rsidRPr="0073567B">
        <w:rPr>
          <w:rFonts w:eastAsiaTheme="minorHAnsi"/>
        </w:rPr>
        <w:t xml:space="preserve"> Ben-Asher, Israel </w:t>
      </w:r>
      <w:proofErr w:type="spellStart"/>
      <w:r w:rsidRPr="0073567B">
        <w:rPr>
          <w:rFonts w:eastAsiaTheme="minorHAnsi"/>
        </w:rPr>
        <w:t>Sorek</w:t>
      </w:r>
      <w:proofErr w:type="spellEnd"/>
      <w:r w:rsidRPr="0073567B">
        <w:rPr>
          <w:rFonts w:eastAsiaTheme="minorHAnsi"/>
        </w:rPr>
        <w:t xml:space="preserve">, Eldad </w:t>
      </w:r>
      <w:proofErr w:type="spellStart"/>
      <w:r w:rsidRPr="0073567B">
        <w:rPr>
          <w:rFonts w:eastAsiaTheme="minorHAnsi"/>
        </w:rPr>
        <w:t>Shidlovsky</w:t>
      </w:r>
      <w:proofErr w:type="spellEnd"/>
      <w:r w:rsidRPr="0073567B">
        <w:rPr>
          <w:rFonts w:eastAsiaTheme="minorHAnsi"/>
        </w:rPr>
        <w:t xml:space="preserve"> and </w:t>
      </w:r>
      <w:proofErr w:type="spellStart"/>
      <w:r w:rsidRPr="0073567B">
        <w:rPr>
          <w:rFonts w:eastAsiaTheme="minorHAnsi"/>
        </w:rPr>
        <w:t>Ya'arit</w:t>
      </w:r>
      <w:proofErr w:type="spellEnd"/>
      <w:r w:rsidRPr="0073567B">
        <w:rPr>
          <w:rFonts w:eastAsiaTheme="minorHAnsi"/>
        </w:rPr>
        <w:t xml:space="preserve"> </w:t>
      </w:r>
      <w:proofErr w:type="spellStart"/>
      <w:r w:rsidRPr="0073567B">
        <w:rPr>
          <w:rFonts w:eastAsiaTheme="minorHAnsi"/>
        </w:rPr>
        <w:t>Bokek</w:t>
      </w:r>
      <w:proofErr w:type="spellEnd"/>
      <w:r w:rsidRPr="0073567B">
        <w:rPr>
          <w:rFonts w:eastAsiaTheme="minorHAnsi"/>
        </w:rPr>
        <w:t>-Cohen</w:t>
      </w:r>
    </w:p>
    <w:p w14:paraId="72E935A6" w14:textId="77777777" w:rsidR="0073567B" w:rsidRPr="0073567B" w:rsidRDefault="0073567B" w:rsidP="0073567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73567B">
        <w:rPr>
          <w:rFonts w:ascii="Times New Roman" w:eastAsia="Times New Roman" w:hAnsi="Times New Roman" w:cs="Times New Roman"/>
          <w:b/>
          <w:bCs/>
          <w:sz w:val="24"/>
          <w:szCs w:val="24"/>
          <w:lang w:eastAsia="he-IL"/>
        </w:rPr>
        <w:t>Culturally competent policy practice in multicultural societies</w:t>
      </w:r>
    </w:p>
    <w:p w14:paraId="77BC13A5" w14:textId="4C79865C" w:rsidR="0073567B" w:rsidRPr="0073567B" w:rsidRDefault="0073567B" w:rsidP="0073567B">
      <w:pPr>
        <w:tabs>
          <w:tab w:val="right" w:leader="dot" w:pos="6124"/>
          <w:tab w:val="left" w:pos="6237"/>
        </w:tabs>
        <w:bidi w:val="0"/>
        <w:spacing w:after="240"/>
        <w:ind w:left="567"/>
        <w:rPr>
          <w:rFonts w:eastAsiaTheme="minorHAnsi"/>
        </w:rPr>
      </w:pPr>
      <w:r w:rsidRPr="0073567B">
        <w:rPr>
          <w:rFonts w:eastAsiaTheme="minorHAnsi"/>
        </w:rPr>
        <w:t xml:space="preserve">Hani </w:t>
      </w:r>
      <w:proofErr w:type="spellStart"/>
      <w:r w:rsidRPr="0073567B">
        <w:rPr>
          <w:rFonts w:eastAsiaTheme="minorHAnsi"/>
        </w:rPr>
        <w:t>Nouman</w:t>
      </w:r>
      <w:proofErr w:type="spellEnd"/>
    </w:p>
    <w:p w14:paraId="78732FEC" w14:textId="77777777" w:rsidR="0073567B" w:rsidRPr="00E2664B" w:rsidRDefault="0073567B" w:rsidP="0073567B">
      <w:pPr>
        <w:tabs>
          <w:tab w:val="right" w:leader="dot" w:pos="6124"/>
          <w:tab w:val="left" w:pos="6237"/>
        </w:tabs>
        <w:bidi w:val="0"/>
        <w:spacing w:after="240"/>
        <w:ind w:left="567"/>
        <w:rPr>
          <w:rFonts w:eastAsiaTheme="minorHAnsi"/>
        </w:rPr>
      </w:pPr>
    </w:p>
    <w:p w14:paraId="07ACEE7D" w14:textId="2CC2A2F3" w:rsidR="00E9229F" w:rsidRDefault="00E9229F" w:rsidP="00E2664B">
      <w:pPr>
        <w:tabs>
          <w:tab w:val="right" w:leader="dot" w:pos="6124"/>
          <w:tab w:val="left" w:pos="6237"/>
        </w:tabs>
        <w:bidi w:val="0"/>
        <w:spacing w:after="240"/>
        <w:rPr>
          <w:rFonts w:eastAsiaTheme="minorHAnsi"/>
        </w:rPr>
      </w:pPr>
    </w:p>
    <w:p w14:paraId="61AC8CC9" w14:textId="77777777" w:rsidR="000667B0" w:rsidRDefault="000667B0" w:rsidP="000667B0">
      <w:pPr>
        <w:tabs>
          <w:tab w:val="right" w:leader="dot" w:pos="6124"/>
          <w:tab w:val="left" w:pos="6237"/>
        </w:tabs>
        <w:bidi w:val="0"/>
        <w:spacing w:after="240"/>
        <w:rPr>
          <w:rFonts w:eastAsiaTheme="minorHAnsi"/>
        </w:rPr>
        <w:sectPr w:rsidR="000667B0" w:rsidSect="006656CB">
          <w:pgSz w:w="11906" w:h="16838" w:code="9"/>
          <w:pgMar w:top="3402" w:right="2608" w:bottom="2722" w:left="2608" w:header="2552" w:footer="2438" w:gutter="0"/>
          <w:pgNumType w:fmt="lowerRoman"/>
          <w:cols w:space="708"/>
          <w:docGrid w:linePitch="360"/>
        </w:sectPr>
      </w:pPr>
    </w:p>
    <w:p w14:paraId="41F21F3E" w14:textId="00A554A2" w:rsidR="000667B0" w:rsidRPr="00E9229F" w:rsidRDefault="000667B0" w:rsidP="000667B0">
      <w:pPr>
        <w:tabs>
          <w:tab w:val="right" w:leader="dot" w:pos="6124"/>
          <w:tab w:val="left" w:pos="6237"/>
        </w:tabs>
        <w:bidi w:val="0"/>
        <w:spacing w:after="240"/>
        <w:rPr>
          <w:rFonts w:eastAsiaTheme="minorHAnsi"/>
          <w:rtl/>
        </w:rPr>
      </w:pPr>
    </w:p>
    <w:p w14:paraId="1045F6CC" w14:textId="77777777" w:rsidR="0089386D" w:rsidRPr="000D35C8" w:rsidRDefault="0089386D" w:rsidP="000D35C8">
      <w:pPr>
        <w:pStyle w:val="NoSpacing"/>
        <w:bidi w:val="0"/>
        <w:spacing w:after="120" w:line="280" w:lineRule="exact"/>
        <w:rPr>
          <w:rFonts w:ascii="Times New Roman" w:eastAsia="Times New Roman" w:hAnsi="Times New Roman" w:cs="David"/>
        </w:rPr>
      </w:pPr>
      <w:r w:rsidRPr="000D35C8">
        <w:rPr>
          <w:rFonts w:ascii="Times New Roman" w:eastAsia="Times New Roman" w:hAnsi="Times New Roman" w:cs="David"/>
        </w:rPr>
        <w:br w:type="page"/>
      </w:r>
    </w:p>
    <w:p w14:paraId="6719AB3A" w14:textId="77777777" w:rsidR="0089386D" w:rsidRPr="00165447" w:rsidRDefault="0089386D" w:rsidP="00165447">
      <w:pPr>
        <w:pStyle w:val="NoSpacing"/>
        <w:bidi w:val="0"/>
        <w:spacing w:after="2280" w:line="280" w:lineRule="exact"/>
        <w:rPr>
          <w:rFonts w:ascii="Times New Roman" w:eastAsia="Times New Roman" w:hAnsi="Times New Roman"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Default="00757626" w:rsidP="00757626">
      <w:pPr>
        <w:pStyle w:val="Header"/>
        <w:tabs>
          <w:tab w:val="clear" w:pos="4153"/>
          <w:tab w:val="clear" w:pos="8306"/>
        </w:tabs>
        <w:bidi w:val="0"/>
        <w:spacing w:after="240" w:line="360" w:lineRule="auto"/>
        <w:jc w:val="center"/>
        <w:rPr>
          <w:b/>
          <w:bCs/>
          <w:sz w:val="32"/>
          <w:szCs w:val="32"/>
        </w:rPr>
      </w:pPr>
      <w:r>
        <w:rPr>
          <w:b/>
          <w:bCs/>
          <w:sz w:val="32"/>
          <w:szCs w:val="32"/>
        </w:rPr>
        <w:br w:type="page"/>
      </w:r>
    </w:p>
    <w:p w14:paraId="0E849237" w14:textId="77777777" w:rsidR="00316CC0" w:rsidRDefault="00316CC0" w:rsidP="00316CC0">
      <w:pPr>
        <w:pStyle w:val="Header"/>
        <w:tabs>
          <w:tab w:val="clear" w:pos="4153"/>
          <w:tab w:val="clear" w:pos="8306"/>
        </w:tabs>
        <w:bidi w:val="0"/>
        <w:spacing w:after="240" w:line="360" w:lineRule="auto"/>
        <w:jc w:val="center"/>
        <w:rPr>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2D72C539" w14:textId="7B2731B2"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lastRenderedPageBreak/>
        <w:t>Non-governance in time of cris</w:t>
      </w:r>
      <w:r w:rsidR="00D76FB8">
        <w:rPr>
          <w:b w:val="0"/>
          <w:bCs w:val="0"/>
          <w:color w:val="00B0F0"/>
          <w:sz w:val="28"/>
          <w:szCs w:val="28"/>
        </w:rPr>
        <w:t>i</w:t>
      </w:r>
      <w:r w:rsidRPr="008220C8">
        <w:rPr>
          <w:b w:val="0"/>
          <w:bCs w:val="0"/>
          <w:color w:val="00B0F0"/>
          <w:sz w:val="28"/>
          <w:szCs w:val="28"/>
        </w:rPr>
        <w:t>s: the lack of policy evaluation and its impact on the way Israel deals with the COVID-19 crisis</w:t>
      </w:r>
    </w:p>
    <w:p w14:paraId="2704ECDB" w14:textId="287D1711" w:rsidR="008220C8" w:rsidRPr="008220C8" w:rsidRDefault="008220C8" w:rsidP="008220C8">
      <w:pPr>
        <w:bidi w:val="0"/>
        <w:spacing w:after="120" w:line="280" w:lineRule="exact"/>
        <w:jc w:val="both"/>
        <w:rPr>
          <w:rFonts w:cs="Times New Roman"/>
          <w:i/>
          <w:iCs/>
          <w:color w:val="000000" w:themeColor="text1"/>
          <w:sz w:val="22"/>
          <w:szCs w:val="22"/>
        </w:rPr>
      </w:pPr>
      <w:r w:rsidRPr="008220C8">
        <w:rPr>
          <w:rFonts w:cs="Times New Roman"/>
          <w:i/>
          <w:iCs/>
          <w:color w:val="000000" w:themeColor="text1"/>
          <w:sz w:val="22"/>
          <w:szCs w:val="22"/>
        </w:rPr>
        <w:t xml:space="preserve">Ron </w:t>
      </w:r>
      <w:proofErr w:type="spellStart"/>
      <w:r w:rsidRPr="008220C8">
        <w:rPr>
          <w:rFonts w:cs="Times New Roman"/>
          <w:i/>
          <w:iCs/>
          <w:color w:val="000000" w:themeColor="text1"/>
          <w:sz w:val="22"/>
          <w:szCs w:val="22"/>
        </w:rPr>
        <w:t>Tzur</w:t>
      </w:r>
      <w:proofErr w:type="spellEnd"/>
      <w:r w:rsidRPr="008220C8">
        <w:rPr>
          <w:color w:val="000000" w:themeColor="text1"/>
          <w:sz w:val="22"/>
          <w:szCs w:val="22"/>
          <w:vertAlign w:val="superscript"/>
        </w:rPr>
        <w:footnoteReference w:id="2"/>
      </w:r>
      <w:r w:rsidRPr="008220C8">
        <w:rPr>
          <w:rFonts w:cs="Times New Roman"/>
          <w:color w:val="000000" w:themeColor="text1"/>
          <w:sz w:val="22"/>
          <w:szCs w:val="22"/>
        </w:rPr>
        <w:t xml:space="preserve"> and </w:t>
      </w:r>
      <w:r w:rsidRPr="008220C8">
        <w:rPr>
          <w:rFonts w:cs="Times New Roman"/>
          <w:i/>
          <w:iCs/>
          <w:color w:val="000000" w:themeColor="text1"/>
          <w:sz w:val="22"/>
          <w:szCs w:val="22"/>
        </w:rPr>
        <w:t>Nissim Cohen</w:t>
      </w:r>
      <w:r w:rsidRPr="008220C8">
        <w:rPr>
          <w:color w:val="000000" w:themeColor="text1"/>
          <w:sz w:val="22"/>
          <w:szCs w:val="22"/>
          <w:vertAlign w:val="superscript"/>
        </w:rPr>
        <w:footnoteReference w:id="3"/>
      </w:r>
    </w:p>
    <w:p w14:paraId="242C5380" w14:textId="77777777" w:rsidR="008220C8" w:rsidRDefault="008220C8" w:rsidP="008220C8">
      <w:pPr>
        <w:widowControl w:val="0"/>
        <w:bidi w:val="0"/>
        <w:spacing w:after="120" w:line="280" w:lineRule="exact"/>
        <w:jc w:val="both"/>
        <w:rPr>
          <w:rFonts w:asciiTheme="majorBidi" w:hAnsiTheme="majorBidi" w:cstheme="majorBidi"/>
          <w:sz w:val="22"/>
          <w:szCs w:val="22"/>
        </w:rPr>
      </w:pPr>
    </w:p>
    <w:p w14:paraId="02FF5C89" w14:textId="538C0BF9" w:rsid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This article advocates the adoption of a comprehensive and uniform model for the evaluation of effective public policy for the real-time management of the COVID-19 crisis. It calls for the immediate application of “During Action Review”, which requires a series of decisions to be made in the process of managing the crisis and as part of an orderly long-term policy, offering a present-oriented and sober perspective that also looks ahead to the future. A necessary adjustment since policy decisions taken to date and the ensuing measures implemented have neither solved the crisis completely nor provided an adequate response to its immediate and future consequences.</w:t>
      </w:r>
    </w:p>
    <w:p w14:paraId="3EB42B52" w14:textId="20EEB6CB"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00E74099" w14:textId="77777777"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p>
    <w:p w14:paraId="6CEB0FD0" w14:textId="77777777"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t>At-risk children: revisiting myths in the risk discourse in light of a context-informed perspective</w:t>
      </w:r>
    </w:p>
    <w:p w14:paraId="10CA9A33" w14:textId="5D5338E6" w:rsidR="008220C8" w:rsidRPr="008220C8" w:rsidRDefault="008220C8" w:rsidP="008220C8">
      <w:pPr>
        <w:bidi w:val="0"/>
        <w:spacing w:after="120" w:line="280" w:lineRule="exact"/>
        <w:jc w:val="both"/>
        <w:rPr>
          <w:rFonts w:cs="Times New Roman"/>
          <w:i/>
          <w:iCs/>
          <w:color w:val="000000" w:themeColor="text1"/>
          <w:sz w:val="22"/>
          <w:szCs w:val="22"/>
        </w:rPr>
      </w:pPr>
      <w:proofErr w:type="spellStart"/>
      <w:r w:rsidRPr="008220C8">
        <w:rPr>
          <w:rFonts w:cs="Times New Roman"/>
          <w:i/>
          <w:iCs/>
          <w:color w:val="000000" w:themeColor="text1"/>
          <w:sz w:val="22"/>
          <w:szCs w:val="22"/>
        </w:rPr>
        <w:t>Dorit</w:t>
      </w:r>
      <w:proofErr w:type="spellEnd"/>
      <w:r w:rsidRPr="008220C8">
        <w:rPr>
          <w:rFonts w:cs="Times New Roman"/>
          <w:i/>
          <w:iCs/>
          <w:color w:val="000000" w:themeColor="text1"/>
          <w:sz w:val="22"/>
          <w:szCs w:val="22"/>
        </w:rPr>
        <w:t xml:space="preserve"> </w:t>
      </w:r>
      <w:proofErr w:type="spellStart"/>
      <w:r w:rsidRPr="008220C8">
        <w:rPr>
          <w:rFonts w:cs="Times New Roman"/>
          <w:i/>
          <w:iCs/>
          <w:color w:val="000000" w:themeColor="text1"/>
          <w:sz w:val="22"/>
          <w:szCs w:val="22"/>
        </w:rPr>
        <w:t>Roer-Strier</w:t>
      </w:r>
      <w:proofErr w:type="spellEnd"/>
      <w:r w:rsidRPr="008220C8">
        <w:rPr>
          <w:rFonts w:cs="Times New Roman"/>
          <w:color w:val="000000" w:themeColor="text1"/>
          <w:sz w:val="22"/>
          <w:szCs w:val="22"/>
          <w:vertAlign w:val="superscript"/>
        </w:rPr>
        <w:footnoteReference w:id="4"/>
      </w:r>
      <w:r w:rsidRPr="008220C8">
        <w:rPr>
          <w:rFonts w:cs="Times New Roman"/>
          <w:color w:val="000000" w:themeColor="text1"/>
          <w:sz w:val="22"/>
          <w:szCs w:val="22"/>
        </w:rPr>
        <w:t xml:space="preserve"> and </w:t>
      </w:r>
      <w:proofErr w:type="spellStart"/>
      <w:r w:rsidRPr="008220C8">
        <w:rPr>
          <w:rFonts w:cs="Times New Roman"/>
          <w:i/>
          <w:iCs/>
          <w:color w:val="000000" w:themeColor="text1"/>
          <w:sz w:val="22"/>
          <w:szCs w:val="22"/>
        </w:rPr>
        <w:t>Yochay</w:t>
      </w:r>
      <w:proofErr w:type="spellEnd"/>
      <w:r w:rsidRPr="008220C8">
        <w:rPr>
          <w:rFonts w:cs="Times New Roman"/>
          <w:i/>
          <w:iCs/>
          <w:color w:val="000000" w:themeColor="text1"/>
          <w:sz w:val="22"/>
          <w:szCs w:val="22"/>
        </w:rPr>
        <w:t xml:space="preserve"> Nadan</w:t>
      </w:r>
      <w:r w:rsidRPr="0073567B">
        <w:rPr>
          <w:rFonts w:cs="Times New Roman"/>
          <w:i/>
          <w:iCs/>
          <w:color w:val="000000" w:themeColor="text1"/>
          <w:sz w:val="22"/>
          <w:szCs w:val="22"/>
          <w:vertAlign w:val="superscript"/>
        </w:rPr>
        <w:t>3</w:t>
      </w:r>
    </w:p>
    <w:p w14:paraId="478A3EEA" w14:textId="42A5DF8F" w:rsid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 xml:space="preserve">This article proposes a context-informed perspective to the study of children’s risk and protection. This perspective was developed from our large-scale qualitative research project in Israel that explored perceptions and constructions of child risk and protection among parents and children of various cultures and communities in Israel, and also among the social workers who serve these communities. We present three correlations – racism and exclusion, religion and spirituality, and political conflict and violence – to illustrate our conceptualization. We revisit the ontological nature of the categories of child risk and protection by deconstructing three </w:t>
      </w:r>
      <w:r w:rsidRPr="008220C8">
        <w:rPr>
          <w:rFonts w:asciiTheme="majorBidi" w:hAnsiTheme="majorBidi" w:cstheme="majorBidi"/>
          <w:spacing w:val="-2"/>
          <w:sz w:val="22"/>
          <w:szCs w:val="22"/>
        </w:rPr>
        <w:lastRenderedPageBreak/>
        <w:t>prevalent myths identified in the risk discourse. We discuss the complexity embedded in risk assessment in a diverse, multi-cultural and multi-context reality, and we elaborate on the discrepancies and differences between parents and professionals, in their values, on the positionality of the observer and on the power relations between them.</w:t>
      </w:r>
    </w:p>
    <w:p w14:paraId="707E50B5" w14:textId="38EB1A4D"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2E5CE134" w14:textId="77777777"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p>
    <w:p w14:paraId="15152CD8" w14:textId="77777777"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t>Violence against social service providers and coping mechanisms at the frontline – the case of teachers and social workers in Israel</w:t>
      </w:r>
    </w:p>
    <w:p w14:paraId="6866179C" w14:textId="6879B52B" w:rsidR="008220C8" w:rsidRPr="0073567B" w:rsidRDefault="008220C8" w:rsidP="008220C8">
      <w:pPr>
        <w:bidi w:val="0"/>
        <w:spacing w:after="120" w:line="280" w:lineRule="exact"/>
        <w:jc w:val="both"/>
        <w:rPr>
          <w:rFonts w:cs="Times New Roman"/>
          <w:i/>
          <w:iCs/>
          <w:color w:val="000000" w:themeColor="text1"/>
          <w:sz w:val="22"/>
          <w:szCs w:val="22"/>
        </w:rPr>
      </w:pPr>
      <w:proofErr w:type="spellStart"/>
      <w:r w:rsidRPr="008220C8">
        <w:rPr>
          <w:rFonts w:cs="Times New Roman"/>
          <w:i/>
          <w:iCs/>
          <w:color w:val="000000" w:themeColor="text1"/>
          <w:sz w:val="22"/>
          <w:szCs w:val="22"/>
        </w:rPr>
        <w:t>Maayan</w:t>
      </w:r>
      <w:proofErr w:type="spellEnd"/>
      <w:r w:rsidRPr="008220C8">
        <w:rPr>
          <w:rFonts w:cs="Times New Roman"/>
          <w:i/>
          <w:iCs/>
          <w:color w:val="000000" w:themeColor="text1"/>
          <w:sz w:val="22"/>
          <w:szCs w:val="22"/>
        </w:rPr>
        <w:t xml:space="preserve"> </w:t>
      </w:r>
      <w:proofErr w:type="spellStart"/>
      <w:r w:rsidRPr="008220C8">
        <w:rPr>
          <w:rFonts w:cs="Times New Roman"/>
          <w:i/>
          <w:iCs/>
          <w:color w:val="000000" w:themeColor="text1"/>
          <w:sz w:val="22"/>
          <w:szCs w:val="22"/>
        </w:rPr>
        <w:t>Davidovitz</w:t>
      </w:r>
      <w:proofErr w:type="spellEnd"/>
      <w:r w:rsidRPr="008220C8">
        <w:rPr>
          <w:rFonts w:cs="Times New Roman"/>
          <w:color w:val="000000" w:themeColor="text1"/>
          <w:sz w:val="22"/>
          <w:szCs w:val="22"/>
          <w:vertAlign w:val="superscript"/>
        </w:rPr>
        <w:footnoteReference w:id="5"/>
      </w:r>
      <w:r w:rsidRPr="008220C8">
        <w:rPr>
          <w:rFonts w:cs="Times New Roman"/>
          <w:color w:val="000000" w:themeColor="text1"/>
          <w:sz w:val="22"/>
          <w:szCs w:val="22"/>
        </w:rPr>
        <w:t xml:space="preserve"> and </w:t>
      </w:r>
      <w:r w:rsidRPr="008220C8">
        <w:rPr>
          <w:rFonts w:cs="Times New Roman"/>
          <w:i/>
          <w:iCs/>
          <w:color w:val="000000" w:themeColor="text1"/>
          <w:sz w:val="22"/>
          <w:szCs w:val="22"/>
        </w:rPr>
        <w:t>Nissim Cohen</w:t>
      </w:r>
      <w:r w:rsidR="0073567B">
        <w:rPr>
          <w:rFonts w:cs="Times New Roman"/>
          <w:i/>
          <w:iCs/>
          <w:color w:val="000000" w:themeColor="text1"/>
          <w:sz w:val="22"/>
          <w:szCs w:val="22"/>
          <w:vertAlign w:val="superscript"/>
        </w:rPr>
        <w:t>1</w:t>
      </w:r>
    </w:p>
    <w:p w14:paraId="5691DC91" w14:textId="77777777"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2FA49DE7" w14:textId="3C384A94"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Frontline workers who provide social services are often exposed to violence from their clients in many places around the world, including in Israel. Our article identifies the types of violence to which frontline workers are exposed and the various coping mechanisms they adopt in response to their clients’ physical and verbal violence. We examine this phenomenon empirically through in-depth interviews and focus groups with 101 Israeli frontline workers (teachers and social workers). Our research findings demonstrate that clients’ violence, both verbal and physical, is a common phenomenon in the duties of frontline workers. In response, field-level workers use several coping strategies: carefully selecting their words when interacting with the violent client; expressing their empathy and support towards the violent client; meeting violent clients’ demands; setting boundaries; severing contact with the violent client and calling for backup from functionaries in the organization. We found no significant differences between the social workers and teachers in terms of the type of violence to which each group is exposed and how they cope therewith. We offer a number of possible future research directions as well as practical recommendations for reducing the phenomenon</w:t>
      </w:r>
      <w:r w:rsidRPr="008220C8">
        <w:rPr>
          <w:rFonts w:asciiTheme="majorBidi" w:hAnsiTheme="majorBidi" w:cstheme="majorBidi"/>
          <w:spacing w:val="-2"/>
          <w:sz w:val="22"/>
          <w:szCs w:val="22"/>
          <w:rtl/>
        </w:rPr>
        <w:t>.</w:t>
      </w:r>
    </w:p>
    <w:p w14:paraId="1AFAFB7C" w14:textId="77777777"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lastRenderedPageBreak/>
        <w:t>Human rights, terminal illness and imprisonment: the case of compassionate release</w:t>
      </w:r>
    </w:p>
    <w:p w14:paraId="298E95DF" w14:textId="5DA3EB27" w:rsidR="008220C8" w:rsidRPr="008220C8" w:rsidRDefault="008220C8" w:rsidP="008220C8">
      <w:pPr>
        <w:bidi w:val="0"/>
        <w:spacing w:after="120" w:line="280" w:lineRule="exact"/>
        <w:jc w:val="both"/>
        <w:rPr>
          <w:rFonts w:cs="Times New Roman"/>
          <w:i/>
          <w:iCs/>
          <w:color w:val="000000" w:themeColor="text1"/>
          <w:sz w:val="22"/>
          <w:szCs w:val="22"/>
        </w:rPr>
      </w:pPr>
      <w:proofErr w:type="spellStart"/>
      <w:r w:rsidRPr="008220C8">
        <w:rPr>
          <w:rFonts w:cs="Times New Roman"/>
          <w:i/>
          <w:iCs/>
          <w:color w:val="000000" w:themeColor="text1"/>
          <w:sz w:val="22"/>
          <w:szCs w:val="22"/>
        </w:rPr>
        <w:t>Netanel</w:t>
      </w:r>
      <w:proofErr w:type="spellEnd"/>
      <w:r w:rsidRPr="008220C8">
        <w:rPr>
          <w:rFonts w:cs="Times New Roman"/>
          <w:i/>
          <w:iCs/>
          <w:color w:val="000000" w:themeColor="text1"/>
          <w:sz w:val="22"/>
          <w:szCs w:val="22"/>
        </w:rPr>
        <w:t xml:space="preserve"> Dagan</w:t>
      </w:r>
      <w:r w:rsidRPr="008220C8">
        <w:rPr>
          <w:rFonts w:cs="Times New Roman"/>
          <w:color w:val="000000" w:themeColor="text1"/>
          <w:sz w:val="22"/>
          <w:szCs w:val="22"/>
          <w:vertAlign w:val="superscript"/>
        </w:rPr>
        <w:footnoteReference w:id="6"/>
      </w:r>
    </w:p>
    <w:p w14:paraId="65A56D98" w14:textId="77777777"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5E184CF9" w14:textId="34C7877C"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 xml:space="preserve">Early release of seriously ill and ageing prisoners (hereinafter: “compassionate release”) can be granted based on criteria specified by law in many penal systems. The aim of this paper is to present the views and experiences of 20 Israeli Parole Boards’ Chairpersons on compassionate release using qualitative semi-structured interviews. The interviewees argued for compassionate release on the grounds of illness and old age, citing different humanitarian, utilitarian, and retributive justifications. The interviewees also indicated tensions in their decision-making process: compassionate release may be in conflict with retributive justice (and public opinion); the legal criterion for such release is vague and its process may be manipulated by unqualifying prisoners. </w:t>
      </w:r>
    </w:p>
    <w:p w14:paraId="654DD8CD" w14:textId="77777777" w:rsidR="008220C8" w:rsidRPr="006B7B6D" w:rsidRDefault="008220C8" w:rsidP="008220C8">
      <w:pPr>
        <w:bidi w:val="0"/>
        <w:spacing w:line="276" w:lineRule="auto"/>
        <w:jc w:val="both"/>
        <w:rPr>
          <w:b/>
          <w:bCs/>
          <w:rtl/>
        </w:rPr>
      </w:pPr>
    </w:p>
    <w:p w14:paraId="1FEF858B" w14:textId="77777777" w:rsidR="008220C8" w:rsidRPr="009D0D62" w:rsidRDefault="008220C8" w:rsidP="008220C8">
      <w:pPr>
        <w:bidi w:val="0"/>
        <w:spacing w:line="276" w:lineRule="auto"/>
        <w:jc w:val="both"/>
        <w:rPr>
          <w:b/>
          <w:bCs/>
          <w:rtl/>
        </w:rPr>
      </w:pPr>
    </w:p>
    <w:p w14:paraId="42E2DD2B" w14:textId="77777777"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t>Standards are a prerequisite for equality, standardization is its enemy</w:t>
      </w:r>
    </w:p>
    <w:p w14:paraId="144B92E4" w14:textId="50298236" w:rsidR="008220C8" w:rsidRPr="008220C8" w:rsidRDefault="008220C8" w:rsidP="008220C8">
      <w:pPr>
        <w:bidi w:val="0"/>
        <w:spacing w:after="120" w:line="280" w:lineRule="exact"/>
        <w:jc w:val="both"/>
        <w:rPr>
          <w:rFonts w:cs="Times New Roman"/>
          <w:i/>
          <w:iCs/>
          <w:color w:val="000000" w:themeColor="text1"/>
          <w:sz w:val="22"/>
          <w:szCs w:val="22"/>
        </w:rPr>
      </w:pPr>
      <w:proofErr w:type="spellStart"/>
      <w:r w:rsidRPr="008220C8">
        <w:rPr>
          <w:rFonts w:cs="Times New Roman"/>
          <w:i/>
          <w:iCs/>
          <w:color w:val="000000" w:themeColor="text1"/>
          <w:sz w:val="22"/>
          <w:szCs w:val="22"/>
        </w:rPr>
        <w:t>Smadar</w:t>
      </w:r>
      <w:proofErr w:type="spellEnd"/>
      <w:r w:rsidRPr="008220C8">
        <w:rPr>
          <w:rFonts w:cs="Times New Roman"/>
          <w:i/>
          <w:iCs/>
          <w:color w:val="000000" w:themeColor="text1"/>
          <w:sz w:val="22"/>
          <w:szCs w:val="22"/>
        </w:rPr>
        <w:t xml:space="preserve"> Ben-Asher</w:t>
      </w:r>
      <w:r w:rsidRPr="008220C8">
        <w:rPr>
          <w:rFonts w:cs="Times New Roman"/>
          <w:color w:val="000000" w:themeColor="text1"/>
          <w:sz w:val="22"/>
          <w:szCs w:val="22"/>
          <w:vertAlign w:val="superscript"/>
        </w:rPr>
        <w:footnoteReference w:id="7"/>
      </w:r>
      <w:r w:rsidRPr="008220C8">
        <w:rPr>
          <w:rFonts w:cs="Times New Roman"/>
          <w:i/>
          <w:iCs/>
          <w:color w:val="000000" w:themeColor="text1"/>
          <w:sz w:val="22"/>
          <w:szCs w:val="22"/>
        </w:rPr>
        <w:t xml:space="preserve">, Israel </w:t>
      </w:r>
      <w:proofErr w:type="spellStart"/>
      <w:r w:rsidRPr="008220C8">
        <w:rPr>
          <w:rFonts w:cs="Times New Roman"/>
          <w:i/>
          <w:iCs/>
          <w:color w:val="000000" w:themeColor="text1"/>
          <w:sz w:val="22"/>
          <w:szCs w:val="22"/>
        </w:rPr>
        <w:t>Sorek</w:t>
      </w:r>
      <w:proofErr w:type="spellEnd"/>
      <w:r w:rsidRPr="008220C8">
        <w:rPr>
          <w:rFonts w:cs="Times New Roman"/>
          <w:color w:val="000000" w:themeColor="text1"/>
          <w:sz w:val="22"/>
          <w:szCs w:val="22"/>
          <w:vertAlign w:val="superscript"/>
        </w:rPr>
        <w:footnoteReference w:id="8"/>
      </w:r>
      <w:r w:rsidRPr="008220C8">
        <w:rPr>
          <w:rFonts w:cs="Times New Roman"/>
          <w:i/>
          <w:iCs/>
          <w:color w:val="000000" w:themeColor="text1"/>
          <w:sz w:val="22"/>
          <w:szCs w:val="22"/>
        </w:rPr>
        <w:t xml:space="preserve">, Eldad </w:t>
      </w:r>
      <w:proofErr w:type="spellStart"/>
      <w:r w:rsidRPr="008220C8">
        <w:rPr>
          <w:rFonts w:cs="Times New Roman"/>
          <w:i/>
          <w:iCs/>
          <w:color w:val="000000" w:themeColor="text1"/>
          <w:sz w:val="22"/>
          <w:szCs w:val="22"/>
        </w:rPr>
        <w:t>Shidlovsky</w:t>
      </w:r>
      <w:proofErr w:type="spellEnd"/>
      <w:r w:rsidRPr="008220C8">
        <w:rPr>
          <w:rFonts w:cs="Times New Roman"/>
          <w:color w:val="000000" w:themeColor="text1"/>
          <w:sz w:val="22"/>
          <w:szCs w:val="22"/>
          <w:vertAlign w:val="superscript"/>
        </w:rPr>
        <w:footnoteReference w:id="9"/>
      </w:r>
      <w:r w:rsidRPr="008220C8">
        <w:rPr>
          <w:rFonts w:cs="Times New Roman"/>
          <w:color w:val="000000" w:themeColor="text1"/>
          <w:sz w:val="22"/>
          <w:szCs w:val="22"/>
        </w:rPr>
        <w:t xml:space="preserve"> and </w:t>
      </w:r>
      <w:proofErr w:type="spellStart"/>
      <w:r w:rsidRPr="008220C8">
        <w:rPr>
          <w:rFonts w:cs="Times New Roman"/>
          <w:i/>
          <w:iCs/>
          <w:color w:val="000000" w:themeColor="text1"/>
          <w:sz w:val="22"/>
          <w:szCs w:val="22"/>
        </w:rPr>
        <w:t>Ya'arit</w:t>
      </w:r>
      <w:proofErr w:type="spellEnd"/>
      <w:r w:rsidRPr="008220C8">
        <w:rPr>
          <w:rFonts w:cs="Times New Roman"/>
          <w:i/>
          <w:iCs/>
          <w:color w:val="000000" w:themeColor="text1"/>
          <w:sz w:val="22"/>
          <w:szCs w:val="22"/>
        </w:rPr>
        <w:t xml:space="preserve"> </w:t>
      </w:r>
      <w:proofErr w:type="spellStart"/>
      <w:r w:rsidRPr="008220C8">
        <w:rPr>
          <w:rFonts w:cs="Times New Roman"/>
          <w:i/>
          <w:iCs/>
          <w:color w:val="000000" w:themeColor="text1"/>
          <w:sz w:val="22"/>
          <w:szCs w:val="22"/>
        </w:rPr>
        <w:t>Bokek</w:t>
      </w:r>
      <w:proofErr w:type="spellEnd"/>
      <w:r w:rsidRPr="008220C8">
        <w:rPr>
          <w:rFonts w:cs="Times New Roman"/>
          <w:i/>
          <w:iCs/>
          <w:color w:val="000000" w:themeColor="text1"/>
          <w:sz w:val="22"/>
          <w:szCs w:val="22"/>
        </w:rPr>
        <w:t>-Cohen</w:t>
      </w:r>
      <w:r w:rsidRPr="008220C8">
        <w:rPr>
          <w:rFonts w:cs="Times New Roman"/>
          <w:color w:val="000000" w:themeColor="text1"/>
          <w:sz w:val="22"/>
          <w:szCs w:val="22"/>
          <w:vertAlign w:val="superscript"/>
        </w:rPr>
        <w:footnoteReference w:id="10"/>
      </w:r>
    </w:p>
    <w:p w14:paraId="09FF010A" w14:textId="77777777"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324EE742" w14:textId="166A6059"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 xml:space="preserve">Standardization is a mechanism designed to create uniformity, which reflects the equal status of the citizens of a State vis-à-vis its institutions. However, when standardization in certain areas of life ignores essential differences between groups and individuals, it may intensify inequality, prejudice the principle of justice, and create overt or covert discrimination. In this article </w:t>
      </w:r>
      <w:r w:rsidRPr="008220C8">
        <w:rPr>
          <w:rFonts w:asciiTheme="majorBidi" w:hAnsiTheme="majorBidi" w:cstheme="majorBidi"/>
          <w:spacing w:val="-2"/>
          <w:sz w:val="22"/>
          <w:szCs w:val="22"/>
        </w:rPr>
        <w:lastRenderedPageBreak/>
        <w:t>we expose the erroneous identification between standardization and equality, when dealing with unique life contexts and complex human situations.</w:t>
      </w:r>
    </w:p>
    <w:p w14:paraId="180A8BD2" w14:textId="16D793C8" w:rsid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The connection between standards and justice is examined using three perspectives: philosophical, economic, and social. As a case study, we bring the Bedouin IDF widows who are adversely affected by the standardization of rights granted to IDF widows in Israel, since the rights granted by law are not adapted to their way of life. We demonstrate how standards that are not culturally sensitive create distortions that undermine distributive justice and prevent particular groups, usually marginalized and excluded, from receiving the benefits and resources they deserve. We argue that only policies that segment personal, social and cultural needs adequately, are reflective of a democratic and substantive equality that goes beyond technical uniformity in mechanisms of implementation.</w:t>
      </w:r>
    </w:p>
    <w:p w14:paraId="674D2D81" w14:textId="16D7A381"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69A84615" w14:textId="77777777"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p>
    <w:p w14:paraId="69525248" w14:textId="77777777" w:rsidR="008220C8" w:rsidRPr="008220C8" w:rsidRDefault="008220C8" w:rsidP="008220C8">
      <w:pPr>
        <w:pStyle w:val="KOT4"/>
        <w:keepLines/>
        <w:bidi w:val="0"/>
        <w:spacing w:line="240" w:lineRule="auto"/>
        <w:ind w:right="0"/>
        <w:rPr>
          <w:b w:val="0"/>
          <w:bCs w:val="0"/>
          <w:color w:val="00B0F0"/>
          <w:sz w:val="28"/>
          <w:szCs w:val="28"/>
        </w:rPr>
      </w:pPr>
      <w:r w:rsidRPr="008220C8">
        <w:rPr>
          <w:b w:val="0"/>
          <w:bCs w:val="0"/>
          <w:color w:val="00B0F0"/>
          <w:sz w:val="28"/>
          <w:szCs w:val="28"/>
        </w:rPr>
        <w:t>Culturally competent policy practice in multicultural societies</w:t>
      </w:r>
    </w:p>
    <w:p w14:paraId="162B9137" w14:textId="52291787" w:rsidR="008220C8" w:rsidRPr="008220C8" w:rsidRDefault="008220C8" w:rsidP="008220C8">
      <w:pPr>
        <w:bidi w:val="0"/>
        <w:spacing w:after="120" w:line="280" w:lineRule="exact"/>
        <w:jc w:val="both"/>
        <w:rPr>
          <w:rFonts w:cs="Times New Roman"/>
          <w:i/>
          <w:iCs/>
          <w:color w:val="000000" w:themeColor="text1"/>
          <w:sz w:val="22"/>
          <w:szCs w:val="22"/>
        </w:rPr>
      </w:pPr>
      <w:r w:rsidRPr="008220C8">
        <w:rPr>
          <w:rFonts w:cs="Times New Roman"/>
          <w:i/>
          <w:iCs/>
          <w:color w:val="000000" w:themeColor="text1"/>
          <w:sz w:val="22"/>
          <w:szCs w:val="22"/>
        </w:rPr>
        <w:t xml:space="preserve">Hani </w:t>
      </w:r>
      <w:proofErr w:type="spellStart"/>
      <w:r w:rsidRPr="008220C8">
        <w:rPr>
          <w:rFonts w:cs="Times New Roman"/>
          <w:i/>
          <w:iCs/>
          <w:color w:val="000000" w:themeColor="text1"/>
          <w:sz w:val="22"/>
          <w:szCs w:val="22"/>
        </w:rPr>
        <w:t>Nouman</w:t>
      </w:r>
      <w:proofErr w:type="spellEnd"/>
      <w:r w:rsidRPr="008220C8">
        <w:rPr>
          <w:rFonts w:cs="Times New Roman"/>
          <w:color w:val="000000" w:themeColor="text1"/>
          <w:sz w:val="22"/>
          <w:szCs w:val="22"/>
          <w:vertAlign w:val="superscript"/>
        </w:rPr>
        <w:footnoteReference w:id="11"/>
      </w:r>
    </w:p>
    <w:p w14:paraId="3B5BBD58" w14:textId="77777777" w:rsidR="008220C8" w:rsidRDefault="008220C8" w:rsidP="008220C8">
      <w:pPr>
        <w:widowControl w:val="0"/>
        <w:bidi w:val="0"/>
        <w:spacing w:after="120" w:line="280" w:lineRule="exact"/>
        <w:jc w:val="both"/>
        <w:rPr>
          <w:rFonts w:asciiTheme="majorBidi" w:hAnsiTheme="majorBidi" w:cstheme="majorBidi"/>
          <w:spacing w:val="-2"/>
          <w:sz w:val="22"/>
          <w:szCs w:val="22"/>
        </w:rPr>
      </w:pPr>
    </w:p>
    <w:p w14:paraId="206EA487" w14:textId="779572A3" w:rsidR="008220C8" w:rsidRPr="008220C8" w:rsidRDefault="008220C8" w:rsidP="008220C8">
      <w:pPr>
        <w:widowControl w:val="0"/>
        <w:bidi w:val="0"/>
        <w:spacing w:after="120" w:line="280" w:lineRule="exact"/>
        <w:jc w:val="both"/>
        <w:rPr>
          <w:rFonts w:asciiTheme="majorBidi" w:hAnsiTheme="majorBidi" w:cstheme="majorBidi"/>
          <w:spacing w:val="-2"/>
          <w:sz w:val="22"/>
          <w:szCs w:val="22"/>
        </w:rPr>
      </w:pPr>
      <w:r w:rsidRPr="008220C8">
        <w:rPr>
          <w:rFonts w:asciiTheme="majorBidi" w:hAnsiTheme="majorBidi" w:cstheme="majorBidi"/>
          <w:spacing w:val="-2"/>
          <w:sz w:val="22"/>
          <w:szCs w:val="22"/>
        </w:rPr>
        <w:t xml:space="preserve">Cultural competence for engagement in policy shaping processes is necessary to promote effective engagement of social workers in policy practice in cross-cultural political situations. Although cultural competence played a prominent part in the literature of the past decade, most papers on the subject have focused on the intercultural encounter between social workers and clients, and on the therapeutic context, with emphasis on the practitioner and the client belonging respectively to the dominant Western culture and the “other” less dominant culture in the society. This article attempts to fill the gap by developing a theoretical culturally competent policy practice model to examine different dimensions of cultural competence required for the engagement of social workers from different ethnic groups in the policy arena. The basic assumption of the conceptual framework discussed below is </w:t>
      </w:r>
      <w:r w:rsidRPr="008220C8">
        <w:rPr>
          <w:rFonts w:asciiTheme="majorBidi" w:hAnsiTheme="majorBidi" w:cstheme="majorBidi"/>
          <w:spacing w:val="-2"/>
          <w:sz w:val="22"/>
          <w:szCs w:val="22"/>
        </w:rPr>
        <w:lastRenderedPageBreak/>
        <w:t>that social workers’ ethnic origin, cultural values, status and social identity, and political and ideological stances are likely to be expressed in the relationships with their clients, in their perceptions of social structures, and in the way they act in the policy arena. Therefore, the development of cultural competence in policy practice is necessary for effective work in cross-cultural situations.</w:t>
      </w:r>
    </w:p>
    <w:p w14:paraId="7F2609A2" w14:textId="4862DA71" w:rsidR="00522824" w:rsidRDefault="00522824" w:rsidP="003B0CA1">
      <w:pPr>
        <w:widowControl w:val="0"/>
        <w:bidi w:val="0"/>
        <w:spacing w:after="120" w:line="280" w:lineRule="exact"/>
        <w:jc w:val="both"/>
        <w:rPr>
          <w:rFonts w:asciiTheme="majorBidi" w:hAnsiTheme="majorBidi" w:cstheme="majorBidi"/>
          <w:sz w:val="22"/>
          <w:szCs w:val="22"/>
          <w:rtl/>
        </w:rPr>
      </w:pPr>
    </w:p>
    <w:p w14:paraId="0DAEC2D9" w14:textId="77777777" w:rsidR="00451D7A" w:rsidRDefault="00451D7A" w:rsidP="00451D7A">
      <w:pPr>
        <w:widowControl w:val="0"/>
        <w:bidi w:val="0"/>
        <w:spacing w:after="120" w:line="280" w:lineRule="exact"/>
        <w:jc w:val="both"/>
        <w:rPr>
          <w:rFonts w:asciiTheme="majorBidi" w:hAnsiTheme="majorBidi" w:cstheme="majorBidi"/>
          <w:sz w:val="22"/>
          <w:szCs w:val="22"/>
        </w:rPr>
        <w:sectPr w:rsidR="00451D7A" w:rsidSect="00F66B96">
          <w:headerReference w:type="even" r:id="rId9"/>
          <w:headerReference w:type="default" r:id="rId10"/>
          <w:footnotePr>
            <w:numRestart w:val="eachPage"/>
          </w:footnotePr>
          <w:pgSz w:w="11906" w:h="16838" w:code="9"/>
          <w:pgMar w:top="3402" w:right="2608" w:bottom="2722" w:left="2608" w:header="2552" w:footer="2268" w:gutter="0"/>
          <w:pgNumType w:fmt="lowerRoman"/>
          <w:cols w:space="708"/>
          <w:docGrid w:linePitch="360"/>
        </w:sectPr>
      </w:pPr>
    </w:p>
    <w:p w14:paraId="1362F546" w14:textId="7740D816" w:rsidR="00451D7A" w:rsidRPr="003B0CA1" w:rsidRDefault="00451D7A" w:rsidP="00451D7A">
      <w:pPr>
        <w:widowControl w:val="0"/>
        <w:bidi w:val="0"/>
        <w:spacing w:after="120" w:line="280" w:lineRule="exact"/>
        <w:jc w:val="both"/>
        <w:rPr>
          <w:rFonts w:asciiTheme="majorBidi" w:hAnsiTheme="majorBidi" w:cstheme="majorBidi"/>
          <w:sz w:val="22"/>
          <w:szCs w:val="22"/>
        </w:rPr>
      </w:pPr>
    </w:p>
    <w:sectPr w:rsidR="00451D7A" w:rsidRPr="003B0CA1" w:rsidSect="00451D7A">
      <w:footnotePr>
        <w:numRestart w:val="eachPage"/>
      </w:footnotePr>
      <w:pgSz w:w="11906" w:h="16838" w:code="9"/>
      <w:pgMar w:top="3402" w:right="2608" w:bottom="2722" w:left="2608" w:header="2552" w:footer="226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107B" w14:textId="77777777" w:rsidR="005957A2" w:rsidRDefault="005957A2">
      <w:pPr>
        <w:spacing w:line="240" w:lineRule="auto"/>
      </w:pPr>
      <w:r>
        <w:separator/>
      </w:r>
    </w:p>
  </w:endnote>
  <w:endnote w:type="continuationSeparator" w:id="0">
    <w:p w14:paraId="53DA7E77" w14:textId="77777777" w:rsidR="005957A2" w:rsidRDefault="00595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Swis721 BT">
    <w:altName w:val="Calibri"/>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B49D" w14:textId="77777777" w:rsidR="005957A2" w:rsidRDefault="005957A2"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78E0C6C0" w14:textId="77777777" w:rsidR="005957A2" w:rsidRDefault="005957A2">
      <w:r>
        <w:continuationSeparator/>
      </w:r>
    </w:p>
  </w:footnote>
  <w:footnote w:type="continuationNotice" w:id="1">
    <w:p w14:paraId="3E208D99" w14:textId="77777777" w:rsidR="005957A2" w:rsidRDefault="005957A2">
      <w:pPr>
        <w:rPr>
          <w:rtl/>
        </w:rPr>
      </w:pPr>
    </w:p>
  </w:footnote>
  <w:footnote w:id="2">
    <w:p w14:paraId="652757DB"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Sparks Consulting Group and Israeli Leadership Forum</w:t>
      </w:r>
      <w:r w:rsidRPr="008220C8">
        <w:rPr>
          <w:rFonts w:eastAsia="Arial Unicode MS" w:hAnsi="Arial Unicode MS" w:cs="Arial Unicode MS"/>
          <w:color w:val="000000"/>
          <w:sz w:val="18"/>
          <w:szCs w:val="18"/>
          <w:u w:color="000000"/>
          <w:bdr w:val="nil"/>
        </w:rPr>
        <w:t>’</w:t>
      </w:r>
      <w:r w:rsidRPr="008220C8">
        <w:rPr>
          <w:rFonts w:eastAsia="Arial Unicode MS" w:hAnsi="Arial Unicode MS" w:cs="Arial Unicode MS"/>
          <w:color w:val="000000"/>
          <w:sz w:val="18"/>
          <w:szCs w:val="18"/>
          <w:u w:color="000000"/>
          <w:bdr w:val="nil"/>
        </w:rPr>
        <w:t>s advisory board</w:t>
      </w:r>
    </w:p>
  </w:footnote>
  <w:footnote w:id="3">
    <w:p w14:paraId="7FE9E92B"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Center for Public Management and Policy, University of Haifa</w:t>
      </w:r>
    </w:p>
  </w:footnote>
  <w:footnote w:id="4">
    <w:p w14:paraId="4A1D6481"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r>
      <w:proofErr w:type="spellStart"/>
      <w:r w:rsidRPr="008220C8">
        <w:rPr>
          <w:rFonts w:eastAsia="Arial Unicode MS" w:hAnsi="Arial Unicode MS" w:cs="Arial Unicode MS"/>
          <w:color w:val="000000"/>
          <w:sz w:val="18"/>
          <w:szCs w:val="18"/>
          <w:u w:color="000000"/>
          <w:bdr w:val="nil"/>
        </w:rPr>
        <w:t>Nevet</w:t>
      </w:r>
      <w:proofErr w:type="spellEnd"/>
      <w:r w:rsidRPr="008220C8">
        <w:rPr>
          <w:rFonts w:eastAsia="Arial Unicode MS" w:hAnsi="Arial Unicode MS" w:cs="Arial Unicode MS"/>
          <w:color w:val="000000"/>
          <w:sz w:val="18"/>
          <w:szCs w:val="18"/>
          <w:u w:color="000000"/>
          <w:bdr w:val="nil"/>
        </w:rPr>
        <w:t xml:space="preserve"> Greenhouse of Context-Informed Research and training, Paul </w:t>
      </w:r>
      <w:proofErr w:type="spellStart"/>
      <w:r w:rsidRPr="008220C8">
        <w:rPr>
          <w:rFonts w:eastAsia="Arial Unicode MS" w:hAnsi="Arial Unicode MS" w:cs="Arial Unicode MS"/>
          <w:color w:val="000000"/>
          <w:sz w:val="18"/>
          <w:szCs w:val="18"/>
          <w:u w:color="000000"/>
          <w:bdr w:val="nil"/>
        </w:rPr>
        <w:t>Baerwald</w:t>
      </w:r>
      <w:proofErr w:type="spellEnd"/>
      <w:r w:rsidRPr="008220C8">
        <w:rPr>
          <w:rFonts w:eastAsia="Arial Unicode MS" w:hAnsi="Arial Unicode MS" w:cs="Arial Unicode MS"/>
          <w:color w:val="000000"/>
          <w:sz w:val="18"/>
          <w:szCs w:val="18"/>
          <w:u w:color="000000"/>
          <w:bdr w:val="nil"/>
        </w:rPr>
        <w:t xml:space="preserve"> School of Social Work and Social Welfare, Hebrew University of Jerusalem</w:t>
      </w:r>
    </w:p>
  </w:footnote>
  <w:footnote w:id="5">
    <w:p w14:paraId="0BD49494"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Department of Public Administration and Policy Department, School of Political Sciences, University of Haifa</w:t>
      </w:r>
    </w:p>
  </w:footnote>
  <w:footnote w:id="6">
    <w:p w14:paraId="74811846"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Institute of criminology, Faculty of law, Hebrew University of Jerusalem</w:t>
      </w:r>
    </w:p>
  </w:footnote>
  <w:footnote w:id="7">
    <w:p w14:paraId="01C6F7CC"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r>
      <w:proofErr w:type="spellStart"/>
      <w:r w:rsidRPr="008220C8">
        <w:rPr>
          <w:rFonts w:eastAsia="Arial Unicode MS" w:hAnsi="Arial Unicode MS" w:cs="Arial Unicode MS"/>
          <w:color w:val="000000"/>
          <w:sz w:val="18"/>
          <w:szCs w:val="18"/>
          <w:u w:color="000000"/>
          <w:bdr w:val="nil"/>
        </w:rPr>
        <w:t>Achva</w:t>
      </w:r>
      <w:proofErr w:type="spellEnd"/>
      <w:r w:rsidRPr="008220C8">
        <w:rPr>
          <w:rFonts w:eastAsia="Arial Unicode MS" w:hAnsi="Arial Unicode MS" w:cs="Arial Unicode MS"/>
          <w:color w:val="000000"/>
          <w:sz w:val="18"/>
          <w:szCs w:val="18"/>
          <w:u w:color="000000"/>
          <w:bdr w:val="nil"/>
        </w:rPr>
        <w:t xml:space="preserve"> Academic College, Ben-Gurion University, Mandel Center for Leadership in the Negev</w:t>
      </w:r>
    </w:p>
  </w:footnote>
  <w:footnote w:id="8">
    <w:p w14:paraId="2809F177"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Mandel Center for Leadership in the Negev</w:t>
      </w:r>
    </w:p>
  </w:footnote>
  <w:footnote w:id="9">
    <w:p w14:paraId="2364E128"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 xml:space="preserve">Bar </w:t>
      </w:r>
      <w:proofErr w:type="spellStart"/>
      <w:r w:rsidRPr="008220C8">
        <w:rPr>
          <w:rFonts w:eastAsia="Arial Unicode MS" w:hAnsi="Arial Unicode MS" w:cs="Arial Unicode MS"/>
          <w:color w:val="000000"/>
          <w:sz w:val="18"/>
          <w:szCs w:val="18"/>
          <w:u w:color="000000"/>
          <w:bdr w:val="nil"/>
        </w:rPr>
        <w:t>Ilan</w:t>
      </w:r>
      <w:proofErr w:type="spellEnd"/>
      <w:r w:rsidRPr="008220C8">
        <w:rPr>
          <w:rFonts w:eastAsia="Arial Unicode MS" w:hAnsi="Arial Unicode MS" w:cs="Arial Unicode MS"/>
          <w:color w:val="000000"/>
          <w:sz w:val="18"/>
          <w:szCs w:val="18"/>
          <w:u w:color="000000"/>
          <w:bdr w:val="nil"/>
        </w:rPr>
        <w:t xml:space="preserve"> </w:t>
      </w:r>
      <w:proofErr w:type="spellStart"/>
      <w:r w:rsidRPr="008220C8">
        <w:rPr>
          <w:rFonts w:eastAsia="Arial Unicode MS" w:hAnsi="Arial Unicode MS" w:cs="Arial Unicode MS"/>
          <w:color w:val="000000"/>
          <w:sz w:val="18"/>
          <w:szCs w:val="18"/>
          <w:u w:color="000000"/>
          <w:bdr w:val="nil"/>
        </w:rPr>
        <w:t>Univesity</w:t>
      </w:r>
      <w:proofErr w:type="spellEnd"/>
    </w:p>
  </w:footnote>
  <w:footnote w:id="10">
    <w:p w14:paraId="21234E93"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The Israel Academic College in Ramat Gan</w:t>
      </w:r>
    </w:p>
  </w:footnote>
  <w:footnote w:id="11">
    <w:p w14:paraId="0D787FB2" w14:textId="77777777" w:rsidR="008220C8" w:rsidRPr="008220C8" w:rsidRDefault="008220C8" w:rsidP="008220C8">
      <w:pPr>
        <w:bidi w:val="0"/>
        <w:spacing w:line="200" w:lineRule="exact"/>
        <w:ind w:left="397" w:hanging="397"/>
        <w:jc w:val="both"/>
        <w:rPr>
          <w:rFonts w:eastAsia="Arial Unicode MS" w:hAnsi="Arial Unicode MS" w:cs="Arial Unicode MS"/>
          <w:color w:val="000000"/>
          <w:sz w:val="18"/>
          <w:szCs w:val="18"/>
          <w:u w:color="000000"/>
          <w:bdr w:val="nil"/>
        </w:rPr>
      </w:pPr>
      <w:r w:rsidRPr="008220C8">
        <w:rPr>
          <w:rFonts w:eastAsia="Arial Unicode MS" w:hAnsi="Arial Unicode MS" w:cs="Arial Unicode MS"/>
          <w:color w:val="000000"/>
          <w:sz w:val="18"/>
          <w:szCs w:val="18"/>
          <w:u w:color="000000"/>
          <w:bdr w:val="nil"/>
        </w:rPr>
        <w:footnoteRef/>
      </w:r>
      <w:r w:rsidRPr="008220C8">
        <w:rPr>
          <w:rFonts w:eastAsia="Arial Unicode MS" w:hAnsi="Arial Unicode MS" w:cs="Arial Unicode MS"/>
          <w:color w:val="000000"/>
          <w:sz w:val="18"/>
          <w:szCs w:val="18"/>
          <w:u w:color="000000"/>
          <w:bdr w:val="nil"/>
        </w:rPr>
        <w:t xml:space="preserve"> </w:t>
      </w:r>
      <w:r w:rsidRPr="008220C8">
        <w:rPr>
          <w:rFonts w:eastAsia="Arial Unicode MS" w:hAnsi="Arial Unicode MS" w:cs="Arial Unicode MS"/>
          <w:color w:val="000000"/>
          <w:sz w:val="18"/>
          <w:szCs w:val="18"/>
          <w:u w:color="000000"/>
          <w:bdr w:val="nil"/>
        </w:rPr>
        <w:tab/>
        <w:t>School of Social Work, University of Haifa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6CF" w14:textId="19C59756" w:rsidR="003B0CA1" w:rsidRPr="006656CB" w:rsidRDefault="003B0CA1" w:rsidP="00B7129D">
    <w:pPr>
      <w:pStyle w:val="Heading1"/>
      <w:tabs>
        <w:tab w:val="center" w:pos="4536"/>
        <w:tab w:val="right" w:pos="9072"/>
      </w:tabs>
      <w:bidi w:val="0"/>
      <w:rPr>
        <w:rFonts w:asciiTheme="majorBidi" w:hAnsiTheme="majorBidi" w:cstheme="majorBidi"/>
        <w:b w:val="0"/>
        <w:bCs w:val="0"/>
        <w:color w:val="A6A6A6"/>
        <w:sz w:val="22"/>
        <w:szCs w:val="22"/>
      </w:rPr>
    </w:pP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C20E9D">
      <w:rPr>
        <w:rFonts w:asciiTheme="majorBidi" w:hAnsiTheme="majorBidi" w:cstheme="majorBidi"/>
        <w:noProof/>
        <w:sz w:val="24"/>
        <w:szCs w:val="24"/>
      </w:rPr>
      <w:t>xiv</w:t>
    </w:r>
    <w:r w:rsidRPr="006656CB">
      <w:rPr>
        <w:rFonts w:asciiTheme="majorBidi" w:hAnsiTheme="majorBidi" w:cstheme="majorBidi"/>
        <w:noProof/>
        <w:sz w:val="24"/>
        <w:szCs w:val="24"/>
      </w:rPr>
      <w:fldChar w:fldCharType="end"/>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w:t>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 xml:space="preserve">Israel </w:t>
    </w:r>
    <w:r w:rsidRPr="00C52405">
      <w:rPr>
        <w:rFonts w:asciiTheme="majorBidi" w:hAnsiTheme="majorBidi"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0BD" w14:textId="70F9D15A" w:rsidR="003B0CA1" w:rsidRPr="006656CB" w:rsidRDefault="003B0CA1" w:rsidP="00962538">
    <w:pPr>
      <w:pStyle w:val="Heading1"/>
      <w:tabs>
        <w:tab w:val="center" w:pos="4536"/>
        <w:tab w:val="right" w:pos="9072"/>
      </w:tabs>
      <w:bidi w:val="0"/>
      <w:jc w:val="right"/>
      <w:rPr>
        <w:rFonts w:asciiTheme="majorBidi" w:hAnsiTheme="majorBidi" w:cstheme="majorBidi"/>
        <w:b w:val="0"/>
        <w:bCs w:val="0"/>
        <w:noProof/>
        <w:color w:val="A6A6A6"/>
        <w:sz w:val="22"/>
        <w:szCs w:val="22"/>
      </w:rPr>
    </w:pPr>
    <w:r w:rsidRPr="00C52405">
      <w:rPr>
        <w:rFonts w:asciiTheme="majorBidi" w:hAnsiTheme="majorBidi" w:cstheme="majorBidi"/>
        <w:b w:val="0"/>
        <w:bCs w:val="0"/>
        <w:noProof/>
        <w:sz w:val="18"/>
        <w:szCs w:val="18"/>
      </w:rPr>
      <w:t>Social Security</w:t>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w:t>
    </w:r>
    <w:r w:rsidR="002F7CA0">
      <w:rPr>
        <w:rFonts w:asciiTheme="majorBidi" w:hAnsiTheme="majorBidi" w:cstheme="majorBidi"/>
        <w:b w:val="0"/>
        <w:bCs w:val="0"/>
        <w:noProof/>
        <w:sz w:val="18"/>
        <w:szCs w:val="18"/>
      </w:rPr>
      <w:t xml:space="preserve"> </w:t>
    </w: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C20E9D">
      <w:rPr>
        <w:rFonts w:asciiTheme="majorBidi" w:hAnsiTheme="majorBidi" w:cstheme="majorBidi"/>
        <w:noProof/>
        <w:sz w:val="24"/>
        <w:szCs w:val="24"/>
      </w:rPr>
      <w:t>xv</w:t>
    </w:r>
    <w:r w:rsidRPr="006656CB">
      <w:rPr>
        <w:rFonts w:asciiTheme="majorBidi" w:hAnsiTheme="majorBidi"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3"/>
  </w:num>
  <w:num w:numId="5">
    <w:abstractNumId w:val="8"/>
  </w:num>
  <w:num w:numId="6">
    <w:abstractNumId w:val="22"/>
  </w:num>
  <w:num w:numId="7">
    <w:abstractNumId w:val="15"/>
  </w:num>
  <w:num w:numId="8">
    <w:abstractNumId w:val="0"/>
  </w:num>
  <w:num w:numId="9">
    <w:abstractNumId w:val="7"/>
  </w:num>
  <w:num w:numId="10">
    <w:abstractNumId w:val="25"/>
  </w:num>
  <w:num w:numId="11">
    <w:abstractNumId w:val="24"/>
  </w:num>
  <w:num w:numId="12">
    <w:abstractNumId w:val="18"/>
  </w:num>
  <w:num w:numId="13">
    <w:abstractNumId w:val="11"/>
  </w:num>
  <w:num w:numId="14">
    <w:abstractNumId w:val="6"/>
  </w:num>
  <w:num w:numId="15">
    <w:abstractNumId w:val="10"/>
  </w:num>
  <w:num w:numId="16">
    <w:abstractNumId w:val="4"/>
  </w:num>
  <w:num w:numId="17">
    <w:abstractNumId w:val="27"/>
  </w:num>
  <w:num w:numId="18">
    <w:abstractNumId w:val="19"/>
  </w:num>
  <w:num w:numId="19">
    <w:abstractNumId w:val="9"/>
  </w:num>
  <w:num w:numId="20">
    <w:abstractNumId w:val="3"/>
  </w:num>
  <w:num w:numId="21">
    <w:abstractNumId w:val="1"/>
  </w:num>
  <w:num w:numId="22">
    <w:abstractNumId w:val="5"/>
  </w:num>
  <w:num w:numId="23">
    <w:abstractNumId w:val="12"/>
  </w:num>
  <w:num w:numId="24">
    <w:abstractNumId w:val="20"/>
  </w:num>
  <w:num w:numId="25">
    <w:abstractNumId w:val="21"/>
  </w:num>
  <w:num w:numId="26">
    <w:abstractNumId w:val="1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667B0"/>
    <w:rsid w:val="00077087"/>
    <w:rsid w:val="00083814"/>
    <w:rsid w:val="00086EF2"/>
    <w:rsid w:val="000951DD"/>
    <w:rsid w:val="000A3731"/>
    <w:rsid w:val="000B37F3"/>
    <w:rsid w:val="000B3899"/>
    <w:rsid w:val="000C11C8"/>
    <w:rsid w:val="000C13C4"/>
    <w:rsid w:val="000C32F6"/>
    <w:rsid w:val="000D35C8"/>
    <w:rsid w:val="000E38FA"/>
    <w:rsid w:val="000F0582"/>
    <w:rsid w:val="000F2A9A"/>
    <w:rsid w:val="00111442"/>
    <w:rsid w:val="00152B26"/>
    <w:rsid w:val="001557E9"/>
    <w:rsid w:val="00160BCD"/>
    <w:rsid w:val="001629F1"/>
    <w:rsid w:val="00164AB3"/>
    <w:rsid w:val="00165447"/>
    <w:rsid w:val="00170419"/>
    <w:rsid w:val="00181E21"/>
    <w:rsid w:val="0018721E"/>
    <w:rsid w:val="00191908"/>
    <w:rsid w:val="00193124"/>
    <w:rsid w:val="001A0002"/>
    <w:rsid w:val="001A115B"/>
    <w:rsid w:val="001A1A47"/>
    <w:rsid w:val="001A3355"/>
    <w:rsid w:val="001B40EE"/>
    <w:rsid w:val="001C5AA2"/>
    <w:rsid w:val="001D1180"/>
    <w:rsid w:val="001D254D"/>
    <w:rsid w:val="001D2C96"/>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640A"/>
    <w:rsid w:val="002B6ABF"/>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1152"/>
    <w:rsid w:val="003D1402"/>
    <w:rsid w:val="003D212E"/>
    <w:rsid w:val="003D4AF9"/>
    <w:rsid w:val="003E5B4F"/>
    <w:rsid w:val="00405788"/>
    <w:rsid w:val="00405ECD"/>
    <w:rsid w:val="00407035"/>
    <w:rsid w:val="004112B2"/>
    <w:rsid w:val="00411970"/>
    <w:rsid w:val="00416142"/>
    <w:rsid w:val="00423A61"/>
    <w:rsid w:val="00434483"/>
    <w:rsid w:val="00436B35"/>
    <w:rsid w:val="00437C0E"/>
    <w:rsid w:val="00446E1E"/>
    <w:rsid w:val="00451D7A"/>
    <w:rsid w:val="004543DB"/>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624C6"/>
    <w:rsid w:val="006656CB"/>
    <w:rsid w:val="006711CA"/>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7178F3"/>
    <w:rsid w:val="007240DD"/>
    <w:rsid w:val="00733272"/>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F29C9"/>
    <w:rsid w:val="007F4A20"/>
    <w:rsid w:val="007F6780"/>
    <w:rsid w:val="007F7F6E"/>
    <w:rsid w:val="00801511"/>
    <w:rsid w:val="008110BD"/>
    <w:rsid w:val="0081122C"/>
    <w:rsid w:val="0081544A"/>
    <w:rsid w:val="00817C49"/>
    <w:rsid w:val="008220C8"/>
    <w:rsid w:val="00835D83"/>
    <w:rsid w:val="00837F2F"/>
    <w:rsid w:val="00840347"/>
    <w:rsid w:val="0084161C"/>
    <w:rsid w:val="008508B9"/>
    <w:rsid w:val="00862589"/>
    <w:rsid w:val="00870742"/>
    <w:rsid w:val="008907BE"/>
    <w:rsid w:val="0089386D"/>
    <w:rsid w:val="008B63CE"/>
    <w:rsid w:val="008D2958"/>
    <w:rsid w:val="008D5785"/>
    <w:rsid w:val="008E7662"/>
    <w:rsid w:val="008F52C3"/>
    <w:rsid w:val="008F67D2"/>
    <w:rsid w:val="008F7821"/>
    <w:rsid w:val="009023FC"/>
    <w:rsid w:val="00902783"/>
    <w:rsid w:val="00912616"/>
    <w:rsid w:val="00913099"/>
    <w:rsid w:val="00933324"/>
    <w:rsid w:val="00935FAB"/>
    <w:rsid w:val="00940CC7"/>
    <w:rsid w:val="00946C6C"/>
    <w:rsid w:val="009522CA"/>
    <w:rsid w:val="00953349"/>
    <w:rsid w:val="00955724"/>
    <w:rsid w:val="00962538"/>
    <w:rsid w:val="00980016"/>
    <w:rsid w:val="00997F03"/>
    <w:rsid w:val="009A5BFD"/>
    <w:rsid w:val="009B53E8"/>
    <w:rsid w:val="009B6FC3"/>
    <w:rsid w:val="009C550B"/>
    <w:rsid w:val="009C5E89"/>
    <w:rsid w:val="009D450D"/>
    <w:rsid w:val="009E2EB8"/>
    <w:rsid w:val="009F340E"/>
    <w:rsid w:val="00A04D35"/>
    <w:rsid w:val="00A11378"/>
    <w:rsid w:val="00A21186"/>
    <w:rsid w:val="00A27C04"/>
    <w:rsid w:val="00A31945"/>
    <w:rsid w:val="00A36D7F"/>
    <w:rsid w:val="00A37942"/>
    <w:rsid w:val="00A41FB6"/>
    <w:rsid w:val="00A530A9"/>
    <w:rsid w:val="00A72172"/>
    <w:rsid w:val="00A87713"/>
    <w:rsid w:val="00A910EE"/>
    <w:rsid w:val="00A9196F"/>
    <w:rsid w:val="00A924FA"/>
    <w:rsid w:val="00A953FC"/>
    <w:rsid w:val="00A95F73"/>
    <w:rsid w:val="00AA2851"/>
    <w:rsid w:val="00AB0F41"/>
    <w:rsid w:val="00AC1B1F"/>
    <w:rsid w:val="00AC2D77"/>
    <w:rsid w:val="00AC452F"/>
    <w:rsid w:val="00AD2E87"/>
    <w:rsid w:val="00AD6E3C"/>
    <w:rsid w:val="00AE03A0"/>
    <w:rsid w:val="00AE0A3D"/>
    <w:rsid w:val="00AE5493"/>
    <w:rsid w:val="00AF2D14"/>
    <w:rsid w:val="00AF7379"/>
    <w:rsid w:val="00B045A8"/>
    <w:rsid w:val="00B045C9"/>
    <w:rsid w:val="00B06A68"/>
    <w:rsid w:val="00B16E47"/>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BC768E"/>
    <w:rsid w:val="00C139D7"/>
    <w:rsid w:val="00C1711C"/>
    <w:rsid w:val="00C20E9D"/>
    <w:rsid w:val="00C25AE4"/>
    <w:rsid w:val="00C27C0D"/>
    <w:rsid w:val="00C44CE1"/>
    <w:rsid w:val="00C4710B"/>
    <w:rsid w:val="00C52405"/>
    <w:rsid w:val="00C52CC5"/>
    <w:rsid w:val="00C603A8"/>
    <w:rsid w:val="00C607A0"/>
    <w:rsid w:val="00C63126"/>
    <w:rsid w:val="00C70E4F"/>
    <w:rsid w:val="00C7439F"/>
    <w:rsid w:val="00C93533"/>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56A48"/>
    <w:rsid w:val="00D570F2"/>
    <w:rsid w:val="00D65C35"/>
    <w:rsid w:val="00D669FC"/>
    <w:rsid w:val="00D76FB8"/>
    <w:rsid w:val="00D866A2"/>
    <w:rsid w:val="00D92080"/>
    <w:rsid w:val="00D9338F"/>
    <w:rsid w:val="00D94E6C"/>
    <w:rsid w:val="00D95D0D"/>
    <w:rsid w:val="00D96F3D"/>
    <w:rsid w:val="00DB2739"/>
    <w:rsid w:val="00DF30C9"/>
    <w:rsid w:val="00DF330D"/>
    <w:rsid w:val="00E1186E"/>
    <w:rsid w:val="00E13BC6"/>
    <w:rsid w:val="00E140D0"/>
    <w:rsid w:val="00E1629D"/>
    <w:rsid w:val="00E202C2"/>
    <w:rsid w:val="00E20BDB"/>
    <w:rsid w:val="00E2664B"/>
    <w:rsid w:val="00E31686"/>
    <w:rsid w:val="00E4567A"/>
    <w:rsid w:val="00E459C2"/>
    <w:rsid w:val="00E46D79"/>
    <w:rsid w:val="00E61D38"/>
    <w:rsid w:val="00E66CAC"/>
    <w:rsid w:val="00E9229F"/>
    <w:rsid w:val="00E94167"/>
    <w:rsid w:val="00E95DB4"/>
    <w:rsid w:val="00EA0E25"/>
    <w:rsid w:val="00EB0943"/>
    <w:rsid w:val="00EC3930"/>
    <w:rsid w:val="00ED3C01"/>
    <w:rsid w:val="00ED6F02"/>
    <w:rsid w:val="00F0418C"/>
    <w:rsid w:val="00F0674E"/>
    <w:rsid w:val="00F11288"/>
    <w:rsid w:val="00F121F9"/>
    <w:rsid w:val="00F165AC"/>
    <w:rsid w:val="00F20863"/>
    <w:rsid w:val="00F20E96"/>
    <w:rsid w:val="00F216E0"/>
    <w:rsid w:val="00F243ED"/>
    <w:rsid w:val="00F27347"/>
    <w:rsid w:val="00F3107D"/>
    <w:rsid w:val="00F32B2F"/>
    <w:rsid w:val="00F34DEC"/>
    <w:rsid w:val="00F44E2B"/>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9FE3-9F29-4B84-B9EE-E0B11BD1F289}">
  <ds:schemaRefs>
    <ds:schemaRef ds:uri="http://schemas.openxmlformats.org/officeDocument/2006/bibliography"/>
  </ds:schemaRefs>
</ds:datastoreItem>
</file>

<file path=customXml/itemProps2.xml><?xml version="1.0" encoding="utf-8"?>
<ds:datastoreItem xmlns:ds="http://schemas.openxmlformats.org/officeDocument/2006/customXml" ds:itemID="{F164021C-5362-4698-B206-88FB633E2492}"/>
</file>

<file path=customXml/itemProps3.xml><?xml version="1.0" encoding="utf-8"?>
<ds:datastoreItem xmlns:ds="http://schemas.openxmlformats.org/officeDocument/2006/customXml" ds:itemID="{F0C94461-C184-4444-913C-9491EC8D839C}"/>
</file>

<file path=customXml/itemProps4.xml><?xml version="1.0" encoding="utf-8"?>
<ds:datastoreItem xmlns:ds="http://schemas.openxmlformats.org/officeDocument/2006/customXml" ds:itemID="{CB622E39-F090-4793-99D9-FAE0B6EE71AD}"/>
</file>

<file path=docProps/app.xml><?xml version="1.0" encoding="utf-8"?>
<Properties xmlns="http://schemas.openxmlformats.org/officeDocument/2006/extended-properties" xmlns:vt="http://schemas.openxmlformats.org/officeDocument/2006/docPropsVTypes">
  <Template>Normal.dotm</Template>
  <TotalTime>298</TotalTime>
  <Pages>12</Pages>
  <Words>1257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36</cp:revision>
  <cp:lastPrinted>2021-07-13T07:54:00Z</cp:lastPrinted>
  <dcterms:created xsi:type="dcterms:W3CDTF">2020-10-25T08:30:00Z</dcterms:created>
  <dcterms:modified xsi:type="dcterms:W3CDTF">2021-11-28T08:46:00Z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