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D37B4" w14:textId="77777777" w:rsidR="00EB3F46" w:rsidRPr="00DD36D3" w:rsidRDefault="00EB3F46" w:rsidP="00DD36D3">
      <w:pPr>
        <w:pStyle w:val="NAME"/>
        <w:pBdr>
          <w:bottom w:val="none" w:sz="0" w:space="0" w:color="auto"/>
        </w:pBdr>
        <w:spacing w:before="1080" w:after="300" w:line="360" w:lineRule="atLeast"/>
        <w:jc w:val="left"/>
        <w:rPr>
          <w:rFonts w:ascii="Tahoma" w:hAnsi="Tahoma" w:cs="Guttman Aharoni"/>
          <w:b/>
          <w:bCs/>
          <w:color w:val="2A8E8C"/>
          <w:sz w:val="36"/>
          <w:szCs w:val="36"/>
          <w:rtl/>
        </w:rPr>
      </w:pPr>
      <w:bookmarkStart w:id="0" w:name="_Hlk115900643"/>
      <w:r w:rsidRPr="00DD36D3">
        <w:rPr>
          <w:rFonts w:ascii="Tahoma" w:hAnsi="Tahoma" w:cs="Guttman Aharoni"/>
          <w:b/>
          <w:bCs/>
          <w:color w:val="2A8E8C"/>
          <w:sz w:val="36"/>
          <w:szCs w:val="36"/>
          <w:rtl/>
        </w:rPr>
        <w:t xml:space="preserve">הנכחה, הדרה והזרה: על </w:t>
      </w:r>
      <w:proofErr w:type="spellStart"/>
      <w:r w:rsidRPr="00DD36D3">
        <w:rPr>
          <w:rFonts w:ascii="Tahoma" w:hAnsi="Tahoma" w:cs="Guttman Aharoni"/>
          <w:b/>
          <w:bCs/>
          <w:color w:val="2A8E8C"/>
          <w:sz w:val="36"/>
          <w:szCs w:val="36"/>
          <w:rtl/>
        </w:rPr>
        <w:t>גילנות</w:t>
      </w:r>
      <w:proofErr w:type="spellEnd"/>
      <w:r w:rsidRPr="00DD36D3">
        <w:rPr>
          <w:rFonts w:ascii="Tahoma" w:hAnsi="Tahoma" w:cs="Guttman Aharoni"/>
          <w:b/>
          <w:bCs/>
          <w:color w:val="2A8E8C"/>
          <w:sz w:val="36"/>
          <w:szCs w:val="36"/>
          <w:rtl/>
        </w:rPr>
        <w:t xml:space="preserve"> בתקשורת בתקופת הקורונה</w:t>
      </w:r>
    </w:p>
    <w:p w14:paraId="4F4EC8C2" w14:textId="1FF3C4D7" w:rsidR="00EB3F46" w:rsidRPr="00DD36D3" w:rsidRDefault="00EB3F46" w:rsidP="00E538E6">
      <w:pPr>
        <w:pStyle w:val="KOT5T"/>
        <w:spacing w:after="540" w:line="360" w:lineRule="exact"/>
        <w:ind w:right="0"/>
        <w:jc w:val="left"/>
        <w:rPr>
          <w:rFonts w:cs="Guttman Aharoni"/>
          <w:color w:val="2A8E8C"/>
          <w:rtl/>
        </w:rPr>
      </w:pPr>
      <w:r w:rsidRPr="00DD36D3">
        <w:rPr>
          <w:rFonts w:cs="Guttman Aharoni"/>
          <w:color w:val="2A8E8C"/>
          <w:rtl/>
        </w:rPr>
        <w:t xml:space="preserve">רחל </w:t>
      </w:r>
      <w:r w:rsidR="00E538E6" w:rsidRPr="00DD36D3">
        <w:rPr>
          <w:rFonts w:cs="Guttman Aharoni"/>
          <w:color w:val="2A8E8C"/>
          <w:rtl/>
        </w:rPr>
        <w:t>הלל</w:t>
      </w:r>
      <w:r w:rsidR="00E538E6" w:rsidRPr="00854951">
        <w:rPr>
          <w:rFonts w:asciiTheme="majorBidi" w:hAnsiTheme="majorBidi" w:cstheme="majorBidi"/>
          <w:color w:val="2A8E8C"/>
          <w:rtl/>
        </w:rPr>
        <w:t>-</w:t>
      </w:r>
      <w:r w:rsidRPr="00DD36D3">
        <w:rPr>
          <w:rFonts w:cs="Guttman Aharoni"/>
          <w:color w:val="2A8E8C"/>
          <w:rtl/>
        </w:rPr>
        <w:t>אברהם</w:t>
      </w:r>
      <w:r w:rsidR="00A21DC3" w:rsidRPr="00A21DC3">
        <w:rPr>
          <w:rFonts w:cs="Guttman Aharoni"/>
          <w:b w:val="0"/>
          <w:bCs w:val="0"/>
          <w:color w:val="2A8E8C"/>
          <w:vertAlign w:val="superscript"/>
          <w:rtl/>
        </w:rPr>
        <w:footnoteReference w:id="2"/>
      </w:r>
      <w:r w:rsidRPr="00DD36D3">
        <w:rPr>
          <w:rFonts w:cs="Guttman Aharoni"/>
          <w:color w:val="2A8E8C"/>
          <w:rtl/>
        </w:rPr>
        <w:t xml:space="preserve"> ויהודה שוחט</w:t>
      </w:r>
      <w:r w:rsidR="00A21DC3" w:rsidRPr="00A21DC3">
        <w:rPr>
          <w:rFonts w:cs="Guttman Aharoni"/>
          <w:b w:val="0"/>
          <w:bCs w:val="0"/>
          <w:color w:val="2A8E8C"/>
          <w:vertAlign w:val="superscript"/>
          <w:rtl/>
        </w:rPr>
        <w:footnoteReference w:id="3"/>
      </w:r>
      <w:r w:rsidRPr="00DD36D3">
        <w:rPr>
          <w:rFonts w:cs="Guttman Aharoni"/>
          <w:color w:val="2A8E8C"/>
          <w:rtl/>
        </w:rPr>
        <w:t xml:space="preserve"> </w:t>
      </w:r>
    </w:p>
    <w:bookmarkEnd w:id="0"/>
    <w:p w14:paraId="1C78A88C" w14:textId="7F50EB0F" w:rsidR="00EB3F46" w:rsidRPr="00EB3F46" w:rsidRDefault="00EB3F46" w:rsidP="002374D0">
      <w:pPr>
        <w:spacing w:after="360" w:line="280" w:lineRule="exact"/>
        <w:jc w:val="both"/>
        <w:rPr>
          <w:rFonts w:ascii="Georgia" w:hAnsi="Georgia"/>
          <w:sz w:val="18"/>
          <w:szCs w:val="20"/>
          <w:rtl/>
        </w:rPr>
      </w:pPr>
      <w:r w:rsidRPr="00EB3F46">
        <w:rPr>
          <w:rFonts w:ascii="Georgia" w:hAnsi="Georgia"/>
          <w:color w:val="000000"/>
          <w:sz w:val="18"/>
          <w:szCs w:val="20"/>
          <w:rtl/>
        </w:rPr>
        <w:t>המחקר שמאמר זה מבוסס עליו בדק את</w:t>
      </w:r>
      <w:r w:rsidR="00DD36D3">
        <w:rPr>
          <w:rFonts w:ascii="Georgia" w:hAnsi="Georgia" w:hint="cs"/>
          <w:color w:val="000000"/>
          <w:sz w:val="18"/>
          <w:szCs w:val="20"/>
          <w:rtl/>
        </w:rPr>
        <w:t xml:space="preserve"> </w:t>
      </w:r>
      <w:r w:rsidRPr="00EB3F46">
        <w:rPr>
          <w:rFonts w:ascii="Georgia" w:hAnsi="Georgia"/>
          <w:color w:val="000000"/>
          <w:sz w:val="18"/>
          <w:szCs w:val="20"/>
          <w:rtl/>
        </w:rPr>
        <w:t>היחס לאוכלוסייה המבוגרת בתקשורת הכתובה, במשך 15 חודשים בתקופת הקורונה.</w:t>
      </w:r>
      <w:r w:rsidR="00DD36D3">
        <w:rPr>
          <w:rFonts w:ascii="Georgia" w:hAnsi="Georgia" w:hint="cs"/>
          <w:color w:val="000000"/>
          <w:sz w:val="18"/>
          <w:szCs w:val="20"/>
          <w:rtl/>
        </w:rPr>
        <w:t xml:space="preserve"> </w:t>
      </w:r>
      <w:r w:rsidRPr="00EB3F46">
        <w:rPr>
          <w:rFonts w:ascii="Georgia" w:hAnsi="Georgia"/>
          <w:color w:val="000000"/>
          <w:sz w:val="18"/>
          <w:szCs w:val="20"/>
          <w:rtl/>
        </w:rPr>
        <w:t>מטרות המחקר</w:t>
      </w:r>
      <w:r w:rsidRPr="00EB3F46">
        <w:rPr>
          <w:rFonts w:ascii="Georgia" w:hAnsi="Georgia"/>
          <w:color w:val="000000"/>
          <w:sz w:val="18"/>
          <w:szCs w:val="20"/>
        </w:rPr>
        <w:t xml:space="preserve"> </w:t>
      </w:r>
      <w:r w:rsidRPr="00EB3F46">
        <w:rPr>
          <w:rFonts w:ascii="Georgia" w:hAnsi="Georgia"/>
          <w:color w:val="000000"/>
          <w:sz w:val="18"/>
          <w:szCs w:val="20"/>
          <w:rtl/>
        </w:rPr>
        <w:t xml:space="preserve">היו (1) לשקף את השיח על זקנים בתקשורת ולפצח את תחושת הצרימה (דיסוננס) שבין דאגה לזקן לבין הדרתו, ובין פחד מהמגפה לבין ההרחקה שלה בתודעה כפוגעת בזקנים בלבד; (2) להציף נקודות לדיון אקדמי וציבורי, ולהגביר את המודעות </w:t>
      </w:r>
      <w:proofErr w:type="spellStart"/>
      <w:r w:rsidRPr="00EB3F46">
        <w:rPr>
          <w:rFonts w:ascii="Georgia" w:hAnsi="Georgia"/>
          <w:color w:val="000000"/>
          <w:sz w:val="18"/>
          <w:szCs w:val="20"/>
          <w:rtl/>
        </w:rPr>
        <w:t>לגילנות</w:t>
      </w:r>
      <w:proofErr w:type="spellEnd"/>
      <w:r w:rsidRPr="00EB3F46">
        <w:rPr>
          <w:rFonts w:ascii="Georgia" w:hAnsi="Georgia"/>
          <w:color w:val="000000"/>
          <w:sz w:val="18"/>
          <w:szCs w:val="20"/>
          <w:rtl/>
        </w:rPr>
        <w:t xml:space="preserve"> בחברה ולחשיבות שבמיגורה. המחקר התבסס על ניתוח של נושאי הכתבות, הכותרות, הטקסטים והתמונות שבחרו עורכי עיתונים יומיים בישראל לידיעות הקשורות במבוגרים בישראל בתקופת הקורונה, מראשית ינואר 2020, עם פריצתה של המגפה, ועד לסוף חודש מרץ 2021. במהלך 15 החודשים הללו נסקרו כל הכתבות שהופיעו בהן מילות המפתח "קשיש", "זקן", "מבוגר" ו"אזרח ותיק", על הטיותיהן השונות. הקטגוריות שלאורן ניתחנו את הטקסטים היו אלה: </w:t>
      </w:r>
      <w:r w:rsidRPr="00EB3F46">
        <w:rPr>
          <w:rFonts w:ascii="Georgia" w:hAnsi="Georgia"/>
          <w:b/>
          <w:bCs/>
          <w:color w:val="000000"/>
          <w:sz w:val="18"/>
          <w:szCs w:val="20"/>
          <w:rtl/>
        </w:rPr>
        <w:t>הקול:</w:t>
      </w:r>
      <w:r w:rsidRPr="00EB3F46">
        <w:rPr>
          <w:rFonts w:ascii="Georgia" w:hAnsi="Georgia"/>
          <w:color w:val="000000"/>
          <w:sz w:val="18"/>
          <w:szCs w:val="20"/>
          <w:rtl/>
        </w:rPr>
        <w:t xml:space="preserve"> האם ומתי נשמע קולו האותנטי של הזקן, והאם הוא דיבר או שדיברו בשמו; </w:t>
      </w:r>
      <w:r w:rsidRPr="00EB3F46">
        <w:rPr>
          <w:rFonts w:ascii="Georgia" w:hAnsi="Georgia"/>
          <w:b/>
          <w:bCs/>
          <w:color w:val="000000"/>
          <w:sz w:val="18"/>
          <w:szCs w:val="20"/>
          <w:rtl/>
        </w:rPr>
        <w:t>התמונה:</w:t>
      </w:r>
      <w:r w:rsidRPr="00EB3F46">
        <w:rPr>
          <w:rFonts w:ascii="Georgia" w:hAnsi="Georgia"/>
          <w:color w:val="000000"/>
          <w:sz w:val="18"/>
          <w:szCs w:val="20"/>
          <w:rtl/>
        </w:rPr>
        <w:t xml:space="preserve"> הבחירה איזו תמונה לשים לצד הכותרת מייצרת נרטיב המעצב את דמותו החברתית של הזקן – עוצמה אל מול חולשה, חיים מול מוות; </w:t>
      </w:r>
      <w:r w:rsidRPr="00EB3F46">
        <w:rPr>
          <w:rFonts w:ascii="Georgia" w:hAnsi="Georgia"/>
          <w:b/>
          <w:bCs/>
          <w:color w:val="000000"/>
          <w:sz w:val="18"/>
          <w:szCs w:val="20"/>
          <w:rtl/>
        </w:rPr>
        <w:t>והמסר:</w:t>
      </w:r>
      <w:r w:rsidRPr="00EB3F46">
        <w:rPr>
          <w:rFonts w:ascii="Georgia" w:hAnsi="Georgia"/>
          <w:color w:val="000000"/>
          <w:sz w:val="18"/>
          <w:szCs w:val="20"/>
          <w:rtl/>
        </w:rPr>
        <w:t xml:space="preserve"> באמצעות הכתבות ביקשנו לנתח כיצד בחירת העורכים – שרובם ככולם צעירים – משקפת את תפיסתם ועמדותיהם כלפי </w:t>
      </w:r>
      <w:proofErr w:type="spellStart"/>
      <w:r w:rsidRPr="00EB3F46">
        <w:rPr>
          <w:rFonts w:ascii="Georgia" w:hAnsi="Georgia"/>
          <w:color w:val="000000"/>
          <w:sz w:val="18"/>
          <w:szCs w:val="20"/>
          <w:rtl/>
        </w:rPr>
        <w:t>זיקנה</w:t>
      </w:r>
      <w:proofErr w:type="spellEnd"/>
      <w:r w:rsidRPr="00EB3F46">
        <w:rPr>
          <w:rFonts w:ascii="Georgia" w:hAnsi="Georgia"/>
          <w:color w:val="000000"/>
          <w:sz w:val="18"/>
          <w:szCs w:val="20"/>
          <w:rtl/>
        </w:rPr>
        <w:t xml:space="preserve"> וזקנים. כל אלה </w:t>
      </w:r>
      <w:r w:rsidRPr="00EB3F46">
        <w:rPr>
          <w:rFonts w:ascii="Georgia" w:hAnsi="Georgia"/>
          <w:sz w:val="18"/>
          <w:szCs w:val="20"/>
          <w:rtl/>
        </w:rPr>
        <w:t>בהנחה כי במצבי אי ודאות נפער לרגע סדק אשר דרכו אפשר ללמוד על החברה.</w:t>
      </w:r>
      <w:r w:rsidRPr="00EB3F46">
        <w:rPr>
          <w:rFonts w:ascii="Georgia" w:hAnsi="Georgia"/>
          <w:color w:val="000000"/>
          <w:sz w:val="18"/>
          <w:szCs w:val="20"/>
          <w:rtl/>
        </w:rPr>
        <w:t xml:space="preserve"> תוצאות המחקר כפי שיוצגו כאן מלמדות כי הקורונה והשפעותיה הפסיכולוגיות והכלכליות הביאו לנסיגה בהישגים המעטים שנצברו בעמל רב בשלושת העשורים האחרונים בהקשר של עמדות חברתיות ורפואיות כלפי האוכלוסייה הזקנה.</w:t>
      </w:r>
    </w:p>
    <w:p w14:paraId="41B37BF3"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b/>
          <w:bCs/>
          <w:color w:val="000000"/>
          <w:sz w:val="18"/>
          <w:szCs w:val="20"/>
          <w:rtl/>
        </w:rPr>
        <w:t>מילות מפתח:</w:t>
      </w:r>
      <w:r w:rsidRPr="00EB3F46">
        <w:rPr>
          <w:rFonts w:ascii="Georgia" w:hAnsi="Georgia"/>
          <w:color w:val="000000"/>
          <w:sz w:val="18"/>
          <w:szCs w:val="20"/>
          <w:rtl/>
        </w:rPr>
        <w:t xml:space="preserve"> קשישים, </w:t>
      </w:r>
      <w:proofErr w:type="spellStart"/>
      <w:r w:rsidRPr="00EB3F46">
        <w:rPr>
          <w:rFonts w:ascii="Georgia" w:hAnsi="Georgia"/>
          <w:color w:val="000000"/>
          <w:sz w:val="18"/>
          <w:szCs w:val="20"/>
          <w:rtl/>
        </w:rPr>
        <w:t>זיקנה</w:t>
      </w:r>
      <w:proofErr w:type="spellEnd"/>
      <w:r w:rsidRPr="00EB3F46">
        <w:rPr>
          <w:rFonts w:ascii="Georgia" w:hAnsi="Georgia"/>
          <w:color w:val="000000"/>
          <w:sz w:val="18"/>
          <w:szCs w:val="20"/>
          <w:rtl/>
        </w:rPr>
        <w:t xml:space="preserve">, </w:t>
      </w:r>
      <w:proofErr w:type="spellStart"/>
      <w:r w:rsidRPr="00EB3F46">
        <w:rPr>
          <w:rFonts w:ascii="Georgia" w:hAnsi="Georgia"/>
          <w:color w:val="000000"/>
          <w:sz w:val="18"/>
          <w:szCs w:val="20"/>
          <w:rtl/>
        </w:rPr>
        <w:t>גילנות</w:t>
      </w:r>
      <w:proofErr w:type="spellEnd"/>
      <w:r w:rsidRPr="00EB3F46">
        <w:rPr>
          <w:rFonts w:ascii="Georgia" w:hAnsi="Georgia"/>
          <w:color w:val="000000"/>
          <w:sz w:val="18"/>
          <w:szCs w:val="20"/>
          <w:rtl/>
        </w:rPr>
        <w:t xml:space="preserve">, </w:t>
      </w:r>
      <w:proofErr w:type="spellStart"/>
      <w:r w:rsidRPr="00EB3F46">
        <w:rPr>
          <w:rFonts w:ascii="Georgia" w:hAnsi="Georgia"/>
          <w:color w:val="000000"/>
          <w:sz w:val="18"/>
          <w:szCs w:val="20"/>
          <w:rtl/>
        </w:rPr>
        <w:t>אייג'יזם</w:t>
      </w:r>
      <w:proofErr w:type="spellEnd"/>
      <w:r w:rsidRPr="00EB3F46">
        <w:rPr>
          <w:rFonts w:ascii="Georgia" w:hAnsi="Georgia"/>
          <w:color w:val="000000"/>
          <w:sz w:val="18"/>
          <w:szCs w:val="20"/>
          <w:rtl/>
        </w:rPr>
        <w:t>, קורונה, תקשורת</w:t>
      </w:r>
    </w:p>
    <w:p w14:paraId="2AB52175" w14:textId="64B64640" w:rsidR="00EB3F46" w:rsidRPr="00DD36D3" w:rsidRDefault="00EB3F46" w:rsidP="00DD36D3">
      <w:pPr>
        <w:pStyle w:val="KOT4"/>
        <w:spacing w:after="0"/>
        <w:ind w:left="397" w:right="0" w:hanging="397"/>
        <w:rPr>
          <w:rFonts w:cs="Guttman Aharoni"/>
          <w:color w:val="2A8E8C"/>
          <w:sz w:val="32"/>
          <w:szCs w:val="32"/>
          <w:rtl/>
        </w:rPr>
      </w:pPr>
      <w:r w:rsidRPr="00DD36D3">
        <w:rPr>
          <w:rFonts w:cs="Guttman Aharoni"/>
          <w:color w:val="2A8E8C"/>
          <w:sz w:val="32"/>
          <w:szCs w:val="32"/>
          <w:rtl/>
        </w:rPr>
        <w:lastRenderedPageBreak/>
        <w:t xml:space="preserve">מבוא </w:t>
      </w:r>
    </w:p>
    <w:p w14:paraId="01D150BC" w14:textId="5BB8D0EC" w:rsidR="00EB3F46" w:rsidRPr="00EB3F46" w:rsidRDefault="00EB3F46" w:rsidP="00EB3F46">
      <w:pPr>
        <w:shd w:val="clear" w:color="auto" w:fill="FFFFFF"/>
        <w:spacing w:after="180" w:line="280" w:lineRule="exact"/>
        <w:jc w:val="both"/>
        <w:rPr>
          <w:rFonts w:ascii="Georgia" w:hAnsi="Georgia"/>
          <w:sz w:val="18"/>
          <w:szCs w:val="20"/>
        </w:rPr>
      </w:pPr>
      <w:r w:rsidRPr="00EB3F46">
        <w:rPr>
          <w:rFonts w:ascii="Georgia" w:hAnsi="Georgia"/>
          <w:sz w:val="18"/>
          <w:szCs w:val="20"/>
          <w:rtl/>
        </w:rPr>
        <w:t>מאמר זה, והמחקר שהוא מתבסס עליו, נולדו למשמע קריאתו של פרופסור יורם לס בתגובה להצעת הממשלה להטיל סגר על אזרחי ישראל, במטרה לעצור את "שרשראות ההדבקה" של מגפת הקורונה. לס רעם בקולו באולפן הטלוויזיה ואמר: "אז ימותו פה כמה אלפי קשישים". באותה תקופה (פברואר-יוני 2020) זכה פרופסור לס לכחמישים ראיונות בתוכניות של חברות החדשות בשני הערוצים המסחריים, קיבל תוכנית רדיו משלו (</w:t>
      </w:r>
      <w:proofErr w:type="spellStart"/>
      <w:r w:rsidRPr="00EB3F46">
        <w:rPr>
          <w:rFonts w:ascii="Georgia" w:hAnsi="Georgia"/>
          <w:sz w:val="18"/>
          <w:szCs w:val="20"/>
          <w:rtl/>
        </w:rPr>
        <w:t>פרסיקו</w:t>
      </w:r>
      <w:proofErr w:type="spellEnd"/>
      <w:r w:rsidRPr="00EB3F46">
        <w:rPr>
          <w:rFonts w:ascii="Georgia" w:hAnsi="Georgia"/>
          <w:sz w:val="18"/>
          <w:szCs w:val="20"/>
          <w:rtl/>
        </w:rPr>
        <w:t xml:space="preserve">, 2020), ואמירתו הבוטה לא נותרה בחלל ריק. כך לדוגמה סיכמה העיתונאית רינה מצליח דיון באולפן החדשות: "יש מחלוקת על הפגיעה מקורונה. אם אתה מנקה את החרדים ואת בתי האבות – לא </w:t>
      </w:r>
      <w:proofErr w:type="spellStart"/>
      <w:r w:rsidRPr="00EB3F46">
        <w:rPr>
          <w:rFonts w:ascii="Georgia" w:hAnsi="Georgia"/>
          <w:sz w:val="18"/>
          <w:szCs w:val="20"/>
          <w:rtl/>
        </w:rPr>
        <w:t>היתה</w:t>
      </w:r>
      <w:proofErr w:type="spellEnd"/>
      <w:r w:rsidRPr="00EB3F46">
        <w:rPr>
          <w:rFonts w:ascii="Georgia" w:hAnsi="Georgia"/>
          <w:sz w:val="18"/>
          <w:szCs w:val="20"/>
          <w:rtl/>
        </w:rPr>
        <w:t xml:space="preserve"> כל כך קורונה"</w:t>
      </w:r>
      <w:r w:rsidRPr="00EB3F46">
        <w:rPr>
          <w:rFonts w:ascii="Georgia" w:hAnsi="Georgia"/>
          <w:noProof/>
          <w:sz w:val="18"/>
          <w:szCs w:val="20"/>
          <w:rtl/>
        </w:rPr>
        <w:t xml:space="preserve"> (טל, 2020)</w:t>
      </w:r>
      <w:r w:rsidR="00321EF9">
        <w:rPr>
          <w:rFonts w:ascii="Georgia" w:hAnsi="Georgia" w:hint="cs"/>
          <w:noProof/>
          <w:sz w:val="18"/>
          <w:szCs w:val="20"/>
          <w:rtl/>
        </w:rPr>
        <w:t>.</w:t>
      </w:r>
    </w:p>
    <w:p w14:paraId="5612FDDC" w14:textId="5420E271" w:rsidR="00EB3F46" w:rsidRPr="00EB3F46" w:rsidRDefault="00EB3F46" w:rsidP="002374D0">
      <w:pPr>
        <w:shd w:val="clear" w:color="auto" w:fill="FFFFFF"/>
        <w:spacing w:after="180" w:line="280" w:lineRule="exact"/>
        <w:jc w:val="both"/>
        <w:rPr>
          <w:rFonts w:ascii="Georgia" w:hAnsi="Georgia"/>
          <w:sz w:val="18"/>
          <w:szCs w:val="20"/>
          <w:rtl/>
        </w:rPr>
      </w:pPr>
      <w:r w:rsidRPr="00EB3F46">
        <w:rPr>
          <w:rFonts w:ascii="Georgia" w:hAnsi="Georgia"/>
          <w:sz w:val="18"/>
          <w:szCs w:val="20"/>
          <w:rtl/>
        </w:rPr>
        <w:t>הבעייתיות שבאמירות אלו מהדהדת יותר דווקא לאור גילויי האחריות כלפי אוכלוסיית המבוגרים בני 65 ומעלה, משהתברר כי הם פגיעים יותר למגפה ומתקשים להתמודד עימה מרגע שנדבקו. הקריאות לילדים "שומרים על סבא וסבתא" ביטאו</w:t>
      </w:r>
      <w:r w:rsidR="00A15C6E">
        <w:rPr>
          <w:rFonts w:ascii="Georgia" w:hAnsi="Georgia"/>
          <w:sz w:val="18"/>
          <w:szCs w:val="20"/>
          <w:rtl/>
        </w:rPr>
        <w:t xml:space="preserve"> </w:t>
      </w:r>
      <w:r w:rsidRPr="00EB3F46">
        <w:rPr>
          <w:rFonts w:ascii="Georgia" w:hAnsi="Georgia"/>
          <w:sz w:val="18"/>
          <w:szCs w:val="20"/>
          <w:rtl/>
        </w:rPr>
        <w:t xml:space="preserve">דאגה לדור המבוגר, אך לצד זאת הדיווחים ערב-ערב על הנפטרים מהמחלה הקפידו להדגיש את גילם ואת מחלות הרקע שנשאו. בעין סוציולוגית אפשר לומר שהתקשורת יצרה הזרה של החוויה מן הצופים שאינם מבוגרים או חולים, והרגיעה את פחדם שמא המגפה תפגע גם בהם. הגדיר זאת היטב העיתונאי נדב איל, ביום פטירתו של החולה האלף (מתוך יותר מ-6,000 שנפטרו עד סיום המחקר): </w:t>
      </w:r>
    </w:p>
    <w:p w14:paraId="31A1B84B" w14:textId="77777777" w:rsidR="00EB3F46" w:rsidRPr="00EB3F46" w:rsidRDefault="00EB3F46" w:rsidP="002374D0">
      <w:pPr>
        <w:shd w:val="clear" w:color="auto" w:fill="FFFFFF"/>
        <w:spacing w:after="180"/>
        <w:ind w:left="567"/>
        <w:jc w:val="both"/>
        <w:rPr>
          <w:rFonts w:ascii="Georgia" w:hAnsi="Georgia"/>
          <w:sz w:val="18"/>
          <w:szCs w:val="20"/>
          <w:rtl/>
        </w:rPr>
      </w:pPr>
      <w:r w:rsidRPr="00EB3F46">
        <w:rPr>
          <w:rFonts w:ascii="Georgia" w:hAnsi="Georgia"/>
          <w:sz w:val="18"/>
          <w:szCs w:val="20"/>
          <w:rtl/>
        </w:rPr>
        <w:t xml:space="preserve">כן, כמעט כולם מבוגרים, קשישים, זקנים. בואו נשים את זה על השולחן: לכולנו ברור כי אם מאות רבות של נשים וגברים בגילי שלושים-חמישים היו מאושפזים, ואם אף היו מתים כ-430 מתוכם בחודש אחד כתוצאה מנגיף קטלני, המדינה </w:t>
      </w:r>
      <w:proofErr w:type="spellStart"/>
      <w:r w:rsidRPr="00EB3F46">
        <w:rPr>
          <w:rFonts w:ascii="Georgia" w:hAnsi="Georgia"/>
          <w:sz w:val="18"/>
          <w:szCs w:val="20"/>
          <w:rtl/>
        </w:rPr>
        <w:t>היתה</w:t>
      </w:r>
      <w:proofErr w:type="spellEnd"/>
      <w:r w:rsidRPr="00EB3F46">
        <w:rPr>
          <w:rFonts w:ascii="Georgia" w:hAnsi="Georgia"/>
          <w:sz w:val="18"/>
          <w:szCs w:val="20"/>
          <w:rtl/>
        </w:rPr>
        <w:t xml:space="preserve"> עומדת מלכת. על הבסיס הזה החלה רוח רעה נושבת בארץ ישראל. הם זקנים, הם חולים, עבורם להשבית מדינה? אבל המדינה לא מושבתת (איל, 2020).</w:t>
      </w:r>
    </w:p>
    <w:p w14:paraId="2427D7C9" w14:textId="77777777" w:rsidR="00EB3F46" w:rsidRPr="00EB3F46" w:rsidRDefault="00EB3F46" w:rsidP="00EB3F46">
      <w:pPr>
        <w:shd w:val="clear" w:color="auto" w:fill="FFFFFF"/>
        <w:spacing w:after="180" w:line="280" w:lineRule="exact"/>
        <w:jc w:val="both"/>
        <w:rPr>
          <w:rFonts w:ascii="Georgia" w:hAnsi="Georgia"/>
          <w:sz w:val="18"/>
          <w:szCs w:val="20"/>
          <w:rtl/>
        </w:rPr>
      </w:pPr>
      <w:r w:rsidRPr="00EB3F46">
        <w:rPr>
          <w:rFonts w:ascii="Georgia" w:hAnsi="Georgia"/>
          <w:sz w:val="18"/>
          <w:szCs w:val="20"/>
          <w:rtl/>
        </w:rPr>
        <w:t xml:space="preserve">מתוך הפער הזה, בין הדאגה לזקנים שמא יחלו וימותו לבין המסר החבוי שהזקנים הם נטל, שהרי הסגרים שפגעו בשאר האוכלוסייה הוטלו בעיקר כדי לשמור עליהם, יצא לדרך המחקר שהמאמר מתבסס עליו. במחקרנו ביקשנו לבדוק כיצד משתקף היחס לאוכלוסייה המבוגרת בתקשורת, על בסיס ניתוח כותרות ותמונות בידיעות שהתפרסמו בתקשורת הכתובה במהלך 15 החודשים מאז שפרצה מגפת הקורונה. בכך ביקשנו לשקף את השיח על זקנים בתקשורת בימי הקורונה, ולפצח את תחושת חוסר ההלימה שבין דאגה לזקן לבין הדרתו; הצרימה (הדיסוננס) שבין פחד מהמגפה לבין ההרחקה של הסיכון מעלינו כתלוי גיל בלבד; ביקשנו להראות במחקר את התמונה המורכבת, להציף נקודות לדיון אקדמי וציבורי, ולהגביר את מודעות הציבור </w:t>
      </w:r>
      <w:proofErr w:type="spellStart"/>
      <w:r w:rsidRPr="00EB3F46">
        <w:rPr>
          <w:rFonts w:ascii="Georgia" w:hAnsi="Georgia"/>
          <w:sz w:val="18"/>
          <w:szCs w:val="20"/>
          <w:rtl/>
        </w:rPr>
        <w:t>לגילנות</w:t>
      </w:r>
      <w:proofErr w:type="spellEnd"/>
      <w:r w:rsidRPr="00EB3F46">
        <w:rPr>
          <w:rFonts w:ascii="Georgia" w:hAnsi="Georgia"/>
          <w:sz w:val="18"/>
          <w:szCs w:val="20"/>
          <w:rtl/>
        </w:rPr>
        <w:t xml:space="preserve"> בחברה ולחשיבות שבמיגורה.</w:t>
      </w:r>
    </w:p>
    <w:p w14:paraId="278DF8E3" w14:textId="77777777" w:rsidR="00EB3F46" w:rsidRPr="00EB3F46" w:rsidRDefault="00EB3F46" w:rsidP="00EB3F46">
      <w:pPr>
        <w:shd w:val="clear" w:color="auto" w:fill="FFFFFF"/>
        <w:spacing w:after="180" w:line="280" w:lineRule="exact"/>
        <w:jc w:val="both"/>
        <w:rPr>
          <w:rFonts w:ascii="Georgia" w:hAnsi="Georgia"/>
          <w:b/>
          <w:bCs/>
          <w:sz w:val="18"/>
          <w:szCs w:val="20"/>
          <w:rtl/>
        </w:rPr>
      </w:pPr>
    </w:p>
    <w:p w14:paraId="0C91DF28" w14:textId="30C2BC43" w:rsidR="00EB3F46" w:rsidRPr="00DD36D3" w:rsidRDefault="00EB3F46" w:rsidP="00DD36D3">
      <w:pPr>
        <w:pStyle w:val="KOT4"/>
        <w:spacing w:after="0"/>
        <w:ind w:left="397" w:right="0" w:hanging="397"/>
        <w:rPr>
          <w:rFonts w:cs="Guttman Aharoni"/>
          <w:color w:val="2A8E8C"/>
          <w:sz w:val="32"/>
          <w:szCs w:val="32"/>
          <w:rtl/>
        </w:rPr>
      </w:pPr>
      <w:r w:rsidRPr="00DD36D3">
        <w:rPr>
          <w:rFonts w:cs="Guttman Aharoni"/>
          <w:color w:val="2A8E8C"/>
          <w:sz w:val="32"/>
          <w:szCs w:val="32"/>
          <w:rtl/>
        </w:rPr>
        <w:lastRenderedPageBreak/>
        <w:t xml:space="preserve">סקירת ספרות </w:t>
      </w:r>
    </w:p>
    <w:p w14:paraId="532AA7F8" w14:textId="3184556F" w:rsidR="00EB3F46" w:rsidRPr="00EB3F46" w:rsidRDefault="00EB3F46" w:rsidP="00AF39D0">
      <w:pPr>
        <w:shd w:val="clear" w:color="auto" w:fill="FFFFFF"/>
        <w:spacing w:after="180" w:line="280" w:lineRule="exact"/>
        <w:jc w:val="both"/>
        <w:rPr>
          <w:rFonts w:ascii="Georgia" w:hAnsi="Georgia"/>
          <w:sz w:val="18"/>
          <w:szCs w:val="20"/>
          <w:rtl/>
        </w:rPr>
      </w:pPr>
      <w:r w:rsidRPr="00EB3F46">
        <w:rPr>
          <w:rFonts w:ascii="Georgia" w:hAnsi="Georgia"/>
          <w:sz w:val="18"/>
          <w:szCs w:val="20"/>
          <w:shd w:val="clear" w:color="auto" w:fill="FFFFFF"/>
          <w:rtl/>
        </w:rPr>
        <w:t>קבוצת הגיל 65 ומעלה, הנחשבת לאוכלוסיית הזקנים בישראל, מונה כיום על פי הערכה כמיליון ו-20,000 איש ואישה (כ-11.5% מכלל האוכלוסייה).</w:t>
      </w:r>
      <w:r w:rsidRPr="00EB3F46">
        <w:rPr>
          <w:rStyle w:val="FootnoteReference"/>
          <w:rFonts w:ascii="Georgia" w:hAnsi="Georgia"/>
          <w:sz w:val="18"/>
          <w:szCs w:val="20"/>
          <w:shd w:val="clear" w:color="auto" w:fill="FFFFFF"/>
          <w:rtl/>
        </w:rPr>
        <w:footnoteReference w:id="4"/>
      </w:r>
      <w:r w:rsidRPr="00EB3F46">
        <w:rPr>
          <w:rFonts w:ascii="Georgia" w:hAnsi="Georgia"/>
          <w:sz w:val="18"/>
          <w:szCs w:val="20"/>
          <w:shd w:val="clear" w:color="auto" w:fill="FFFFFF"/>
          <w:rtl/>
        </w:rPr>
        <w:t xml:space="preserve"> בהתאמה, המחקר בתחום </w:t>
      </w:r>
      <w:proofErr w:type="spellStart"/>
      <w:r w:rsidRPr="00EB3F46">
        <w:rPr>
          <w:rFonts w:ascii="Georgia" w:hAnsi="Georgia"/>
          <w:sz w:val="18"/>
          <w:szCs w:val="20"/>
          <w:shd w:val="clear" w:color="auto" w:fill="FFFFFF"/>
          <w:rtl/>
        </w:rPr>
        <w:t>הזיקנה</w:t>
      </w:r>
      <w:proofErr w:type="spellEnd"/>
      <w:r w:rsidRPr="00EB3F46">
        <w:rPr>
          <w:rFonts w:ascii="Georgia" w:hAnsi="Georgia"/>
          <w:sz w:val="18"/>
          <w:szCs w:val="20"/>
          <w:shd w:val="clear" w:color="auto" w:fill="FFFFFF"/>
          <w:rtl/>
        </w:rPr>
        <w:t xml:space="preserve"> בישראל התרחב מתחילת שנות ה-80 של המאה ה</w:t>
      </w:r>
      <w:r w:rsidR="00AF39D0">
        <w:rPr>
          <w:rFonts w:ascii="Georgia" w:hAnsi="Georgia" w:hint="cs"/>
          <w:sz w:val="18"/>
          <w:szCs w:val="20"/>
          <w:shd w:val="clear" w:color="auto" w:fill="FFFFFF"/>
          <w:rtl/>
        </w:rPr>
        <w:t>-20</w:t>
      </w:r>
      <w:r w:rsidRPr="00EB3F46">
        <w:rPr>
          <w:rFonts w:ascii="Georgia" w:hAnsi="Georgia"/>
          <w:sz w:val="18"/>
          <w:szCs w:val="20"/>
          <w:shd w:val="clear" w:color="auto" w:fill="FFFFFF"/>
          <w:rtl/>
        </w:rPr>
        <w:t xml:space="preserve">. מחקרים שונים מעידים על עליית המודעות לתהליכי הזדקנות של החברה (ראו למשל אלון ואח', 2013; דורון וגולדברג, 2013; </w:t>
      </w:r>
      <w:proofErr w:type="spellStart"/>
      <w:r w:rsidRPr="00EB3F46">
        <w:rPr>
          <w:rFonts w:ascii="Georgia" w:hAnsi="Georgia"/>
          <w:sz w:val="18"/>
          <w:szCs w:val="20"/>
          <w:shd w:val="clear" w:color="auto" w:fill="FFFFFF"/>
          <w:rtl/>
        </w:rPr>
        <w:t>ספקטור-מרזל</w:t>
      </w:r>
      <w:proofErr w:type="spellEnd"/>
      <w:r w:rsidRPr="00EB3F46">
        <w:rPr>
          <w:rFonts w:ascii="Georgia" w:hAnsi="Georgia"/>
          <w:sz w:val="18"/>
          <w:szCs w:val="20"/>
          <w:shd w:val="clear" w:color="auto" w:fill="FFFFFF"/>
          <w:rtl/>
        </w:rPr>
        <w:t xml:space="preserve">, 2008; </w:t>
      </w:r>
      <w:proofErr w:type="spellStart"/>
      <w:r w:rsidRPr="00EB3F46">
        <w:rPr>
          <w:rFonts w:ascii="Georgia" w:hAnsi="Georgia"/>
          <w:sz w:val="18"/>
          <w:szCs w:val="20"/>
          <w:shd w:val="clear" w:color="auto" w:fill="FFFFFF"/>
          <w:rtl/>
        </w:rPr>
        <w:t>רמר-ביאל</w:t>
      </w:r>
      <w:proofErr w:type="spellEnd"/>
      <w:r w:rsidRPr="00EB3F46">
        <w:rPr>
          <w:rFonts w:ascii="Georgia" w:hAnsi="Georgia"/>
          <w:sz w:val="18"/>
          <w:szCs w:val="20"/>
          <w:shd w:val="clear" w:color="auto" w:fill="FFFFFF"/>
          <w:rtl/>
        </w:rPr>
        <w:t xml:space="preserve"> </w:t>
      </w:r>
      <w:proofErr w:type="spellStart"/>
      <w:r w:rsidRPr="00EB3F46">
        <w:rPr>
          <w:rFonts w:ascii="Georgia" w:hAnsi="Georgia"/>
          <w:sz w:val="18"/>
          <w:szCs w:val="20"/>
          <w:shd w:val="clear" w:color="auto" w:fill="FFFFFF"/>
          <w:rtl/>
        </w:rPr>
        <w:t>ופירסט</w:t>
      </w:r>
      <w:proofErr w:type="spellEnd"/>
      <w:r w:rsidRPr="00EB3F46">
        <w:rPr>
          <w:rFonts w:ascii="Georgia" w:hAnsi="Georgia"/>
          <w:sz w:val="18"/>
          <w:szCs w:val="20"/>
          <w:shd w:val="clear" w:color="auto" w:fill="FFFFFF"/>
          <w:rtl/>
        </w:rPr>
        <w:t xml:space="preserve">, 2013). לצד התפתחות של ספרות מחקר יישומית בתחומי העבודה הסוציאלית (לדוגמה הנטמן, 2012; הנטמן וברנשטיין, 2000; </w:t>
      </w:r>
      <w:proofErr w:type="spellStart"/>
      <w:r w:rsidRPr="00EB3F46">
        <w:rPr>
          <w:rFonts w:ascii="Georgia" w:hAnsi="Georgia"/>
          <w:sz w:val="18"/>
          <w:szCs w:val="20"/>
          <w:shd w:val="clear" w:color="auto" w:fill="FFFFFF"/>
          <w:rtl/>
        </w:rPr>
        <w:t>כורזים</w:t>
      </w:r>
      <w:proofErr w:type="spellEnd"/>
      <w:r w:rsidRPr="00EB3F46">
        <w:rPr>
          <w:rFonts w:ascii="Georgia" w:hAnsi="Georgia"/>
          <w:sz w:val="18"/>
          <w:szCs w:val="20"/>
          <w:shd w:val="clear" w:color="auto" w:fill="FFFFFF"/>
          <w:rtl/>
        </w:rPr>
        <w:t xml:space="preserve"> וניר, 2004) והגרונטולוגיה (אייל, 1996, 1998; </w:t>
      </w:r>
      <w:proofErr w:type="spellStart"/>
      <w:r w:rsidRPr="00EB3F46">
        <w:rPr>
          <w:rFonts w:ascii="Georgia" w:hAnsi="Georgia"/>
          <w:sz w:val="18"/>
          <w:szCs w:val="20"/>
          <w:rtl/>
        </w:rPr>
        <w:t>היינק</w:t>
      </w:r>
      <w:proofErr w:type="spellEnd"/>
      <w:r w:rsidRPr="00EB3F46">
        <w:rPr>
          <w:rFonts w:ascii="Georgia" w:hAnsi="Georgia"/>
          <w:sz w:val="18"/>
          <w:szCs w:val="20"/>
          <w:rtl/>
        </w:rPr>
        <w:t xml:space="preserve"> </w:t>
      </w:r>
      <w:proofErr w:type="spellStart"/>
      <w:r w:rsidRPr="00EB3F46">
        <w:rPr>
          <w:rFonts w:ascii="Georgia" w:hAnsi="Georgia"/>
          <w:sz w:val="18"/>
          <w:szCs w:val="20"/>
          <w:rtl/>
        </w:rPr>
        <w:t>ודוולצקי</w:t>
      </w:r>
      <w:proofErr w:type="spellEnd"/>
      <w:r w:rsidRPr="00EB3F46">
        <w:rPr>
          <w:rFonts w:ascii="Georgia" w:hAnsi="Georgia"/>
          <w:sz w:val="18"/>
          <w:szCs w:val="20"/>
          <w:rtl/>
        </w:rPr>
        <w:t xml:space="preserve">, 2015; </w:t>
      </w:r>
      <w:proofErr w:type="spellStart"/>
      <w:r w:rsidRPr="00EB3F46">
        <w:rPr>
          <w:rStyle w:val="content"/>
          <w:rFonts w:ascii="Georgia" w:hAnsi="Georgia"/>
          <w:sz w:val="18"/>
          <w:szCs w:val="20"/>
          <w:shd w:val="clear" w:color="auto" w:fill="FFFFFF"/>
          <w:rtl/>
        </w:rPr>
        <w:t>פרילוצקי</w:t>
      </w:r>
      <w:proofErr w:type="spellEnd"/>
      <w:r w:rsidRPr="00EB3F46">
        <w:rPr>
          <w:rStyle w:val="content"/>
          <w:rFonts w:ascii="Georgia" w:hAnsi="Georgia"/>
          <w:sz w:val="18"/>
          <w:szCs w:val="20"/>
          <w:shd w:val="clear" w:color="auto" w:fill="FFFFFF"/>
          <w:rtl/>
        </w:rPr>
        <w:t xml:space="preserve"> וכהן, 2015; </w:t>
      </w:r>
      <w:proofErr w:type="spellStart"/>
      <w:r w:rsidRPr="00EB3F46">
        <w:rPr>
          <w:rStyle w:val="content"/>
          <w:rFonts w:ascii="Georgia" w:hAnsi="Georgia"/>
          <w:sz w:val="18"/>
          <w:szCs w:val="20"/>
          <w:shd w:val="clear" w:color="auto" w:fill="FFFFFF"/>
          <w:rtl/>
        </w:rPr>
        <w:t>רוזין</w:t>
      </w:r>
      <w:proofErr w:type="spellEnd"/>
      <w:r w:rsidRPr="00EB3F46">
        <w:rPr>
          <w:rStyle w:val="content"/>
          <w:rFonts w:ascii="Georgia" w:hAnsi="Georgia"/>
          <w:sz w:val="18"/>
          <w:szCs w:val="20"/>
          <w:shd w:val="clear" w:color="auto" w:fill="FFFFFF"/>
          <w:rtl/>
        </w:rPr>
        <w:t>, 2003</w:t>
      </w:r>
      <w:r w:rsidRPr="00EB3F46">
        <w:rPr>
          <w:rFonts w:ascii="Georgia" w:hAnsi="Georgia"/>
          <w:sz w:val="18"/>
          <w:szCs w:val="20"/>
          <w:shd w:val="clear" w:color="auto" w:fill="FFFFFF"/>
          <w:rtl/>
        </w:rPr>
        <w:t xml:space="preserve">), והעשייה הציבורית והמשפטית בנוגע לזכויות זקנים (בן ישראל ובן ישראל, 2002; בריל ואח', 2020; דורון, 2008א, 2019ב; דורון ואפטר, 2009; דורון וגולדברג, 2013; דורון וקליין, 2010), התפתחו מחקר בתחומי החברה והתרבות (גמליאל, 2000, 2005, 2013; הרצוג ולב, 2018; חזן, 1984, 2006, 2010). כן צמחו שיח ביקורתי על הסטראוטיפים הרווחים כלפי אנשים זקנים ועל תופעת </w:t>
      </w:r>
      <w:proofErr w:type="spellStart"/>
      <w:r w:rsidRPr="00EB3F46">
        <w:rPr>
          <w:rFonts w:ascii="Georgia" w:hAnsi="Georgia"/>
          <w:sz w:val="18"/>
          <w:szCs w:val="20"/>
          <w:shd w:val="clear" w:color="auto" w:fill="FFFFFF"/>
          <w:rtl/>
        </w:rPr>
        <w:t>הגילנות</w:t>
      </w:r>
      <w:proofErr w:type="spellEnd"/>
      <w:r w:rsidRPr="00EB3F46">
        <w:rPr>
          <w:rFonts w:ascii="Georgia" w:hAnsi="Georgia"/>
          <w:sz w:val="18"/>
          <w:szCs w:val="20"/>
          <w:shd w:val="clear" w:color="auto" w:fill="FFFFFF"/>
          <w:rtl/>
        </w:rPr>
        <w:t xml:space="preserve">, אפיון של תהליכי </w:t>
      </w:r>
      <w:proofErr w:type="spellStart"/>
      <w:r w:rsidRPr="00EB3F46">
        <w:rPr>
          <w:rFonts w:ascii="Georgia" w:hAnsi="Georgia"/>
          <w:sz w:val="18"/>
          <w:szCs w:val="20"/>
          <w:shd w:val="clear" w:color="auto" w:fill="FFFFFF"/>
          <w:rtl/>
        </w:rPr>
        <w:t>הזיקנה</w:t>
      </w:r>
      <w:proofErr w:type="spellEnd"/>
      <w:r w:rsidRPr="00EB3F46">
        <w:rPr>
          <w:rFonts w:ascii="Georgia" w:hAnsi="Georgia"/>
          <w:sz w:val="18"/>
          <w:szCs w:val="20"/>
          <w:shd w:val="clear" w:color="auto" w:fill="FFFFFF"/>
          <w:rtl/>
        </w:rPr>
        <w:t xml:space="preserve"> ופיתוח מודלים של הזדקנות חיובית ובריאה (</w:t>
      </w:r>
      <w:proofErr w:type="spellStart"/>
      <w:r w:rsidRPr="00EB3F46">
        <w:rPr>
          <w:rFonts w:ascii="Georgia" w:hAnsi="Georgia"/>
          <w:sz w:val="18"/>
          <w:szCs w:val="20"/>
          <w:rtl/>
        </w:rPr>
        <w:t>בלובשטיין</w:t>
      </w:r>
      <w:proofErr w:type="spellEnd"/>
      <w:r w:rsidRPr="00EB3F46">
        <w:rPr>
          <w:rFonts w:ascii="Georgia" w:hAnsi="Georgia"/>
          <w:sz w:val="18"/>
          <w:szCs w:val="20"/>
          <w:rtl/>
        </w:rPr>
        <w:t>, 2018;</w:t>
      </w:r>
      <w:r w:rsidRPr="00EB3F46">
        <w:rPr>
          <w:rFonts w:ascii="Georgia" w:hAnsi="Georgia"/>
          <w:sz w:val="18"/>
          <w:szCs w:val="20"/>
          <w:shd w:val="clear" w:color="auto" w:fill="FFFFFF"/>
          <w:rtl/>
        </w:rPr>
        <w:t xml:space="preserve"> בר-טור, 2005; </w:t>
      </w:r>
      <w:proofErr w:type="spellStart"/>
      <w:r w:rsidRPr="00EB3F46">
        <w:rPr>
          <w:rFonts w:ascii="Georgia" w:hAnsi="Georgia"/>
          <w:sz w:val="18"/>
          <w:szCs w:val="20"/>
          <w:shd w:val="clear" w:color="auto" w:fill="FFFFFF"/>
          <w:rtl/>
        </w:rPr>
        <w:t>קוה</w:t>
      </w:r>
      <w:proofErr w:type="spellEnd"/>
      <w:r w:rsidRPr="00EB3F46">
        <w:rPr>
          <w:rFonts w:ascii="Georgia" w:hAnsi="Georgia"/>
          <w:sz w:val="18"/>
          <w:szCs w:val="20"/>
          <w:shd w:val="clear" w:color="auto" w:fill="FFFFFF"/>
          <w:rtl/>
        </w:rPr>
        <w:t>, 2014;</w:t>
      </w:r>
      <w:r w:rsidRPr="00EB3F46">
        <w:rPr>
          <w:rFonts w:ascii="Georgia" w:hAnsi="Georgia"/>
          <w:sz w:val="18"/>
          <w:szCs w:val="20"/>
          <w:rtl/>
        </w:rPr>
        <w:t xml:space="preserve"> </w:t>
      </w:r>
      <w:proofErr w:type="spellStart"/>
      <w:r w:rsidRPr="00EB3F46">
        <w:rPr>
          <w:rFonts w:ascii="Georgia" w:hAnsi="Georgia"/>
          <w:sz w:val="18"/>
          <w:szCs w:val="20"/>
          <w:shd w:val="clear" w:color="auto" w:fill="FFFFFF"/>
        </w:rPr>
        <w:t>Shmotkin</w:t>
      </w:r>
      <w:proofErr w:type="spellEnd"/>
      <w:r w:rsidRPr="00EB3F46">
        <w:rPr>
          <w:rFonts w:ascii="Georgia" w:hAnsi="Georgia"/>
          <w:sz w:val="18"/>
          <w:szCs w:val="20"/>
          <w:shd w:val="clear" w:color="auto" w:fill="FFFFFF"/>
        </w:rPr>
        <w:t xml:space="preserve"> et al., 2014</w:t>
      </w:r>
      <w:r w:rsidRPr="00EB3F46">
        <w:rPr>
          <w:rFonts w:ascii="Georgia" w:hAnsi="Georgia"/>
          <w:sz w:val="18"/>
          <w:szCs w:val="20"/>
          <w:shd w:val="clear" w:color="auto" w:fill="FFFFFF"/>
          <w:rtl/>
        </w:rPr>
        <w:t>) ושל שירותי רווחה וסיעוד לזקן (</w:t>
      </w:r>
      <w:proofErr w:type="spellStart"/>
      <w:r w:rsidRPr="00EB3F46">
        <w:rPr>
          <w:rFonts w:ascii="Georgia" w:hAnsi="Georgia"/>
          <w:sz w:val="18"/>
          <w:szCs w:val="20"/>
          <w:shd w:val="clear" w:color="auto" w:fill="FFFFFF"/>
          <w:rtl/>
        </w:rPr>
        <w:t>ברודסקי</w:t>
      </w:r>
      <w:proofErr w:type="spellEnd"/>
      <w:r w:rsidRPr="00EB3F46">
        <w:rPr>
          <w:rFonts w:ascii="Georgia" w:hAnsi="Georgia"/>
          <w:sz w:val="18"/>
          <w:szCs w:val="20"/>
          <w:shd w:val="clear" w:color="auto" w:fill="FFFFFF"/>
          <w:rtl/>
        </w:rPr>
        <w:t xml:space="preserve"> ואח', 2010; בריק </w:t>
      </w:r>
      <w:proofErr w:type="spellStart"/>
      <w:r w:rsidRPr="00EB3F46">
        <w:rPr>
          <w:rFonts w:ascii="Georgia" w:hAnsi="Georgia"/>
          <w:sz w:val="18"/>
          <w:szCs w:val="20"/>
          <w:shd w:val="clear" w:color="auto" w:fill="FFFFFF"/>
          <w:rtl/>
        </w:rPr>
        <w:t>ולבנשטיין</w:t>
      </w:r>
      <w:proofErr w:type="spellEnd"/>
      <w:r w:rsidRPr="00EB3F46">
        <w:rPr>
          <w:rFonts w:ascii="Georgia" w:hAnsi="Georgia"/>
          <w:sz w:val="18"/>
          <w:szCs w:val="20"/>
          <w:shd w:val="clear" w:color="auto" w:fill="FFFFFF"/>
          <w:rtl/>
        </w:rPr>
        <w:t xml:space="preserve">, 2010; דורון וקורן, 2005). </w:t>
      </w:r>
    </w:p>
    <w:p w14:paraId="267AB5E7" w14:textId="536AD0A8" w:rsidR="00EB3F46" w:rsidRPr="00EB3F46" w:rsidRDefault="00EB3F46" w:rsidP="002374D0">
      <w:pPr>
        <w:shd w:val="clear" w:color="auto" w:fill="FFFFFF"/>
        <w:spacing w:after="180" w:line="280" w:lineRule="exact"/>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לצד ספרות המחקר הדנה בבעיית </w:t>
      </w:r>
      <w:proofErr w:type="spellStart"/>
      <w:r w:rsidRPr="00EB3F46">
        <w:rPr>
          <w:rFonts w:ascii="Georgia" w:hAnsi="Georgia"/>
          <w:sz w:val="18"/>
          <w:szCs w:val="20"/>
          <w:shd w:val="clear" w:color="auto" w:fill="FFFFFF"/>
          <w:rtl/>
        </w:rPr>
        <w:t>הגילנות</w:t>
      </w:r>
      <w:proofErr w:type="spellEnd"/>
      <w:r w:rsidRPr="00EB3F46">
        <w:rPr>
          <w:rFonts w:ascii="Georgia" w:hAnsi="Georgia"/>
          <w:sz w:val="18"/>
          <w:szCs w:val="20"/>
          <w:shd w:val="clear" w:color="auto" w:fill="FFFFFF"/>
          <w:rtl/>
        </w:rPr>
        <w:t xml:space="preserve"> ומפתחת ידע ומדיניות שיסיגו את תהליך הייצור והשעתוק של הסטראוטיפים, ניכר</w:t>
      </w:r>
      <w:r w:rsidR="000A7897">
        <w:rPr>
          <w:rFonts w:ascii="Georgia" w:hAnsi="Georgia" w:hint="cs"/>
          <w:sz w:val="18"/>
          <w:szCs w:val="20"/>
          <w:shd w:val="clear" w:color="auto" w:fill="FFFFFF"/>
          <w:rtl/>
        </w:rPr>
        <w:t>ות</w:t>
      </w:r>
      <w:r w:rsidRPr="00EB3F46">
        <w:rPr>
          <w:rFonts w:ascii="Georgia" w:hAnsi="Georgia"/>
          <w:sz w:val="18"/>
          <w:szCs w:val="20"/>
          <w:shd w:val="clear" w:color="auto" w:fill="FFFFFF"/>
          <w:rtl/>
        </w:rPr>
        <w:t xml:space="preserve"> גם עלייה בשיעור התעסוקה בקרב עובדים מבוגרים בישראל, והוא עומד על כ-20% (</w:t>
      </w:r>
      <w:proofErr w:type="spellStart"/>
      <w:r w:rsidRPr="00EB3F46">
        <w:rPr>
          <w:rFonts w:ascii="Georgia" w:hAnsi="Georgia"/>
          <w:sz w:val="18"/>
          <w:szCs w:val="20"/>
          <w:shd w:val="clear" w:color="auto" w:fill="FFFFFF"/>
          <w:rtl/>
        </w:rPr>
        <w:t>אפלר-חטאב</w:t>
      </w:r>
      <w:proofErr w:type="spellEnd"/>
      <w:r w:rsidRPr="00EB3F46">
        <w:rPr>
          <w:rFonts w:ascii="Georgia" w:hAnsi="Georgia"/>
          <w:sz w:val="18"/>
          <w:szCs w:val="20"/>
          <w:shd w:val="clear" w:color="auto" w:fill="FFFFFF"/>
          <w:rtl/>
        </w:rPr>
        <w:t xml:space="preserve">, 2020); </w:t>
      </w:r>
      <w:r w:rsidR="000A7897">
        <w:rPr>
          <w:rFonts w:ascii="Georgia" w:hAnsi="Georgia" w:hint="cs"/>
          <w:sz w:val="18"/>
          <w:szCs w:val="20"/>
          <w:shd w:val="clear" w:color="auto" w:fill="FFFFFF"/>
          <w:rtl/>
        </w:rPr>
        <w:t>ו</w:t>
      </w:r>
      <w:r w:rsidRPr="00EB3F46">
        <w:rPr>
          <w:rFonts w:ascii="Georgia" w:hAnsi="Georgia"/>
          <w:sz w:val="18"/>
          <w:szCs w:val="20"/>
          <w:shd w:val="clear" w:color="auto" w:fill="FFFFFF"/>
          <w:rtl/>
        </w:rPr>
        <w:t xml:space="preserve">השקעה במחקר הרפואי לעיכוב תהליכי הזדקנות ולמניעת מחלות </w:t>
      </w:r>
      <w:proofErr w:type="spellStart"/>
      <w:r w:rsidRPr="00EB3F46">
        <w:rPr>
          <w:rFonts w:ascii="Georgia" w:hAnsi="Georgia"/>
          <w:sz w:val="18"/>
          <w:szCs w:val="20"/>
          <w:shd w:val="clear" w:color="auto" w:fill="FFFFFF"/>
          <w:rtl/>
        </w:rPr>
        <w:t>זיקנה</w:t>
      </w:r>
      <w:proofErr w:type="spellEnd"/>
      <w:r w:rsidRPr="00EB3F46">
        <w:rPr>
          <w:rFonts w:ascii="Georgia" w:hAnsi="Georgia"/>
          <w:sz w:val="18"/>
          <w:szCs w:val="20"/>
          <w:shd w:val="clear" w:color="auto" w:fill="FFFFFF"/>
          <w:rtl/>
        </w:rPr>
        <w:t xml:space="preserve"> שלא נחקרו קודם (הלל-אברהם, 2013). בזירה התרבותית אנו רואים בשנים האחרונות הנכחה רבה יותר של שחקנים מבוגרים בסרטי קולנוע בישראל ובעולם; סרטים על זקנים ועם שחקנים זקנים (ופחות עם זקנות);</w:t>
      </w:r>
      <w:r w:rsidRPr="00EB3F46">
        <w:rPr>
          <w:rStyle w:val="FootnoteReference"/>
          <w:rFonts w:ascii="Georgia" w:hAnsi="Georgia"/>
          <w:sz w:val="18"/>
          <w:szCs w:val="20"/>
          <w:shd w:val="clear" w:color="auto" w:fill="FFFFFF"/>
          <w:rtl/>
        </w:rPr>
        <w:footnoteReference w:id="5"/>
      </w:r>
      <w:r w:rsidRPr="00EB3F46">
        <w:rPr>
          <w:rFonts w:ascii="Georgia" w:hAnsi="Georgia"/>
          <w:sz w:val="18"/>
          <w:szCs w:val="20"/>
          <w:shd w:val="clear" w:color="auto" w:fill="FFFFFF"/>
          <w:rtl/>
        </w:rPr>
        <w:t xml:space="preserve"> התיירות בגילי הפנסיה פרחה ערב הקורונה, תוחלת החיים ואיכותם עולה בהדרגה, והמושג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נעשה שגור יותר ויותר בשפה, גם אם את חלקה מכנה חזן "צדקנות אקדמית" (חזן, 2013, עמ' 52–53). מדובר אומנם בהתפתחות איטית, ובשינויים קטנים, אולם על רקע דברים אלה מהדהדת השאלה איך הגיעה החברה הישראלית למצב כזה שנשמעים בה קולות המציעים להקריב את הזקנים קורבן לאלוהי הקורונה. </w:t>
      </w:r>
    </w:p>
    <w:p w14:paraId="4CA12C78" w14:textId="77777777" w:rsidR="00EB3F46" w:rsidRPr="00EB3F46" w:rsidRDefault="00EB3F46" w:rsidP="002374D0">
      <w:pPr>
        <w:shd w:val="clear" w:color="auto" w:fill="FFFFFF"/>
        <w:spacing w:after="180" w:line="280" w:lineRule="exact"/>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לצד התפתחויות אלו, מחקרו של </w:t>
      </w:r>
      <w:proofErr w:type="spellStart"/>
      <w:r w:rsidRPr="00EB3F46">
        <w:rPr>
          <w:rFonts w:ascii="Georgia" w:hAnsi="Georgia"/>
          <w:sz w:val="18"/>
          <w:szCs w:val="20"/>
          <w:shd w:val="clear" w:color="auto" w:fill="FFFFFF"/>
          <w:rtl/>
        </w:rPr>
        <w:t>בודנר</w:t>
      </w:r>
      <w:proofErr w:type="spellEnd"/>
      <w:r w:rsidRPr="00EB3F46">
        <w:rPr>
          <w:rFonts w:ascii="Georgia" w:hAnsi="Georgia"/>
          <w:sz w:val="18"/>
          <w:szCs w:val="20"/>
          <w:shd w:val="clear" w:color="auto" w:fill="FFFFFF"/>
          <w:rtl/>
        </w:rPr>
        <w:t xml:space="preserve"> (2013), אשר בוחן רכיבים של עמדות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בקרב צעירים בישראל, מלמד על בּוֹלְּטוּת של עמדות שליליות וביטויי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מובהקים כלפי </w:t>
      </w:r>
      <w:proofErr w:type="spellStart"/>
      <w:r w:rsidRPr="00EB3F46">
        <w:rPr>
          <w:rFonts w:ascii="Georgia" w:hAnsi="Georgia"/>
          <w:sz w:val="18"/>
          <w:szCs w:val="20"/>
          <w:shd w:val="clear" w:color="auto" w:fill="FFFFFF"/>
          <w:rtl/>
        </w:rPr>
        <w:t>זיקנה</w:t>
      </w:r>
      <w:proofErr w:type="spellEnd"/>
      <w:r w:rsidRPr="00EB3F46">
        <w:rPr>
          <w:rFonts w:ascii="Georgia" w:hAnsi="Georgia"/>
          <w:sz w:val="18"/>
          <w:szCs w:val="20"/>
          <w:shd w:val="clear" w:color="auto" w:fill="FFFFFF"/>
          <w:rtl/>
        </w:rPr>
        <w:t xml:space="preserve"> </w:t>
      </w:r>
      <w:r w:rsidRPr="00EB3F46">
        <w:rPr>
          <w:rFonts w:ascii="Georgia" w:hAnsi="Georgia"/>
          <w:sz w:val="18"/>
          <w:szCs w:val="20"/>
          <w:shd w:val="clear" w:color="auto" w:fill="FFFFFF"/>
          <w:rtl/>
        </w:rPr>
        <w:lastRenderedPageBreak/>
        <w:t xml:space="preserve">בקרב צעירים, ללא הבדלי מגדר ושייכות תרבותית-חברתית. ממצאים אלו נמצאו בהלימה עם עוד מחקרים שפורסמו באותה שנה (אלון ואח', 2013; דורון, 2013; טופז, 2013; ענבר, 2013; </w:t>
      </w:r>
      <w:proofErr w:type="spellStart"/>
      <w:r w:rsidRPr="00EB3F46">
        <w:rPr>
          <w:rFonts w:ascii="Georgia" w:hAnsi="Georgia"/>
          <w:sz w:val="18"/>
          <w:szCs w:val="20"/>
          <w:shd w:val="clear" w:color="auto" w:fill="FFFFFF"/>
          <w:rtl/>
        </w:rPr>
        <w:t>רמר-ביאל</w:t>
      </w:r>
      <w:proofErr w:type="spellEnd"/>
      <w:r w:rsidRPr="00EB3F46">
        <w:rPr>
          <w:rFonts w:ascii="Georgia" w:hAnsi="Georgia"/>
          <w:sz w:val="18"/>
          <w:szCs w:val="20"/>
          <w:shd w:val="clear" w:color="auto" w:fill="FFFFFF"/>
          <w:rtl/>
        </w:rPr>
        <w:t xml:space="preserve"> </w:t>
      </w:r>
      <w:proofErr w:type="spellStart"/>
      <w:r w:rsidRPr="00EB3F46">
        <w:rPr>
          <w:rFonts w:ascii="Georgia" w:hAnsi="Georgia"/>
          <w:sz w:val="18"/>
          <w:szCs w:val="20"/>
          <w:shd w:val="clear" w:color="auto" w:fill="FFFFFF"/>
          <w:rtl/>
        </w:rPr>
        <w:t>ופירסט</w:t>
      </w:r>
      <w:proofErr w:type="spellEnd"/>
      <w:r w:rsidRPr="00EB3F46">
        <w:rPr>
          <w:rFonts w:ascii="Georgia" w:hAnsi="Georgia"/>
          <w:sz w:val="18"/>
          <w:szCs w:val="20"/>
          <w:shd w:val="clear" w:color="auto" w:fill="FFFFFF"/>
          <w:rtl/>
        </w:rPr>
        <w:t xml:space="preserve">, 2013; </w:t>
      </w:r>
      <w:proofErr w:type="spellStart"/>
      <w:r w:rsidRPr="00EB3F46">
        <w:rPr>
          <w:rFonts w:ascii="Georgia" w:hAnsi="Georgia"/>
          <w:sz w:val="18"/>
          <w:szCs w:val="20"/>
          <w:shd w:val="clear" w:color="auto" w:fill="FFFFFF"/>
          <w:rtl/>
        </w:rPr>
        <w:t>שיוביץ</w:t>
      </w:r>
      <w:proofErr w:type="spellEnd"/>
      <w:r w:rsidRPr="00EB3F46">
        <w:rPr>
          <w:rFonts w:ascii="Georgia" w:hAnsi="Georgia"/>
          <w:sz w:val="18"/>
          <w:szCs w:val="20"/>
          <w:shd w:val="clear" w:color="auto" w:fill="FFFFFF"/>
          <w:rtl/>
        </w:rPr>
        <w:t xml:space="preserve">-עזרא ואח', 2013) ואוגדו בספר בעריכתו של פרופסור ישראל (איסי) דורון, במסגרת מכון </w:t>
      </w:r>
      <w:proofErr w:type="spellStart"/>
      <w:r w:rsidRPr="00EB3F46">
        <w:rPr>
          <w:rFonts w:ascii="Georgia" w:hAnsi="Georgia"/>
          <w:sz w:val="18"/>
          <w:szCs w:val="20"/>
          <w:shd w:val="clear" w:color="auto" w:fill="FFFFFF"/>
          <w:rtl/>
        </w:rPr>
        <w:t>ון</w:t>
      </w:r>
      <w:proofErr w:type="spellEnd"/>
      <w:r w:rsidRPr="00EB3F46">
        <w:rPr>
          <w:rFonts w:ascii="Georgia" w:hAnsi="Georgia"/>
          <w:sz w:val="18"/>
          <w:szCs w:val="20"/>
          <w:shd w:val="clear" w:color="auto" w:fill="FFFFFF"/>
          <w:rtl/>
        </w:rPr>
        <w:t xml:space="preserve"> ליר. גם מחקרה של דקל (2020) מעיד על קיומו של "סטריאוטיפ מצמצם ושלילי של נשים זקנות הרווח כיום בתרבות החזותית" (דקל, 2020, עמ' 12).</w:t>
      </w:r>
    </w:p>
    <w:p w14:paraId="5E33D15B" w14:textId="52E35BEE" w:rsidR="00EB3F46" w:rsidRPr="00EB3F46" w:rsidRDefault="00EB3F46" w:rsidP="002374D0">
      <w:pPr>
        <w:shd w:val="clear" w:color="auto" w:fill="FFFFFF"/>
        <w:spacing w:after="180" w:line="280" w:lineRule="exact"/>
        <w:jc w:val="both"/>
        <w:rPr>
          <w:rFonts w:ascii="Georgia" w:hAnsi="Georgia"/>
          <w:sz w:val="18"/>
          <w:szCs w:val="20"/>
          <w:rtl/>
        </w:rPr>
      </w:pPr>
      <w:r w:rsidRPr="00EB3F46">
        <w:rPr>
          <w:rFonts w:ascii="Georgia" w:hAnsi="Georgia"/>
          <w:sz w:val="18"/>
          <w:szCs w:val="20"/>
          <w:shd w:val="clear" w:color="auto" w:fill="FFFFFF"/>
          <w:rtl/>
        </w:rPr>
        <w:t xml:space="preserve">מחקרנו, שבחן את ביטויי </w:t>
      </w:r>
      <w:proofErr w:type="spellStart"/>
      <w:r w:rsidRPr="00EB3F46">
        <w:rPr>
          <w:rFonts w:ascii="Georgia" w:hAnsi="Georgia"/>
          <w:sz w:val="18"/>
          <w:szCs w:val="20"/>
          <w:shd w:val="clear" w:color="auto" w:fill="FFFFFF"/>
          <w:rtl/>
        </w:rPr>
        <w:t>הגילנות</w:t>
      </w:r>
      <w:proofErr w:type="spellEnd"/>
      <w:r w:rsidRPr="00EB3F46">
        <w:rPr>
          <w:rFonts w:ascii="Georgia" w:hAnsi="Georgia"/>
          <w:sz w:val="18"/>
          <w:szCs w:val="20"/>
          <w:shd w:val="clear" w:color="auto" w:fill="FFFFFF"/>
          <w:rtl/>
        </w:rPr>
        <w:t xml:space="preserve"> בתקשורת בשנה האחרונה, התייחס למגפת הקורונה.</w:t>
      </w:r>
      <w:r w:rsidRPr="00EB3F46">
        <w:rPr>
          <w:rFonts w:ascii="Georgia" w:hAnsi="Georgia"/>
          <w:sz w:val="18"/>
          <w:szCs w:val="20"/>
          <w:rtl/>
        </w:rPr>
        <w:t xml:space="preserve"> הפנייה לתקשורת הכתובה מסתמכת על מחקרים אשר תיקפו את תקשורת ההמונים כאחד האתרים המרכזיים לבחינת פניה של החברה. בזירה זו החברה מציגה את עצמה, מגדירה את זהותם של חבריה ומתווה את גבולות הקונצנזוס; היא מאדירה את אלה המוערכים כמרכזיים ואידאליים ודוחקת לשוליים את מי שנחשבים חריגים (</w:t>
      </w:r>
      <w:proofErr w:type="spellStart"/>
      <w:r w:rsidRPr="00EB3F46">
        <w:rPr>
          <w:rFonts w:ascii="Georgia" w:hAnsi="Georgia"/>
          <w:sz w:val="18"/>
          <w:szCs w:val="20"/>
          <w:rtl/>
        </w:rPr>
        <w:t>למיש</w:t>
      </w:r>
      <w:proofErr w:type="spellEnd"/>
      <w:r w:rsidRPr="00EB3F46">
        <w:rPr>
          <w:rFonts w:ascii="Georgia" w:hAnsi="Georgia"/>
          <w:sz w:val="18"/>
          <w:szCs w:val="20"/>
          <w:rtl/>
        </w:rPr>
        <w:t xml:space="preserve">, 2006, עמ' 100). בשל הנגישות שלה לקהלים הטרוגניים (מכל בחינה: חברתית, תרבותית, כלכלית, פוליטית, אתנית, דתית, מגדרית, גילית וכדומה), ובשל מערכי הצריכה הקבועה, השוטפת והמצטברת </w:t>
      </w:r>
      <w:r w:rsidRPr="00EB3F46">
        <w:rPr>
          <w:rFonts w:ascii="Georgia" w:hAnsi="Georgia"/>
          <w:color w:val="222222"/>
          <w:sz w:val="18"/>
          <w:szCs w:val="20"/>
          <w:shd w:val="clear" w:color="auto" w:fill="FFFFFF"/>
          <w:rtl/>
        </w:rPr>
        <w:t xml:space="preserve">לאורך זמן, היא תורמת למרכוזן של תפיסות חברתיות </w:t>
      </w:r>
      <w:r w:rsidRPr="00E45C86">
        <w:rPr>
          <w:rFonts w:ascii="Georgia" w:hAnsi="Georgia" w:hint="eastAsia"/>
          <w:sz w:val="18"/>
          <w:szCs w:val="20"/>
          <w:rtl/>
        </w:rPr>
        <w:t>ולהתקבלותן</w:t>
      </w:r>
      <w:r w:rsidR="00A15C6E" w:rsidRPr="00E45C86">
        <w:rPr>
          <w:rFonts w:ascii="Georgia" w:hAnsi="Georgia"/>
          <w:sz w:val="18"/>
          <w:szCs w:val="20"/>
          <w:rtl/>
        </w:rPr>
        <w:t xml:space="preserve"> </w:t>
      </w:r>
      <w:r w:rsidRPr="00E45C86">
        <w:rPr>
          <w:rFonts w:ascii="Georgia" w:hAnsi="Georgia" w:hint="eastAsia"/>
          <w:sz w:val="18"/>
          <w:szCs w:val="20"/>
          <w:rtl/>
        </w:rPr>
        <w:t>כ</w:t>
      </w:r>
      <w:r w:rsidRPr="00E45C86">
        <w:rPr>
          <w:rFonts w:ascii="Georgia" w:hAnsi="Georgia"/>
          <w:sz w:val="18"/>
          <w:szCs w:val="20"/>
          <w:rtl/>
        </w:rPr>
        <w:t>"</w:t>
      </w:r>
      <w:r w:rsidRPr="00E45C86">
        <w:rPr>
          <w:rFonts w:ascii="Georgia" w:hAnsi="Georgia" w:hint="eastAsia"/>
          <w:sz w:val="18"/>
          <w:szCs w:val="20"/>
          <w:rtl/>
        </w:rPr>
        <w:t>טבעיות</w:t>
      </w:r>
      <w:r w:rsidRPr="00E45C86">
        <w:rPr>
          <w:rFonts w:ascii="Georgia" w:hAnsi="Georgia"/>
          <w:sz w:val="18"/>
          <w:szCs w:val="20"/>
          <w:rtl/>
        </w:rPr>
        <w:t xml:space="preserve">" </w:t>
      </w:r>
      <w:proofErr w:type="spellStart"/>
      <w:r w:rsidRPr="00E45C86">
        <w:rPr>
          <w:rFonts w:ascii="Georgia" w:hAnsi="Georgia" w:hint="eastAsia"/>
          <w:sz w:val="18"/>
          <w:szCs w:val="20"/>
          <w:rtl/>
        </w:rPr>
        <w:t>וכ</w:t>
      </w:r>
      <w:r w:rsidRPr="00E45C86">
        <w:rPr>
          <w:rFonts w:ascii="Georgia" w:hAnsi="Georgia"/>
          <w:sz w:val="18"/>
          <w:szCs w:val="20"/>
          <w:rtl/>
        </w:rPr>
        <w:t>"</w:t>
      </w:r>
      <w:r w:rsidRPr="00E45C86">
        <w:rPr>
          <w:rFonts w:ascii="Georgia" w:hAnsi="Georgia" w:hint="eastAsia"/>
          <w:sz w:val="18"/>
          <w:szCs w:val="20"/>
          <w:rtl/>
        </w:rPr>
        <w:t>נורמליות</w:t>
      </w:r>
      <w:proofErr w:type="spellEnd"/>
      <w:r w:rsidRPr="00E45C86">
        <w:rPr>
          <w:rFonts w:ascii="Georgia" w:hAnsi="Georgia"/>
          <w:sz w:val="18"/>
          <w:szCs w:val="20"/>
          <w:rtl/>
        </w:rPr>
        <w:t xml:space="preserve">", </w:t>
      </w:r>
      <w:r w:rsidRPr="00E45C86">
        <w:rPr>
          <w:rFonts w:ascii="Georgia" w:hAnsi="Georgia" w:hint="eastAsia"/>
          <w:sz w:val="18"/>
          <w:szCs w:val="20"/>
          <w:rtl/>
        </w:rPr>
        <w:t>ובהיותן</w:t>
      </w:r>
      <w:r w:rsidRPr="00E45C86">
        <w:rPr>
          <w:rFonts w:ascii="Georgia" w:hAnsi="Georgia"/>
          <w:sz w:val="18"/>
          <w:szCs w:val="20"/>
          <w:rtl/>
        </w:rPr>
        <w:t xml:space="preserve"> </w:t>
      </w:r>
      <w:r w:rsidRPr="00E45C86">
        <w:rPr>
          <w:rFonts w:ascii="Georgia" w:hAnsi="Georgia" w:hint="eastAsia"/>
          <w:sz w:val="18"/>
          <w:szCs w:val="20"/>
          <w:rtl/>
        </w:rPr>
        <w:t>כאלה</w:t>
      </w:r>
      <w:r w:rsidRPr="00E45C86">
        <w:rPr>
          <w:rFonts w:ascii="Georgia" w:hAnsi="Georgia"/>
          <w:sz w:val="18"/>
          <w:szCs w:val="20"/>
          <w:rtl/>
        </w:rPr>
        <w:t xml:space="preserve"> </w:t>
      </w:r>
      <w:r w:rsidRPr="00E45C86">
        <w:rPr>
          <w:rFonts w:ascii="Georgia" w:hAnsi="Georgia" w:hint="eastAsia"/>
          <w:sz w:val="18"/>
          <w:szCs w:val="20"/>
          <w:rtl/>
        </w:rPr>
        <w:t>אין</w:t>
      </w:r>
      <w:r w:rsidRPr="00E45C86">
        <w:rPr>
          <w:rFonts w:ascii="Georgia" w:hAnsi="Georgia"/>
          <w:sz w:val="18"/>
          <w:szCs w:val="20"/>
          <w:rtl/>
        </w:rPr>
        <w:t xml:space="preserve"> </w:t>
      </w:r>
      <w:r w:rsidRPr="00E45C86">
        <w:rPr>
          <w:rFonts w:ascii="Georgia" w:hAnsi="Georgia" w:hint="eastAsia"/>
          <w:sz w:val="18"/>
          <w:szCs w:val="20"/>
          <w:rtl/>
        </w:rPr>
        <w:t>טעם</w:t>
      </w:r>
      <w:r w:rsidRPr="00E45C86">
        <w:rPr>
          <w:rFonts w:ascii="Georgia" w:hAnsi="Georgia"/>
          <w:sz w:val="18"/>
          <w:szCs w:val="20"/>
          <w:rtl/>
        </w:rPr>
        <w:t xml:space="preserve"> </w:t>
      </w:r>
      <w:r w:rsidRPr="00E45C86">
        <w:rPr>
          <w:rFonts w:ascii="Georgia" w:hAnsi="Georgia" w:hint="eastAsia"/>
          <w:sz w:val="18"/>
          <w:szCs w:val="20"/>
          <w:rtl/>
        </w:rPr>
        <w:t>לערער</w:t>
      </w:r>
      <w:r w:rsidRPr="00E45C86">
        <w:rPr>
          <w:rFonts w:ascii="Georgia" w:hAnsi="Georgia"/>
          <w:sz w:val="18"/>
          <w:szCs w:val="20"/>
          <w:rtl/>
        </w:rPr>
        <w:t xml:space="preserve"> </w:t>
      </w:r>
      <w:r w:rsidRPr="00E45C86">
        <w:rPr>
          <w:rFonts w:ascii="Georgia" w:hAnsi="Georgia" w:hint="eastAsia"/>
          <w:sz w:val="18"/>
          <w:szCs w:val="20"/>
          <w:rtl/>
        </w:rPr>
        <w:t>עליהן</w:t>
      </w:r>
      <w:r w:rsidRPr="00E45C86">
        <w:rPr>
          <w:rFonts w:ascii="Georgia" w:hAnsi="Georgia"/>
          <w:sz w:val="18"/>
          <w:szCs w:val="20"/>
          <w:rtl/>
        </w:rPr>
        <w:t xml:space="preserve"> </w:t>
      </w:r>
      <w:r w:rsidRPr="00E45C86">
        <w:rPr>
          <w:rFonts w:ascii="Georgia" w:hAnsi="Georgia" w:hint="eastAsia"/>
          <w:sz w:val="18"/>
          <w:szCs w:val="20"/>
          <w:rtl/>
        </w:rPr>
        <w:t>והן</w:t>
      </w:r>
      <w:r w:rsidRPr="00E45C86">
        <w:rPr>
          <w:rFonts w:ascii="Georgia" w:hAnsi="Georgia"/>
          <w:sz w:val="18"/>
          <w:szCs w:val="20"/>
          <w:rtl/>
        </w:rPr>
        <w:t xml:space="preserve"> </w:t>
      </w:r>
      <w:r w:rsidRPr="00E45C86">
        <w:rPr>
          <w:rFonts w:ascii="Georgia" w:hAnsi="Georgia" w:hint="eastAsia"/>
          <w:sz w:val="18"/>
          <w:szCs w:val="20"/>
          <w:rtl/>
        </w:rPr>
        <w:t>אינן</w:t>
      </w:r>
      <w:r w:rsidRPr="00E45C86">
        <w:rPr>
          <w:rFonts w:ascii="Georgia" w:hAnsi="Georgia"/>
          <w:sz w:val="18"/>
          <w:szCs w:val="20"/>
          <w:rtl/>
        </w:rPr>
        <w:t xml:space="preserve"> </w:t>
      </w:r>
      <w:r w:rsidRPr="00E45C86">
        <w:rPr>
          <w:rFonts w:ascii="Georgia" w:hAnsi="Georgia" w:hint="eastAsia"/>
          <w:sz w:val="18"/>
          <w:szCs w:val="20"/>
          <w:rtl/>
        </w:rPr>
        <w:t>ניתנות</w:t>
      </w:r>
      <w:r w:rsidRPr="00E45C86">
        <w:rPr>
          <w:rFonts w:ascii="Georgia" w:hAnsi="Georgia"/>
          <w:sz w:val="18"/>
          <w:szCs w:val="20"/>
          <w:rtl/>
        </w:rPr>
        <w:t xml:space="preserve"> </w:t>
      </w:r>
      <w:r w:rsidRPr="00E45C86">
        <w:rPr>
          <w:rFonts w:ascii="Georgia" w:hAnsi="Georgia" w:hint="eastAsia"/>
          <w:sz w:val="18"/>
          <w:szCs w:val="20"/>
          <w:rtl/>
        </w:rPr>
        <w:t>לשינוי</w:t>
      </w:r>
      <w:r w:rsidRPr="00E45C86">
        <w:rPr>
          <w:rFonts w:ascii="Georgia" w:hAnsi="Georgia"/>
          <w:sz w:val="18"/>
          <w:szCs w:val="20"/>
          <w:rtl/>
        </w:rPr>
        <w:t xml:space="preserve">, </w:t>
      </w:r>
      <w:r w:rsidRPr="00E45C86">
        <w:rPr>
          <w:rFonts w:ascii="Georgia" w:hAnsi="Georgia" w:hint="eastAsia"/>
          <w:sz w:val="18"/>
          <w:szCs w:val="20"/>
          <w:rtl/>
        </w:rPr>
        <w:t>לכאורה</w:t>
      </w:r>
      <w:r w:rsidRPr="00E45C86">
        <w:rPr>
          <w:rFonts w:ascii="Georgia" w:hAnsi="Georgia"/>
          <w:sz w:val="18"/>
          <w:szCs w:val="20"/>
          <w:rtl/>
        </w:rPr>
        <w:t xml:space="preserve"> </w:t>
      </w:r>
      <w:r w:rsidRPr="00EB3F46">
        <w:rPr>
          <w:rFonts w:ascii="Georgia" w:hAnsi="Georgia"/>
          <w:sz w:val="18"/>
          <w:szCs w:val="20"/>
          <w:rtl/>
        </w:rPr>
        <w:t>(</w:t>
      </w:r>
      <w:proofErr w:type="spellStart"/>
      <w:r w:rsidRPr="00EB3F46">
        <w:rPr>
          <w:rFonts w:ascii="Georgia" w:hAnsi="Georgia"/>
          <w:sz w:val="18"/>
          <w:szCs w:val="20"/>
          <w:rtl/>
        </w:rPr>
        <w:t>למיש</w:t>
      </w:r>
      <w:proofErr w:type="spellEnd"/>
      <w:r w:rsidRPr="00EB3F46">
        <w:rPr>
          <w:rFonts w:ascii="Georgia" w:hAnsi="Georgia"/>
          <w:sz w:val="18"/>
          <w:szCs w:val="20"/>
          <w:rtl/>
        </w:rPr>
        <w:t>, 2006). יותר מכך, מעצם הפיכתה למקור מידע דומיננטי, תקשורת ההמונים מהווה מוסד מרכזי בעיצוב דעת הקהל בעידן המודרני (</w:t>
      </w:r>
      <w:proofErr w:type="spellStart"/>
      <w:r w:rsidRPr="00EB3F46">
        <w:rPr>
          <w:rFonts w:ascii="Georgia" w:hAnsi="Georgia"/>
          <w:sz w:val="18"/>
          <w:szCs w:val="20"/>
        </w:rPr>
        <w:t>Gurevitch</w:t>
      </w:r>
      <w:proofErr w:type="spellEnd"/>
      <w:r w:rsidRPr="00EB3F46">
        <w:rPr>
          <w:rFonts w:ascii="Georgia" w:hAnsi="Georgia"/>
          <w:sz w:val="18"/>
          <w:szCs w:val="20"/>
        </w:rPr>
        <w:t xml:space="preserve"> &amp; Levy, 1985</w:t>
      </w:r>
      <w:r w:rsidRPr="00EB3F46">
        <w:rPr>
          <w:rFonts w:ascii="Georgia" w:hAnsi="Georgia"/>
          <w:sz w:val="18"/>
          <w:szCs w:val="20"/>
          <w:rtl/>
        </w:rPr>
        <w:t xml:space="preserve">). כך טוענים גם פלג </w:t>
      </w:r>
      <w:proofErr w:type="spellStart"/>
      <w:r w:rsidRPr="00EB3F46">
        <w:rPr>
          <w:rFonts w:ascii="Georgia" w:hAnsi="Georgia"/>
          <w:sz w:val="18"/>
          <w:szCs w:val="20"/>
          <w:rtl/>
        </w:rPr>
        <w:t>ואלימי</w:t>
      </w:r>
      <w:proofErr w:type="spellEnd"/>
      <w:r w:rsidRPr="00EB3F46">
        <w:rPr>
          <w:rFonts w:ascii="Georgia" w:hAnsi="Georgia"/>
          <w:sz w:val="18"/>
          <w:szCs w:val="20"/>
          <w:rtl/>
        </w:rPr>
        <w:t xml:space="preserve"> (2006, עמ' 6):</w:t>
      </w:r>
    </w:p>
    <w:p w14:paraId="04F38121" w14:textId="77777777" w:rsidR="00EB3F46" w:rsidRPr="00EB3F46" w:rsidRDefault="00EB3F46" w:rsidP="002374D0">
      <w:pPr>
        <w:shd w:val="clear" w:color="auto" w:fill="FFFFFF"/>
        <w:spacing w:after="180"/>
        <w:ind w:left="567"/>
        <w:jc w:val="both"/>
        <w:rPr>
          <w:rFonts w:ascii="Georgia" w:hAnsi="Georgia"/>
          <w:sz w:val="18"/>
          <w:szCs w:val="20"/>
          <w:rtl/>
        </w:rPr>
      </w:pPr>
      <w:r w:rsidRPr="00EB3F46">
        <w:rPr>
          <w:rFonts w:ascii="Georgia" w:hAnsi="Georgia"/>
          <w:sz w:val="18"/>
          <w:szCs w:val="20"/>
          <w:rtl/>
        </w:rPr>
        <w:t xml:space="preserve">במציאות כזו של אי ודאות, כאשר סוגיות מהותיות מצויות במחלוקת ומתחרות על תשומת ליבם ותמיכתם של ההמונים, התקשורת היא שחקן מרכזי בניווט תודעה. מעצבי המסרים נוטלים את המציאות כפי שהם מבינים אותה, ומעבדים אותה מחדש על מנת לשכנע את קוראיהם כי זוהי אכן הדרך הנכונה. </w:t>
      </w:r>
    </w:p>
    <w:p w14:paraId="0CAD8624" w14:textId="77777777" w:rsidR="00EB3F46" w:rsidRPr="00EB3F46" w:rsidRDefault="00EB3F46" w:rsidP="00EB3F46">
      <w:pPr>
        <w:shd w:val="clear" w:color="auto" w:fill="FFFFFF"/>
        <w:spacing w:after="180" w:line="280" w:lineRule="exact"/>
        <w:jc w:val="both"/>
        <w:rPr>
          <w:rFonts w:ascii="Georgia" w:hAnsi="Georgia"/>
          <w:sz w:val="18"/>
          <w:szCs w:val="20"/>
          <w:rtl/>
        </w:rPr>
      </w:pPr>
      <w:r w:rsidRPr="00EB3F46">
        <w:rPr>
          <w:rFonts w:ascii="Georgia" w:hAnsi="Georgia"/>
          <w:sz w:val="18"/>
          <w:szCs w:val="20"/>
          <w:rtl/>
        </w:rPr>
        <w:t xml:space="preserve">נוסף על כך, המגפה הביאה איתה מפנה בעלילת חיינו הפיזיים: אנו מתקשרים יותר מאי פעם באמצעים טכנולוגיים, ומדווחים על העולם דרך מסכים. מתוך כך, חשיבותם של עיתונים ותקשורת כתובה גברה מאוד. </w:t>
      </w:r>
    </w:p>
    <w:p w14:paraId="77FFBA90" w14:textId="73D5515D" w:rsidR="00EB3F46" w:rsidRDefault="00EB3F46" w:rsidP="00EB3F46">
      <w:pPr>
        <w:shd w:val="clear" w:color="auto" w:fill="FFFFFF"/>
        <w:spacing w:after="180" w:line="280" w:lineRule="exact"/>
        <w:jc w:val="both"/>
        <w:rPr>
          <w:rFonts w:ascii="Georgia" w:hAnsi="Georgia"/>
          <w:b/>
          <w:bCs/>
          <w:sz w:val="18"/>
          <w:szCs w:val="20"/>
          <w:rtl/>
        </w:rPr>
      </w:pPr>
    </w:p>
    <w:p w14:paraId="599F4B9A" w14:textId="77777777" w:rsidR="00673493" w:rsidRPr="00EB3F46" w:rsidRDefault="00673493" w:rsidP="00EB3F46">
      <w:pPr>
        <w:shd w:val="clear" w:color="auto" w:fill="FFFFFF"/>
        <w:spacing w:after="180" w:line="280" w:lineRule="exact"/>
        <w:jc w:val="both"/>
        <w:rPr>
          <w:rFonts w:ascii="Georgia" w:hAnsi="Georgia"/>
          <w:b/>
          <w:bCs/>
          <w:sz w:val="18"/>
          <w:szCs w:val="20"/>
          <w:rtl/>
        </w:rPr>
      </w:pPr>
    </w:p>
    <w:p w14:paraId="28A51BF4" w14:textId="70C0F790" w:rsidR="00EB3F46" w:rsidRPr="008A3897" w:rsidRDefault="00EB3F46" w:rsidP="008A3897">
      <w:pPr>
        <w:pStyle w:val="KOT4"/>
        <w:spacing w:after="0"/>
        <w:ind w:left="397" w:right="0" w:hanging="397"/>
        <w:rPr>
          <w:rFonts w:cs="Guttman Aharoni"/>
          <w:color w:val="2A8E8C"/>
          <w:sz w:val="32"/>
          <w:szCs w:val="32"/>
          <w:rtl/>
        </w:rPr>
      </w:pPr>
      <w:r w:rsidRPr="008A3897">
        <w:rPr>
          <w:rFonts w:cs="Guttman Aharoni"/>
          <w:color w:val="2A8E8C"/>
          <w:sz w:val="32"/>
          <w:szCs w:val="32"/>
          <w:rtl/>
        </w:rPr>
        <w:t xml:space="preserve">שיטת המחקר </w:t>
      </w:r>
    </w:p>
    <w:p w14:paraId="612E1A02" w14:textId="5DC3C285" w:rsidR="00EB3F46" w:rsidRPr="00EB3F46" w:rsidRDefault="00EB3F46" w:rsidP="00CA0B25">
      <w:pPr>
        <w:pStyle w:val="NormalWeb"/>
        <w:bidi/>
        <w:spacing w:before="0" w:beforeAutospacing="0" w:after="180" w:afterAutospacing="0" w:line="280" w:lineRule="exact"/>
        <w:rPr>
          <w:rFonts w:ascii="Georgia" w:hAnsi="Georgia" w:cs="David"/>
          <w:sz w:val="18"/>
          <w:szCs w:val="20"/>
          <w:rtl/>
        </w:rPr>
      </w:pPr>
      <w:r w:rsidRPr="00EB3F46">
        <w:rPr>
          <w:rFonts w:ascii="Georgia" w:hAnsi="Georgia" w:cs="David"/>
          <w:sz w:val="18"/>
          <w:szCs w:val="20"/>
          <w:rtl/>
        </w:rPr>
        <w:t>הגישה שנקטנו במחקר נטועה במסורת הסמיוטית של דה-</w:t>
      </w:r>
      <w:proofErr w:type="spellStart"/>
      <w:r w:rsidRPr="00EB3F46">
        <w:rPr>
          <w:rFonts w:ascii="Georgia" w:hAnsi="Georgia" w:cs="David"/>
          <w:sz w:val="18"/>
          <w:szCs w:val="20"/>
          <w:rtl/>
        </w:rPr>
        <w:t>סוסייר</w:t>
      </w:r>
      <w:proofErr w:type="spellEnd"/>
      <w:r w:rsidRPr="00EB3F46">
        <w:rPr>
          <w:rFonts w:ascii="Georgia" w:hAnsi="Georgia" w:cs="David"/>
          <w:sz w:val="18"/>
          <w:szCs w:val="20"/>
          <w:rtl/>
        </w:rPr>
        <w:t xml:space="preserve"> ופיתוחה על ידי </w:t>
      </w:r>
      <w:proofErr w:type="spellStart"/>
      <w:r w:rsidRPr="00EB3F46">
        <w:rPr>
          <w:rFonts w:ascii="Georgia" w:hAnsi="Georgia" w:cs="David"/>
          <w:sz w:val="18"/>
          <w:szCs w:val="20"/>
          <w:rtl/>
        </w:rPr>
        <w:t>בארת</w:t>
      </w:r>
      <w:proofErr w:type="spellEnd"/>
      <w:r w:rsidRPr="00EB3F46">
        <w:rPr>
          <w:rFonts w:ascii="Georgia" w:hAnsi="Georgia" w:cs="David"/>
          <w:sz w:val="18"/>
          <w:szCs w:val="20"/>
          <w:rtl/>
        </w:rPr>
        <w:t xml:space="preserve"> (1998, 2002). גישה זו מקובלת ונפוצה בלימודי תרבות, בלימודי תקשורת ובסוציולוגיה ואנתרופולוגיה חזותית (</w:t>
      </w:r>
      <w:proofErr w:type="spellStart"/>
      <w:r w:rsidRPr="00EB3F46">
        <w:rPr>
          <w:rFonts w:ascii="Georgia" w:hAnsi="Georgia" w:cs="David"/>
          <w:sz w:val="18"/>
          <w:szCs w:val="20"/>
          <w:rtl/>
        </w:rPr>
        <w:t>ברטל</w:t>
      </w:r>
      <w:proofErr w:type="spellEnd"/>
      <w:r w:rsidRPr="00EB3F46">
        <w:rPr>
          <w:rFonts w:ascii="Georgia" w:hAnsi="Georgia" w:cs="David"/>
          <w:sz w:val="18"/>
          <w:szCs w:val="20"/>
          <w:rtl/>
        </w:rPr>
        <w:t>, 2013, עמ' 141). לפי גישה זו, ביטויים תקשורתיים הם טקסטים המכילים דימויים, נרטיבים וסמלים משותפים המבנים את התודעה הציבורית (</w:t>
      </w:r>
      <w:proofErr w:type="spellStart"/>
      <w:r w:rsidRPr="00EB3F46">
        <w:rPr>
          <w:rFonts w:ascii="Georgia" w:hAnsi="Georgia" w:cs="David"/>
          <w:sz w:val="18"/>
          <w:szCs w:val="20"/>
          <w:rtl/>
        </w:rPr>
        <w:t>ליבס</w:t>
      </w:r>
      <w:proofErr w:type="spellEnd"/>
      <w:r w:rsidRPr="00EB3F46">
        <w:rPr>
          <w:rFonts w:ascii="Georgia" w:hAnsi="Georgia" w:cs="David"/>
          <w:sz w:val="18"/>
          <w:szCs w:val="20"/>
          <w:rtl/>
        </w:rPr>
        <w:t xml:space="preserve"> </w:t>
      </w:r>
      <w:proofErr w:type="spellStart"/>
      <w:r w:rsidRPr="00EB3F46">
        <w:rPr>
          <w:rFonts w:ascii="Georgia" w:hAnsi="Georgia" w:cs="David"/>
          <w:sz w:val="18"/>
          <w:szCs w:val="20"/>
          <w:rtl/>
        </w:rPr>
        <w:t>וטלמון</w:t>
      </w:r>
      <w:proofErr w:type="spellEnd"/>
      <w:r w:rsidRPr="00EB3F46">
        <w:rPr>
          <w:rFonts w:ascii="Georgia" w:hAnsi="Georgia" w:cs="David"/>
          <w:sz w:val="18"/>
          <w:szCs w:val="20"/>
          <w:rtl/>
        </w:rPr>
        <w:t xml:space="preserve">, 2004). על </w:t>
      </w:r>
      <w:proofErr w:type="spellStart"/>
      <w:r w:rsidRPr="00EB3F46">
        <w:rPr>
          <w:rFonts w:ascii="Georgia" w:hAnsi="Georgia" w:cs="David"/>
          <w:sz w:val="18"/>
          <w:szCs w:val="20"/>
          <w:rtl/>
        </w:rPr>
        <w:t>גישותיהם</w:t>
      </w:r>
      <w:proofErr w:type="spellEnd"/>
      <w:r w:rsidRPr="00EB3F46">
        <w:rPr>
          <w:rFonts w:ascii="Georgia" w:hAnsi="Georgia" w:cs="David"/>
          <w:sz w:val="18"/>
          <w:szCs w:val="20"/>
          <w:rtl/>
        </w:rPr>
        <w:t xml:space="preserve"> של דה-</w:t>
      </w:r>
      <w:proofErr w:type="spellStart"/>
      <w:r w:rsidRPr="00EB3F46">
        <w:rPr>
          <w:rFonts w:ascii="Georgia" w:hAnsi="Georgia" w:cs="David"/>
          <w:sz w:val="18"/>
          <w:szCs w:val="20"/>
          <w:rtl/>
        </w:rPr>
        <w:t>סוסייר</w:t>
      </w:r>
      <w:proofErr w:type="spellEnd"/>
      <w:r w:rsidRPr="00EB3F46">
        <w:rPr>
          <w:rFonts w:ascii="Georgia" w:hAnsi="Georgia" w:cs="David"/>
          <w:sz w:val="18"/>
          <w:szCs w:val="20"/>
          <w:rtl/>
        </w:rPr>
        <w:t xml:space="preserve"> ושל </w:t>
      </w:r>
      <w:proofErr w:type="spellStart"/>
      <w:r w:rsidRPr="00EB3F46">
        <w:rPr>
          <w:rFonts w:ascii="Georgia" w:hAnsi="Georgia" w:cs="David"/>
          <w:sz w:val="18"/>
          <w:szCs w:val="20"/>
          <w:rtl/>
        </w:rPr>
        <w:t>בארת</w:t>
      </w:r>
      <w:proofErr w:type="spellEnd"/>
      <w:r w:rsidRPr="00EB3F46">
        <w:rPr>
          <w:rFonts w:ascii="Georgia" w:hAnsi="Georgia" w:cs="David"/>
          <w:sz w:val="18"/>
          <w:szCs w:val="20"/>
          <w:rtl/>
        </w:rPr>
        <w:t xml:space="preserve"> התבססו מחקרי תקשורת </w:t>
      </w:r>
      <w:r w:rsidRPr="00EB3F46">
        <w:rPr>
          <w:rFonts w:ascii="Georgia" w:hAnsi="Georgia" w:cs="David"/>
          <w:sz w:val="18"/>
          <w:szCs w:val="20"/>
          <w:rtl/>
        </w:rPr>
        <w:lastRenderedPageBreak/>
        <w:t xml:space="preserve">שבחנו ייצוגי מיעוטים דוגמת ייצוגי גוף (לצר, 2017); ייצוגי אנשים עם לקויות (קמה, 2015); ייצוגי </w:t>
      </w:r>
      <w:proofErr w:type="spellStart"/>
      <w:r w:rsidRPr="00EB3F46">
        <w:rPr>
          <w:rFonts w:ascii="Georgia" w:hAnsi="Georgia" w:cs="David"/>
          <w:sz w:val="18"/>
          <w:szCs w:val="20"/>
          <w:rtl/>
        </w:rPr>
        <w:t>זיקנה</w:t>
      </w:r>
      <w:proofErr w:type="spellEnd"/>
      <w:r w:rsidRPr="00EB3F46">
        <w:rPr>
          <w:rFonts w:ascii="Georgia" w:hAnsi="Georgia" w:cs="David"/>
          <w:sz w:val="18"/>
          <w:szCs w:val="20"/>
          <w:rtl/>
        </w:rPr>
        <w:t xml:space="preserve"> (</w:t>
      </w:r>
      <w:proofErr w:type="spellStart"/>
      <w:r w:rsidRPr="00EB3F46">
        <w:rPr>
          <w:rFonts w:ascii="Georgia" w:hAnsi="Georgia" w:cs="David"/>
          <w:sz w:val="18"/>
          <w:szCs w:val="20"/>
          <w:rtl/>
        </w:rPr>
        <w:t>פירסט</w:t>
      </w:r>
      <w:proofErr w:type="spellEnd"/>
      <w:r w:rsidRPr="00EB3F46">
        <w:rPr>
          <w:rFonts w:ascii="Georgia" w:hAnsi="Georgia" w:cs="David"/>
          <w:sz w:val="18"/>
          <w:szCs w:val="20"/>
          <w:rtl/>
        </w:rPr>
        <w:t xml:space="preserve"> </w:t>
      </w:r>
      <w:proofErr w:type="spellStart"/>
      <w:r w:rsidRPr="00EB3F46">
        <w:rPr>
          <w:rFonts w:ascii="Georgia" w:hAnsi="Georgia" w:cs="David"/>
          <w:sz w:val="18"/>
          <w:szCs w:val="20"/>
          <w:rtl/>
        </w:rPr>
        <w:t>ורמר-ביאל</w:t>
      </w:r>
      <w:proofErr w:type="spellEnd"/>
      <w:r w:rsidRPr="00EB3F46">
        <w:rPr>
          <w:rFonts w:ascii="Georgia" w:hAnsi="Georgia" w:cs="David"/>
          <w:sz w:val="18"/>
          <w:szCs w:val="20"/>
          <w:rtl/>
        </w:rPr>
        <w:t>, 2007), וכן ייצוג של המגוון התרבותי בשידורי ערוצי הטלוויזיה המסחריים בישראל</w:t>
      </w:r>
      <w:r w:rsidRPr="00EB3F46">
        <w:rPr>
          <w:rFonts w:ascii="Georgia" w:hAnsi="Georgia" w:cs="David"/>
          <w:sz w:val="18"/>
          <w:szCs w:val="20"/>
        </w:rPr>
        <w:t xml:space="preserve"> </w:t>
      </w:r>
      <w:r w:rsidRPr="00EB3F46">
        <w:rPr>
          <w:rFonts w:ascii="Georgia" w:hAnsi="Georgia" w:cs="David"/>
          <w:sz w:val="18"/>
          <w:szCs w:val="20"/>
          <w:rtl/>
        </w:rPr>
        <w:t xml:space="preserve">(לאור ואח', 2006). הדיון באופן הייצוג מתייחס בדרך כלל לשלושה ממדים: עצם קיומה של הקבוצה על המרקע; איכות הקבוצה על המרקע (כיצד היא מוצגת); ויחסי הגומלין שבין חברי קבוצת הרוב לבין חברי קבוצת המיעוט (לאור ואח', 2006; </w:t>
      </w:r>
      <w:proofErr w:type="spellStart"/>
      <w:r w:rsidRPr="00EB3F46">
        <w:rPr>
          <w:rFonts w:ascii="Georgia" w:hAnsi="Georgia" w:cs="David"/>
          <w:sz w:val="18"/>
          <w:szCs w:val="20"/>
          <w:rtl/>
        </w:rPr>
        <w:t>פירסט</w:t>
      </w:r>
      <w:proofErr w:type="spellEnd"/>
      <w:r w:rsidRPr="00EB3F46">
        <w:rPr>
          <w:rFonts w:ascii="Georgia" w:hAnsi="Georgia" w:cs="David"/>
          <w:sz w:val="18"/>
          <w:szCs w:val="20"/>
          <w:rtl/>
        </w:rPr>
        <w:t xml:space="preserve"> </w:t>
      </w:r>
      <w:proofErr w:type="spellStart"/>
      <w:r w:rsidRPr="00EB3F46">
        <w:rPr>
          <w:rFonts w:ascii="Georgia" w:hAnsi="Georgia" w:cs="David"/>
          <w:sz w:val="18"/>
          <w:szCs w:val="20"/>
          <w:rtl/>
        </w:rPr>
        <w:t>ורמר-ביאל</w:t>
      </w:r>
      <w:proofErr w:type="spellEnd"/>
      <w:r w:rsidRPr="00EB3F46">
        <w:rPr>
          <w:rFonts w:ascii="Georgia" w:hAnsi="Georgia" w:cs="David"/>
          <w:sz w:val="18"/>
          <w:szCs w:val="20"/>
          <w:rtl/>
        </w:rPr>
        <w:t>, 2007; קמה, 2015). היות שמחקרנו התייחס לתקופה ספציפית, מאמר זה מתמקד באיכות של הצגת הקבוצה: באיזה הקשר הדמות מוצגת? כיצד היא מתנהגת? איזה מידע נמסר עליה? מהם מאפייניה? האם הדמות היא אובייקט או סובייקט, כלומר האם יש לה שם ואופי או שהיא אנונימית? האם זו דמות ראשית או משנית</w:t>
      </w:r>
      <w:r w:rsidR="001405FC">
        <w:rPr>
          <w:rFonts w:ascii="Georgia" w:hAnsi="Georgia" w:cs="David" w:hint="cs"/>
          <w:sz w:val="18"/>
          <w:szCs w:val="20"/>
          <w:rtl/>
        </w:rPr>
        <w:t>?</w:t>
      </w:r>
    </w:p>
    <w:p w14:paraId="40A8ABAC" w14:textId="7E33FA58" w:rsidR="00EB3F46" w:rsidRPr="00EB3F46" w:rsidRDefault="00EB3F46" w:rsidP="002374D0">
      <w:pPr>
        <w:pStyle w:val="NormalWeb"/>
        <w:bidi/>
        <w:spacing w:before="0" w:beforeAutospacing="0" w:after="180" w:afterAutospacing="0" w:line="280" w:lineRule="exact"/>
        <w:rPr>
          <w:rFonts w:ascii="Georgia" w:hAnsi="Georgia" w:cs="David"/>
          <w:sz w:val="18"/>
          <w:szCs w:val="20"/>
          <w:rtl/>
        </w:rPr>
      </w:pPr>
      <w:r w:rsidRPr="00EB3F46">
        <w:rPr>
          <w:rFonts w:ascii="Georgia" w:hAnsi="Georgia" w:cs="David"/>
          <w:sz w:val="18"/>
          <w:szCs w:val="20"/>
          <w:rtl/>
        </w:rPr>
        <w:t>בעקבות מגפת הקורונה נוצרה תחושה כי הזקנים, כקבוצה חברתית המושתתת על גיל ומודרת בדרך כלל מהשיח הציבורי והתקשורתי, מקבלת נוכחות ונראות מוגבר</w:t>
      </w:r>
      <w:r w:rsidR="00FB371C">
        <w:rPr>
          <w:rFonts w:ascii="Georgia" w:hAnsi="Georgia" w:cs="David" w:hint="cs"/>
          <w:sz w:val="18"/>
          <w:szCs w:val="20"/>
          <w:rtl/>
        </w:rPr>
        <w:t>ו</w:t>
      </w:r>
      <w:r w:rsidRPr="00EB3F46">
        <w:rPr>
          <w:rFonts w:ascii="Georgia" w:hAnsi="Georgia" w:cs="David"/>
          <w:sz w:val="18"/>
          <w:szCs w:val="20"/>
          <w:rtl/>
        </w:rPr>
        <w:t xml:space="preserve">ת. במאמר זה נראה כי ייצוגיה של קבוצה זו מושתתים במידה רבה על סטראוטיפים שליליים המיוחסים </w:t>
      </w:r>
      <w:proofErr w:type="spellStart"/>
      <w:r w:rsidRPr="00EB3F46">
        <w:rPr>
          <w:rFonts w:ascii="Georgia" w:hAnsi="Georgia" w:cs="David"/>
          <w:sz w:val="18"/>
          <w:szCs w:val="20"/>
          <w:rtl/>
        </w:rPr>
        <w:t>לזיקנה</w:t>
      </w:r>
      <w:proofErr w:type="spellEnd"/>
      <w:r w:rsidRPr="00EB3F46">
        <w:rPr>
          <w:rFonts w:ascii="Georgia" w:hAnsi="Georgia" w:cs="David"/>
          <w:sz w:val="18"/>
          <w:szCs w:val="20"/>
          <w:rtl/>
        </w:rPr>
        <w:t>. קמה (2002) מתאר זאת כ"שלב ההכחדה הסמלית האיכותנית, שלב שבו קבוצת המיעוט מתחילה להיות נוכחת ונראית במרחב הציבורי, אולם הייצוג מושתת במידה רבה על סטריאוטיפיזציה" (קמה, 2002, עמ' 144).</w:t>
      </w:r>
    </w:p>
    <w:p w14:paraId="21CEC35F" w14:textId="77777777" w:rsidR="00EB3F46" w:rsidRPr="00EB3F46" w:rsidRDefault="00EB3F46" w:rsidP="00EB3F46">
      <w:pPr>
        <w:spacing w:after="180" w:line="280" w:lineRule="exact"/>
        <w:jc w:val="both"/>
        <w:rPr>
          <w:rFonts w:ascii="Georgia" w:hAnsi="Georgia"/>
          <w:b/>
          <w:bCs/>
          <w:sz w:val="18"/>
          <w:szCs w:val="20"/>
          <w:rtl/>
        </w:rPr>
      </w:pPr>
    </w:p>
    <w:p w14:paraId="1429DDD8" w14:textId="45EEC230"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איסוף הנתונים</w:t>
      </w:r>
      <w:r w:rsidR="00673493">
        <w:rPr>
          <w:rFonts w:cs="Guttman Aharoni"/>
          <w:color w:val="BA2A16"/>
          <w:rtl/>
        </w:rPr>
        <w:t xml:space="preserve"> </w:t>
      </w:r>
    </w:p>
    <w:p w14:paraId="25306224"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לצורך המחקר הרצנו שאילתה במאגר הארכיוני של כלי התקשורת הכתובים המסורתיים (עיתונים ומגזינים: </w:t>
      </w:r>
      <w:r w:rsidRPr="00EB3F46">
        <w:rPr>
          <w:rFonts w:ascii="Georgia" w:hAnsi="Georgia"/>
          <w:b/>
          <w:bCs/>
          <w:sz w:val="18"/>
          <w:szCs w:val="20"/>
          <w:rtl/>
        </w:rPr>
        <w:t>ידיעות אחרונות</w:t>
      </w:r>
      <w:r w:rsidRPr="00EB3F46">
        <w:rPr>
          <w:rFonts w:ascii="Georgia" w:hAnsi="Georgia"/>
          <w:sz w:val="18"/>
          <w:szCs w:val="20"/>
          <w:rtl/>
        </w:rPr>
        <w:t xml:space="preserve">, </w:t>
      </w:r>
      <w:r w:rsidRPr="00EB3F46">
        <w:rPr>
          <w:rFonts w:ascii="Georgia" w:hAnsi="Georgia"/>
          <w:b/>
          <w:bCs/>
          <w:sz w:val="18"/>
          <w:szCs w:val="20"/>
          <w:rtl/>
        </w:rPr>
        <w:t>ישראל היום</w:t>
      </w:r>
      <w:r w:rsidRPr="00EB3F46">
        <w:rPr>
          <w:rFonts w:ascii="Georgia" w:hAnsi="Georgia"/>
          <w:sz w:val="18"/>
          <w:szCs w:val="20"/>
          <w:rtl/>
        </w:rPr>
        <w:t xml:space="preserve">, </w:t>
      </w:r>
      <w:proofErr w:type="spellStart"/>
      <w:r w:rsidRPr="00EB3F46">
        <w:rPr>
          <w:rFonts w:ascii="Georgia" w:hAnsi="Georgia"/>
          <w:b/>
          <w:bCs/>
          <w:sz w:val="18"/>
          <w:szCs w:val="20"/>
          <w:rtl/>
        </w:rPr>
        <w:t>כלכליסט</w:t>
      </w:r>
      <w:proofErr w:type="spellEnd"/>
      <w:r w:rsidRPr="00EB3F46">
        <w:rPr>
          <w:rFonts w:ascii="Georgia" w:hAnsi="Georgia"/>
          <w:sz w:val="18"/>
          <w:szCs w:val="20"/>
          <w:rtl/>
        </w:rPr>
        <w:t xml:space="preserve">, רשת המקומונים של </w:t>
      </w:r>
      <w:r w:rsidRPr="00EB3F46">
        <w:rPr>
          <w:rFonts w:ascii="Georgia" w:hAnsi="Georgia"/>
          <w:b/>
          <w:bCs/>
          <w:sz w:val="18"/>
          <w:szCs w:val="20"/>
          <w:rtl/>
        </w:rPr>
        <w:t>ידיעות תקשורת</w:t>
      </w:r>
      <w:r w:rsidRPr="00EB3F46">
        <w:rPr>
          <w:rFonts w:ascii="Georgia" w:hAnsi="Georgia"/>
          <w:sz w:val="18"/>
          <w:szCs w:val="20"/>
          <w:rtl/>
        </w:rPr>
        <w:t xml:space="preserve"> ועוד), במיוחד של העיתונים היומיים, משיקולי נוחות וקוהרנטיות. מכיוון שמדובר במילים שימושיות מאוד, נדרש אלגוריתם שיסנן מתי המילה הנבחרת מתייחסת לאדם מבוגר או לאוכלוסיית המבוגרים, ומתי היא משמשת בהקשרים לשוניים אחרים; נוסף על כך, בחיפוש באמצעות שאילתות אפשר לתחום את הפרסומים השונים בזמן – לתקופת הקורונה, עד לסיום המחקר בסוף חודש מרץ. החלטנו לנתח את נושאי הכתבות, הכותרות והתמונות שבחרו העורכים לידיעות העוסקות במבוגרים בישראל בתקופת הקורונה. בניגוד לטקסטים הגולמיים, שכותבים הכתבים, הרי בחירת הנושאים, הכותרות והתמונות מבטאת היטב את תפיסתם של העורכים בכלי התקשורת.</w:t>
      </w:r>
    </w:p>
    <w:p w14:paraId="4C31BB2C"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כדי לנתח יחידת מחקר מלאה (כותרת, תוכן ותמונה) התמקדנו בעיקר – אך לא רק – בעיתון </w:t>
      </w:r>
      <w:r w:rsidRPr="00EB3F46">
        <w:rPr>
          <w:rFonts w:ascii="Georgia" w:hAnsi="Georgia"/>
          <w:b/>
          <w:bCs/>
          <w:sz w:val="18"/>
          <w:szCs w:val="20"/>
          <w:rtl/>
        </w:rPr>
        <w:t>ידיעות אחרונות</w:t>
      </w:r>
      <w:r w:rsidRPr="00EB3F46">
        <w:rPr>
          <w:rFonts w:ascii="Georgia" w:hAnsi="Georgia"/>
          <w:sz w:val="18"/>
          <w:szCs w:val="20"/>
          <w:rtl/>
        </w:rPr>
        <w:t xml:space="preserve">, משתי סיבות עיקריות: האחת, מסיבות של נוחיות, בזכות היכרותו של אחד מכותבי המאמר עם המבנה של העיתון, עם עורכיו ועם סגנון העריכה ודרך קבלת ההחלטות בו. האחרת, משום שרוב מוחלט של שדרת התוכן בעיתון, החל בעורך הראשי, עבור </w:t>
      </w:r>
      <w:proofErr w:type="spellStart"/>
      <w:r w:rsidRPr="00EB3F46">
        <w:rPr>
          <w:rFonts w:ascii="Georgia" w:hAnsi="Georgia"/>
          <w:sz w:val="18"/>
          <w:szCs w:val="20"/>
          <w:rtl/>
        </w:rPr>
        <w:t>בסגנו</w:t>
      </w:r>
      <w:proofErr w:type="spellEnd"/>
      <w:r w:rsidRPr="00EB3F46">
        <w:rPr>
          <w:rFonts w:ascii="Georgia" w:hAnsi="Georgia"/>
          <w:sz w:val="18"/>
          <w:szCs w:val="20"/>
          <w:rtl/>
        </w:rPr>
        <w:t xml:space="preserve"> וכלה בעורכי העמודים והכתבים, מורכב מאנשים צעירים יחסית, בני 24</w:t>
      </w:r>
      <w:r w:rsidRPr="00EB3F46">
        <w:rPr>
          <w:rFonts w:ascii="Georgia" w:hAnsi="Georgia"/>
          <w:sz w:val="18"/>
          <w:szCs w:val="20"/>
          <w:shd w:val="clear" w:color="auto" w:fill="FFFFFF"/>
          <w:rtl/>
        </w:rPr>
        <w:t>–</w:t>
      </w:r>
      <w:r w:rsidRPr="00EB3F46">
        <w:rPr>
          <w:rFonts w:ascii="Georgia" w:hAnsi="Georgia"/>
          <w:sz w:val="18"/>
          <w:szCs w:val="20"/>
          <w:rtl/>
        </w:rPr>
        <w:t xml:space="preserve">45. להצטלבות של תפקידם של עובדי העיתון עם גילם הצעיר יש השפעה מודעת ולא מודעת על הכותרות, התמונות והנושאים שבחרו להבליט, והן משקפות את האופן שבו הם תופסים את בני הגיל </w:t>
      </w:r>
      <w:r w:rsidRPr="00EB3F46">
        <w:rPr>
          <w:rFonts w:ascii="Georgia" w:hAnsi="Georgia"/>
          <w:sz w:val="18"/>
          <w:szCs w:val="20"/>
          <w:rtl/>
        </w:rPr>
        <w:lastRenderedPageBreak/>
        <w:t>השלישי והמבוגרים, בדגש על תקופת הקורונה. כדי להעמיק את הבנתנו בדבר תפיסת עולמם זו של העורכים ערכנו שני ראיונות השלמה עם עורך לשעבר ב</w:t>
      </w:r>
      <w:r w:rsidRPr="00EB3F46">
        <w:rPr>
          <w:rFonts w:ascii="Georgia" w:hAnsi="Georgia"/>
          <w:b/>
          <w:bCs/>
          <w:sz w:val="18"/>
          <w:szCs w:val="20"/>
          <w:rtl/>
        </w:rPr>
        <w:t xml:space="preserve">ידיעות אחרונות </w:t>
      </w:r>
      <w:r w:rsidRPr="00EB3F46">
        <w:rPr>
          <w:rFonts w:ascii="Georgia" w:hAnsi="Georgia"/>
          <w:sz w:val="18"/>
          <w:szCs w:val="20"/>
          <w:rtl/>
        </w:rPr>
        <w:t xml:space="preserve">ועם עורך אחר העובד בעיתון </w:t>
      </w:r>
      <w:r w:rsidRPr="00EB3F46">
        <w:rPr>
          <w:rFonts w:ascii="Georgia" w:hAnsi="Georgia"/>
          <w:b/>
          <w:bCs/>
          <w:sz w:val="18"/>
          <w:szCs w:val="20"/>
          <w:rtl/>
        </w:rPr>
        <w:t>ישראל היום</w:t>
      </w:r>
      <w:r w:rsidRPr="00EB3F46">
        <w:rPr>
          <w:rFonts w:ascii="Georgia" w:hAnsi="Georgia"/>
          <w:sz w:val="18"/>
          <w:szCs w:val="20"/>
          <w:rtl/>
        </w:rPr>
        <w:t xml:space="preserve">. ריאיון נוסף נערך עם מנהל בדרג הביניים של משרד הבריאות. </w:t>
      </w:r>
    </w:p>
    <w:p w14:paraId="2AE65463" w14:textId="282750FC"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השאילתה חלה על ידיעות שפורסמו בין 1 בינואר 2020 לבין 30 במרץ 2021 – מתחילת התפשטות מגפת הקורונה ועד הגשת המאמר, וכללה את המילים הבאות והטיותיהן: "קשיש/ה/ים" (נמצאו 863 כתבות שכללו מילה זו), "מבוגר/ת/ים" (2579), "</w:t>
      </w:r>
      <w:proofErr w:type="spellStart"/>
      <w:r w:rsidRPr="00EB3F46">
        <w:rPr>
          <w:rFonts w:ascii="Georgia" w:hAnsi="Georgia"/>
          <w:sz w:val="18"/>
          <w:szCs w:val="20"/>
          <w:rtl/>
        </w:rPr>
        <w:t>זקנ</w:t>
      </w:r>
      <w:proofErr w:type="spellEnd"/>
      <w:r w:rsidRPr="00EB3F46">
        <w:rPr>
          <w:rFonts w:ascii="Georgia" w:hAnsi="Georgia"/>
          <w:sz w:val="18"/>
          <w:szCs w:val="20"/>
          <w:rtl/>
        </w:rPr>
        <w:t xml:space="preserve">/ה/ים",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(1122), ו"אזרח/ים ותיק/ים" (88). בשל השימוש הנרחב בעיקר במילים "זקן" ו"מבוגר" גם למשמעויות אחרות (למשל, "זקן" כשיער פנים או כשם משפחה, ו"מבוגר" כאדם לא צעיר שאינו בהכרח זקן, וכן למוצרים), ועקב חזרות של מילים שונות באותן כתבות, ביצענו מיפוי וניפוי כדי להשיג תמונה מדויקת ככל האפשר של הנתונים וניתוחם. </w:t>
      </w:r>
    </w:p>
    <w:p w14:paraId="614025CA"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בניתוח הכותרות והתמונות, ומהראיונות עם העורכים, עלו שלוש תמות עיקריות, ובהן התמקדנו במחקר זה: </w:t>
      </w:r>
      <w:bookmarkStart w:id="1" w:name="_Hlk62688522"/>
    </w:p>
    <w:bookmarkEnd w:id="1"/>
    <w:p w14:paraId="74F6AFB0"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b/>
          <w:bCs/>
          <w:sz w:val="18"/>
          <w:szCs w:val="20"/>
          <w:rtl/>
        </w:rPr>
        <w:t>הקול:</w:t>
      </w:r>
      <w:r w:rsidRPr="00EB3F46">
        <w:rPr>
          <w:rFonts w:ascii="Georgia" w:hAnsi="Georgia"/>
          <w:sz w:val="18"/>
          <w:szCs w:val="20"/>
          <w:rtl/>
        </w:rPr>
        <w:t xml:space="preserve"> היות שמגפת הקורונה הציבה את הזקנים במוקד הסכנה, ביקשנו לבחון אם ומתי נשמע קולו של הזקן, ומתי מישהו אחר מדבר בשמו. כלומר, האם המבוגרים עצמם הם הדוברים כמרואיינים, או שמא אחרים מדברים בשמם? בניתוח התייחסנו גם למסר העולה מהקול שהובלט בכותרות. </w:t>
      </w:r>
    </w:p>
    <w:p w14:paraId="36BEF610"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b/>
          <w:bCs/>
          <w:sz w:val="18"/>
          <w:szCs w:val="20"/>
          <w:rtl/>
        </w:rPr>
        <w:t>התמונה:</w:t>
      </w:r>
      <w:r w:rsidRPr="00EB3F46">
        <w:rPr>
          <w:rFonts w:ascii="Georgia" w:hAnsi="Georgia"/>
          <w:sz w:val="18"/>
          <w:szCs w:val="20"/>
          <w:rtl/>
        </w:rPr>
        <w:t xml:space="preserve"> דקל (2020) קובעת בספרה כי מופעים של </w:t>
      </w:r>
      <w:proofErr w:type="spellStart"/>
      <w:r w:rsidRPr="00EB3F46">
        <w:rPr>
          <w:rFonts w:ascii="Georgia" w:hAnsi="Georgia"/>
          <w:sz w:val="18"/>
          <w:szCs w:val="20"/>
          <w:rtl/>
        </w:rPr>
        <w:t>גילנות</w:t>
      </w:r>
      <w:proofErr w:type="spellEnd"/>
      <w:r w:rsidRPr="00EB3F46">
        <w:rPr>
          <w:rFonts w:ascii="Georgia" w:hAnsi="Georgia"/>
          <w:sz w:val="18"/>
          <w:szCs w:val="20"/>
          <w:rtl/>
        </w:rPr>
        <w:t xml:space="preserve"> קיימים כמעט בכל תחום של חיינו. התופעה ניכרת בייחוד בתחום התרבות הוויזואלית, לרבות תת-ייצוג עקבי של קשישים בתקשורת (דקל, 2020, עמ' 28</w:t>
      </w:r>
      <w:r w:rsidRPr="00EB3F46">
        <w:rPr>
          <w:rFonts w:ascii="Georgia" w:hAnsi="Georgia"/>
          <w:sz w:val="18"/>
          <w:szCs w:val="20"/>
          <w:shd w:val="clear" w:color="auto" w:fill="FFFFFF"/>
          <w:rtl/>
        </w:rPr>
        <w:t>–29</w:t>
      </w:r>
      <w:r w:rsidRPr="00EB3F46">
        <w:rPr>
          <w:rFonts w:ascii="Georgia" w:hAnsi="Georgia"/>
          <w:sz w:val="18"/>
          <w:szCs w:val="20"/>
          <w:rtl/>
        </w:rPr>
        <w:t xml:space="preserve">). התמונה המוצבת לצד הכותרת מייצרת נרטיב המעצב את דמותו החברתית של הזקן. ביקשנו אפוא לפענח איזה דימוי מייצרת התמונה. </w:t>
      </w:r>
    </w:p>
    <w:p w14:paraId="56F298DB" w14:textId="075AAAC4" w:rsidR="00EB3F46" w:rsidRPr="00EB3F46" w:rsidRDefault="00EB3F46" w:rsidP="00EB3F46">
      <w:pPr>
        <w:shd w:val="clear" w:color="auto" w:fill="FFFFFF"/>
        <w:spacing w:after="180" w:line="280" w:lineRule="exact"/>
        <w:jc w:val="both"/>
        <w:rPr>
          <w:rFonts w:ascii="Georgia" w:hAnsi="Georgia"/>
          <w:sz w:val="18"/>
          <w:szCs w:val="20"/>
          <w:rtl/>
        </w:rPr>
      </w:pPr>
      <w:r w:rsidRPr="00EB3F46">
        <w:rPr>
          <w:rFonts w:ascii="Georgia" w:hAnsi="Georgia"/>
          <w:b/>
          <w:bCs/>
          <w:sz w:val="18"/>
          <w:szCs w:val="20"/>
          <w:rtl/>
        </w:rPr>
        <w:t>המסר (התוכן הכללי של הכתבה):</w:t>
      </w:r>
      <w:r w:rsidRPr="00EB3F46">
        <w:rPr>
          <w:rFonts w:ascii="Georgia" w:hAnsi="Georgia"/>
          <w:sz w:val="18"/>
          <w:szCs w:val="20"/>
          <w:rtl/>
        </w:rPr>
        <w:t xml:space="preserve"> באמצעות הכתבות ביקשנו לנתח כיצד בחירת העורכים משקפת את תפיסתם את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ולאילו כללי שיח הם נענים. בהקשר זה חשוב לציין כי בניתוח תקשורת קיימת מלכתחילה הטיה בסיסית: רוב הידיעות בעמודי החדשות הן שליליות; התקשורת כמעט שאינה מדווחת על נושאים "חיוביים", </w:t>
      </w:r>
      <w:r w:rsidR="00307EFC">
        <w:rPr>
          <w:rFonts w:ascii="Georgia" w:hAnsi="Georgia" w:hint="cs"/>
          <w:sz w:val="18"/>
          <w:szCs w:val="20"/>
          <w:rtl/>
        </w:rPr>
        <w:t>כ</w:t>
      </w:r>
      <w:r w:rsidRPr="00E45C86">
        <w:rPr>
          <w:rFonts w:ascii="Georgia" w:hAnsi="Georgia" w:hint="eastAsia"/>
          <w:sz w:val="18"/>
          <w:szCs w:val="20"/>
          <w:rtl/>
        </w:rPr>
        <w:t>חלק</w:t>
      </w:r>
      <w:r w:rsidRPr="00E45C86">
        <w:rPr>
          <w:rFonts w:ascii="Georgia" w:hAnsi="Georgia"/>
          <w:sz w:val="18"/>
          <w:szCs w:val="20"/>
          <w:rtl/>
        </w:rPr>
        <w:t xml:space="preserve"> </w:t>
      </w:r>
      <w:r w:rsidRPr="00E45C86">
        <w:rPr>
          <w:rFonts w:ascii="Georgia" w:hAnsi="Georgia" w:hint="eastAsia"/>
          <w:sz w:val="18"/>
          <w:szCs w:val="20"/>
          <w:rtl/>
        </w:rPr>
        <w:t>מתפיסתם</w:t>
      </w:r>
      <w:r w:rsidRPr="00E45C86">
        <w:rPr>
          <w:rFonts w:ascii="Georgia" w:hAnsi="Georgia"/>
          <w:sz w:val="18"/>
          <w:szCs w:val="20"/>
          <w:rtl/>
        </w:rPr>
        <w:t xml:space="preserve"> </w:t>
      </w:r>
      <w:r w:rsidRPr="00E45C86">
        <w:rPr>
          <w:rFonts w:ascii="Georgia" w:hAnsi="Georgia" w:hint="eastAsia"/>
          <w:sz w:val="18"/>
          <w:szCs w:val="20"/>
          <w:rtl/>
        </w:rPr>
        <w:t>העצמית</w:t>
      </w:r>
      <w:r w:rsidRPr="00E45C86">
        <w:rPr>
          <w:rFonts w:ascii="Georgia" w:hAnsi="Georgia"/>
          <w:sz w:val="18"/>
          <w:szCs w:val="20"/>
          <w:rtl/>
        </w:rPr>
        <w:t xml:space="preserve"> </w:t>
      </w:r>
      <w:r w:rsidRPr="00E45C86">
        <w:rPr>
          <w:rFonts w:ascii="Georgia" w:hAnsi="Georgia" w:hint="eastAsia"/>
          <w:sz w:val="18"/>
          <w:szCs w:val="20"/>
          <w:rtl/>
        </w:rPr>
        <w:t>של</w:t>
      </w:r>
      <w:r w:rsidRPr="00E45C86">
        <w:rPr>
          <w:rFonts w:ascii="Georgia" w:hAnsi="Georgia"/>
          <w:sz w:val="18"/>
          <w:szCs w:val="20"/>
          <w:rtl/>
        </w:rPr>
        <w:t xml:space="preserve"> </w:t>
      </w:r>
      <w:r w:rsidRPr="00E45C86">
        <w:rPr>
          <w:rFonts w:ascii="Georgia" w:hAnsi="Georgia" w:hint="eastAsia"/>
          <w:sz w:val="18"/>
          <w:szCs w:val="20"/>
          <w:rtl/>
        </w:rPr>
        <w:t>העוסקים</w:t>
      </w:r>
      <w:r w:rsidRPr="00E45C86">
        <w:rPr>
          <w:rFonts w:ascii="Georgia" w:hAnsi="Georgia"/>
          <w:sz w:val="18"/>
          <w:szCs w:val="20"/>
          <w:rtl/>
        </w:rPr>
        <w:t xml:space="preserve"> </w:t>
      </w:r>
      <w:r w:rsidRPr="00E45C86">
        <w:rPr>
          <w:rFonts w:ascii="Georgia" w:hAnsi="Georgia" w:hint="eastAsia"/>
          <w:sz w:val="18"/>
          <w:szCs w:val="20"/>
          <w:rtl/>
        </w:rPr>
        <w:t>בה</w:t>
      </w:r>
      <w:r w:rsidRPr="00E45C86">
        <w:rPr>
          <w:rFonts w:ascii="Georgia" w:hAnsi="Georgia"/>
          <w:sz w:val="18"/>
          <w:szCs w:val="20"/>
          <w:rtl/>
        </w:rPr>
        <w:t xml:space="preserve"> </w:t>
      </w:r>
      <w:r w:rsidRPr="00E45C86">
        <w:rPr>
          <w:rFonts w:ascii="Georgia" w:hAnsi="Georgia" w:hint="eastAsia"/>
          <w:sz w:val="18"/>
          <w:szCs w:val="20"/>
          <w:rtl/>
        </w:rPr>
        <w:t>כמי</w:t>
      </w:r>
      <w:r w:rsidRPr="00E45C86">
        <w:rPr>
          <w:rFonts w:ascii="Georgia" w:hAnsi="Georgia"/>
          <w:sz w:val="18"/>
          <w:szCs w:val="20"/>
          <w:rtl/>
        </w:rPr>
        <w:t xml:space="preserve"> </w:t>
      </w:r>
      <w:r w:rsidRPr="00E45C86">
        <w:rPr>
          <w:rFonts w:ascii="Georgia" w:hAnsi="Georgia" w:hint="eastAsia"/>
          <w:sz w:val="18"/>
          <w:szCs w:val="20"/>
          <w:rtl/>
        </w:rPr>
        <w:t>ששואפים</w:t>
      </w:r>
      <w:r w:rsidRPr="00EB3F46" w:rsidDel="00E47979">
        <w:rPr>
          <w:rFonts w:ascii="Georgia" w:hAnsi="Georgia"/>
          <w:sz w:val="18"/>
          <w:szCs w:val="20"/>
          <w:rtl/>
        </w:rPr>
        <w:t xml:space="preserve"> </w:t>
      </w:r>
      <w:r w:rsidRPr="00EB3F46">
        <w:rPr>
          <w:rFonts w:ascii="Georgia" w:hAnsi="Georgia"/>
          <w:sz w:val="18"/>
          <w:szCs w:val="20"/>
          <w:rtl/>
        </w:rPr>
        <w:t xml:space="preserve">לתיקון באמצעות הצפת עוולות. כדי להתגבר על משוכה זו ניתחנו את היחס </w:t>
      </w:r>
      <w:proofErr w:type="spellStart"/>
      <w:r w:rsidRPr="00EB3F46">
        <w:rPr>
          <w:rFonts w:ascii="Georgia" w:hAnsi="Georgia"/>
          <w:sz w:val="18"/>
          <w:szCs w:val="20"/>
          <w:rtl/>
        </w:rPr>
        <w:t>לזיקנה</w:t>
      </w:r>
      <w:proofErr w:type="spellEnd"/>
      <w:r w:rsidRPr="00EB3F46">
        <w:rPr>
          <w:rFonts w:ascii="Georgia" w:hAnsi="Georgia"/>
          <w:sz w:val="18"/>
          <w:szCs w:val="20"/>
          <w:rtl/>
        </w:rPr>
        <w:t xml:space="preserve"> עצמה, ולא לנושאי הידיעות. כלומר לא התייחסנו לשאלה אם נושא הכתבות היה שלילי או חיובי, אלא לאופן שבו הוצגו בהן האזרחים הוותיקים.</w:t>
      </w:r>
    </w:p>
    <w:p w14:paraId="33DEE99E" w14:textId="77777777" w:rsidR="00EB3F46" w:rsidRPr="00EB3F46" w:rsidRDefault="00EB3F46" w:rsidP="00EB3F46">
      <w:pPr>
        <w:spacing w:after="180" w:line="280" w:lineRule="exact"/>
        <w:jc w:val="both"/>
        <w:rPr>
          <w:rFonts w:ascii="Georgia" w:hAnsi="Georgia"/>
          <w:b/>
          <w:bCs/>
          <w:sz w:val="18"/>
          <w:szCs w:val="20"/>
          <w:rtl/>
        </w:rPr>
      </w:pPr>
    </w:p>
    <w:p w14:paraId="09B526FF" w14:textId="39BD246A" w:rsidR="00EB3F46" w:rsidRPr="00DD36D3" w:rsidRDefault="00EB3F46" w:rsidP="00DD36D3">
      <w:pPr>
        <w:pStyle w:val="KOT4"/>
        <w:spacing w:after="0"/>
        <w:ind w:left="397" w:right="0" w:hanging="397"/>
        <w:rPr>
          <w:rFonts w:cs="Guttman Aharoni"/>
          <w:color w:val="2A8E8C"/>
          <w:sz w:val="32"/>
          <w:szCs w:val="32"/>
          <w:rtl/>
        </w:rPr>
      </w:pPr>
      <w:r w:rsidRPr="00DD36D3">
        <w:rPr>
          <w:rFonts w:cs="Guttman Aharoni"/>
          <w:color w:val="2A8E8C"/>
          <w:sz w:val="32"/>
          <w:szCs w:val="32"/>
          <w:rtl/>
        </w:rPr>
        <w:lastRenderedPageBreak/>
        <w:t>ממצאים</w:t>
      </w:r>
    </w:p>
    <w:p w14:paraId="0F165538" w14:textId="77777777" w:rsidR="008A3897" w:rsidRPr="00A20B01" w:rsidRDefault="008A3897" w:rsidP="008A3897">
      <w:pPr>
        <w:keepNext/>
        <w:keepLines/>
        <w:spacing w:after="180" w:line="280" w:lineRule="exact"/>
        <w:jc w:val="both"/>
        <w:rPr>
          <w:rFonts w:ascii="Georgia" w:hAnsi="Georgia"/>
          <w:color w:val="000000"/>
          <w:sz w:val="18"/>
          <w:szCs w:val="20"/>
          <w:shd w:val="clear" w:color="auto" w:fill="FFFFFF"/>
          <w:rtl/>
        </w:rPr>
      </w:pPr>
    </w:p>
    <w:p w14:paraId="05A5BAE4" w14:textId="08946F65"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 xml:space="preserve">מסרים שליליים גלויים וסמויים </w:t>
      </w:r>
    </w:p>
    <w:p w14:paraId="41FF5D6C" w14:textId="3C55E52A"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בחירת מילות המפתח לחיפוש </w:t>
      </w:r>
      <w:proofErr w:type="spellStart"/>
      <w:r w:rsidRPr="00EB3F46">
        <w:rPr>
          <w:rFonts w:ascii="Georgia" w:hAnsi="Georgia"/>
          <w:sz w:val="18"/>
          <w:szCs w:val="20"/>
          <w:rtl/>
        </w:rPr>
        <w:t>היתה</w:t>
      </w:r>
      <w:proofErr w:type="spellEnd"/>
      <w:r w:rsidRPr="00EB3F46">
        <w:rPr>
          <w:rFonts w:ascii="Georgia" w:hAnsi="Georgia"/>
          <w:sz w:val="18"/>
          <w:szCs w:val="20"/>
          <w:rtl/>
        </w:rPr>
        <w:t xml:space="preserve"> אינטואיטיבית, וניסתה לכלול את מנעד השפה השגורה בדיבור ובכתיבה. אולם לאורך הניתוח התברר לנו כי המנעד אינו מקרי. משמעותן התקשורתית של המילים "קשיש" או "זקן" היא כמעט תמיד שלילית, ומיועדת לסיקור אירועים טראגיים, לחשיפת נתונים בעייתיים, להצגת עוולות ולניסיון לייצר תחושת רחמים וזעזוע בקרב הקוראים. אשר למילה "מבוגר/ת", המשמעות התקשורתית מעט פחות שלילית. בתקופה האמורה </w:t>
      </w:r>
      <w:r w:rsidR="006906CB">
        <w:rPr>
          <w:rFonts w:ascii="Georgia" w:hAnsi="Georgia" w:hint="cs"/>
          <w:sz w:val="18"/>
          <w:szCs w:val="20"/>
          <w:rtl/>
        </w:rPr>
        <w:t xml:space="preserve">היא </w:t>
      </w:r>
      <w:r w:rsidRPr="00EB3F46">
        <w:rPr>
          <w:rFonts w:ascii="Georgia" w:hAnsi="Georgia"/>
          <w:sz w:val="18"/>
          <w:szCs w:val="20"/>
          <w:rtl/>
        </w:rPr>
        <w:t xml:space="preserve">נקשרה לביטוי ניטרלי ואף חיובי, יותר מכל מילה אחרת המבטאת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בביטוי "אזרח/ים ותיק/ים" על הטיותיו נעשה שימוש מועט יחסית. הוא הופיע בעיקר בפרסומים רשמיים של המדינה, בכתבות יחסי ציבור מטעם ארגונים, ובמקצת המקרים </w:t>
      </w:r>
      <w:r w:rsidRPr="00EB3F46">
        <w:rPr>
          <w:rFonts w:ascii="Georgia" w:hAnsi="Georgia"/>
          <w:sz w:val="18"/>
          <w:szCs w:val="20"/>
          <w:shd w:val="clear" w:color="auto" w:fill="FFFFFF"/>
          <w:rtl/>
        </w:rPr>
        <w:t>–</w:t>
      </w:r>
      <w:r w:rsidRPr="00EB3F46">
        <w:rPr>
          <w:rFonts w:ascii="Georgia" w:hAnsi="Georgia"/>
          <w:sz w:val="18"/>
          <w:szCs w:val="20"/>
          <w:rtl/>
        </w:rPr>
        <w:t xml:space="preserve"> לצורך גיוון והימנעות מחזרה על אותה מילה. את האזכורים חילקנו לשלוש קטגוריות: "טעון רגש שלילי", "טעון רגש חיובי", ו"טעון רגש ניטרלי" – אם כי, כפי שיתברר, הקטגוריה השלישית כוללת גם אזכורים שהם חיוביים, לכאורה, אך טמון בהם מסר סמוי שלילי. </w:t>
      </w:r>
    </w:p>
    <w:p w14:paraId="7CAFD298" w14:textId="77777777" w:rsidR="00EB3F46" w:rsidRPr="008A3897" w:rsidRDefault="00EB3F46" w:rsidP="008A3897">
      <w:pPr>
        <w:pStyle w:val="tab-name"/>
        <w:spacing w:before="300" w:line="260" w:lineRule="exact"/>
        <w:ind w:right="0"/>
        <w:rPr>
          <w:rFonts w:cs="Guttman Aharoni"/>
          <w:color w:val="BA2A16"/>
          <w:sz w:val="20"/>
          <w:szCs w:val="20"/>
          <w:rtl/>
        </w:rPr>
      </w:pPr>
      <w:r w:rsidRPr="008A3897">
        <w:rPr>
          <w:rFonts w:cs="Guttman Aharoni"/>
          <w:color w:val="BA2A16"/>
          <w:sz w:val="20"/>
          <w:szCs w:val="20"/>
          <w:rtl/>
        </w:rPr>
        <w:t>לוח 1: האזכורים השונים בעיתונים, לפי סוג המסר</w:t>
      </w:r>
    </w:p>
    <w:tbl>
      <w:tblPr>
        <w:bidiVisual/>
        <w:tblW w:w="0" w:type="auto"/>
        <w:tblBorders>
          <w:top w:val="single" w:sz="12" w:space="0" w:color="000000"/>
          <w:bottom w:val="single" w:sz="12" w:space="0" w:color="000000"/>
        </w:tblBorders>
        <w:tblLook w:val="04A0" w:firstRow="1" w:lastRow="0" w:firstColumn="1" w:lastColumn="0" w:noHBand="0" w:noVBand="1"/>
      </w:tblPr>
      <w:tblGrid>
        <w:gridCol w:w="1377"/>
        <w:gridCol w:w="1601"/>
        <w:gridCol w:w="934"/>
        <w:gridCol w:w="1312"/>
        <w:gridCol w:w="884"/>
      </w:tblGrid>
      <w:tr w:rsidR="008A3897" w:rsidRPr="00EB3F46" w14:paraId="148E7F90" w14:textId="77777777" w:rsidTr="008A3897">
        <w:trPr>
          <w:tblHeader/>
        </w:trPr>
        <w:tc>
          <w:tcPr>
            <w:tcW w:w="0" w:type="auto"/>
            <w:tcBorders>
              <w:top w:val="single" w:sz="8" w:space="0" w:color="000000"/>
              <w:left w:val="single" w:sz="8" w:space="0" w:color="000000"/>
              <w:bottom w:val="single" w:sz="8" w:space="0" w:color="000000"/>
              <w:right w:val="single" w:sz="4" w:space="0" w:color="000000"/>
            </w:tcBorders>
            <w:shd w:val="clear" w:color="auto" w:fill="auto"/>
            <w:vAlign w:val="bottom"/>
          </w:tcPr>
          <w:p w14:paraId="002F13AC" w14:textId="77777777" w:rsidR="00EB3F46" w:rsidRPr="008A3897" w:rsidRDefault="00EB3F46" w:rsidP="008A3897">
            <w:pPr>
              <w:spacing w:before="60" w:after="60" w:line="220" w:lineRule="exact"/>
              <w:rPr>
                <w:rFonts w:ascii="Georgia" w:eastAsia="Calibri" w:hAnsi="Georgia"/>
                <w:b/>
                <w:bCs/>
                <w:sz w:val="16"/>
                <w:szCs w:val="18"/>
                <w:rtl/>
              </w:rPr>
            </w:pPr>
            <w:bookmarkStart w:id="2" w:name="_Hlk95822180"/>
            <w:r w:rsidRPr="008A3897">
              <w:rPr>
                <w:rFonts w:ascii="Georgia" w:eastAsia="Calibri" w:hAnsi="Georgia"/>
                <w:b/>
                <w:bCs/>
                <w:sz w:val="16"/>
                <w:szCs w:val="18"/>
                <w:rtl/>
              </w:rPr>
              <w:t>מילה</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bottom"/>
          </w:tcPr>
          <w:p w14:paraId="29126A1A" w14:textId="4261B9B0" w:rsidR="00EB3F46" w:rsidRPr="008A3897" w:rsidRDefault="00EB3F46" w:rsidP="008A3897">
            <w:pPr>
              <w:spacing w:before="60" w:after="60" w:line="220" w:lineRule="exact"/>
              <w:rPr>
                <w:rFonts w:ascii="Georgia" w:eastAsia="Calibri" w:hAnsi="Georgia"/>
                <w:b/>
                <w:bCs/>
                <w:sz w:val="16"/>
                <w:szCs w:val="18"/>
                <w:rtl/>
              </w:rPr>
            </w:pPr>
            <w:r w:rsidRPr="008A3897">
              <w:rPr>
                <w:rFonts w:ascii="Georgia" w:eastAsia="Calibri" w:hAnsi="Georgia"/>
                <w:b/>
                <w:bCs/>
                <w:sz w:val="16"/>
                <w:szCs w:val="18"/>
                <w:rtl/>
              </w:rPr>
              <w:t xml:space="preserve">מס' אזכורים רלוונטי </w:t>
            </w:r>
            <w:r w:rsidR="008A3897">
              <w:rPr>
                <w:rFonts w:ascii="Georgia" w:eastAsia="Calibri" w:hAnsi="Georgia"/>
                <w:b/>
                <w:bCs/>
                <w:sz w:val="16"/>
                <w:szCs w:val="18"/>
                <w:rtl/>
              </w:rPr>
              <w:br/>
            </w:r>
            <w:r w:rsidRPr="008A3897">
              <w:rPr>
                <w:rFonts w:ascii="Georgia" w:eastAsia="Calibri" w:hAnsi="Georgia"/>
                <w:b/>
                <w:bCs/>
                <w:sz w:val="16"/>
                <w:szCs w:val="18"/>
                <w:rtl/>
              </w:rPr>
              <w:t>לאחר ניפוי</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bottom"/>
          </w:tcPr>
          <w:p w14:paraId="427D3F43" w14:textId="77777777" w:rsidR="00EB3F46" w:rsidRPr="008A3897" w:rsidRDefault="00EB3F46" w:rsidP="008A3897">
            <w:pPr>
              <w:spacing w:before="60" w:after="60" w:line="220" w:lineRule="exact"/>
              <w:rPr>
                <w:rFonts w:ascii="Georgia" w:eastAsia="Calibri" w:hAnsi="Georgia"/>
                <w:b/>
                <w:bCs/>
                <w:sz w:val="16"/>
                <w:szCs w:val="18"/>
                <w:rtl/>
              </w:rPr>
            </w:pPr>
            <w:r w:rsidRPr="008A3897">
              <w:rPr>
                <w:rFonts w:ascii="Georgia" w:eastAsia="Calibri" w:hAnsi="Georgia"/>
                <w:b/>
                <w:bCs/>
                <w:sz w:val="16"/>
                <w:szCs w:val="18"/>
                <w:rtl/>
              </w:rPr>
              <w:t>רגש שלילי</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bottom"/>
          </w:tcPr>
          <w:p w14:paraId="59F0D111" w14:textId="2C39D9B5" w:rsidR="00EB3F46" w:rsidRPr="008A3897" w:rsidRDefault="00EB3F46" w:rsidP="008A3897">
            <w:pPr>
              <w:spacing w:before="60" w:after="60" w:line="220" w:lineRule="exact"/>
              <w:rPr>
                <w:rFonts w:ascii="Georgia" w:eastAsia="Calibri" w:hAnsi="Georgia"/>
                <w:b/>
                <w:bCs/>
                <w:sz w:val="16"/>
                <w:szCs w:val="18"/>
                <w:rtl/>
              </w:rPr>
            </w:pPr>
            <w:r w:rsidRPr="008A3897">
              <w:rPr>
                <w:rFonts w:ascii="Georgia" w:eastAsia="Calibri" w:hAnsi="Georgia"/>
                <w:b/>
                <w:bCs/>
                <w:sz w:val="16"/>
                <w:szCs w:val="18"/>
                <w:rtl/>
              </w:rPr>
              <w:t xml:space="preserve">רגש ניטרלי/ </w:t>
            </w:r>
            <w:r w:rsidR="008A3897">
              <w:rPr>
                <w:rFonts w:ascii="Georgia" w:eastAsia="Calibri" w:hAnsi="Georgia"/>
                <w:b/>
                <w:bCs/>
                <w:sz w:val="16"/>
                <w:szCs w:val="18"/>
                <w:rtl/>
              </w:rPr>
              <w:br/>
            </w:r>
            <w:r w:rsidRPr="008A3897">
              <w:rPr>
                <w:rFonts w:ascii="Georgia" w:eastAsia="Calibri" w:hAnsi="Georgia"/>
                <w:b/>
                <w:bCs/>
                <w:sz w:val="16"/>
                <w:szCs w:val="18"/>
                <w:rtl/>
              </w:rPr>
              <w:t>"</w:t>
            </w:r>
            <w:proofErr w:type="spellStart"/>
            <w:r w:rsidRPr="008A3897">
              <w:rPr>
                <w:rFonts w:ascii="Georgia" w:eastAsia="Calibri" w:hAnsi="Georgia"/>
                <w:b/>
                <w:bCs/>
                <w:sz w:val="16"/>
                <w:szCs w:val="18"/>
                <w:rtl/>
              </w:rPr>
              <w:t>גילנות</w:t>
            </w:r>
            <w:proofErr w:type="spellEnd"/>
            <w:r w:rsidRPr="008A3897">
              <w:rPr>
                <w:rFonts w:ascii="Georgia" w:eastAsia="Calibri" w:hAnsi="Georgia"/>
                <w:b/>
                <w:bCs/>
                <w:sz w:val="16"/>
                <w:szCs w:val="18"/>
                <w:rtl/>
              </w:rPr>
              <w:t xml:space="preserve"> חיובית"</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bottom"/>
          </w:tcPr>
          <w:p w14:paraId="06917051" w14:textId="77777777" w:rsidR="00EB3F46" w:rsidRPr="008A3897" w:rsidRDefault="00EB3F46" w:rsidP="008A3897">
            <w:pPr>
              <w:spacing w:before="60" w:after="60" w:line="220" w:lineRule="exact"/>
              <w:rPr>
                <w:rFonts w:ascii="Georgia" w:eastAsia="Calibri" w:hAnsi="Georgia"/>
                <w:b/>
                <w:bCs/>
                <w:sz w:val="16"/>
                <w:szCs w:val="18"/>
                <w:rtl/>
              </w:rPr>
            </w:pPr>
            <w:r w:rsidRPr="008A3897">
              <w:rPr>
                <w:rFonts w:ascii="Georgia" w:eastAsia="Calibri" w:hAnsi="Georgia"/>
                <w:b/>
                <w:bCs/>
                <w:sz w:val="16"/>
                <w:szCs w:val="18"/>
                <w:rtl/>
              </w:rPr>
              <w:t>רגש חיובי</w:t>
            </w:r>
          </w:p>
        </w:tc>
      </w:tr>
      <w:tr w:rsidR="008A3897" w:rsidRPr="00EB3F46" w14:paraId="076B55AC" w14:textId="77777777" w:rsidTr="008A3897">
        <w:tc>
          <w:tcPr>
            <w:tcW w:w="0" w:type="auto"/>
            <w:tcBorders>
              <w:top w:val="single" w:sz="8" w:space="0" w:color="000000"/>
              <w:left w:val="single" w:sz="8" w:space="0" w:color="000000"/>
              <w:right w:val="single" w:sz="4" w:space="0" w:color="000000"/>
            </w:tcBorders>
            <w:shd w:val="clear" w:color="auto" w:fill="auto"/>
          </w:tcPr>
          <w:p w14:paraId="39C06A44" w14:textId="77777777" w:rsidR="00EB3F46" w:rsidRPr="008A3897" w:rsidRDefault="00EB3F46" w:rsidP="008A3897">
            <w:pPr>
              <w:spacing w:before="60" w:after="60" w:line="220" w:lineRule="exact"/>
              <w:jc w:val="both"/>
              <w:rPr>
                <w:rFonts w:ascii="Georgia" w:eastAsia="Calibri" w:hAnsi="Georgia"/>
                <w:sz w:val="16"/>
                <w:szCs w:val="18"/>
                <w:rtl/>
                <w:lang w:val="en-GB"/>
              </w:rPr>
            </w:pPr>
            <w:r w:rsidRPr="008A3897">
              <w:rPr>
                <w:rFonts w:ascii="Georgia" w:eastAsia="Calibri" w:hAnsi="Georgia"/>
                <w:sz w:val="16"/>
                <w:szCs w:val="18"/>
                <w:rtl/>
                <w:lang w:val="en-GB"/>
              </w:rPr>
              <w:t>קשיש/ה/ים</w:t>
            </w:r>
          </w:p>
        </w:tc>
        <w:tc>
          <w:tcPr>
            <w:tcW w:w="0" w:type="auto"/>
            <w:tcBorders>
              <w:top w:val="single" w:sz="8" w:space="0" w:color="000000"/>
              <w:left w:val="single" w:sz="4" w:space="0" w:color="000000"/>
              <w:right w:val="single" w:sz="4" w:space="0" w:color="000000"/>
            </w:tcBorders>
            <w:shd w:val="clear" w:color="auto" w:fill="auto"/>
          </w:tcPr>
          <w:p w14:paraId="25B979F6"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601</w:t>
            </w:r>
          </w:p>
        </w:tc>
        <w:tc>
          <w:tcPr>
            <w:tcW w:w="0" w:type="auto"/>
            <w:tcBorders>
              <w:top w:val="single" w:sz="8" w:space="0" w:color="000000"/>
              <w:left w:val="single" w:sz="4" w:space="0" w:color="000000"/>
              <w:right w:val="single" w:sz="4" w:space="0" w:color="000000"/>
            </w:tcBorders>
            <w:shd w:val="clear" w:color="auto" w:fill="auto"/>
          </w:tcPr>
          <w:p w14:paraId="5788A23D"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567</w:t>
            </w:r>
          </w:p>
        </w:tc>
        <w:tc>
          <w:tcPr>
            <w:tcW w:w="0" w:type="auto"/>
            <w:tcBorders>
              <w:top w:val="single" w:sz="8" w:space="0" w:color="000000"/>
              <w:left w:val="single" w:sz="4" w:space="0" w:color="000000"/>
              <w:right w:val="single" w:sz="4" w:space="0" w:color="000000"/>
            </w:tcBorders>
            <w:shd w:val="clear" w:color="auto" w:fill="auto"/>
          </w:tcPr>
          <w:p w14:paraId="2FC4F021"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32</w:t>
            </w:r>
          </w:p>
        </w:tc>
        <w:tc>
          <w:tcPr>
            <w:tcW w:w="0" w:type="auto"/>
            <w:tcBorders>
              <w:top w:val="single" w:sz="8" w:space="0" w:color="000000"/>
              <w:left w:val="single" w:sz="4" w:space="0" w:color="000000"/>
              <w:right w:val="single" w:sz="8" w:space="0" w:color="000000"/>
            </w:tcBorders>
            <w:shd w:val="clear" w:color="auto" w:fill="auto"/>
          </w:tcPr>
          <w:p w14:paraId="313CE008"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2</w:t>
            </w:r>
          </w:p>
        </w:tc>
      </w:tr>
      <w:tr w:rsidR="008A3897" w:rsidRPr="00EB3F46" w14:paraId="4BEFA753" w14:textId="77777777" w:rsidTr="008A3897">
        <w:tc>
          <w:tcPr>
            <w:tcW w:w="0" w:type="auto"/>
            <w:tcBorders>
              <w:left w:val="single" w:sz="8" w:space="0" w:color="000000"/>
              <w:right w:val="single" w:sz="4" w:space="0" w:color="000000"/>
            </w:tcBorders>
            <w:shd w:val="clear" w:color="auto" w:fill="auto"/>
          </w:tcPr>
          <w:p w14:paraId="3BC254E4" w14:textId="77777777" w:rsidR="00EB3F46" w:rsidRPr="008A3897" w:rsidRDefault="00EB3F46" w:rsidP="008A3897">
            <w:pPr>
              <w:spacing w:before="60" w:after="60" w:line="220" w:lineRule="exact"/>
              <w:jc w:val="both"/>
              <w:rPr>
                <w:rFonts w:ascii="Georgia" w:eastAsia="Calibri" w:hAnsi="Georgia"/>
                <w:sz w:val="16"/>
                <w:szCs w:val="18"/>
                <w:rtl/>
                <w:lang w:val="en-GB"/>
              </w:rPr>
            </w:pPr>
            <w:proofErr w:type="spellStart"/>
            <w:r w:rsidRPr="008A3897">
              <w:rPr>
                <w:rFonts w:ascii="Georgia" w:eastAsia="Calibri" w:hAnsi="Georgia"/>
                <w:sz w:val="16"/>
                <w:szCs w:val="18"/>
                <w:rtl/>
                <w:lang w:val="en-GB"/>
              </w:rPr>
              <w:t>זקנ</w:t>
            </w:r>
            <w:proofErr w:type="spellEnd"/>
            <w:r w:rsidRPr="008A3897">
              <w:rPr>
                <w:rFonts w:ascii="Georgia" w:eastAsia="Calibri" w:hAnsi="Georgia"/>
                <w:sz w:val="16"/>
                <w:szCs w:val="18"/>
                <w:rtl/>
                <w:lang w:val="en-GB"/>
              </w:rPr>
              <w:t>/ה/ים</w:t>
            </w:r>
          </w:p>
        </w:tc>
        <w:tc>
          <w:tcPr>
            <w:tcW w:w="0" w:type="auto"/>
            <w:tcBorders>
              <w:left w:val="single" w:sz="4" w:space="0" w:color="000000"/>
              <w:right w:val="single" w:sz="4" w:space="0" w:color="000000"/>
            </w:tcBorders>
            <w:shd w:val="clear" w:color="auto" w:fill="auto"/>
          </w:tcPr>
          <w:p w14:paraId="293F8B84"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122</w:t>
            </w:r>
          </w:p>
        </w:tc>
        <w:tc>
          <w:tcPr>
            <w:tcW w:w="0" w:type="auto"/>
            <w:tcBorders>
              <w:left w:val="single" w:sz="4" w:space="0" w:color="000000"/>
              <w:right w:val="single" w:sz="4" w:space="0" w:color="000000"/>
            </w:tcBorders>
            <w:shd w:val="clear" w:color="auto" w:fill="auto"/>
          </w:tcPr>
          <w:p w14:paraId="05D814E2"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110</w:t>
            </w:r>
          </w:p>
        </w:tc>
        <w:tc>
          <w:tcPr>
            <w:tcW w:w="0" w:type="auto"/>
            <w:tcBorders>
              <w:left w:val="single" w:sz="4" w:space="0" w:color="000000"/>
              <w:right w:val="single" w:sz="4" w:space="0" w:color="000000"/>
            </w:tcBorders>
            <w:shd w:val="clear" w:color="auto" w:fill="auto"/>
          </w:tcPr>
          <w:p w14:paraId="4DA5D1FB"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8</w:t>
            </w:r>
          </w:p>
        </w:tc>
        <w:tc>
          <w:tcPr>
            <w:tcW w:w="0" w:type="auto"/>
            <w:tcBorders>
              <w:left w:val="single" w:sz="4" w:space="0" w:color="000000"/>
              <w:right w:val="single" w:sz="8" w:space="0" w:color="000000"/>
            </w:tcBorders>
            <w:shd w:val="clear" w:color="auto" w:fill="auto"/>
          </w:tcPr>
          <w:p w14:paraId="6D7566A5"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4</w:t>
            </w:r>
          </w:p>
        </w:tc>
      </w:tr>
      <w:tr w:rsidR="008A3897" w:rsidRPr="00EB3F46" w14:paraId="12FA231E" w14:textId="77777777" w:rsidTr="00A15C6E">
        <w:tc>
          <w:tcPr>
            <w:tcW w:w="0" w:type="auto"/>
            <w:tcBorders>
              <w:left w:val="single" w:sz="8" w:space="0" w:color="000000"/>
              <w:bottom w:val="nil"/>
              <w:right w:val="single" w:sz="4" w:space="0" w:color="000000"/>
            </w:tcBorders>
            <w:shd w:val="clear" w:color="auto" w:fill="auto"/>
          </w:tcPr>
          <w:p w14:paraId="43F2FDD5" w14:textId="77777777" w:rsidR="00EB3F46" w:rsidRPr="008A3897" w:rsidRDefault="00EB3F46" w:rsidP="008A3897">
            <w:pPr>
              <w:spacing w:before="60" w:after="60" w:line="220" w:lineRule="exact"/>
              <w:jc w:val="both"/>
              <w:rPr>
                <w:rFonts w:ascii="Georgia" w:eastAsia="Calibri" w:hAnsi="Georgia"/>
                <w:sz w:val="16"/>
                <w:szCs w:val="18"/>
                <w:rtl/>
                <w:lang w:val="en-GB"/>
              </w:rPr>
            </w:pPr>
            <w:r w:rsidRPr="008A3897">
              <w:rPr>
                <w:rFonts w:ascii="Georgia" w:eastAsia="Calibri" w:hAnsi="Georgia"/>
                <w:sz w:val="16"/>
                <w:szCs w:val="18"/>
                <w:rtl/>
                <w:lang w:val="en-GB"/>
              </w:rPr>
              <w:t>מבוגר/ת/ים</w:t>
            </w:r>
          </w:p>
        </w:tc>
        <w:tc>
          <w:tcPr>
            <w:tcW w:w="0" w:type="auto"/>
            <w:tcBorders>
              <w:left w:val="single" w:sz="4" w:space="0" w:color="000000"/>
              <w:bottom w:val="nil"/>
              <w:right w:val="single" w:sz="4" w:space="0" w:color="000000"/>
            </w:tcBorders>
            <w:shd w:val="clear" w:color="auto" w:fill="auto"/>
          </w:tcPr>
          <w:p w14:paraId="5C00B6AF"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412</w:t>
            </w:r>
          </w:p>
        </w:tc>
        <w:tc>
          <w:tcPr>
            <w:tcW w:w="0" w:type="auto"/>
            <w:tcBorders>
              <w:left w:val="single" w:sz="4" w:space="0" w:color="000000"/>
              <w:bottom w:val="nil"/>
              <w:right w:val="single" w:sz="4" w:space="0" w:color="000000"/>
            </w:tcBorders>
            <w:shd w:val="clear" w:color="auto" w:fill="auto"/>
          </w:tcPr>
          <w:p w14:paraId="226D3D67"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352</w:t>
            </w:r>
          </w:p>
        </w:tc>
        <w:tc>
          <w:tcPr>
            <w:tcW w:w="0" w:type="auto"/>
            <w:tcBorders>
              <w:left w:val="single" w:sz="4" w:space="0" w:color="000000"/>
              <w:bottom w:val="nil"/>
              <w:right w:val="single" w:sz="4" w:space="0" w:color="000000"/>
            </w:tcBorders>
            <w:shd w:val="clear" w:color="auto" w:fill="auto"/>
          </w:tcPr>
          <w:p w14:paraId="53D96C7D"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47</w:t>
            </w:r>
          </w:p>
        </w:tc>
        <w:tc>
          <w:tcPr>
            <w:tcW w:w="0" w:type="auto"/>
            <w:tcBorders>
              <w:left w:val="single" w:sz="4" w:space="0" w:color="000000"/>
              <w:bottom w:val="nil"/>
              <w:right w:val="single" w:sz="8" w:space="0" w:color="000000"/>
            </w:tcBorders>
            <w:shd w:val="clear" w:color="auto" w:fill="auto"/>
          </w:tcPr>
          <w:p w14:paraId="5723C99B"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13</w:t>
            </w:r>
          </w:p>
        </w:tc>
      </w:tr>
      <w:tr w:rsidR="008A3897" w:rsidRPr="00EB3F46" w14:paraId="05343194" w14:textId="77777777" w:rsidTr="00A15C6E">
        <w:tc>
          <w:tcPr>
            <w:tcW w:w="0" w:type="auto"/>
            <w:tcBorders>
              <w:top w:val="nil"/>
              <w:left w:val="single" w:sz="8" w:space="0" w:color="000000"/>
              <w:bottom w:val="single" w:sz="8" w:space="0" w:color="000000"/>
              <w:right w:val="single" w:sz="4" w:space="0" w:color="000000"/>
            </w:tcBorders>
            <w:shd w:val="clear" w:color="auto" w:fill="auto"/>
          </w:tcPr>
          <w:p w14:paraId="2121E747" w14:textId="77777777" w:rsidR="00EB3F46" w:rsidRPr="008A3897" w:rsidRDefault="00EB3F46" w:rsidP="008A3897">
            <w:pPr>
              <w:spacing w:before="60" w:after="60" w:line="220" w:lineRule="exact"/>
              <w:jc w:val="both"/>
              <w:rPr>
                <w:rFonts w:ascii="Georgia" w:eastAsia="Calibri" w:hAnsi="Georgia"/>
                <w:sz w:val="16"/>
                <w:szCs w:val="18"/>
                <w:rtl/>
                <w:lang w:val="en-GB"/>
              </w:rPr>
            </w:pPr>
            <w:r w:rsidRPr="008A3897">
              <w:rPr>
                <w:rFonts w:ascii="Georgia" w:eastAsia="Calibri" w:hAnsi="Georgia"/>
                <w:sz w:val="16"/>
                <w:szCs w:val="18"/>
                <w:rtl/>
                <w:lang w:val="en-GB"/>
              </w:rPr>
              <w:t>אזרח/ים ותיק/ים</w:t>
            </w:r>
          </w:p>
        </w:tc>
        <w:tc>
          <w:tcPr>
            <w:tcW w:w="0" w:type="auto"/>
            <w:tcBorders>
              <w:top w:val="nil"/>
              <w:left w:val="single" w:sz="4" w:space="0" w:color="000000"/>
              <w:bottom w:val="single" w:sz="8" w:space="0" w:color="000000"/>
              <w:right w:val="single" w:sz="4" w:space="0" w:color="000000"/>
            </w:tcBorders>
            <w:shd w:val="clear" w:color="auto" w:fill="auto"/>
          </w:tcPr>
          <w:p w14:paraId="2CB25D2B"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20</w:t>
            </w:r>
          </w:p>
        </w:tc>
        <w:tc>
          <w:tcPr>
            <w:tcW w:w="0" w:type="auto"/>
            <w:tcBorders>
              <w:top w:val="nil"/>
              <w:left w:val="single" w:sz="4" w:space="0" w:color="000000"/>
              <w:bottom w:val="single" w:sz="8" w:space="0" w:color="000000"/>
              <w:right w:val="single" w:sz="4" w:space="0" w:color="000000"/>
            </w:tcBorders>
            <w:shd w:val="clear" w:color="auto" w:fill="auto"/>
          </w:tcPr>
          <w:p w14:paraId="51AD144F"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13</w:t>
            </w:r>
          </w:p>
        </w:tc>
        <w:tc>
          <w:tcPr>
            <w:tcW w:w="0" w:type="auto"/>
            <w:tcBorders>
              <w:top w:val="nil"/>
              <w:left w:val="single" w:sz="4" w:space="0" w:color="000000"/>
              <w:bottom w:val="single" w:sz="8" w:space="0" w:color="000000"/>
              <w:right w:val="single" w:sz="4" w:space="0" w:color="000000"/>
            </w:tcBorders>
            <w:shd w:val="clear" w:color="auto" w:fill="auto"/>
          </w:tcPr>
          <w:p w14:paraId="77F104CB"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5</w:t>
            </w:r>
          </w:p>
        </w:tc>
        <w:tc>
          <w:tcPr>
            <w:tcW w:w="0" w:type="auto"/>
            <w:tcBorders>
              <w:top w:val="nil"/>
              <w:left w:val="single" w:sz="4" w:space="0" w:color="000000"/>
              <w:bottom w:val="single" w:sz="8" w:space="0" w:color="000000"/>
              <w:right w:val="single" w:sz="8" w:space="0" w:color="000000"/>
            </w:tcBorders>
            <w:shd w:val="clear" w:color="auto" w:fill="auto"/>
          </w:tcPr>
          <w:p w14:paraId="7451E7BD" w14:textId="77777777" w:rsidR="00EB3F46" w:rsidRPr="008A3897" w:rsidRDefault="00EB3F46" w:rsidP="008A3897">
            <w:pPr>
              <w:spacing w:before="60" w:after="60" w:line="220" w:lineRule="exact"/>
              <w:jc w:val="both"/>
              <w:rPr>
                <w:rFonts w:ascii="Georgia" w:eastAsia="Calibri" w:hAnsi="Georgia"/>
                <w:sz w:val="16"/>
                <w:szCs w:val="18"/>
                <w:rtl/>
              </w:rPr>
            </w:pPr>
            <w:r w:rsidRPr="008A3897">
              <w:rPr>
                <w:rFonts w:ascii="Georgia" w:eastAsia="Calibri" w:hAnsi="Georgia"/>
                <w:sz w:val="16"/>
                <w:szCs w:val="18"/>
                <w:rtl/>
              </w:rPr>
              <w:t>2</w:t>
            </w:r>
          </w:p>
        </w:tc>
      </w:tr>
    </w:tbl>
    <w:bookmarkEnd w:id="2"/>
    <w:p w14:paraId="3E5EAE3E" w14:textId="6B91FF6F" w:rsidR="00EB3F46" w:rsidRPr="00EB3F46" w:rsidRDefault="00EB3F46" w:rsidP="00E45C86">
      <w:pPr>
        <w:spacing w:before="360" w:after="180" w:line="280" w:lineRule="exact"/>
        <w:jc w:val="both"/>
        <w:rPr>
          <w:rFonts w:ascii="Georgia" w:hAnsi="Georgia"/>
          <w:noProof/>
          <w:sz w:val="18"/>
          <w:szCs w:val="20"/>
          <w:rtl/>
        </w:rPr>
      </w:pPr>
      <w:r w:rsidRPr="00EB3F46">
        <w:rPr>
          <w:rFonts w:ascii="Georgia" w:hAnsi="Georgia"/>
          <w:sz w:val="18"/>
          <w:szCs w:val="20"/>
          <w:rtl/>
        </w:rPr>
        <w:t xml:space="preserve">מן הלוח עולה כי רק בשתי כתבות חדשות הופיעה המילה "קשיש" בהקשר חיובי מובהק. מתוך 601 כתבות רלוונטיות, ב-567 המילה מופיעה בהקשרים שליליים של חוסר אונים, ניצול, אומללות ומוות, ולצידם ניסיון לעורר בקוראים רחמים (גיוס תרומות וסיוע לקשישים). </w:t>
      </w:r>
      <w:r w:rsidRPr="00EB3F46">
        <w:rPr>
          <w:rFonts w:ascii="Georgia" w:hAnsi="Georgia"/>
          <w:noProof/>
          <w:sz w:val="18"/>
          <w:szCs w:val="20"/>
          <w:rtl/>
        </w:rPr>
        <w:t>כך למשל בכתבה שכותרתה "עוקץ הכספומטים שמפיל את הקשישים" (</w:t>
      </w:r>
      <w:r w:rsidRPr="00EB3F46">
        <w:rPr>
          <w:rFonts w:ascii="Georgia" w:hAnsi="Georgia"/>
          <w:b/>
          <w:bCs/>
          <w:noProof/>
          <w:sz w:val="18"/>
          <w:szCs w:val="20"/>
          <w:rtl/>
        </w:rPr>
        <w:t>ירושלים</w:t>
      </w:r>
      <w:r w:rsidRPr="00EB3F46">
        <w:rPr>
          <w:rFonts w:ascii="Georgia" w:hAnsi="Georgia"/>
          <w:noProof/>
          <w:sz w:val="18"/>
          <w:szCs w:val="20"/>
          <w:rtl/>
        </w:rPr>
        <w:t>, 20 בינואר 2020), המביאה את סיפורו של אדם שגנב כסף מכספומטים. אף שבחינת המקרה במובנו המשפטי מגלה כי הבחירה בקורבנות הג</w:t>
      </w:r>
      <w:r w:rsidR="00443DA7" w:rsidRPr="00E45C86">
        <w:rPr>
          <w:rFonts w:ascii="Georgia" w:hAnsi="Georgia"/>
          <w:noProof/>
          <w:sz w:val="18"/>
          <w:szCs w:val="20"/>
          <w:rtl/>
        </w:rPr>
        <w:t>נֵ</w:t>
      </w:r>
      <w:r w:rsidRPr="00EB3F46">
        <w:rPr>
          <w:rFonts w:ascii="Georgia" w:hAnsi="Georgia"/>
          <w:noProof/>
          <w:sz w:val="18"/>
          <w:szCs w:val="20"/>
          <w:rtl/>
        </w:rPr>
        <w:t xml:space="preserve">בה הייתה רנדומלית, הכתבה מתמקדת ב"קשישים", ומרמזת על חוסר האונים של קבוצת אוכלוסייה זו. התמונה שנבחרה היא של אדם מבוגר, מצולם מגבו, ללא פנים, צועד כפוף ועיתון תחת זרועו. העמדה זו יוצרת זיקה לפניות ולחוסר המעש בגיל הזיקנה, והבחירה בתמונת המחשה מבוימת (ולא אותנטית) מלמדת על כוונה </w:t>
      </w:r>
      <w:r w:rsidRPr="00EB3F46">
        <w:rPr>
          <w:rFonts w:ascii="Georgia" w:hAnsi="Georgia"/>
          <w:sz w:val="18"/>
          <w:szCs w:val="20"/>
          <w:shd w:val="clear" w:color="auto" w:fill="FFFFFF"/>
          <w:rtl/>
        </w:rPr>
        <w:t xml:space="preserve">– </w:t>
      </w:r>
      <w:r w:rsidRPr="00EB3F46">
        <w:rPr>
          <w:rFonts w:ascii="Georgia" w:hAnsi="Georgia"/>
          <w:noProof/>
          <w:sz w:val="18"/>
          <w:szCs w:val="20"/>
          <w:rtl/>
        </w:rPr>
        <w:t>לא בהכרח מודעת</w:t>
      </w:r>
      <w:r w:rsidRPr="00EB3F46">
        <w:rPr>
          <w:rFonts w:ascii="Georgia" w:hAnsi="Georgia"/>
          <w:sz w:val="18"/>
          <w:szCs w:val="20"/>
          <w:shd w:val="clear" w:color="auto" w:fill="FFFFFF"/>
          <w:rtl/>
        </w:rPr>
        <w:t xml:space="preserve"> –</w:t>
      </w:r>
      <w:r w:rsidRPr="00EB3F46">
        <w:rPr>
          <w:rFonts w:ascii="Georgia" w:hAnsi="Georgia"/>
          <w:noProof/>
          <w:sz w:val="18"/>
          <w:szCs w:val="20"/>
          <w:rtl/>
        </w:rPr>
        <w:t xml:space="preserve"> לייצר אצל הקוראים רגש והזדהות עם </w:t>
      </w:r>
      <w:r w:rsidRPr="00EB3F46">
        <w:rPr>
          <w:rFonts w:ascii="Georgia" w:hAnsi="Georgia"/>
          <w:noProof/>
          <w:sz w:val="18"/>
          <w:szCs w:val="20"/>
          <w:rtl/>
        </w:rPr>
        <w:lastRenderedPageBreak/>
        <w:t>אותם ״קשישים״ מדוברים. זאת משום שבתפיסת התקשורת הטבלואידית, כתבה ללא תמונה אינה מייצרת הזדהות.</w:t>
      </w:r>
    </w:p>
    <w:p w14:paraId="514F5232" w14:textId="1AF559A3" w:rsidR="00EB3F46" w:rsidRDefault="007F12E9" w:rsidP="008666ED">
      <w:pPr>
        <w:spacing w:line="240" w:lineRule="atLeast"/>
        <w:rPr>
          <w:rFonts w:ascii="Georgia" w:hAnsi="Georgia"/>
          <w:noProof/>
          <w:sz w:val="18"/>
          <w:szCs w:val="20"/>
        </w:rPr>
      </w:pPr>
      <w:r>
        <w:rPr>
          <w:rFonts w:ascii="Georgia" w:hAnsi="Georgia"/>
          <w:noProof/>
          <w:sz w:val="18"/>
          <w:szCs w:val="20"/>
        </w:rPr>
        <w:drawing>
          <wp:inline distT="0" distB="0" distL="0" distR="0" wp14:anchorId="223903F0" wp14:editId="77AFCE20">
            <wp:extent cx="2668270" cy="1521460"/>
            <wp:effectExtent l="0" t="0" r="0" b="0"/>
            <wp:docPr id="25" name="תמונה 7" descr="שלושה כספומטים. גבר ואישה עומדים ומושכים כסף משניים מה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7" descr="שלושה כספומטים. גבר ואישה עומדים ומושכים כסף משניים מה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270" cy="1521460"/>
                    </a:xfrm>
                    <a:prstGeom prst="rect">
                      <a:avLst/>
                    </a:prstGeom>
                    <a:noFill/>
                    <a:ln>
                      <a:noFill/>
                    </a:ln>
                  </pic:spPr>
                </pic:pic>
              </a:graphicData>
            </a:graphic>
          </wp:inline>
        </w:drawing>
      </w:r>
    </w:p>
    <w:p w14:paraId="517C7F6E" w14:textId="32BB46B1" w:rsidR="00FB0748" w:rsidRPr="00FB0748" w:rsidRDefault="00FB0748" w:rsidP="00F56BAD">
      <w:pPr>
        <w:spacing w:after="180" w:line="240" w:lineRule="atLeast"/>
        <w:rPr>
          <w:rFonts w:ascii="Georgia" w:hAnsi="Georgia"/>
          <w:noProof/>
          <w:sz w:val="16"/>
          <w:szCs w:val="18"/>
          <w:rtl/>
        </w:rPr>
      </w:pPr>
      <w:r w:rsidRPr="00FB0748">
        <w:rPr>
          <w:rFonts w:ascii="David" w:hAnsi="David"/>
          <w:sz w:val="16"/>
          <w:szCs w:val="16"/>
          <w:rtl/>
        </w:rPr>
        <w:t xml:space="preserve">"עוקץ הכספומטים שמפיל את הקשישים". </w:t>
      </w:r>
      <w:r w:rsidRPr="00FB0748">
        <w:rPr>
          <w:rFonts w:ascii="David" w:hAnsi="David"/>
          <w:b/>
          <w:bCs/>
          <w:sz w:val="16"/>
          <w:szCs w:val="16"/>
          <w:rtl/>
        </w:rPr>
        <w:t>ירושלים</w:t>
      </w:r>
      <w:r w:rsidRPr="00FB0748">
        <w:rPr>
          <w:rFonts w:ascii="David" w:hAnsi="David"/>
          <w:sz w:val="16"/>
          <w:szCs w:val="16"/>
          <w:rtl/>
        </w:rPr>
        <w:t>. צילום: שלומי כהן</w:t>
      </w:r>
    </w:p>
    <w:p w14:paraId="6B11218D" w14:textId="77777777" w:rsidR="00EB3F46" w:rsidRPr="00EB3F46" w:rsidRDefault="00EB3F46" w:rsidP="004243DE">
      <w:pPr>
        <w:spacing w:after="180" w:line="280" w:lineRule="exact"/>
        <w:jc w:val="both"/>
        <w:rPr>
          <w:rFonts w:ascii="Georgia" w:hAnsi="Georgia"/>
          <w:noProof/>
          <w:sz w:val="18"/>
          <w:szCs w:val="20"/>
          <w:rtl/>
        </w:rPr>
      </w:pPr>
      <w:r w:rsidRPr="00EB3F46">
        <w:rPr>
          <w:rFonts w:ascii="Georgia" w:hAnsi="Georgia"/>
          <w:noProof/>
          <w:sz w:val="18"/>
          <w:szCs w:val="20"/>
          <w:rtl/>
        </w:rPr>
        <w:t>כך גם בכתבה שכותרתה "הזניחו את סבתא למות"</w:t>
      </w:r>
      <w:r w:rsidRPr="00EB3F46">
        <w:rPr>
          <w:rFonts w:ascii="Georgia" w:hAnsi="Georgia"/>
          <w:i/>
          <w:iCs/>
          <w:noProof/>
          <w:sz w:val="18"/>
          <w:szCs w:val="20"/>
          <w:rtl/>
        </w:rPr>
        <w:t xml:space="preserve"> </w:t>
      </w:r>
      <w:r w:rsidRPr="00EB3F46">
        <w:rPr>
          <w:rFonts w:ascii="Georgia" w:hAnsi="Georgia"/>
          <w:noProof/>
          <w:sz w:val="18"/>
          <w:szCs w:val="20"/>
          <w:rtl/>
        </w:rPr>
        <w:t>(</w:t>
      </w:r>
      <w:r w:rsidRPr="00EB3F46">
        <w:rPr>
          <w:rFonts w:ascii="Georgia" w:hAnsi="Georgia"/>
          <w:b/>
          <w:bCs/>
          <w:noProof/>
          <w:sz w:val="18"/>
          <w:szCs w:val="20"/>
          <w:rtl/>
        </w:rPr>
        <w:t>ידיעות אחרונות</w:t>
      </w:r>
      <w:r w:rsidRPr="00EB3F46">
        <w:rPr>
          <w:rFonts w:ascii="Georgia" w:hAnsi="Georgia"/>
          <w:noProof/>
          <w:sz w:val="18"/>
          <w:szCs w:val="20"/>
          <w:rtl/>
        </w:rPr>
        <w:t xml:space="preserve">, 8 במאי 2020) </w:t>
      </w:r>
      <w:r w:rsidRPr="00EB3F46">
        <w:rPr>
          <w:rFonts w:ascii="Georgia" w:hAnsi="Georgia"/>
          <w:sz w:val="18"/>
          <w:szCs w:val="20"/>
          <w:shd w:val="clear" w:color="auto" w:fill="FFFFFF"/>
          <w:rtl/>
        </w:rPr>
        <w:t>–</w:t>
      </w:r>
      <w:r w:rsidRPr="00EB3F46">
        <w:rPr>
          <w:rFonts w:ascii="Georgia" w:hAnsi="Georgia"/>
          <w:noProof/>
          <w:sz w:val="18"/>
          <w:szCs w:val="20"/>
          <w:rtl/>
        </w:rPr>
        <w:t xml:space="preserve"> ידיעה על קשישה שנפטרה מפצעי לחץ, תופעה שניתן למנוע באמצעות תשומת לב וטיפול שגרתי. הקול בכתבה הוא קולה של הנכדה, והמסר גדוש תיאורי זיקנה וחולי קשים. לדוגמה:</w:t>
      </w:r>
    </w:p>
    <w:p w14:paraId="0B4112D1" w14:textId="77777777" w:rsidR="00EB3F46" w:rsidRPr="00EB3F46" w:rsidRDefault="00EB3F46" w:rsidP="00673493">
      <w:pPr>
        <w:shd w:val="clear" w:color="auto" w:fill="FFFFFF"/>
        <w:spacing w:after="180"/>
        <w:ind w:left="567"/>
        <w:jc w:val="both"/>
        <w:rPr>
          <w:rFonts w:ascii="Georgia" w:hAnsi="Georgia"/>
          <w:noProof/>
          <w:sz w:val="18"/>
          <w:szCs w:val="20"/>
          <w:rtl/>
        </w:rPr>
      </w:pPr>
      <w:r w:rsidRPr="00EB3F46">
        <w:rPr>
          <w:rFonts w:ascii="Georgia" w:hAnsi="Georgia"/>
          <w:noProof/>
          <w:sz w:val="18"/>
          <w:szCs w:val="20"/>
          <w:rtl/>
        </w:rPr>
        <w:t xml:space="preserve">סבתא לא אכלה ולא שתתה... כשבדקתי את הגוף שלה פשוט נחרדתי. איך אפשר להגיע למצב כזה? אפילו האחיות בבית החולים היו מזועזעות. זאת הזנחה פושעת. פצעי לחץ בגב וברגליים דרגה ארבע, שזו הדרגה הגבוהה ביותר... היו לה חיים קשים מאוד ולא הגיע לה שיפקירו אותה ככה. </w:t>
      </w:r>
    </w:p>
    <w:p w14:paraId="5A7B8150" w14:textId="77777777" w:rsidR="00EB3F46" w:rsidRPr="00EB3F46" w:rsidRDefault="00EB3F46" w:rsidP="00EB3F46">
      <w:pPr>
        <w:spacing w:after="180" w:line="280" w:lineRule="exact"/>
        <w:jc w:val="both"/>
        <w:rPr>
          <w:rFonts w:ascii="Georgia" w:hAnsi="Georgia"/>
          <w:noProof/>
          <w:sz w:val="18"/>
          <w:szCs w:val="20"/>
          <w:rtl/>
        </w:rPr>
      </w:pPr>
      <w:r w:rsidRPr="00EB3F46">
        <w:rPr>
          <w:rFonts w:ascii="Georgia" w:hAnsi="Georgia"/>
          <w:noProof/>
          <w:sz w:val="18"/>
          <w:szCs w:val="20"/>
          <w:rtl/>
        </w:rPr>
        <w:t xml:space="preserve">התיאור הגדוש מחזק את ראיית הזיקנה כמסמלת כיליון וניוון, פאסיביות, חוסר אונים והמתנה למוות. </w:t>
      </w:r>
    </w:p>
    <w:p w14:paraId="4F1CCC67"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noProof/>
          <w:sz w:val="18"/>
          <w:szCs w:val="20"/>
          <w:rtl/>
        </w:rPr>
        <w:t>דוגמה שלילית נוספת מופיעה בידיעה חיובית כביכול, ללא תמונה: "בני נוער יבצעו בדיקות רפואיות לקשישים"</w:t>
      </w:r>
      <w:r w:rsidRPr="00EB3F46">
        <w:rPr>
          <w:rFonts w:ascii="Georgia" w:hAnsi="Georgia"/>
          <w:i/>
          <w:iCs/>
          <w:noProof/>
          <w:sz w:val="18"/>
          <w:szCs w:val="20"/>
          <w:rtl/>
        </w:rPr>
        <w:t xml:space="preserve"> </w:t>
      </w:r>
      <w:r w:rsidRPr="00EB3F46">
        <w:rPr>
          <w:rFonts w:ascii="Georgia" w:hAnsi="Georgia"/>
          <w:noProof/>
          <w:sz w:val="18"/>
          <w:szCs w:val="20"/>
          <w:rtl/>
        </w:rPr>
        <w:t>(</w:t>
      </w:r>
      <w:r w:rsidRPr="00EB3F46">
        <w:rPr>
          <w:rFonts w:ascii="Georgia" w:hAnsi="Georgia"/>
          <w:b/>
          <w:bCs/>
          <w:noProof/>
          <w:sz w:val="18"/>
          <w:szCs w:val="20"/>
          <w:rtl/>
        </w:rPr>
        <w:t>ישראל היום</w:t>
      </w:r>
      <w:r w:rsidRPr="00EB3F46">
        <w:rPr>
          <w:rFonts w:ascii="Georgia" w:hAnsi="Georgia"/>
          <w:noProof/>
          <w:sz w:val="18"/>
          <w:szCs w:val="20"/>
          <w:rtl/>
        </w:rPr>
        <w:t xml:space="preserve">, 6 בפברואר 2020). הנוער, המוגן מהמחלה, מתגייס למען הקשישים חסרי הישע. </w:t>
      </w:r>
      <w:r w:rsidRPr="00EB3F46">
        <w:rPr>
          <w:rFonts w:ascii="Georgia" w:hAnsi="Georgia"/>
          <w:sz w:val="18"/>
          <w:szCs w:val="20"/>
          <w:rtl/>
        </w:rPr>
        <w:t xml:space="preserve">כלומר אף שהפעולה של בני הנוער היא חיובית כשלעצמה, הנרטיב העולה מהכותרת, ובמיוחד מניסוח הטקסט בידיעה, הוא שהקשישים חסרי אונים וזקוקים לסיוע של </w:t>
      </w:r>
      <w:proofErr w:type="spellStart"/>
      <w:r w:rsidRPr="00EB3F46">
        <w:rPr>
          <w:rFonts w:ascii="Georgia" w:hAnsi="Georgia"/>
          <w:sz w:val="18"/>
          <w:szCs w:val="20"/>
          <w:rtl/>
        </w:rPr>
        <w:t>ה״צעירים</w:t>
      </w:r>
      <w:proofErr w:type="spellEnd"/>
      <w:r w:rsidRPr="00EB3F46">
        <w:rPr>
          <w:rFonts w:ascii="Georgia" w:hAnsi="Georgia"/>
          <w:sz w:val="18"/>
          <w:szCs w:val="20"/>
          <w:rtl/>
        </w:rPr>
        <w:t xml:space="preserve">״. </w:t>
      </w:r>
    </w:p>
    <w:p w14:paraId="1EDA6C4D" w14:textId="5B013F9B"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בכל הנוגע לקורונה, בייחוד בחודשים הראשונים להתפרצותה, הדגישו הכותרות כי המחלה מסוכנת בעיקר לקשישים. לדוגמה: "עד כה מרבית הקורבנות קשישים"</w:t>
      </w:r>
      <w:r w:rsidRPr="00EB3F46">
        <w:rPr>
          <w:rFonts w:ascii="Georgia" w:hAnsi="Georgia"/>
          <w:i/>
          <w:iCs/>
          <w:sz w:val="18"/>
          <w:szCs w:val="20"/>
          <w:rtl/>
        </w:rPr>
        <w:t xml:space="preserve"> </w:t>
      </w:r>
      <w:r w:rsidRPr="00EB3F46">
        <w:rPr>
          <w:rFonts w:ascii="Georgia" w:hAnsi="Georgia"/>
          <w:sz w:val="18"/>
          <w:szCs w:val="20"/>
          <w:rtl/>
        </w:rPr>
        <w:t>(</w:t>
      </w:r>
      <w:r w:rsidRPr="00EB3F46">
        <w:rPr>
          <w:rFonts w:ascii="Georgia" w:hAnsi="Georgia"/>
          <w:b/>
          <w:bCs/>
          <w:sz w:val="18"/>
          <w:szCs w:val="20"/>
          <w:rtl/>
        </w:rPr>
        <w:t>ידיעות אחרונות</w:t>
      </w:r>
      <w:r w:rsidRPr="00EB3F46">
        <w:rPr>
          <w:rFonts w:ascii="Georgia" w:hAnsi="Georgia"/>
          <w:sz w:val="18"/>
          <w:szCs w:val="20"/>
          <w:rtl/>
        </w:rPr>
        <w:t>, 11 במרץ 2020); או: "קשישים מתבקשים לצמצם מגע עם הציבור"</w:t>
      </w:r>
      <w:r w:rsidRPr="00EB3F46">
        <w:rPr>
          <w:rFonts w:ascii="Georgia" w:hAnsi="Georgia"/>
          <w:i/>
          <w:iCs/>
          <w:sz w:val="18"/>
          <w:szCs w:val="20"/>
          <w:rtl/>
        </w:rPr>
        <w:t xml:space="preserve"> </w:t>
      </w:r>
      <w:r w:rsidRPr="00EB3F46">
        <w:rPr>
          <w:rFonts w:ascii="Georgia" w:hAnsi="Georgia"/>
          <w:sz w:val="18"/>
          <w:szCs w:val="20"/>
          <w:rtl/>
        </w:rPr>
        <w:t>(</w:t>
      </w:r>
      <w:r w:rsidRPr="00EB3F46">
        <w:rPr>
          <w:rFonts w:ascii="Georgia" w:hAnsi="Georgia"/>
          <w:b/>
          <w:bCs/>
          <w:sz w:val="18"/>
          <w:szCs w:val="20"/>
          <w:rtl/>
        </w:rPr>
        <w:t>ידיעות אחרונות</w:t>
      </w:r>
      <w:r w:rsidRPr="00EB3F46">
        <w:rPr>
          <w:rFonts w:ascii="Georgia" w:hAnsi="Georgia"/>
          <w:sz w:val="18"/>
          <w:szCs w:val="20"/>
          <w:rtl/>
        </w:rPr>
        <w:t>, 11 במרץ 2020). הכותרות הללו מבטאות את הפחד של העורכים והכתבים הצעירים, ומטרתן היא ליצור הזרה שתפחית את הפחד: המחלה מסוכנת לזקנים, ועל כן הצעירים יכולים לחוש ביטחון מסוים. במשרד הבריאות ניהלו מאבק ממושך בנרטיב זה באמצעות תדרוכים שונים לתקשורת, משום שלתפיסת</w:t>
      </w:r>
      <w:r w:rsidR="00443DA7">
        <w:rPr>
          <w:rFonts w:ascii="Georgia" w:hAnsi="Georgia" w:hint="cs"/>
          <w:sz w:val="18"/>
          <w:szCs w:val="20"/>
          <w:rtl/>
        </w:rPr>
        <w:t>ם של</w:t>
      </w:r>
      <w:r w:rsidRPr="00EB3F46">
        <w:rPr>
          <w:rFonts w:ascii="Georgia" w:hAnsi="Georgia"/>
          <w:sz w:val="18"/>
          <w:szCs w:val="20"/>
          <w:rtl/>
        </w:rPr>
        <w:t xml:space="preserve"> מומחי בריאות הציבור, זלזול של הצעירים בהנחיות בשל היעדר הפחד יוביל בהכרח לפגיעה במבוגרים, כפי שאכן אירע לימים. </w:t>
      </w:r>
    </w:p>
    <w:p w14:paraId="3C799A7E"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lastRenderedPageBreak/>
        <w:t>ככל שהתקדמה המגפה והתפשטה, כך רבו הכותרות שעסקו באוכלוסיית הקשישים, מתוך נרטיב של בהלה ורחמים. למשל, הכותרת "דיור מוגן, ללא הגנה", בידיעה על "מתקפת קורונה על בית אבות בירושלים", ביטאה דאגה שניתן לפרשה כחוסר אונים של הזקנים. בתמונה נראו בניין נטול סימני חיים, וכן בני משפחה צעירים שבאו להגן על החוסים הזקנים ולהשמיע את קולם (</w:t>
      </w:r>
      <w:r w:rsidRPr="00EB3F46">
        <w:rPr>
          <w:rFonts w:ascii="Georgia" w:hAnsi="Georgia"/>
          <w:b/>
          <w:bCs/>
          <w:sz w:val="18"/>
          <w:szCs w:val="20"/>
          <w:rtl/>
        </w:rPr>
        <w:t>ידיעות אחרונות</w:t>
      </w:r>
      <w:r w:rsidRPr="00EB3F46">
        <w:rPr>
          <w:rFonts w:ascii="Georgia" w:hAnsi="Georgia"/>
          <w:sz w:val="18"/>
          <w:szCs w:val="20"/>
          <w:rtl/>
        </w:rPr>
        <w:t>, 17 במרץ 2020)</w:t>
      </w:r>
      <w:r w:rsidRPr="00EB3F46">
        <w:rPr>
          <w:rFonts w:ascii="Georgia" w:hAnsi="Georgia"/>
          <w:i/>
          <w:iCs/>
          <w:sz w:val="18"/>
          <w:szCs w:val="20"/>
          <w:rtl/>
        </w:rPr>
        <w:t xml:space="preserve">. </w:t>
      </w:r>
      <w:r w:rsidRPr="00EB3F46">
        <w:rPr>
          <w:rFonts w:ascii="Georgia" w:hAnsi="Georgia"/>
          <w:sz w:val="18"/>
          <w:szCs w:val="20"/>
          <w:rtl/>
        </w:rPr>
        <w:t>כך</w:t>
      </w:r>
      <w:r w:rsidRPr="00EB3F46">
        <w:rPr>
          <w:rFonts w:ascii="Georgia" w:hAnsi="Georgia"/>
          <w:i/>
          <w:iCs/>
          <w:sz w:val="18"/>
          <w:szCs w:val="20"/>
          <w:rtl/>
        </w:rPr>
        <w:t xml:space="preserve"> </w:t>
      </w:r>
      <w:r w:rsidRPr="00EB3F46">
        <w:rPr>
          <w:rFonts w:ascii="Georgia" w:hAnsi="Georgia"/>
          <w:sz w:val="18"/>
          <w:szCs w:val="20"/>
          <w:rtl/>
        </w:rPr>
        <w:t>גם הכותרת</w:t>
      </w:r>
      <w:r w:rsidRPr="00EB3F46">
        <w:rPr>
          <w:rFonts w:ascii="Georgia" w:hAnsi="Georgia"/>
          <w:i/>
          <w:iCs/>
          <w:sz w:val="18"/>
          <w:szCs w:val="20"/>
          <w:rtl/>
        </w:rPr>
        <w:t xml:space="preserve"> </w:t>
      </w:r>
      <w:r w:rsidRPr="00EB3F46">
        <w:rPr>
          <w:rFonts w:ascii="Georgia" w:hAnsi="Georgia"/>
          <w:sz w:val="18"/>
          <w:szCs w:val="20"/>
          <w:rtl/>
        </w:rPr>
        <w:t>"בכירי בריאות הנפש הזהירו: צפוי גל התאבדויות של קשישים" (</w:t>
      </w:r>
      <w:r w:rsidRPr="00EB3F46">
        <w:rPr>
          <w:rFonts w:ascii="Georgia" w:hAnsi="Georgia"/>
          <w:b/>
          <w:bCs/>
          <w:sz w:val="18"/>
          <w:szCs w:val="20"/>
          <w:rtl/>
        </w:rPr>
        <w:t>ישראל היום</w:t>
      </w:r>
      <w:r w:rsidRPr="00EB3F46">
        <w:rPr>
          <w:rFonts w:ascii="Georgia" w:hAnsi="Georgia"/>
          <w:sz w:val="18"/>
          <w:szCs w:val="20"/>
          <w:rtl/>
        </w:rPr>
        <w:t xml:space="preserve">, 7 באפריל 2020). </w:t>
      </w:r>
    </w:p>
    <w:p w14:paraId="2028A96B" w14:textId="68887250" w:rsidR="00EB3F46" w:rsidRDefault="007F12E9" w:rsidP="008666ED">
      <w:pPr>
        <w:spacing w:line="240" w:lineRule="atLeast"/>
        <w:rPr>
          <w:rFonts w:ascii="Georgia" w:hAnsi="Georgia"/>
          <w:i/>
          <w:iCs/>
          <w:sz w:val="18"/>
          <w:szCs w:val="20"/>
        </w:rPr>
      </w:pPr>
      <w:r>
        <w:rPr>
          <w:rFonts w:ascii="Georgia" w:hAnsi="Georgia"/>
          <w:noProof/>
          <w:sz w:val="18"/>
          <w:szCs w:val="20"/>
        </w:rPr>
        <w:drawing>
          <wp:inline distT="0" distB="0" distL="0" distR="0" wp14:anchorId="43715A26" wp14:editId="286EB446">
            <wp:extent cx="2060575" cy="2511425"/>
            <wp:effectExtent l="0" t="0" r="0" b="0"/>
            <wp:docPr id="24" name="תמונה 8" descr="צילום כתבה שכותרתה דיור מוגן, ללא הג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8" descr="צילום כתבה שכותרתה דיור מוגן, ללא הגנ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2511425"/>
                    </a:xfrm>
                    <a:prstGeom prst="rect">
                      <a:avLst/>
                    </a:prstGeom>
                    <a:noFill/>
                    <a:ln>
                      <a:noFill/>
                    </a:ln>
                  </pic:spPr>
                </pic:pic>
              </a:graphicData>
            </a:graphic>
          </wp:inline>
        </w:drawing>
      </w:r>
    </w:p>
    <w:p w14:paraId="559658E1" w14:textId="569A38FF" w:rsidR="00FB0748" w:rsidRPr="00EB3F46" w:rsidRDefault="00FB0748" w:rsidP="00F56BAD">
      <w:pPr>
        <w:spacing w:after="180" w:line="240" w:lineRule="atLeast"/>
        <w:jc w:val="both"/>
        <w:rPr>
          <w:rFonts w:ascii="Georgia" w:hAnsi="Georgia"/>
          <w:i/>
          <w:iCs/>
          <w:sz w:val="18"/>
          <w:szCs w:val="20"/>
          <w:rtl/>
        </w:rPr>
      </w:pPr>
      <w:r w:rsidRPr="00AA132A">
        <w:rPr>
          <w:rFonts w:ascii="David" w:hAnsi="David"/>
          <w:b/>
          <w:bCs/>
          <w:sz w:val="16"/>
          <w:szCs w:val="16"/>
          <w:rtl/>
        </w:rPr>
        <w:t>ידיעות אחרונות</w:t>
      </w:r>
      <w:r w:rsidRPr="00AA132A">
        <w:rPr>
          <w:rFonts w:ascii="David" w:hAnsi="David"/>
          <w:sz w:val="16"/>
          <w:szCs w:val="16"/>
          <w:rtl/>
        </w:rPr>
        <w:t xml:space="preserve">. צילום: אלכס </w:t>
      </w:r>
      <w:proofErr w:type="spellStart"/>
      <w:r w:rsidRPr="00AA132A">
        <w:rPr>
          <w:rFonts w:ascii="David" w:hAnsi="David"/>
          <w:sz w:val="16"/>
          <w:szCs w:val="16"/>
          <w:rtl/>
        </w:rPr>
        <w:t>קולומויסקי</w:t>
      </w:r>
      <w:proofErr w:type="spellEnd"/>
    </w:p>
    <w:p w14:paraId="52F838F3" w14:textId="59F207EE" w:rsidR="00EB3F46" w:rsidRPr="00EB3F46" w:rsidRDefault="00EB3F46" w:rsidP="004243DE">
      <w:pPr>
        <w:spacing w:after="180" w:line="280" w:lineRule="exact"/>
        <w:jc w:val="both"/>
        <w:rPr>
          <w:rFonts w:ascii="Georgia" w:hAnsi="Georgia"/>
          <w:sz w:val="18"/>
          <w:szCs w:val="20"/>
          <w:rtl/>
        </w:rPr>
      </w:pPr>
      <w:r w:rsidRPr="00EB3F46">
        <w:rPr>
          <w:rFonts w:ascii="Georgia" w:hAnsi="Georgia"/>
          <w:sz w:val="18"/>
          <w:szCs w:val="20"/>
          <w:rtl/>
        </w:rPr>
        <w:t>עוד דוגמה מצאנו בידיעה ״נתונים קשים על מצב הקשישים בקורונה: הבדידות היא מצוקתנו העיקרית״ (</w:t>
      </w:r>
      <w:r w:rsidRPr="00EB3F46">
        <w:rPr>
          <w:rFonts w:ascii="Georgia" w:hAnsi="Georgia"/>
          <w:b/>
          <w:bCs/>
          <w:sz w:val="18"/>
          <w:szCs w:val="20"/>
          <w:rtl/>
        </w:rPr>
        <w:t>מעריב</w:t>
      </w:r>
      <w:r w:rsidRPr="00EB3F46">
        <w:rPr>
          <w:rFonts w:ascii="Georgia" w:hAnsi="Georgia"/>
          <w:sz w:val="18"/>
          <w:szCs w:val="20"/>
          <w:rtl/>
        </w:rPr>
        <w:t xml:space="preserve">, 22 באוקטובר 2020). התמונה הראשית שנבחרה לידיעה היא תמונת המחשה של קשישים מטושטשי פנים העורכים קניות בשוק, </w:t>
      </w:r>
      <w:r w:rsidR="008A539F">
        <w:rPr>
          <w:rFonts w:ascii="Georgia" w:hAnsi="Georgia" w:hint="cs"/>
          <w:sz w:val="18"/>
          <w:szCs w:val="20"/>
          <w:rtl/>
        </w:rPr>
        <w:t>ב</w:t>
      </w:r>
      <w:r w:rsidRPr="00EB3F46">
        <w:rPr>
          <w:rFonts w:ascii="Georgia" w:hAnsi="Georgia"/>
          <w:sz w:val="18"/>
          <w:szCs w:val="20"/>
          <w:rtl/>
        </w:rPr>
        <w:t>העמדה המשדרת עוני ודלות (</w:t>
      </w:r>
      <w:proofErr w:type="spellStart"/>
      <w:r w:rsidRPr="00EB3F46">
        <w:rPr>
          <w:rFonts w:ascii="Georgia" w:hAnsi="Georgia"/>
          <w:sz w:val="18"/>
          <w:szCs w:val="20"/>
          <w:rtl/>
        </w:rPr>
        <w:t>פירסט</w:t>
      </w:r>
      <w:proofErr w:type="spellEnd"/>
      <w:r w:rsidRPr="00EB3F46">
        <w:rPr>
          <w:rFonts w:ascii="Georgia" w:hAnsi="Georgia"/>
          <w:sz w:val="18"/>
          <w:szCs w:val="20"/>
          <w:rtl/>
        </w:rPr>
        <w:t xml:space="preserve"> </w:t>
      </w:r>
      <w:proofErr w:type="spellStart"/>
      <w:r w:rsidRPr="00EB3F46">
        <w:rPr>
          <w:rFonts w:ascii="Georgia" w:hAnsi="Georgia"/>
          <w:sz w:val="18"/>
          <w:szCs w:val="20"/>
          <w:rtl/>
        </w:rPr>
        <w:t>ורמר-ביאל</w:t>
      </w:r>
      <w:proofErr w:type="spellEnd"/>
      <w:r w:rsidRPr="00EB3F46">
        <w:rPr>
          <w:rFonts w:ascii="Georgia" w:hAnsi="Georgia"/>
          <w:sz w:val="18"/>
          <w:szCs w:val="20"/>
          <w:rtl/>
        </w:rPr>
        <w:t xml:space="preserve">, 2007, עמ' 52). תמונה נוספת (שני הצילומים של פלאש 90), גם היא המחשה, צולמה בבית אבות סיעודי. הקשישים יושבים כולם בכיסאות גלגלים, נראים קפואים ולא מתקשרים, כמתים-חיים. בידיעה עצמה לא הסתפקו העורכים בנתונים הנוגעים לקורונה, ושילבו בה עוד שלל נתונים הנוגעים למסכנותם ולקשיהם של המבוגרים. כך נוצר נרטיב ולפיו משמעותה של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היא לא רק חולי אלא גם עוני, בדידות, דיכאון וסבל. העילה האקטואלית לידיעה הייתה הכרזה על תוכנית של משרד הרווחה דאז, שגם המסגור שלה היה ״עזרה לקשישים״, בהכללה. </w:t>
      </w:r>
    </w:p>
    <w:p w14:paraId="17AD9C45" w14:textId="77777777" w:rsidR="00EB3F46" w:rsidRPr="00EB3F46" w:rsidRDefault="00EB3F46" w:rsidP="00EB3F46">
      <w:pPr>
        <w:spacing w:after="180" w:line="280" w:lineRule="exact"/>
        <w:rPr>
          <w:rFonts w:ascii="Georgia" w:hAnsi="Georgia"/>
          <w:sz w:val="18"/>
          <w:szCs w:val="20"/>
          <w:rtl/>
        </w:rPr>
      </w:pPr>
    </w:p>
    <w:p w14:paraId="06551A37" w14:textId="019B3C7E" w:rsidR="00EB3F46" w:rsidRDefault="007F12E9" w:rsidP="008666ED">
      <w:pPr>
        <w:spacing w:line="240" w:lineRule="atLeast"/>
        <w:rPr>
          <w:rFonts w:ascii="Georgia" w:hAnsi="Georgia"/>
          <w:noProof/>
          <w:sz w:val="18"/>
          <w:szCs w:val="20"/>
        </w:rPr>
      </w:pPr>
      <w:r>
        <w:rPr>
          <w:rFonts w:ascii="Georgia" w:hAnsi="Georgia"/>
          <w:noProof/>
          <w:sz w:val="18"/>
          <w:szCs w:val="20"/>
        </w:rPr>
        <w:lastRenderedPageBreak/>
        <w:drawing>
          <wp:inline distT="0" distB="0" distL="0" distR="0" wp14:anchorId="1FBB4C39" wp14:editId="0A8DEDAE">
            <wp:extent cx="3132455" cy="2422525"/>
            <wp:effectExtent l="0" t="0" r="0" b="0"/>
            <wp:docPr id="4" name="תמונה 1" descr="בשוק, קשיש דוחף עגלת קניות ובה מצרכים מהש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1" descr="בשוק, קשיש דוחף עגלת קניות ובה מצרכים מהשו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2455" cy="2422525"/>
                    </a:xfrm>
                    <a:prstGeom prst="rect">
                      <a:avLst/>
                    </a:prstGeom>
                    <a:noFill/>
                    <a:ln>
                      <a:noFill/>
                    </a:ln>
                  </pic:spPr>
                </pic:pic>
              </a:graphicData>
            </a:graphic>
          </wp:inline>
        </w:drawing>
      </w:r>
    </w:p>
    <w:p w14:paraId="3B6C5A48" w14:textId="2203CB35" w:rsidR="00FB0748" w:rsidRPr="00EB3F46" w:rsidRDefault="00FB0748" w:rsidP="00F56BAD">
      <w:pPr>
        <w:spacing w:after="180" w:line="240" w:lineRule="atLeast"/>
        <w:rPr>
          <w:rFonts w:ascii="Georgia" w:hAnsi="Georgia"/>
          <w:noProof/>
          <w:sz w:val="18"/>
          <w:szCs w:val="20"/>
          <w:rtl/>
        </w:rPr>
      </w:pPr>
      <w:r w:rsidRPr="00AA132A">
        <w:rPr>
          <w:rFonts w:ascii="David" w:hAnsi="David"/>
          <w:b/>
          <w:bCs/>
          <w:sz w:val="16"/>
          <w:szCs w:val="16"/>
          <w:rtl/>
        </w:rPr>
        <w:t>מעריב</w:t>
      </w:r>
      <w:r w:rsidRPr="00AA132A">
        <w:rPr>
          <w:rFonts w:ascii="David" w:hAnsi="David"/>
          <w:sz w:val="16"/>
          <w:szCs w:val="16"/>
          <w:rtl/>
        </w:rPr>
        <w:t xml:space="preserve">. צילום: מרים </w:t>
      </w:r>
      <w:proofErr w:type="spellStart"/>
      <w:r w:rsidRPr="00AA132A">
        <w:rPr>
          <w:rFonts w:ascii="David" w:hAnsi="David"/>
          <w:sz w:val="16"/>
          <w:szCs w:val="16"/>
          <w:rtl/>
        </w:rPr>
        <w:t>אלסטר</w:t>
      </w:r>
      <w:proofErr w:type="spellEnd"/>
      <w:r w:rsidRPr="00AA132A">
        <w:rPr>
          <w:rFonts w:ascii="David" w:hAnsi="David"/>
          <w:sz w:val="16"/>
          <w:szCs w:val="16"/>
          <w:rtl/>
        </w:rPr>
        <w:t>, פלאש 90</w:t>
      </w:r>
    </w:p>
    <w:p w14:paraId="27CB5A44" w14:textId="77777777" w:rsidR="00854951" w:rsidRDefault="00854951" w:rsidP="008666ED">
      <w:pPr>
        <w:spacing w:line="240" w:lineRule="atLeast"/>
        <w:rPr>
          <w:rFonts w:ascii="Georgia" w:hAnsi="Georgia"/>
          <w:sz w:val="18"/>
          <w:szCs w:val="20"/>
        </w:rPr>
      </w:pPr>
      <w:r>
        <w:rPr>
          <w:rFonts w:ascii="Georgia" w:hAnsi="Georgia"/>
          <w:noProof/>
          <w:sz w:val="18"/>
          <w:szCs w:val="20"/>
        </w:rPr>
        <w:drawing>
          <wp:inline distT="0" distB="0" distL="0" distR="0" wp14:anchorId="60AE197B" wp14:editId="08182027">
            <wp:extent cx="3132455" cy="2081530"/>
            <wp:effectExtent l="0" t="0" r="0" b="0"/>
            <wp:docPr id="23" name="תמונה 3" descr="קשישים בבית אבות יושבים בכיסאות גלגלים בחוסר מע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3" descr="קשישים בבית אבות יושבים בכיסאות גלגלים בחוסר מעש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455" cy="2081530"/>
                    </a:xfrm>
                    <a:prstGeom prst="rect">
                      <a:avLst/>
                    </a:prstGeom>
                    <a:noFill/>
                    <a:ln>
                      <a:noFill/>
                    </a:ln>
                  </pic:spPr>
                </pic:pic>
              </a:graphicData>
            </a:graphic>
          </wp:inline>
        </w:drawing>
      </w:r>
    </w:p>
    <w:p w14:paraId="3F52A5C4" w14:textId="77777777" w:rsidR="00854951" w:rsidRPr="00EB3F46" w:rsidRDefault="00854951" w:rsidP="00F56BAD">
      <w:pPr>
        <w:spacing w:after="180" w:line="240" w:lineRule="atLeast"/>
        <w:rPr>
          <w:rFonts w:ascii="Georgia" w:hAnsi="Georgia"/>
          <w:sz w:val="18"/>
          <w:szCs w:val="20"/>
          <w:rtl/>
        </w:rPr>
      </w:pPr>
      <w:r w:rsidRPr="00AA132A">
        <w:rPr>
          <w:rFonts w:ascii="David" w:hAnsi="David"/>
          <w:b/>
          <w:bCs/>
          <w:sz w:val="16"/>
          <w:szCs w:val="16"/>
          <w:rtl/>
        </w:rPr>
        <w:t>מעריב</w:t>
      </w:r>
      <w:r w:rsidRPr="00AA132A">
        <w:rPr>
          <w:rFonts w:ascii="David" w:hAnsi="David"/>
          <w:sz w:val="16"/>
          <w:szCs w:val="16"/>
          <w:rtl/>
        </w:rPr>
        <w:t>. צילום: אנה קפלן, פלאש 90</w:t>
      </w:r>
    </w:p>
    <w:p w14:paraId="09DB58AC" w14:textId="77777777" w:rsidR="00EB3F46" w:rsidRPr="00EB3F46" w:rsidRDefault="00EB3F46" w:rsidP="004243DE">
      <w:pPr>
        <w:spacing w:after="180" w:line="280" w:lineRule="exact"/>
        <w:jc w:val="both"/>
        <w:rPr>
          <w:rFonts w:ascii="Georgia" w:hAnsi="Georgia"/>
          <w:sz w:val="18"/>
          <w:szCs w:val="20"/>
          <w:rtl/>
        </w:rPr>
      </w:pPr>
      <w:r w:rsidRPr="00EB3F46">
        <w:rPr>
          <w:rFonts w:ascii="Georgia" w:hAnsi="Georgia"/>
          <w:sz w:val="18"/>
          <w:szCs w:val="20"/>
          <w:rtl/>
        </w:rPr>
        <w:t>יוצא מן הכלל המעיד על הכלל נמצא בדמות ידיעה קטנה ונידחת ("ידיעת טור", בשפה המקצועית) בעמוד אחורי יחסית: "בת 99 ניצחה את הקורונה"</w:t>
      </w:r>
      <w:r w:rsidRPr="00EB3F46">
        <w:rPr>
          <w:rFonts w:ascii="Georgia" w:hAnsi="Georgia"/>
          <w:i/>
          <w:iCs/>
          <w:sz w:val="18"/>
          <w:szCs w:val="20"/>
          <w:rtl/>
        </w:rPr>
        <w:t xml:space="preserve"> </w:t>
      </w:r>
      <w:r w:rsidRPr="00EB3F46">
        <w:rPr>
          <w:rFonts w:ascii="Georgia" w:hAnsi="Georgia"/>
          <w:sz w:val="18"/>
          <w:szCs w:val="20"/>
          <w:rtl/>
        </w:rPr>
        <w:t>(</w:t>
      </w:r>
      <w:r w:rsidRPr="00EB3F46">
        <w:rPr>
          <w:rFonts w:ascii="Georgia" w:hAnsi="Georgia"/>
          <w:b/>
          <w:bCs/>
          <w:sz w:val="18"/>
          <w:szCs w:val="20"/>
          <w:rtl/>
        </w:rPr>
        <w:t>ידיעות אחרונות</w:t>
      </w:r>
      <w:r w:rsidRPr="00EB3F46">
        <w:rPr>
          <w:rFonts w:ascii="Georgia" w:hAnsi="Georgia"/>
          <w:sz w:val="18"/>
          <w:szCs w:val="20"/>
          <w:rtl/>
        </w:rPr>
        <w:t>, 11 במאי 2020).</w:t>
      </w:r>
      <w:r w:rsidRPr="00EB3F46">
        <w:rPr>
          <w:rFonts w:ascii="Georgia" w:hAnsi="Georgia"/>
          <w:i/>
          <w:iCs/>
          <w:sz w:val="18"/>
          <w:szCs w:val="20"/>
          <w:rtl/>
        </w:rPr>
        <w:t xml:space="preserve"> </w:t>
      </w:r>
      <w:r w:rsidRPr="00EB3F46">
        <w:rPr>
          <w:rFonts w:ascii="Georgia" w:hAnsi="Georgia"/>
          <w:sz w:val="18"/>
          <w:szCs w:val="20"/>
          <w:rtl/>
        </w:rPr>
        <w:t xml:space="preserve">מתוך הידיעה, ועל משקל "אדם [ש]נשך כלב", אנו למדים כי המקרה כה נדיר עד כי הוא ראוי לידיעה ולאזכור בתקשורת </w:t>
      </w:r>
      <w:r w:rsidRPr="00EB3F46">
        <w:rPr>
          <w:rFonts w:ascii="Georgia" w:hAnsi="Georgia"/>
          <w:sz w:val="18"/>
          <w:szCs w:val="20"/>
          <w:shd w:val="clear" w:color="auto" w:fill="FFFFFF"/>
          <w:rtl/>
        </w:rPr>
        <w:t>–</w:t>
      </w:r>
      <w:r w:rsidRPr="00EB3F46">
        <w:rPr>
          <w:rFonts w:ascii="Georgia" w:hAnsi="Georgia"/>
          <w:sz w:val="18"/>
          <w:szCs w:val="20"/>
          <w:rtl/>
        </w:rPr>
        <w:t xml:space="preserve"> גם אם אזוטרי וחשוד במסר סמוי ולפיו קשישים לא אמורים לשרוד את המחלה. </w:t>
      </w:r>
    </w:p>
    <w:p w14:paraId="3EE563CD" w14:textId="35272182"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גם אזכורים ניטרליים לכאורה אחרים היו שליליים, כלומר ידיעות חיוביות שהמשמעות המוסווית שלהן שלילית. למשל, תיאור של אדם או קבוצת אנשים הפועלים "לעשות טוב לקשישים". בידיעות הללו הקשישים הם נזקקים בהכללה, וזקוקים לכך שאחרים יתגייסו </w:t>
      </w:r>
      <w:r w:rsidRPr="00EB3F46">
        <w:rPr>
          <w:rFonts w:ascii="Georgia" w:hAnsi="Georgia"/>
          <w:sz w:val="18"/>
          <w:szCs w:val="20"/>
          <w:rtl/>
        </w:rPr>
        <w:lastRenderedPageBreak/>
        <w:t xml:space="preserve">למענם. זהו ה"סנטימנט הניטרלי". שתי כתבות בלבד התייחסו בחיוב לגיל השלישי, ואחת מהן הייתה כתבת תוכן שיווקי בשיתוף דיור מוגן. </w:t>
      </w:r>
    </w:p>
    <w:p w14:paraId="0132747C"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תוצאה דומה עלתה מ-122 הידיעות הרלוונטיות שנמצאו בחיפוש המילה "זקן" על הטיותיה. בהתאמה לכך, התמונות שלצד הידיעות הללו משקפות גם הן מסר דומה. במיוחד אמור הדבר בנוגע לסיקור בחדשות, שהגיע לשיאו בסדרת כתבות שפרסם </w:t>
      </w:r>
      <w:r w:rsidRPr="00EB3F46">
        <w:rPr>
          <w:rFonts w:ascii="Georgia" w:hAnsi="Georgia"/>
          <w:b/>
          <w:bCs/>
          <w:sz w:val="18"/>
          <w:szCs w:val="20"/>
          <w:rtl/>
        </w:rPr>
        <w:t>ידיעות אחרונות</w:t>
      </w:r>
      <w:r w:rsidRPr="00EB3F46">
        <w:rPr>
          <w:rFonts w:ascii="Georgia" w:hAnsi="Georgia"/>
          <w:sz w:val="18"/>
          <w:szCs w:val="20"/>
          <w:rtl/>
        </w:rPr>
        <w:t xml:space="preserve"> לקראת יום השואה הבין-לאומי (27 בינואר). בכל יום התפרסמה כתבה ובה צולם ורואיין קשיש חסר אונים, עני, מתחנן לעזרה. נרחיב על כך בניתוח התמונות. </w:t>
      </w:r>
    </w:p>
    <w:p w14:paraId="07AB77B1"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color w:val="000000"/>
          <w:sz w:val="18"/>
          <w:szCs w:val="20"/>
          <w:rtl/>
        </w:rPr>
        <w:t>בהקשר זה, ממצאי מחקרם של אברהם ואח' (2004), שניתחו מהדורות חדשות, תוכניות תחקירים ואקטואליה, תוכניות אירוח וסאטירה, שעשועונים ודרמות, מלמדים כי קיימת קבוצה דומיננטית (גברים, יהודים, חילונים, אשכנזים ותיקים) הזוכה להופעה חיובית יותר על המסך, וכי קבוצות המיעוט הן דומיננטיות רק בהקשר של הצגת דמויות שליליות. לטענתם, הדומיננטיות של קבוצת הרוב גורמת לציבור לתפוס את כוחן של קבוצות מוחלשות כמצב טבעי, ומקבעת את הדימויים הסטראוטיפיים הנקשרים בהן. בטענה זו יש משום הסבר לחוסר תשומת הלב העצמית והציבורית לייצוג זה בתקשורת.</w:t>
      </w:r>
    </w:p>
    <w:p w14:paraId="581B6F15" w14:textId="77777777" w:rsidR="00EB3F46" w:rsidRPr="00EB3F46" w:rsidRDefault="00EB3F46" w:rsidP="002374D0">
      <w:pPr>
        <w:spacing w:after="180" w:line="280" w:lineRule="exact"/>
        <w:jc w:val="both"/>
        <w:rPr>
          <w:rFonts w:ascii="Georgia" w:hAnsi="Georgia"/>
          <w:b/>
          <w:bCs/>
          <w:sz w:val="18"/>
          <w:szCs w:val="20"/>
          <w:rtl/>
        </w:rPr>
      </w:pPr>
      <w:r w:rsidRPr="00EB3F46">
        <w:rPr>
          <w:rFonts w:ascii="Georgia" w:hAnsi="Georgia"/>
          <w:sz w:val="18"/>
          <w:szCs w:val="20"/>
          <w:rtl/>
        </w:rPr>
        <w:t xml:space="preserve">המילה "מבוגר" על הטיותיה הופיעה ב-412 כתבות רלוונטיות, מתוך יותר מ-2,500 כתבות בסך </w:t>
      </w:r>
      <w:proofErr w:type="spellStart"/>
      <w:r w:rsidRPr="00EB3F46">
        <w:rPr>
          <w:rFonts w:ascii="Georgia" w:hAnsi="Georgia"/>
          <w:sz w:val="18"/>
          <w:szCs w:val="20"/>
          <w:rtl/>
        </w:rPr>
        <w:t>הכל</w:t>
      </w:r>
      <w:proofErr w:type="spellEnd"/>
      <w:r w:rsidRPr="00EB3F46">
        <w:rPr>
          <w:rFonts w:ascii="Georgia" w:hAnsi="Georgia"/>
          <w:sz w:val="18"/>
          <w:szCs w:val="20"/>
          <w:rtl/>
        </w:rPr>
        <w:t xml:space="preserve"> שבהן אוזכרה המילה. בחלק ניכר מהמקרים נעשה השימוש במילה לצורך גיוון (כדי להימנע מחזרה על המילה "קשיש" או "זקן"), או בנושאים שאינם קשורים </w:t>
      </w:r>
      <w:proofErr w:type="spellStart"/>
      <w:r w:rsidRPr="00EB3F46">
        <w:rPr>
          <w:rFonts w:ascii="Georgia" w:hAnsi="Georgia"/>
          <w:sz w:val="18"/>
          <w:szCs w:val="20"/>
          <w:rtl/>
        </w:rPr>
        <w:t>לזיקנה</w:t>
      </w:r>
      <w:proofErr w:type="spellEnd"/>
      <w:r w:rsidRPr="00EB3F46">
        <w:rPr>
          <w:rFonts w:ascii="Georgia" w:hAnsi="Georgia"/>
          <w:sz w:val="18"/>
          <w:szCs w:val="20"/>
          <w:rtl/>
        </w:rPr>
        <w:t xml:space="preserve"> </w:t>
      </w:r>
      <w:proofErr w:type="spellStart"/>
      <w:r w:rsidRPr="00EB3F46">
        <w:rPr>
          <w:rFonts w:ascii="Georgia" w:hAnsi="Georgia"/>
          <w:sz w:val="18"/>
          <w:szCs w:val="20"/>
          <w:rtl/>
        </w:rPr>
        <w:t>ולגילנות</w:t>
      </w:r>
      <w:proofErr w:type="spellEnd"/>
      <w:r w:rsidRPr="00EB3F46">
        <w:rPr>
          <w:rFonts w:ascii="Georgia" w:hAnsi="Georgia"/>
          <w:sz w:val="18"/>
          <w:szCs w:val="20"/>
          <w:rtl/>
        </w:rPr>
        <w:t xml:space="preserve">. בכתבות שהופיעה בהן רק המילה "מבוגר", הנרטיב היה לעיתים חיובי או ניטרלי יותר מאשר במקרים שנבחרו המילים "קשיש" או "זקן". במיוחד נכון הדבר באשר לכתבות שהתייחסו לאנשים מפורסמים בני הגיל השלישי, כמו נשיא ארצות הברית הנכנס ג'ו </w:t>
      </w:r>
      <w:proofErr w:type="spellStart"/>
      <w:r w:rsidRPr="00EB3F46">
        <w:rPr>
          <w:rFonts w:ascii="Georgia" w:hAnsi="Georgia"/>
          <w:sz w:val="18"/>
          <w:szCs w:val="20"/>
          <w:rtl/>
        </w:rPr>
        <w:t>ביידן</w:t>
      </w:r>
      <w:proofErr w:type="spellEnd"/>
      <w:r w:rsidRPr="00EB3F46">
        <w:rPr>
          <w:rFonts w:ascii="Georgia" w:hAnsi="Georgia"/>
          <w:sz w:val="18"/>
          <w:szCs w:val="20"/>
          <w:rtl/>
        </w:rPr>
        <w:t xml:space="preserve">, שגילו צוין שוב ושוב (לעיתים לחיוב ולרוב לשלילה), או ידוענים שונים. ככלל, בכתבות שעסקו במישרין במגפת הקורונה נבחרו כמעט בכל הכותרות המילים "זקן" או "קשיש", ולא "מבוגר". </w:t>
      </w:r>
    </w:p>
    <w:p w14:paraId="2F815D4C" w14:textId="77777777" w:rsidR="00EB3F46" w:rsidRPr="00EB3F46" w:rsidRDefault="00EB3F46" w:rsidP="00EB3F46">
      <w:pPr>
        <w:spacing w:after="180" w:line="280" w:lineRule="exact"/>
        <w:jc w:val="both"/>
        <w:rPr>
          <w:rFonts w:ascii="Georgia" w:hAnsi="Georgia"/>
          <w:b/>
          <w:bCs/>
          <w:sz w:val="18"/>
          <w:szCs w:val="20"/>
          <w:rtl/>
        </w:rPr>
      </w:pPr>
    </w:p>
    <w:p w14:paraId="10E4F48B" w14:textId="418226D8"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 xml:space="preserve">הסובייקט: של מי הקול? </w:t>
      </w:r>
    </w:p>
    <w:p w14:paraId="3A863A5C"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בכותרת לכתבה על קשישים וילדיהם בתקופת הקורונה, שבה הקשישים נראים רק מרחוק, ותמונותיהם מעוררות רחמים, ילדיהם הם שמדברים: "אני רוצה ש</w:t>
      </w:r>
      <w:r w:rsidRPr="00EB3F46">
        <w:rPr>
          <w:rFonts w:ascii="Georgia" w:hAnsi="Georgia"/>
          <w:b/>
          <w:bCs/>
          <w:sz w:val="18"/>
          <w:szCs w:val="20"/>
          <w:rtl/>
        </w:rPr>
        <w:t>הוא</w:t>
      </w:r>
      <w:r w:rsidRPr="00EB3F46">
        <w:rPr>
          <w:rFonts w:ascii="Georgia" w:hAnsi="Georgia"/>
          <w:sz w:val="18"/>
          <w:szCs w:val="20"/>
          <w:rtl/>
        </w:rPr>
        <w:t xml:space="preserve"> יהיה בבית, כדי שאוכל לוודא </w:t>
      </w:r>
      <w:proofErr w:type="spellStart"/>
      <w:r w:rsidRPr="00EB3F46">
        <w:rPr>
          <w:rFonts w:ascii="Georgia" w:hAnsi="Georgia"/>
          <w:sz w:val="18"/>
          <w:szCs w:val="20"/>
          <w:rtl/>
        </w:rPr>
        <w:t>שהכל</w:t>
      </w:r>
      <w:proofErr w:type="spellEnd"/>
      <w:r w:rsidRPr="00EB3F46">
        <w:rPr>
          <w:rFonts w:ascii="Georgia" w:hAnsi="Georgia"/>
          <w:sz w:val="18"/>
          <w:szCs w:val="20"/>
          <w:rtl/>
        </w:rPr>
        <w:t xml:space="preserve"> בסדר"</w:t>
      </w:r>
      <w:r w:rsidRPr="00EB3F46">
        <w:rPr>
          <w:rFonts w:ascii="Georgia" w:hAnsi="Georgia"/>
          <w:i/>
          <w:iCs/>
          <w:sz w:val="18"/>
          <w:szCs w:val="20"/>
          <w:rtl/>
        </w:rPr>
        <w:t xml:space="preserve"> </w:t>
      </w:r>
      <w:r w:rsidRPr="00EB3F46">
        <w:rPr>
          <w:rFonts w:ascii="Georgia" w:hAnsi="Georgia"/>
          <w:sz w:val="18"/>
          <w:szCs w:val="20"/>
          <w:rtl/>
        </w:rPr>
        <w:t xml:space="preserve">(גיל-עד, 2020). בהמשך הכתבה ובכותרת המשנה מצוטטת בתו של הקשיש: "צריך לתת </w:t>
      </w:r>
      <w:r w:rsidRPr="00EB3F46">
        <w:rPr>
          <w:rFonts w:ascii="Georgia" w:hAnsi="Georgia"/>
          <w:b/>
          <w:bCs/>
          <w:sz w:val="18"/>
          <w:szCs w:val="20"/>
          <w:rtl/>
        </w:rPr>
        <w:t xml:space="preserve">להם </w:t>
      </w:r>
      <w:r w:rsidRPr="00EB3F46">
        <w:rPr>
          <w:rFonts w:ascii="Georgia" w:hAnsi="Georgia"/>
          <w:sz w:val="18"/>
          <w:szCs w:val="20"/>
          <w:rtl/>
        </w:rPr>
        <w:t>לגמור את החיים בכבוד" [ההדגשה של המחברים].</w:t>
      </w:r>
    </w:p>
    <w:p w14:paraId="4A79A84C" w14:textId="0014ECC4"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ביותר מ-80% מהכתבות והידיעות על אנשים מבוגרים, הילדים והנכדים מדברים בשמם</w:t>
      </w:r>
      <w:r w:rsidR="00782D6E">
        <w:rPr>
          <w:rFonts w:ascii="Georgia" w:hAnsi="Georgia" w:hint="cs"/>
          <w:sz w:val="18"/>
          <w:szCs w:val="20"/>
          <w:rtl/>
        </w:rPr>
        <w:t>,</w:t>
      </w:r>
      <w:r w:rsidRPr="00EB3F46">
        <w:rPr>
          <w:rFonts w:ascii="Georgia" w:hAnsi="Georgia"/>
          <w:sz w:val="18"/>
          <w:szCs w:val="20"/>
          <w:rtl/>
        </w:rPr>
        <w:t xml:space="preserve"> למשל: "הורגים אותם מבדידות ודיכאון", אומרת בתה של אישה מבוגרת</w:t>
      </w:r>
      <w:r w:rsidRPr="00EB3F46">
        <w:rPr>
          <w:rFonts w:ascii="Georgia" w:hAnsi="Georgia"/>
          <w:i/>
          <w:iCs/>
          <w:sz w:val="18"/>
          <w:szCs w:val="20"/>
          <w:rtl/>
        </w:rPr>
        <w:t xml:space="preserve"> </w:t>
      </w:r>
      <w:r w:rsidRPr="00EB3F46">
        <w:rPr>
          <w:rFonts w:ascii="Georgia" w:hAnsi="Georgia"/>
          <w:sz w:val="18"/>
          <w:szCs w:val="20"/>
          <w:rtl/>
        </w:rPr>
        <w:t>(אלבז-אלוש, 2020). ברבות מהידיעות האחרות הדוברים הם מנהלי בתי אבות, "אנחנו לבד במלחמה"</w:t>
      </w:r>
      <w:r w:rsidRPr="00EB3F46">
        <w:rPr>
          <w:rFonts w:ascii="Georgia" w:hAnsi="Georgia"/>
          <w:i/>
          <w:iCs/>
          <w:sz w:val="18"/>
          <w:szCs w:val="20"/>
          <w:rtl/>
        </w:rPr>
        <w:t xml:space="preserve"> </w:t>
      </w:r>
      <w:r w:rsidRPr="00EB3F46">
        <w:rPr>
          <w:rFonts w:ascii="Georgia" w:hAnsi="Georgia"/>
          <w:sz w:val="18"/>
          <w:szCs w:val="20"/>
          <w:rtl/>
        </w:rPr>
        <w:t>(ינקו, 2020), או המטפלים: "</w:t>
      </w:r>
      <w:r w:rsidRPr="00EB3F46">
        <w:rPr>
          <w:rFonts w:ascii="Georgia" w:hAnsi="Georgia"/>
          <w:b/>
          <w:bCs/>
          <w:sz w:val="18"/>
          <w:szCs w:val="20"/>
          <w:rtl/>
        </w:rPr>
        <w:t>הם</w:t>
      </w:r>
      <w:r w:rsidRPr="00EB3F46">
        <w:rPr>
          <w:rFonts w:ascii="Georgia" w:hAnsi="Georgia"/>
          <w:sz w:val="18"/>
          <w:szCs w:val="20"/>
          <w:rtl/>
        </w:rPr>
        <w:t xml:space="preserve"> עלולים לפתח סימפטומים של דיכאון" [ההדגשה של </w:t>
      </w:r>
      <w:r w:rsidRPr="00EB3F46">
        <w:rPr>
          <w:rFonts w:ascii="Georgia" w:hAnsi="Georgia"/>
          <w:sz w:val="18"/>
          <w:szCs w:val="20"/>
          <w:rtl/>
        </w:rPr>
        <w:lastRenderedPageBreak/>
        <w:t xml:space="preserve">המחברים] </w:t>
      </w:r>
      <w:r w:rsidR="00782D6E">
        <w:rPr>
          <w:rFonts w:ascii="Georgia" w:hAnsi="Georgia" w:hint="cs"/>
          <w:sz w:val="18"/>
          <w:szCs w:val="20"/>
          <w:rtl/>
        </w:rPr>
        <w:t>(</w:t>
      </w:r>
      <w:r w:rsidRPr="00EB3F46">
        <w:rPr>
          <w:rFonts w:ascii="Georgia" w:hAnsi="Georgia"/>
          <w:sz w:val="18"/>
          <w:szCs w:val="20"/>
          <w:rtl/>
        </w:rPr>
        <w:t xml:space="preserve">כתבה שכותרתה "הסכנה הכפולה של הקשישים". </w:t>
      </w:r>
      <w:r w:rsidRPr="00EB3F46">
        <w:rPr>
          <w:rFonts w:ascii="Georgia" w:hAnsi="Georgia"/>
          <w:b/>
          <w:bCs/>
          <w:sz w:val="18"/>
          <w:szCs w:val="20"/>
          <w:rtl/>
        </w:rPr>
        <w:t>ידיעות אחרונות</w:t>
      </w:r>
      <w:r w:rsidRPr="00EB3F46">
        <w:rPr>
          <w:rFonts w:ascii="Georgia" w:hAnsi="Georgia"/>
          <w:sz w:val="18"/>
          <w:szCs w:val="20"/>
          <w:rtl/>
        </w:rPr>
        <w:t>, 24 במרץ 2020). במקרים המעטים שמובא קולם של הקשישים, מדובר לרוב בתחינה או בקשת רחמים. כך למשל, "אל תעזבני לעת קורונה"</w:t>
      </w:r>
      <w:r w:rsidRPr="00EB3F46">
        <w:rPr>
          <w:rFonts w:ascii="Georgia" w:hAnsi="Georgia"/>
          <w:i/>
          <w:iCs/>
          <w:sz w:val="18"/>
          <w:szCs w:val="20"/>
          <w:rtl/>
        </w:rPr>
        <w:t xml:space="preserve"> </w:t>
      </w:r>
      <w:r w:rsidRPr="00EB3F46">
        <w:rPr>
          <w:rFonts w:ascii="Georgia" w:hAnsi="Georgia"/>
          <w:sz w:val="18"/>
          <w:szCs w:val="20"/>
          <w:rtl/>
        </w:rPr>
        <w:t>(</w:t>
      </w:r>
      <w:r w:rsidRPr="00EB3F46">
        <w:rPr>
          <w:rFonts w:ascii="Georgia" w:hAnsi="Georgia"/>
          <w:b/>
          <w:bCs/>
          <w:sz w:val="18"/>
          <w:szCs w:val="20"/>
          <w:rtl/>
        </w:rPr>
        <w:t>ידיעות אחרונות</w:t>
      </w:r>
      <w:r w:rsidRPr="00EB3F46">
        <w:rPr>
          <w:rFonts w:ascii="Georgia" w:hAnsi="Georgia"/>
          <w:sz w:val="18"/>
          <w:szCs w:val="20"/>
          <w:rtl/>
        </w:rPr>
        <w:t>, 23 במרץ 2020). בכתבה זו, המתמקדת בבדידותם של הקשישים, מתאר הכתב את המבוגרים כך: "ספונים בבתיהם, מתקשים להצטייד במזון ובתרופות, וגם בני משפחתם אינם מורשים לבקר אותם ולסייע</w:t>
      </w:r>
      <w:r w:rsidR="00782D6E">
        <w:rPr>
          <w:rFonts w:ascii="Georgia" w:hAnsi="Georgia" w:hint="cs"/>
          <w:sz w:val="18"/>
          <w:szCs w:val="20"/>
          <w:rtl/>
        </w:rPr>
        <w:t xml:space="preserve">... </w:t>
      </w:r>
      <w:r w:rsidRPr="00EB3F46">
        <w:rPr>
          <w:rFonts w:ascii="Georgia" w:hAnsi="Georgia"/>
          <w:sz w:val="18"/>
          <w:szCs w:val="20"/>
          <w:rtl/>
        </w:rPr>
        <w:t xml:space="preserve"> נותרים בימים אלה מאחור".</w:t>
      </w:r>
    </w:p>
    <w:p w14:paraId="2FD0EAD5" w14:textId="31E33914" w:rsidR="00EB3F46" w:rsidRDefault="002E5B60" w:rsidP="004243DE">
      <w:pPr>
        <w:spacing w:line="240" w:lineRule="atLeast"/>
        <w:jc w:val="center"/>
        <w:rPr>
          <w:rFonts w:ascii="Georgia" w:hAnsi="Georgia" w:cs="Georgia"/>
          <w:noProof/>
          <w:sz w:val="18"/>
          <w:szCs w:val="18"/>
          <w:rtl/>
          <w:lang w:val="he-IL"/>
        </w:rPr>
      </w:pPr>
      <w:r>
        <w:rPr>
          <w:rFonts w:ascii="Georgia" w:hAnsi="Georgia"/>
          <w:noProof/>
          <w:sz w:val="18"/>
          <w:szCs w:val="20"/>
        </w:rPr>
        <w:drawing>
          <wp:inline distT="0" distB="0" distL="0" distR="0" wp14:anchorId="75117081" wp14:editId="4FAD2DCC">
            <wp:extent cx="4103370" cy="3452495"/>
            <wp:effectExtent l="0" t="0" r="0" b="0"/>
            <wp:docPr id="15" name="Picture 15" descr="צילום של כתבה שכותרתה אל תעזבני לעת 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צילום של כתבה שכותרתה אל תעזבני לעת קורונה"/>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3370" cy="3452495"/>
                    </a:xfrm>
                    <a:prstGeom prst="rect">
                      <a:avLst/>
                    </a:prstGeom>
                  </pic:spPr>
                </pic:pic>
              </a:graphicData>
            </a:graphic>
          </wp:inline>
        </w:drawing>
      </w:r>
    </w:p>
    <w:p w14:paraId="14668D10" w14:textId="77EF9BE3" w:rsidR="00FB0748" w:rsidRPr="00DD5EAA" w:rsidRDefault="00DD5EAA" w:rsidP="00F56BAD">
      <w:pPr>
        <w:spacing w:after="180" w:line="240" w:lineRule="atLeast"/>
        <w:rPr>
          <w:rFonts w:ascii="Georgia" w:hAnsi="Georgia"/>
          <w:sz w:val="18"/>
          <w:szCs w:val="20"/>
          <w:rtl/>
        </w:rPr>
      </w:pPr>
      <w:r>
        <w:rPr>
          <w:rFonts w:ascii="David" w:hAnsi="David" w:hint="cs"/>
          <w:b/>
          <w:bCs/>
          <w:sz w:val="16"/>
          <w:szCs w:val="16"/>
          <w:rtl/>
        </w:rPr>
        <w:t>ידיעות אחרונות</w:t>
      </w:r>
      <w:r w:rsidR="002E5B60" w:rsidRPr="002E5B60">
        <w:rPr>
          <w:rFonts w:ascii="David" w:hAnsi="David"/>
          <w:b/>
          <w:bCs/>
          <w:sz w:val="16"/>
          <w:szCs w:val="16"/>
          <w:rtl/>
        </w:rPr>
        <w:t>.</w:t>
      </w:r>
      <w:r w:rsidR="002E5B60" w:rsidRPr="00DD5EAA">
        <w:rPr>
          <w:rFonts w:ascii="David" w:hAnsi="David"/>
          <w:sz w:val="16"/>
          <w:szCs w:val="16"/>
          <w:rtl/>
        </w:rPr>
        <w:t xml:space="preserve"> צילומים יריב כץ</w:t>
      </w:r>
    </w:p>
    <w:p w14:paraId="7A94C137" w14:textId="77777777" w:rsidR="00EB3F46" w:rsidRPr="00EB3F46" w:rsidRDefault="00EB3F46" w:rsidP="004243DE">
      <w:pPr>
        <w:spacing w:after="180" w:line="280" w:lineRule="exact"/>
        <w:jc w:val="both"/>
        <w:rPr>
          <w:rFonts w:ascii="Georgia" w:hAnsi="Georgia"/>
          <w:sz w:val="18"/>
          <w:szCs w:val="20"/>
          <w:rtl/>
        </w:rPr>
      </w:pPr>
      <w:r w:rsidRPr="00EB3F46">
        <w:rPr>
          <w:rFonts w:ascii="Georgia" w:hAnsi="Georgia"/>
          <w:sz w:val="18"/>
          <w:szCs w:val="20"/>
          <w:rtl/>
        </w:rPr>
        <w:t xml:space="preserve">דבריהם של הקשישים כפי שצוטטו בכתבה משרתים את נרטיב המסכנות וחוסר האונים. "הבדידות גומרת על </w:t>
      </w:r>
      <w:proofErr w:type="spellStart"/>
      <w:r w:rsidRPr="00EB3F46">
        <w:rPr>
          <w:rFonts w:ascii="Georgia" w:hAnsi="Georgia"/>
          <w:sz w:val="18"/>
          <w:szCs w:val="20"/>
          <w:rtl/>
        </w:rPr>
        <w:t>הכל</w:t>
      </w:r>
      <w:proofErr w:type="spellEnd"/>
      <w:r w:rsidRPr="00EB3F46">
        <w:rPr>
          <w:rFonts w:ascii="Georgia" w:hAnsi="Georgia"/>
          <w:sz w:val="18"/>
          <w:szCs w:val="20"/>
          <w:rtl/>
        </w:rPr>
        <w:t xml:space="preserve">, זה נורא", אומרת שם יוכבד לוי. "בגיל שלי כבר אין את הכוחות לעבור את זה". </w:t>
      </w:r>
      <w:proofErr w:type="spellStart"/>
      <w:r w:rsidRPr="00EB3F46">
        <w:rPr>
          <w:rFonts w:ascii="Georgia" w:hAnsi="Georgia"/>
          <w:sz w:val="18"/>
          <w:szCs w:val="20"/>
          <w:rtl/>
        </w:rPr>
        <w:t>צ'רנה</w:t>
      </w:r>
      <w:proofErr w:type="spellEnd"/>
      <w:r w:rsidRPr="00EB3F46">
        <w:rPr>
          <w:rFonts w:ascii="Georgia" w:hAnsi="Georgia"/>
          <w:sz w:val="18"/>
          <w:szCs w:val="20"/>
          <w:rtl/>
        </w:rPr>
        <w:t xml:space="preserve"> דויד אומרת: "אני לא יודעת כמה זמן אחיה, אבל אני לא רוצה למות מקורונה". הדמות השלישית שנבחרה לכתבה, אסתר, היא כמעט קריקטורה של אומללות: עיוורת, אלמנה ללא ילדים ומתגוררת בגפה. "אין לי אף אחד", היא אומרת. בתמונה היא נראית נשענת על הליכון, ומוסיפה: "לולא הביטוח הלאומי שנתנו לי עוזרת פעם בשבוע לא הייתי מסתדרת". התמונות שנבחרו להופיע לצד הקול משלימות באופן בלתי מילולי את הנרטיב הנרקם: העמדה של הזקן מביט החוצה דרך החלון משלימה את הכותרת '"בית הסוהר", והזקנים הנשענים על הליכון מבטאים במישרין את מסר התלותיות. </w:t>
      </w:r>
      <w:proofErr w:type="spellStart"/>
      <w:r w:rsidRPr="00EB3F46">
        <w:rPr>
          <w:rFonts w:ascii="Georgia" w:hAnsi="Georgia"/>
          <w:sz w:val="18"/>
          <w:szCs w:val="20"/>
          <w:rtl/>
        </w:rPr>
        <w:t>צ'רנה</w:t>
      </w:r>
      <w:proofErr w:type="spellEnd"/>
      <w:r w:rsidRPr="00EB3F46">
        <w:rPr>
          <w:rFonts w:ascii="Georgia" w:hAnsi="Georgia"/>
          <w:sz w:val="18"/>
          <w:szCs w:val="20"/>
          <w:rtl/>
        </w:rPr>
        <w:t xml:space="preserve">, </w:t>
      </w:r>
      <w:r w:rsidRPr="00EB3F46">
        <w:rPr>
          <w:rFonts w:ascii="Georgia" w:hAnsi="Georgia"/>
          <w:sz w:val="18"/>
          <w:szCs w:val="20"/>
          <w:rtl/>
        </w:rPr>
        <w:lastRenderedPageBreak/>
        <w:t xml:space="preserve">המישירה מבט למצלמה ומחבקת בגאווה את כלבה, כאילו מנסה לשדר באמצעותה את מה שמסמל לעיתים כלב – חברו היחידי של האדם הבודד. </w:t>
      </w:r>
    </w:p>
    <w:p w14:paraId="37C55125"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שאר המרואיינים בכתבה זו, תופעה שחזרה על עצמה פעמים רבות, הם פוליטיקאים ואנשי החברה האזרחית, המדברים בשמם של הקשישים על הקושי ומשתמשים בו כדי לתקוף את הממשלה. ממש באותם עמודים, באותו יום, התפרסמה ידיעה על זוג מבוגרים שכתבו פוסט </w:t>
      </w:r>
      <w:proofErr w:type="spellStart"/>
      <w:r w:rsidRPr="00EB3F46">
        <w:rPr>
          <w:rFonts w:ascii="Georgia" w:hAnsi="Georgia"/>
          <w:sz w:val="18"/>
          <w:szCs w:val="20"/>
          <w:rtl/>
        </w:rPr>
        <w:t>בפייסבוק</w:t>
      </w:r>
      <w:proofErr w:type="spellEnd"/>
      <w:r w:rsidRPr="00EB3F46">
        <w:rPr>
          <w:rFonts w:ascii="Georgia" w:hAnsi="Georgia"/>
          <w:sz w:val="18"/>
          <w:szCs w:val="20"/>
          <w:rtl/>
        </w:rPr>
        <w:t xml:space="preserve"> על כך שהם לא רוצים שיחברו אותם למכונת הנשמה אם יחלו. "פשוט תרדימו אותנו", הם מבקשים. הקול קולם של הזקנים, אך הנרטיב הוא הנרטיב הרווח בשיח הציבורי: טוב מותם מחייהם.</w:t>
      </w:r>
    </w:p>
    <w:p w14:paraId="27C6BD27"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מבחירת המרואיינים והציטוטים עולה כי הכתבים והעורכים (במקרה זה, הכתב והעורך של הידיעה הם בשנות השלושים לחייהם), וכמוהם גם הצעירים בכתבות המובאות כאן ובשני הציטוטים שבהמשך, משוכנעים כמעט כולם שהמבוגרים הם שרואים את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כסיוט. </w:t>
      </w:r>
    </w:p>
    <w:p w14:paraId="0E534A4D" w14:textId="4F2C363A" w:rsidR="00EB3F46" w:rsidRPr="00EB3F46" w:rsidRDefault="00EB3F46" w:rsidP="002374D0">
      <w:pPr>
        <w:spacing w:after="180" w:line="280" w:lineRule="exact"/>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רמר-ביאל</w:t>
      </w:r>
      <w:proofErr w:type="spellEnd"/>
      <w:r w:rsidRPr="00EB3F46">
        <w:rPr>
          <w:rFonts w:ascii="Georgia" w:hAnsi="Georgia"/>
          <w:sz w:val="18"/>
          <w:szCs w:val="20"/>
          <w:shd w:val="clear" w:color="auto" w:fill="FFFFFF"/>
          <w:rtl/>
        </w:rPr>
        <w:t xml:space="preserve"> </w:t>
      </w:r>
      <w:proofErr w:type="spellStart"/>
      <w:r w:rsidRPr="00EB3F46">
        <w:rPr>
          <w:rFonts w:ascii="Georgia" w:hAnsi="Georgia"/>
          <w:sz w:val="18"/>
          <w:szCs w:val="20"/>
          <w:shd w:val="clear" w:color="auto" w:fill="FFFFFF"/>
          <w:rtl/>
        </w:rPr>
        <w:t>ופירסט</w:t>
      </w:r>
      <w:proofErr w:type="spellEnd"/>
      <w:r w:rsidRPr="00EB3F46">
        <w:rPr>
          <w:rFonts w:ascii="Georgia" w:hAnsi="Georgia"/>
          <w:sz w:val="18"/>
          <w:szCs w:val="20"/>
          <w:shd w:val="clear" w:color="auto" w:fill="FFFFFF"/>
          <w:rtl/>
        </w:rPr>
        <w:t xml:space="preserve"> (2013, עמ' 209) מעידות במחקרן על פרסומות של בתי אבות כי קולם של הדיירים </w:t>
      </w:r>
      <w:r w:rsidR="006250AD">
        <w:rPr>
          <w:rFonts w:ascii="Georgia" w:hAnsi="Georgia" w:hint="cs"/>
          <w:sz w:val="18"/>
          <w:szCs w:val="20"/>
          <w:shd w:val="clear" w:color="auto" w:fill="FFFFFF"/>
          <w:rtl/>
        </w:rPr>
        <w:t>אינו</w:t>
      </w:r>
      <w:r w:rsidR="006250AD" w:rsidRPr="00EB3F46">
        <w:rPr>
          <w:rFonts w:ascii="Georgia" w:hAnsi="Georgia"/>
          <w:sz w:val="18"/>
          <w:szCs w:val="20"/>
          <w:shd w:val="clear" w:color="auto" w:fill="FFFFFF"/>
          <w:rtl/>
        </w:rPr>
        <w:t xml:space="preserve"> </w:t>
      </w:r>
      <w:r w:rsidRPr="00EB3F46">
        <w:rPr>
          <w:rFonts w:ascii="Georgia" w:hAnsi="Georgia"/>
          <w:sz w:val="18"/>
          <w:szCs w:val="20"/>
          <w:shd w:val="clear" w:color="auto" w:fill="FFFFFF"/>
          <w:rtl/>
        </w:rPr>
        <w:t>נשמע. תחתיו נשמעים קולותיהם של גורמים ממסדיים וידוענים מבוגרים. אלה קוראים לבוא לדור במתחם, אך הם אינם דייריו. גמליאל (2013, עמ' 24) מראה את דחיקתם של הזקנים לשוליים החברתיים, והמקום הכמעט יחיד שבו מוכנים לשמוע את קולם הוא בסיפורים הנאספים וערוכים היטב, במחקר נרטיבי (גמליאל, 2013, עמ' 25). ממחקרים על סביבות טיפוליות עולה כי המטפל פונה לרוב למלווה הצעיר, במקום לשמוע את קולו והעדפותיו של הזקן המטופל (לדוגמה הנטמן, 2012; טופז, 2013).</w:t>
      </w:r>
    </w:p>
    <w:p w14:paraId="2C562A3D" w14:textId="6E293B30"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הקורונה העצימה את התפיסות הללו. הצורך "להגן על המבוגרים" הפך לנרטיב קיצוני, שאין בו כלל מבוגרים חיים; רק מתים, או בדרך למוות. למשל, בכתבה על המחסור במטפלים נכתב: "כואב הלב לראות את זה, לראות שאדם לעת זקנה כל כך חסר אונים"</w:t>
      </w:r>
      <w:r w:rsidRPr="00EB3F46">
        <w:rPr>
          <w:rFonts w:ascii="Georgia" w:hAnsi="Georgia"/>
          <w:i/>
          <w:iCs/>
          <w:sz w:val="18"/>
          <w:szCs w:val="20"/>
          <w:rtl/>
        </w:rPr>
        <w:t xml:space="preserve"> </w:t>
      </w:r>
      <w:r w:rsidRPr="00EB3F46">
        <w:rPr>
          <w:rFonts w:ascii="Georgia" w:hAnsi="Georgia"/>
          <w:sz w:val="18"/>
          <w:szCs w:val="20"/>
          <w:rtl/>
        </w:rPr>
        <w:t>(</w:t>
      </w:r>
      <w:r w:rsidRPr="00EB3F46">
        <w:rPr>
          <w:rFonts w:ascii="Georgia" w:hAnsi="Georgia"/>
          <w:b/>
          <w:bCs/>
          <w:sz w:val="18"/>
          <w:szCs w:val="20"/>
          <w:rtl/>
        </w:rPr>
        <w:t>ידיעות אחרונות</w:t>
      </w:r>
      <w:r w:rsidRPr="00EB3F46">
        <w:rPr>
          <w:rFonts w:ascii="Georgia" w:hAnsi="Georgia"/>
          <w:sz w:val="18"/>
          <w:szCs w:val="20"/>
          <w:rtl/>
        </w:rPr>
        <w:t xml:space="preserve">, 23 בספטמבר 2020), ובכתבה שרואיינו </w:t>
      </w:r>
      <w:r w:rsidR="00C401EE" w:rsidRPr="00EB3F46">
        <w:rPr>
          <w:rFonts w:ascii="Georgia" w:hAnsi="Georgia"/>
          <w:sz w:val="18"/>
          <w:szCs w:val="20"/>
          <w:rtl/>
        </w:rPr>
        <w:t xml:space="preserve">בה </w:t>
      </w:r>
      <w:r w:rsidRPr="00EB3F46">
        <w:rPr>
          <w:rFonts w:ascii="Georgia" w:hAnsi="Georgia"/>
          <w:sz w:val="18"/>
          <w:szCs w:val="20"/>
          <w:rtl/>
        </w:rPr>
        <w:t>רק הילדים והנכדים נכתב: "מי יציל את ההורים שלנו</w:t>
      </w:r>
      <w:r w:rsidR="00C401EE">
        <w:rPr>
          <w:rFonts w:ascii="Georgia" w:hAnsi="Georgia" w:hint="cs"/>
          <w:sz w:val="18"/>
          <w:szCs w:val="20"/>
          <w:rtl/>
        </w:rPr>
        <w:t>"</w:t>
      </w:r>
      <w:r w:rsidRPr="00EB3F46">
        <w:rPr>
          <w:rFonts w:ascii="Georgia" w:hAnsi="Georgia"/>
          <w:sz w:val="18"/>
          <w:szCs w:val="20"/>
          <w:rtl/>
        </w:rPr>
        <w:t xml:space="preserve"> (אלון, 2020). </w:t>
      </w:r>
    </w:p>
    <w:p w14:paraId="009F3DD5" w14:textId="654D9E49"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תמונה דומה מצטיירת בכתבה "מחבקים את הקשישים"</w:t>
      </w:r>
      <w:r w:rsidRPr="00EB3F46">
        <w:rPr>
          <w:rFonts w:ascii="Georgia" w:hAnsi="Georgia"/>
          <w:i/>
          <w:iCs/>
          <w:sz w:val="18"/>
          <w:szCs w:val="20"/>
          <w:rtl/>
        </w:rPr>
        <w:t xml:space="preserve"> </w:t>
      </w:r>
      <w:r w:rsidRPr="00EB3F46">
        <w:rPr>
          <w:rFonts w:ascii="Georgia" w:hAnsi="Georgia"/>
          <w:sz w:val="18"/>
          <w:szCs w:val="20"/>
          <w:rtl/>
        </w:rPr>
        <w:t>(</w:t>
      </w:r>
      <w:r w:rsidRPr="00EB3F46">
        <w:rPr>
          <w:rFonts w:ascii="Georgia" w:hAnsi="Georgia"/>
          <w:b/>
          <w:bCs/>
          <w:sz w:val="18"/>
          <w:szCs w:val="20"/>
          <w:rtl/>
        </w:rPr>
        <w:t>ישראל היום</w:t>
      </w:r>
      <w:r w:rsidRPr="00EB3F46">
        <w:rPr>
          <w:rFonts w:ascii="Georgia" w:hAnsi="Georgia"/>
          <w:sz w:val="18"/>
          <w:szCs w:val="20"/>
          <w:rtl/>
        </w:rPr>
        <w:t>, 24 במרץ 2020). כאן הקריאה היא, לכאורה, חיובית ומתוך אהבה, אך המסר הסמוי משדר את מסכנותם של הקשישים, והקול בכתבה הוא של נציגי מחלקות של הרשויות המשתתפות בה. כתבה אחת יוצאת דופן היא זו שכותרתה מעידה על קולו של הדובר: "פתאום אנחנו הסוהרים של ההורים" (בחור ניר, 2020). הכתבה מחברת בין שגרת הנטל של התבגרות ההורים לבין השפעת הקורונה בהגברתו. ייחודיותה היא בציטוט שני זקנים בקולם, הבועט בתופעה שמחקר זה מסמן: "המסר במסיבות העיתונאים הוא 'שמרו על סבא וסבתא'</w:t>
      </w:r>
      <w:r w:rsidR="00C401EE">
        <w:rPr>
          <w:rFonts w:ascii="Georgia" w:hAnsi="Georgia" w:hint="cs"/>
          <w:sz w:val="18"/>
          <w:szCs w:val="20"/>
          <w:rtl/>
        </w:rPr>
        <w:t>,</w:t>
      </w:r>
      <w:r w:rsidRPr="00EB3F46">
        <w:rPr>
          <w:rFonts w:ascii="Georgia" w:hAnsi="Georgia"/>
          <w:sz w:val="18"/>
          <w:szCs w:val="20"/>
          <w:rtl/>
        </w:rPr>
        <w:t xml:space="preserve"> ולא 'אזרחים ותיקים שמרו על עצמכם'. זה משפיל ועצוב", אומרת פרופסור עמיה </w:t>
      </w:r>
      <w:proofErr w:type="spellStart"/>
      <w:r w:rsidRPr="00EB3F46">
        <w:rPr>
          <w:rFonts w:ascii="Georgia" w:hAnsi="Georgia"/>
          <w:sz w:val="18"/>
          <w:szCs w:val="20"/>
          <w:rtl/>
        </w:rPr>
        <w:t>ליבליך</w:t>
      </w:r>
      <w:proofErr w:type="spellEnd"/>
      <w:r w:rsidRPr="00EB3F46">
        <w:rPr>
          <w:rFonts w:ascii="Georgia" w:hAnsi="Georgia"/>
          <w:sz w:val="18"/>
          <w:szCs w:val="20"/>
          <w:rtl/>
        </w:rPr>
        <w:t xml:space="preserve"> (בת</w:t>
      </w:r>
      <w:r w:rsidR="00C401EE">
        <w:rPr>
          <w:rFonts w:ascii="Georgia" w:hAnsi="Georgia" w:hint="cs"/>
          <w:sz w:val="18"/>
          <w:szCs w:val="20"/>
          <w:rtl/>
        </w:rPr>
        <w:t xml:space="preserve"> שמונים</w:t>
      </w:r>
      <w:r w:rsidRPr="00EB3F46">
        <w:rPr>
          <w:rFonts w:ascii="Georgia" w:hAnsi="Georgia"/>
          <w:sz w:val="18"/>
          <w:szCs w:val="20"/>
          <w:rtl/>
        </w:rPr>
        <w:t xml:space="preserve">). לצידה מופיעים דבריו של פרופסור חזן, בן 73 וחוקר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בעצמו: "הילדים מנהלים את החיים של ההורים, נותנים פקודות. מה שהיה שמור למצבים קיצוניים קיבל לגיטימציה </w:t>
      </w:r>
      <w:r w:rsidRPr="00EB3F46">
        <w:rPr>
          <w:rFonts w:ascii="Georgia" w:hAnsi="Georgia"/>
          <w:sz w:val="18"/>
          <w:szCs w:val="20"/>
          <w:rtl/>
        </w:rPr>
        <w:lastRenderedPageBreak/>
        <w:t xml:space="preserve">בקורונה". לכאורה, קולם של זקנים נשמע היטב. למעשה, מצוטטים כאן רק פרופסורים ומומחים, כך שבניגוד לזקנים אחרים, להם לא מיוחס סטראוטיפ הניוון, הפאסיביות וחוסר היכולת לקבל החלטות על עצמם (בהקשר זה ראו מחקר דומה של </w:t>
      </w:r>
      <w:proofErr w:type="spellStart"/>
      <w:r w:rsidRPr="00EB3F46">
        <w:rPr>
          <w:rFonts w:ascii="Georgia" w:hAnsi="Georgia"/>
          <w:sz w:val="18"/>
          <w:szCs w:val="20"/>
          <w:rtl/>
        </w:rPr>
        <w:t>פירסט</w:t>
      </w:r>
      <w:proofErr w:type="spellEnd"/>
      <w:r w:rsidRPr="00EB3F46">
        <w:rPr>
          <w:rFonts w:ascii="Georgia" w:hAnsi="Georgia"/>
          <w:sz w:val="18"/>
          <w:szCs w:val="20"/>
          <w:rtl/>
        </w:rPr>
        <w:t xml:space="preserve"> </w:t>
      </w:r>
      <w:proofErr w:type="spellStart"/>
      <w:r w:rsidRPr="00EB3F46">
        <w:rPr>
          <w:rFonts w:ascii="Georgia" w:hAnsi="Georgia"/>
          <w:sz w:val="18"/>
          <w:szCs w:val="20"/>
          <w:rtl/>
        </w:rPr>
        <w:t>ורמר-ביאל</w:t>
      </w:r>
      <w:proofErr w:type="spellEnd"/>
      <w:r w:rsidRPr="00EB3F46">
        <w:rPr>
          <w:rFonts w:ascii="Georgia" w:hAnsi="Georgia"/>
          <w:sz w:val="18"/>
          <w:szCs w:val="20"/>
          <w:rtl/>
        </w:rPr>
        <w:t xml:space="preserve">, 2007). </w:t>
      </w:r>
    </w:p>
    <w:p w14:paraId="7813B56B" w14:textId="77777777" w:rsidR="00EB3F46" w:rsidRPr="00EB3F46" w:rsidRDefault="00EB3F46" w:rsidP="00EB3F46">
      <w:pPr>
        <w:spacing w:after="180" w:line="280" w:lineRule="exact"/>
        <w:jc w:val="both"/>
        <w:rPr>
          <w:rFonts w:ascii="Georgia" w:hAnsi="Georgia"/>
          <w:sz w:val="18"/>
          <w:szCs w:val="20"/>
          <w:shd w:val="clear" w:color="auto" w:fill="FFFFFF"/>
          <w:rtl/>
        </w:rPr>
      </w:pPr>
    </w:p>
    <w:p w14:paraId="2723CE0C" w14:textId="39190C4E"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 xml:space="preserve">התמונות: ייצוג של חוסר האונים </w:t>
      </w:r>
    </w:p>
    <w:p w14:paraId="23A47143" w14:textId="68D176D6" w:rsidR="00EB3F46" w:rsidRPr="00EB3F46" w:rsidRDefault="00EB3F46" w:rsidP="00E538E6">
      <w:pPr>
        <w:spacing w:after="180" w:line="280" w:lineRule="exact"/>
        <w:jc w:val="both"/>
        <w:rPr>
          <w:rFonts w:ascii="Georgia" w:hAnsi="Georgia"/>
          <w:sz w:val="18"/>
          <w:szCs w:val="20"/>
          <w:rtl/>
        </w:rPr>
      </w:pPr>
      <w:r w:rsidRPr="00EB3F46">
        <w:rPr>
          <w:rFonts w:ascii="Georgia" w:hAnsi="Georgia"/>
          <w:sz w:val="18"/>
          <w:szCs w:val="20"/>
          <w:rtl/>
        </w:rPr>
        <w:t>פוקו (1996) הציב במרכז מחקריו את הגוף והתבונן בו כאתר לסוגי שיח שונים, אתר שנחקקים בו מאבקים וכוחות חברתיים. ברוחו של פוקו, גם הגוף הזקן נתון לכוחות חברתיים ופוליטיים המשפיעים, בין השאר, על אופני נראותו במרחב, אם בכלל (הלל</w:t>
      </w:r>
      <w:r w:rsidR="00E538E6">
        <w:rPr>
          <w:rFonts w:ascii="Georgia" w:hAnsi="Georgia" w:hint="cs"/>
          <w:sz w:val="18"/>
          <w:szCs w:val="20"/>
          <w:rtl/>
        </w:rPr>
        <w:t>-</w:t>
      </w:r>
      <w:r w:rsidRPr="00EB3F46">
        <w:rPr>
          <w:rFonts w:ascii="Georgia" w:hAnsi="Georgia"/>
          <w:sz w:val="18"/>
          <w:szCs w:val="20"/>
          <w:rtl/>
        </w:rPr>
        <w:t>אברהם, 2013, עמ' א). במרחב התקשורת, ברוב הידיעות נבחרו בקפידה תמונות שבהן המצולמים נראים ממרחק, מגבם, או שהן מרוטשות כך שאי אפשר לזהותם. הקומפוזיציה מעצבת חולשה, תלות, מסכנות, עוני וחוסר אונים, כפי שהראינו בתמונות שלעיל. בדוגמה נוספת, בתמונה הנלווית לידיעה על המיזם "אמץ קשיש" (</w:t>
      </w:r>
      <w:r w:rsidRPr="00EB3F46">
        <w:rPr>
          <w:rFonts w:ascii="Georgia" w:hAnsi="Georgia"/>
          <w:b/>
          <w:bCs/>
          <w:sz w:val="18"/>
          <w:szCs w:val="20"/>
          <w:rtl/>
        </w:rPr>
        <w:t>ידיעות אחרונות</w:t>
      </w:r>
      <w:r w:rsidRPr="00EB3F46">
        <w:rPr>
          <w:rFonts w:ascii="Georgia" w:hAnsi="Georgia"/>
          <w:sz w:val="18"/>
          <w:szCs w:val="20"/>
          <w:rtl/>
        </w:rPr>
        <w:t>, 21 באפריל 2020), מצולמת אישה זקנה כנזקקת וענייה. הכיתוב שמתחת לתמונה, ״קשישים עריריים שמתו בגפם״, מהדהד את פניה המחוקות, כמי שכבר מתה או לפחות אינה חשובה דייה כדי להימנע מההשפלה שבתמונה, שהרי הסביבה הקרובה עלולה לזהות את ביתה ובגדיה.</w:t>
      </w:r>
    </w:p>
    <w:p w14:paraId="7699D514" w14:textId="7C9C6713" w:rsidR="00EB3F46" w:rsidRDefault="007F12E9" w:rsidP="008666ED">
      <w:pPr>
        <w:spacing w:after="120" w:line="240" w:lineRule="atLeast"/>
        <w:rPr>
          <w:rFonts w:ascii="Georgia" w:hAnsi="Georgia"/>
          <w:sz w:val="18"/>
          <w:szCs w:val="20"/>
          <w:rtl/>
        </w:rPr>
      </w:pPr>
      <w:r>
        <w:rPr>
          <w:rFonts w:ascii="Georgia" w:hAnsi="Georgia"/>
          <w:noProof/>
          <w:sz w:val="18"/>
          <w:szCs w:val="20"/>
        </w:rPr>
        <w:drawing>
          <wp:inline distT="0" distB="0" distL="0" distR="0" wp14:anchorId="174F528F" wp14:editId="20DC9E8F">
            <wp:extent cx="927735" cy="1938020"/>
            <wp:effectExtent l="0" t="0" r="0" b="0"/>
            <wp:docPr id="8" name="תמונה 19" descr="צילום כתבה שכותרתה &quot;אמץ קשי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19" descr="צילום כתבה שכותרתה &quot;אמץ קשיש&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35" cy="1938020"/>
                    </a:xfrm>
                    <a:prstGeom prst="rect">
                      <a:avLst/>
                    </a:prstGeom>
                    <a:noFill/>
                    <a:ln>
                      <a:noFill/>
                    </a:ln>
                  </pic:spPr>
                </pic:pic>
              </a:graphicData>
            </a:graphic>
          </wp:inline>
        </w:drawing>
      </w:r>
      <w:r>
        <w:rPr>
          <w:rFonts w:ascii="Georgia" w:hAnsi="Georgia"/>
          <w:noProof/>
          <w:sz w:val="18"/>
          <w:szCs w:val="20"/>
        </w:rPr>
        <w:drawing>
          <wp:inline distT="0" distB="0" distL="0" distR="0" wp14:anchorId="3025464C" wp14:editId="4E076391">
            <wp:extent cx="2715895" cy="1951355"/>
            <wp:effectExtent l="0" t="0" r="0" b="0"/>
            <wp:docPr id="9" name="תמונה 21" descr="בחורה צעירה לצד סבתה הקשישה, המאושפזת בבית חו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21" descr="בחורה צעירה לצד סבתה הקשישה, המאושפזת בבית חולי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895" cy="1951355"/>
                    </a:xfrm>
                    <a:prstGeom prst="rect">
                      <a:avLst/>
                    </a:prstGeom>
                    <a:noFill/>
                    <a:ln>
                      <a:noFill/>
                    </a:ln>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4252"/>
      </w:tblGrid>
      <w:tr w:rsidR="00854951" w:rsidRPr="00854951" w14:paraId="1F8317D6" w14:textId="77777777" w:rsidTr="008666ED">
        <w:tc>
          <w:tcPr>
            <w:tcW w:w="1531" w:type="dxa"/>
          </w:tcPr>
          <w:p w14:paraId="0D0809AF" w14:textId="6FF834BF" w:rsidR="00854951" w:rsidRPr="00854951" w:rsidRDefault="00854951" w:rsidP="00F56BAD">
            <w:pPr>
              <w:spacing w:line="200" w:lineRule="atLeast"/>
              <w:rPr>
                <w:rFonts w:ascii="David" w:hAnsi="David"/>
                <w:b/>
                <w:bCs/>
                <w:sz w:val="16"/>
                <w:szCs w:val="16"/>
                <w:rtl/>
              </w:rPr>
            </w:pPr>
            <w:r w:rsidRPr="00854951">
              <w:rPr>
                <w:rFonts w:ascii="David" w:hAnsi="David"/>
                <w:b/>
                <w:bCs/>
                <w:sz w:val="16"/>
                <w:szCs w:val="16"/>
                <w:rtl/>
              </w:rPr>
              <w:t>ידיעות אחרונות</w:t>
            </w:r>
            <w:r w:rsidRPr="00854951">
              <w:rPr>
                <w:rFonts w:ascii="David" w:hAnsi="David"/>
                <w:sz w:val="16"/>
                <w:szCs w:val="16"/>
                <w:rtl/>
              </w:rPr>
              <w:t xml:space="preserve">. </w:t>
            </w:r>
            <w:r>
              <w:rPr>
                <w:rFonts w:ascii="David" w:hAnsi="David"/>
                <w:sz w:val="16"/>
                <w:szCs w:val="16"/>
                <w:rtl/>
              </w:rPr>
              <w:br/>
            </w:r>
            <w:r w:rsidRPr="00854951">
              <w:rPr>
                <w:rFonts w:ascii="David" w:hAnsi="David"/>
                <w:sz w:val="16"/>
                <w:szCs w:val="16"/>
                <w:rtl/>
              </w:rPr>
              <w:t>צילום: יח"צ</w:t>
            </w:r>
            <w:r>
              <w:rPr>
                <w:rStyle w:val="FootnoteReference"/>
                <w:rFonts w:ascii="David" w:hAnsi="David"/>
                <w:sz w:val="16"/>
                <w:szCs w:val="16"/>
                <w:rtl/>
              </w:rPr>
              <w:footnoteReference w:id="6"/>
            </w:r>
          </w:p>
        </w:tc>
        <w:tc>
          <w:tcPr>
            <w:tcW w:w="4252" w:type="dxa"/>
          </w:tcPr>
          <w:p w14:paraId="08682C95" w14:textId="77777777" w:rsidR="00854951" w:rsidRPr="00854951" w:rsidRDefault="00854951" w:rsidP="00F56BAD">
            <w:pPr>
              <w:spacing w:after="180" w:line="240" w:lineRule="atLeast"/>
              <w:rPr>
                <w:rFonts w:ascii="Georgia" w:hAnsi="Georgia"/>
                <w:sz w:val="18"/>
                <w:szCs w:val="20"/>
                <w:rtl/>
              </w:rPr>
            </w:pPr>
            <w:r w:rsidRPr="00854951">
              <w:rPr>
                <w:rFonts w:ascii="David" w:hAnsi="David"/>
                <w:b/>
                <w:bCs/>
                <w:sz w:val="16"/>
                <w:szCs w:val="16"/>
                <w:rtl/>
              </w:rPr>
              <w:t>ידיעות אחרונות</w:t>
            </w:r>
            <w:r w:rsidRPr="00854951">
              <w:rPr>
                <w:rFonts w:ascii="David" w:hAnsi="David"/>
                <w:sz w:val="16"/>
                <w:szCs w:val="16"/>
                <w:rtl/>
              </w:rPr>
              <w:t xml:space="preserve">. צילום: אלכס </w:t>
            </w:r>
            <w:proofErr w:type="spellStart"/>
            <w:r w:rsidRPr="00854951">
              <w:rPr>
                <w:rFonts w:ascii="David" w:hAnsi="David"/>
                <w:sz w:val="16"/>
                <w:szCs w:val="16"/>
                <w:rtl/>
              </w:rPr>
              <w:t>קולומויסקי</w:t>
            </w:r>
            <w:proofErr w:type="spellEnd"/>
          </w:p>
        </w:tc>
      </w:tr>
    </w:tbl>
    <w:p w14:paraId="069053E2" w14:textId="6DBE415D" w:rsidR="00EB3F46" w:rsidRPr="00EB3F46" w:rsidRDefault="00EB3F46" w:rsidP="00E45C86">
      <w:pPr>
        <w:spacing w:before="240" w:after="180" w:line="280" w:lineRule="exact"/>
        <w:jc w:val="both"/>
        <w:rPr>
          <w:rFonts w:ascii="Georgia" w:hAnsi="Georgia"/>
          <w:sz w:val="18"/>
          <w:szCs w:val="20"/>
          <w:rtl/>
        </w:rPr>
      </w:pPr>
      <w:r w:rsidRPr="00EB3F46">
        <w:rPr>
          <w:rFonts w:ascii="Georgia" w:hAnsi="Georgia"/>
          <w:sz w:val="18"/>
          <w:szCs w:val="20"/>
          <w:rtl/>
        </w:rPr>
        <w:t xml:space="preserve">לעיתים הם שוכבים על מיטה ללא תנועה, וסביבם ניכרת מאוד הדלות ("אני רוצה שהוא יהיה בבית". </w:t>
      </w:r>
      <w:r w:rsidRPr="00EB3F46">
        <w:rPr>
          <w:rFonts w:ascii="Georgia" w:hAnsi="Georgia"/>
          <w:b/>
          <w:bCs/>
          <w:sz w:val="18"/>
          <w:szCs w:val="20"/>
          <w:rtl/>
        </w:rPr>
        <w:t>ידיעות אחרונות</w:t>
      </w:r>
      <w:r w:rsidRPr="00EB3F46">
        <w:rPr>
          <w:rFonts w:ascii="Georgia" w:hAnsi="Georgia"/>
          <w:sz w:val="18"/>
          <w:szCs w:val="20"/>
          <w:rtl/>
        </w:rPr>
        <w:t xml:space="preserve">, 23 בספטמבר 2020). בתמונה שלעיל עיניה הכבויות של רבקה </w:t>
      </w:r>
      <w:r w:rsidRPr="00EB3F46">
        <w:rPr>
          <w:rFonts w:ascii="Georgia" w:hAnsi="Georgia"/>
          <w:sz w:val="18"/>
          <w:szCs w:val="20"/>
          <w:rtl/>
        </w:rPr>
        <w:lastRenderedPageBreak/>
        <w:t>ז"ל, לצד עיניה מלאות החיים של נכדתה, מחזקות את ההזרה בין המחלה לבין מי שנחשב צעיר</w:t>
      </w:r>
      <w:r w:rsidR="003617BF">
        <w:rPr>
          <w:rFonts w:ascii="Georgia" w:hAnsi="Georgia" w:hint="cs"/>
          <w:sz w:val="18"/>
          <w:szCs w:val="20"/>
          <w:rtl/>
        </w:rPr>
        <w:t>,</w:t>
      </w:r>
      <w:r w:rsidRPr="00EB3F46">
        <w:rPr>
          <w:rFonts w:ascii="Georgia" w:hAnsi="Georgia"/>
          <w:sz w:val="18"/>
          <w:szCs w:val="20"/>
          <w:rtl/>
        </w:rPr>
        <w:t xml:space="preserve"> ומאשרר</w:t>
      </w:r>
      <w:r w:rsidR="003617BF">
        <w:rPr>
          <w:rFonts w:ascii="Georgia" w:hAnsi="Georgia" w:hint="cs"/>
          <w:sz w:val="18"/>
          <w:szCs w:val="20"/>
          <w:rtl/>
        </w:rPr>
        <w:t>ות</w:t>
      </w:r>
      <w:r w:rsidRPr="00EB3F46">
        <w:rPr>
          <w:rFonts w:ascii="Georgia" w:hAnsi="Georgia"/>
          <w:sz w:val="18"/>
          <w:szCs w:val="20"/>
          <w:rtl/>
        </w:rPr>
        <w:t xml:space="preserve"> את הזקנה כסמן של מוות. </w:t>
      </w:r>
    </w:p>
    <w:p w14:paraId="69EEC311"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כאשר מופיעות תמונות של אנשים מבוגרים באופן שניתן לזהותם, במקרים רבים הם אינם נראים קשישים "באמת", אלא צעירים מכפי גילם. למשל, התמונה המלווה את הכתבה "אל תשליכני" נלקחה ממאגר תמונות (</w:t>
      </w:r>
      <w:proofErr w:type="spellStart"/>
      <w:r w:rsidRPr="00EB3F46">
        <w:rPr>
          <w:rFonts w:ascii="Georgia" w:hAnsi="Georgia"/>
          <w:sz w:val="18"/>
          <w:szCs w:val="20"/>
          <w:rtl/>
        </w:rPr>
        <w:t>שאטרסטוק</w:t>
      </w:r>
      <w:proofErr w:type="spellEnd"/>
      <w:r w:rsidRPr="00EB3F46">
        <w:rPr>
          <w:rFonts w:ascii="Georgia" w:hAnsi="Georgia"/>
          <w:sz w:val="18"/>
          <w:szCs w:val="20"/>
          <w:rtl/>
        </w:rPr>
        <w:t>). מופיעה בה בחורה צעירה הנשענת על מי שאמורה להיות סבתה, ונראית צעירה וחיונית יחסית (</w:t>
      </w:r>
      <w:r w:rsidRPr="00EB3F46">
        <w:rPr>
          <w:rFonts w:ascii="Georgia" w:hAnsi="Georgia"/>
          <w:b/>
          <w:bCs/>
          <w:sz w:val="18"/>
          <w:szCs w:val="20"/>
          <w:rtl/>
        </w:rPr>
        <w:t>ידיעות אחרונות</w:t>
      </w:r>
      <w:r w:rsidRPr="00EB3F46">
        <w:rPr>
          <w:rFonts w:ascii="Georgia" w:hAnsi="Georgia"/>
          <w:sz w:val="18"/>
          <w:szCs w:val="20"/>
          <w:rtl/>
        </w:rPr>
        <w:t xml:space="preserve">, 28 במאי 2020). גם כאן, הכותרת מסתירה מאחוריה סיפור "שלילי" על הפקרת קשישים, ומציעה פתרון ממשלתי. </w:t>
      </w:r>
    </w:p>
    <w:p w14:paraId="07BE4556" w14:textId="4F334239" w:rsidR="00EB3F46" w:rsidRDefault="007F12E9" w:rsidP="008666ED">
      <w:pPr>
        <w:spacing w:line="240" w:lineRule="atLeast"/>
        <w:rPr>
          <w:rFonts w:ascii="Georgia" w:hAnsi="Georgia"/>
          <w:sz w:val="18"/>
          <w:szCs w:val="20"/>
        </w:rPr>
      </w:pPr>
      <w:r>
        <w:rPr>
          <w:rFonts w:ascii="Georgia" w:hAnsi="Georgia"/>
          <w:noProof/>
          <w:sz w:val="18"/>
          <w:szCs w:val="20"/>
        </w:rPr>
        <w:drawing>
          <wp:inline distT="0" distB="0" distL="0" distR="0" wp14:anchorId="05BB0611" wp14:editId="610B89E5">
            <wp:extent cx="1583055" cy="2087880"/>
            <wp:effectExtent l="0" t="0" r="0" b="0"/>
            <wp:docPr id="10" name="תמונה 20" descr="צילום כתבה שכותרתה אל תשליכ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20" descr="צילום כתבה שכותרתה אל תשליכנ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3055" cy="2087880"/>
                    </a:xfrm>
                    <a:prstGeom prst="rect">
                      <a:avLst/>
                    </a:prstGeom>
                    <a:noFill/>
                    <a:ln>
                      <a:noFill/>
                    </a:ln>
                  </pic:spPr>
                </pic:pic>
              </a:graphicData>
            </a:graphic>
          </wp:inline>
        </w:drawing>
      </w:r>
    </w:p>
    <w:p w14:paraId="7C80551A" w14:textId="6C60FAC9" w:rsidR="00EF0A42" w:rsidRPr="00EB3F46" w:rsidRDefault="00EF0A42" w:rsidP="00F56BAD">
      <w:pPr>
        <w:spacing w:after="180" w:line="240" w:lineRule="atLeast"/>
        <w:rPr>
          <w:rFonts w:ascii="Georgia" w:hAnsi="Georgia"/>
          <w:sz w:val="18"/>
          <w:szCs w:val="20"/>
          <w:rtl/>
        </w:rPr>
      </w:pPr>
      <w:r w:rsidRPr="00AA132A">
        <w:rPr>
          <w:rFonts w:ascii="David" w:hAnsi="David"/>
          <w:b/>
          <w:bCs/>
          <w:sz w:val="16"/>
          <w:szCs w:val="16"/>
          <w:rtl/>
        </w:rPr>
        <w:t>ידיעות אחרונות</w:t>
      </w:r>
      <w:r w:rsidRPr="00AA132A">
        <w:rPr>
          <w:rFonts w:ascii="David" w:hAnsi="David"/>
          <w:sz w:val="16"/>
          <w:szCs w:val="16"/>
          <w:rtl/>
        </w:rPr>
        <w:t xml:space="preserve">. צילום: </w:t>
      </w:r>
      <w:proofErr w:type="spellStart"/>
      <w:r w:rsidRPr="00AA132A">
        <w:rPr>
          <w:rFonts w:ascii="David" w:hAnsi="David"/>
          <w:sz w:val="16"/>
          <w:szCs w:val="16"/>
          <w:rtl/>
        </w:rPr>
        <w:t>שאטרסטוק</w:t>
      </w:r>
      <w:proofErr w:type="spellEnd"/>
    </w:p>
    <w:p w14:paraId="2976A5C6" w14:textId="12F0565E" w:rsidR="00EB3F46" w:rsidRPr="00EB3F46" w:rsidRDefault="00EB3F46" w:rsidP="00E45C86">
      <w:pPr>
        <w:spacing w:before="240" w:after="180" w:line="280" w:lineRule="exact"/>
        <w:jc w:val="both"/>
        <w:rPr>
          <w:rFonts w:ascii="Georgia" w:hAnsi="Georgia"/>
          <w:sz w:val="18"/>
          <w:szCs w:val="20"/>
          <w:rtl/>
        </w:rPr>
      </w:pPr>
      <w:r w:rsidRPr="00EB3F46">
        <w:rPr>
          <w:rFonts w:ascii="Georgia" w:hAnsi="Georgia"/>
          <w:sz w:val="18"/>
          <w:szCs w:val="20"/>
          <w:rtl/>
        </w:rPr>
        <w:t>תמונות המסתירות יותר משהן מנכיחות אינן מקריות. הן מגובות במדיניות בלתי כתובה שלא ל</w:t>
      </w:r>
      <w:r w:rsidR="003617BF">
        <w:rPr>
          <w:rFonts w:ascii="Georgia" w:hAnsi="Georgia" w:hint="cs"/>
          <w:sz w:val="18"/>
          <w:szCs w:val="20"/>
          <w:rtl/>
        </w:rPr>
        <w:t>הציג</w:t>
      </w:r>
      <w:r w:rsidRPr="00EB3F46">
        <w:rPr>
          <w:rFonts w:ascii="Georgia" w:hAnsi="Georgia"/>
          <w:sz w:val="18"/>
          <w:szCs w:val="20"/>
          <w:rtl/>
        </w:rPr>
        <w:t xml:space="preserve"> צילומי תקריב של זקנים. כך עולה מראיונות עם שני עורכים בכירים בשניים מכלי התקשורת הגדולים בישראל.</w:t>
      </w:r>
    </w:p>
    <w:p w14:paraId="47C252E1"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מספר י', עורך בכיר בעיתונות הכתובה:</w:t>
      </w:r>
    </w:p>
    <w:p w14:paraId="04F25330" w14:textId="77777777" w:rsidR="00EB3F46" w:rsidRPr="00EB3F46" w:rsidRDefault="00EB3F46" w:rsidP="00673493">
      <w:pPr>
        <w:shd w:val="clear" w:color="auto" w:fill="FFFFFF"/>
        <w:spacing w:after="180"/>
        <w:ind w:left="567"/>
        <w:jc w:val="both"/>
        <w:rPr>
          <w:rFonts w:ascii="Georgia" w:hAnsi="Georgia"/>
          <w:sz w:val="18"/>
          <w:szCs w:val="20"/>
          <w:rtl/>
        </w:rPr>
      </w:pPr>
      <w:r w:rsidRPr="00EB3F46">
        <w:rPr>
          <w:rFonts w:ascii="Georgia" w:hAnsi="Georgia"/>
          <w:sz w:val="18"/>
          <w:szCs w:val="20"/>
          <w:rtl/>
        </w:rPr>
        <w:t>יש את מה שאפשר לקרוא לו ״מבחן ארוחת הבוקר״. אנשים שפותחים את העיתון כדי לקרוא בזמן שהם אוכלים ארוחת בוקר, לא מסוגלים להכיל תמונות כאלה. זה מחריד אותם, גורם להם לאי נוחות. אנחנו כעורכים צריכים לחוס עליהם, ולכן לא מפרסמים תמונות תקריב של אנשים מבוגרים, שרואים עליהם במובהק את הגיל. זה מאוד לא אסתטי.</w:t>
      </w:r>
      <w:r w:rsidRPr="00EB3F46">
        <w:rPr>
          <w:rStyle w:val="FootnoteReference"/>
          <w:rFonts w:ascii="Georgia" w:hAnsi="Georgia"/>
          <w:sz w:val="18"/>
          <w:szCs w:val="20"/>
          <w:rtl/>
        </w:rPr>
        <w:footnoteReference w:id="7"/>
      </w:r>
      <w:r w:rsidRPr="00EB3F46">
        <w:rPr>
          <w:rFonts w:ascii="Georgia" w:hAnsi="Georgia"/>
          <w:sz w:val="18"/>
          <w:szCs w:val="20"/>
          <w:rtl/>
        </w:rPr>
        <w:t xml:space="preserve"> </w:t>
      </w:r>
    </w:p>
    <w:p w14:paraId="5F6E1CEC"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ומוסיף ב', לשעבר עורך עמודים בעיתון יומי: </w:t>
      </w:r>
    </w:p>
    <w:p w14:paraId="1E586453" w14:textId="77777777" w:rsidR="00EB3F46" w:rsidRPr="00EB3F46" w:rsidRDefault="00EB3F46" w:rsidP="00673493">
      <w:pPr>
        <w:shd w:val="clear" w:color="auto" w:fill="FFFFFF"/>
        <w:spacing w:after="180"/>
        <w:ind w:left="567"/>
        <w:jc w:val="both"/>
        <w:rPr>
          <w:rFonts w:ascii="Georgia" w:hAnsi="Georgia"/>
          <w:sz w:val="18"/>
          <w:szCs w:val="20"/>
          <w:rtl/>
        </w:rPr>
      </w:pPr>
      <w:r w:rsidRPr="00EB3F46">
        <w:rPr>
          <w:rFonts w:ascii="Georgia" w:hAnsi="Georgia"/>
          <w:sz w:val="18"/>
          <w:szCs w:val="20"/>
          <w:rtl/>
        </w:rPr>
        <w:lastRenderedPageBreak/>
        <w:t>צריך לומר את האמת, אם היינו יכולים – כחברה – היינו מגלים את אוכלוסיית המבוגרים לאי בודד, כמו המיתוס האסקימוסי. שולחים אותם למות על הקרחון. לא חושב שזה נכון לבוא בביקורת לתקשורת כמו שאתה עושה, כשהחברה כולה לוקה בזה. תראה את כל התחקירים על בתי האבות הסיעודיים ובכלל – הם הזיזו למישהו?</w:t>
      </w:r>
      <w:r w:rsidRPr="00EB3F46">
        <w:rPr>
          <w:rFonts w:ascii="Georgia" w:hAnsi="Georgia"/>
          <w:sz w:val="18"/>
          <w:szCs w:val="20"/>
        </w:rPr>
        <w:t xml:space="preserve"> </w:t>
      </w:r>
      <w:r w:rsidRPr="00EB3F46">
        <w:rPr>
          <w:rFonts w:ascii="Georgia" w:hAnsi="Georgia"/>
          <w:sz w:val="18"/>
          <w:szCs w:val="20"/>
          <w:rtl/>
        </w:rPr>
        <w:t xml:space="preserve">לא. ילדים ממשיכים לשלוח את ההורים שלהם לטבח בבתי האבות הללו, כי הם מעדיפים לתפוס מהם מרחק.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זה לא דבר יפה, וכולנו מנסים להתרחק ממנה.</w:t>
      </w:r>
      <w:r w:rsidRPr="00EB3F46">
        <w:rPr>
          <w:rStyle w:val="FootnoteReference"/>
          <w:rFonts w:ascii="Georgia" w:hAnsi="Georgia"/>
          <w:sz w:val="18"/>
          <w:szCs w:val="20"/>
          <w:rtl/>
        </w:rPr>
        <w:footnoteReference w:id="8"/>
      </w:r>
    </w:p>
    <w:p w14:paraId="400D8EC8" w14:textId="45C0CE4E" w:rsidR="00EB3F46" w:rsidRDefault="007F12E9" w:rsidP="008666ED">
      <w:pPr>
        <w:spacing w:line="240" w:lineRule="atLeast"/>
        <w:rPr>
          <w:rFonts w:ascii="Georgia" w:hAnsi="Georgia"/>
          <w:i/>
          <w:iCs/>
          <w:sz w:val="18"/>
          <w:szCs w:val="20"/>
        </w:rPr>
      </w:pPr>
      <w:r>
        <w:rPr>
          <w:rFonts w:ascii="Georgia" w:hAnsi="Georgia"/>
          <w:i/>
          <w:iCs/>
          <w:noProof/>
          <w:sz w:val="18"/>
          <w:szCs w:val="20"/>
        </w:rPr>
        <w:drawing>
          <wp:inline distT="0" distB="0" distL="0" distR="0" wp14:anchorId="70C03519" wp14:editId="21DD6602">
            <wp:extent cx="3404870" cy="2040255"/>
            <wp:effectExtent l="0" t="0" r="0" b="0"/>
            <wp:docPr id="11" name="תמונה 11" descr="צילום כתבה שכותרתה הזקנה תחזור למסד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צילום כתבה שכותרתה הזקנה תחזור למסדרו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4870" cy="2040255"/>
                    </a:xfrm>
                    <a:prstGeom prst="rect">
                      <a:avLst/>
                    </a:prstGeom>
                    <a:noFill/>
                    <a:ln>
                      <a:noFill/>
                    </a:ln>
                  </pic:spPr>
                </pic:pic>
              </a:graphicData>
            </a:graphic>
          </wp:inline>
        </w:drawing>
      </w:r>
    </w:p>
    <w:p w14:paraId="10B75FF4" w14:textId="441753DF" w:rsidR="00EF0A42" w:rsidRPr="00EB3F46" w:rsidRDefault="00EF0A42" w:rsidP="00F56BAD">
      <w:pPr>
        <w:spacing w:after="180" w:line="240" w:lineRule="atLeast"/>
        <w:rPr>
          <w:rFonts w:ascii="Georgia" w:hAnsi="Georgia"/>
          <w:i/>
          <w:iCs/>
          <w:sz w:val="18"/>
          <w:szCs w:val="20"/>
          <w:rtl/>
        </w:rPr>
      </w:pPr>
      <w:r w:rsidRPr="00AA132A">
        <w:rPr>
          <w:rFonts w:ascii="David" w:hAnsi="David"/>
          <w:b/>
          <w:bCs/>
          <w:sz w:val="16"/>
          <w:szCs w:val="16"/>
          <w:rtl/>
        </w:rPr>
        <w:t>ידיעות אחרונות</w:t>
      </w:r>
      <w:r w:rsidRPr="00AA132A">
        <w:rPr>
          <w:rFonts w:ascii="David" w:hAnsi="David"/>
          <w:sz w:val="16"/>
          <w:szCs w:val="16"/>
          <w:rtl/>
        </w:rPr>
        <w:t xml:space="preserve">. צילום: אלעד </w:t>
      </w:r>
      <w:proofErr w:type="spellStart"/>
      <w:r w:rsidRPr="00AA132A">
        <w:rPr>
          <w:rFonts w:ascii="David" w:hAnsi="David"/>
          <w:sz w:val="16"/>
          <w:szCs w:val="16"/>
          <w:rtl/>
        </w:rPr>
        <w:t>גרשגורן</w:t>
      </w:r>
      <w:proofErr w:type="spellEnd"/>
    </w:p>
    <w:p w14:paraId="632B6532" w14:textId="1273EE25" w:rsidR="00EB3F46" w:rsidRPr="00F65D85" w:rsidRDefault="00EB3F46" w:rsidP="004243DE">
      <w:pPr>
        <w:spacing w:after="180" w:line="280" w:lineRule="exact"/>
        <w:jc w:val="both"/>
        <w:rPr>
          <w:rFonts w:ascii="Georgia" w:hAnsi="Georgia"/>
          <w:spacing w:val="-2"/>
          <w:sz w:val="18"/>
          <w:szCs w:val="20"/>
          <w:rtl/>
        </w:rPr>
      </w:pPr>
      <w:r w:rsidRPr="00F65D85">
        <w:rPr>
          <w:rFonts w:ascii="Georgia" w:hAnsi="Georgia"/>
          <w:spacing w:val="-2"/>
          <w:sz w:val="18"/>
          <w:szCs w:val="20"/>
          <w:rtl/>
        </w:rPr>
        <w:t xml:space="preserve">רבים מהקוראים אכן מתקשים לעכל תמונות מובהקות של </w:t>
      </w:r>
      <w:proofErr w:type="spellStart"/>
      <w:r w:rsidRPr="00F65D85">
        <w:rPr>
          <w:rFonts w:ascii="Georgia" w:hAnsi="Georgia"/>
          <w:spacing w:val="-2"/>
          <w:sz w:val="18"/>
          <w:szCs w:val="20"/>
          <w:rtl/>
        </w:rPr>
        <w:t>זיקנה</w:t>
      </w:r>
      <w:proofErr w:type="spellEnd"/>
      <w:r w:rsidRPr="00F65D85">
        <w:rPr>
          <w:rFonts w:ascii="Georgia" w:hAnsi="Georgia"/>
          <w:spacing w:val="-2"/>
          <w:sz w:val="18"/>
          <w:szCs w:val="20"/>
          <w:rtl/>
        </w:rPr>
        <w:t>. "מבחן ארוחת הבוקר" אינו קלישאה או תפיסה מנותקת מהמציאות</w:t>
      </w:r>
      <w:r w:rsidR="003B5A79" w:rsidRPr="00F65D85">
        <w:rPr>
          <w:rFonts w:ascii="Georgia" w:hAnsi="Georgia" w:hint="cs"/>
          <w:spacing w:val="-2"/>
          <w:sz w:val="18"/>
          <w:szCs w:val="20"/>
          <w:rtl/>
        </w:rPr>
        <w:t>;</w:t>
      </w:r>
      <w:r w:rsidRPr="00F65D85">
        <w:rPr>
          <w:rFonts w:ascii="Georgia" w:hAnsi="Georgia"/>
          <w:spacing w:val="-2"/>
          <w:sz w:val="18"/>
          <w:szCs w:val="20"/>
          <w:rtl/>
        </w:rPr>
        <w:t xml:space="preserve"> </w:t>
      </w:r>
      <w:r w:rsidR="003B5A79" w:rsidRPr="00F65D85">
        <w:rPr>
          <w:rFonts w:ascii="Georgia" w:hAnsi="Georgia" w:hint="cs"/>
          <w:spacing w:val="-2"/>
          <w:sz w:val="18"/>
          <w:szCs w:val="20"/>
          <w:rtl/>
        </w:rPr>
        <w:t xml:space="preserve">הוא משקף את </w:t>
      </w:r>
      <w:r w:rsidRPr="00F65D85">
        <w:rPr>
          <w:rFonts w:ascii="Georgia" w:hAnsi="Georgia"/>
          <w:spacing w:val="-2"/>
          <w:sz w:val="18"/>
          <w:szCs w:val="20"/>
          <w:rtl/>
        </w:rPr>
        <w:t>תחושותיהם של קוראים רבים כאשר הם נתקלים בתמונות כאלה, המטרידות את מנוחתם וגורמות להם אי נעימות או חרדה. לעיתים הם מביעים את הסתייגותם בפני מי שמזוה</w:t>
      </w:r>
      <w:r w:rsidR="003B5A79" w:rsidRPr="00F65D85">
        <w:rPr>
          <w:rFonts w:ascii="Georgia" w:hAnsi="Georgia" w:hint="cs"/>
          <w:spacing w:val="-2"/>
          <w:sz w:val="18"/>
          <w:szCs w:val="20"/>
          <w:rtl/>
        </w:rPr>
        <w:t>ים</w:t>
      </w:r>
      <w:r w:rsidRPr="00F65D85">
        <w:rPr>
          <w:rFonts w:ascii="Georgia" w:hAnsi="Georgia"/>
          <w:spacing w:val="-2"/>
          <w:sz w:val="18"/>
          <w:szCs w:val="20"/>
          <w:rtl/>
        </w:rPr>
        <w:t xml:space="preserve"> כמקבלי ההחלטות בעיתון. כלומר, מדובר בבעיה קלאסית של "הביצה והתרנגולת": מכיוון שאין נרמול של </w:t>
      </w:r>
      <w:proofErr w:type="spellStart"/>
      <w:r w:rsidRPr="00F65D85">
        <w:rPr>
          <w:rFonts w:ascii="Georgia" w:hAnsi="Georgia"/>
          <w:spacing w:val="-2"/>
          <w:sz w:val="18"/>
          <w:szCs w:val="20"/>
          <w:rtl/>
        </w:rPr>
        <w:t>זיקנה</w:t>
      </w:r>
      <w:proofErr w:type="spellEnd"/>
      <w:r w:rsidRPr="00F65D85">
        <w:rPr>
          <w:rFonts w:ascii="Georgia" w:hAnsi="Georgia"/>
          <w:spacing w:val="-2"/>
          <w:sz w:val="18"/>
          <w:szCs w:val="20"/>
          <w:rtl/>
        </w:rPr>
        <w:t xml:space="preserve"> ושל מראה "זקן", אלה אינם מתקבלים בנינוחות על ידי הקוראים. הללו משליכים את המראה או הקושי על עצמם, על עתידם או על עתיד הוריהם. גם טולה </w:t>
      </w:r>
      <w:proofErr w:type="spellStart"/>
      <w:r w:rsidRPr="00F65D85">
        <w:rPr>
          <w:rFonts w:ascii="Georgia" w:hAnsi="Georgia"/>
          <w:spacing w:val="-2"/>
          <w:sz w:val="18"/>
          <w:szCs w:val="20"/>
          <w:rtl/>
        </w:rPr>
        <w:t>ודורר</w:t>
      </w:r>
      <w:proofErr w:type="spellEnd"/>
      <w:r w:rsidRPr="00F65D85">
        <w:rPr>
          <w:rFonts w:ascii="Georgia" w:hAnsi="Georgia"/>
          <w:spacing w:val="-2"/>
          <w:sz w:val="18"/>
          <w:szCs w:val="20"/>
          <w:rtl/>
        </w:rPr>
        <w:t xml:space="preserve"> (</w:t>
      </w:r>
      <w:r w:rsidRPr="00F65D85">
        <w:rPr>
          <w:rFonts w:ascii="Georgia" w:hAnsi="Georgia"/>
          <w:spacing w:val="-2"/>
          <w:sz w:val="18"/>
          <w:szCs w:val="20"/>
        </w:rPr>
        <w:t xml:space="preserve">Tulle &amp; </w:t>
      </w:r>
      <w:proofErr w:type="spellStart"/>
      <w:r w:rsidRPr="00F65D85">
        <w:rPr>
          <w:rFonts w:ascii="Georgia" w:hAnsi="Georgia"/>
          <w:spacing w:val="-2"/>
          <w:sz w:val="18"/>
          <w:szCs w:val="20"/>
        </w:rPr>
        <w:t>Dorrer</w:t>
      </w:r>
      <w:proofErr w:type="spellEnd"/>
      <w:r w:rsidRPr="00F65D85">
        <w:rPr>
          <w:rFonts w:ascii="Georgia" w:hAnsi="Georgia"/>
          <w:spacing w:val="-2"/>
          <w:sz w:val="18"/>
          <w:szCs w:val="20"/>
        </w:rPr>
        <w:t>, 2012</w:t>
      </w:r>
      <w:r w:rsidRPr="00F65D85">
        <w:rPr>
          <w:rFonts w:ascii="Georgia" w:hAnsi="Georgia"/>
          <w:spacing w:val="-2"/>
          <w:sz w:val="18"/>
          <w:szCs w:val="20"/>
          <w:rtl/>
        </w:rPr>
        <w:t>), במחקרם על מבוגרים בחדרי כושר, מצביעים על כך ששתי האוכלוסיות, הצעירה והמבוגרת, תופסות את הגיל כתהליך ביולוגי דטרמיניסטי של הידרדרות גופנית, הגוררת ירידה בצבירת הון חברתי.</w:t>
      </w:r>
    </w:p>
    <w:p w14:paraId="12D62781"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דוגמה נוספת, שנולדה דווקא מתוך כוונות חיוביות, מצאנו בפרויקט ניצולי השואה ב</w:t>
      </w:r>
      <w:r w:rsidRPr="00EB3F46">
        <w:rPr>
          <w:rFonts w:ascii="Georgia" w:hAnsi="Georgia"/>
          <w:b/>
          <w:bCs/>
          <w:sz w:val="18"/>
          <w:szCs w:val="20"/>
          <w:rtl/>
        </w:rPr>
        <w:t>ידיעות אחרונות</w:t>
      </w:r>
      <w:r w:rsidRPr="00EB3F46">
        <w:rPr>
          <w:rFonts w:ascii="Georgia" w:hAnsi="Georgia"/>
          <w:sz w:val="18"/>
          <w:szCs w:val="20"/>
          <w:rtl/>
        </w:rPr>
        <w:t xml:space="preserve"> שנועד, על פי יוזמיו, להעלות למודעות את מצבם הקשה. המטרה אכן הושגה, אבל ניתוח הנרטיב, בין השאר כפי שהוא בא לידי ביטוי בתמונות, מלמד על תפיסה </w:t>
      </w:r>
      <w:proofErr w:type="spellStart"/>
      <w:r w:rsidRPr="00EB3F46">
        <w:rPr>
          <w:rFonts w:ascii="Georgia" w:hAnsi="Georgia"/>
          <w:sz w:val="18"/>
          <w:szCs w:val="20"/>
          <w:rtl/>
        </w:rPr>
        <w:t>גילנית</w:t>
      </w:r>
      <w:proofErr w:type="spellEnd"/>
      <w:r w:rsidRPr="00EB3F46">
        <w:rPr>
          <w:rFonts w:ascii="Georgia" w:hAnsi="Georgia"/>
          <w:sz w:val="18"/>
          <w:szCs w:val="20"/>
          <w:rtl/>
        </w:rPr>
        <w:t xml:space="preserve"> מסוימת שקשה להתנתק ממנה. הקשישים צולמו כך שתובלט הדלות: במטבח, בחדר מדרגות אפלולי ומלוכלך או מיושן, על רקע בטון ועוד. הלבוש – בגדים הנתפסים כ"זולים" </w:t>
      </w:r>
      <w:r w:rsidRPr="00EB3F46">
        <w:rPr>
          <w:rFonts w:ascii="Georgia" w:hAnsi="Georgia"/>
          <w:sz w:val="18"/>
          <w:szCs w:val="20"/>
          <w:rtl/>
        </w:rPr>
        <w:lastRenderedPageBreak/>
        <w:t>או "פשוטים", התפאורה, הבעות הפנים, קומפוזיציית הצילום (ידיים משולבות, הבעה רצינית וכבדה, ריחוק מסוים), כל אלה משדרים בכל המקרים דלות.</w:t>
      </w:r>
    </w:p>
    <w:p w14:paraId="3CB62866" w14:textId="62619810" w:rsidR="00EB3F46" w:rsidRDefault="007F12E9" w:rsidP="00EF0A42">
      <w:pPr>
        <w:spacing w:line="240" w:lineRule="atLeast"/>
        <w:jc w:val="center"/>
        <w:rPr>
          <w:rFonts w:ascii="Georgia" w:hAnsi="Georgia" w:cs="Georgia"/>
          <w:noProof/>
          <w:sz w:val="18"/>
          <w:szCs w:val="18"/>
          <w:rtl/>
          <w:lang w:val="he-IL"/>
        </w:rPr>
      </w:pPr>
      <w:r>
        <w:rPr>
          <w:rFonts w:ascii="Georgia" w:hAnsi="Georgia"/>
          <w:noProof/>
          <w:sz w:val="18"/>
          <w:szCs w:val="20"/>
        </w:rPr>
        <w:drawing>
          <wp:inline distT="0" distB="0" distL="0" distR="0" wp14:anchorId="5839CA38" wp14:editId="7FDAA0FE">
            <wp:extent cx="1543050" cy="1479170"/>
            <wp:effectExtent l="0" t="0" r="0" b="6985"/>
            <wp:docPr id="12" name="תמונה 11" descr="צילום כתבה שכותרתה מדינת ישראל לא מאפשרת לנו להזדקן בכב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1" descr="צילום כתבה שכותרתה מדינת ישראל לא מאפשרת לנו להזדקן בכבוד"/>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812" cy="1503865"/>
                    </a:xfrm>
                    <a:prstGeom prst="rect">
                      <a:avLst/>
                    </a:prstGeom>
                    <a:noFill/>
                    <a:ln>
                      <a:noFill/>
                    </a:ln>
                  </pic:spPr>
                </pic:pic>
              </a:graphicData>
            </a:graphic>
          </wp:inline>
        </w:drawing>
      </w:r>
      <w:r w:rsidR="00854951">
        <w:rPr>
          <w:rFonts w:ascii="Georgia" w:hAnsi="Georgia" w:cs="Georgia"/>
          <w:noProof/>
          <w:sz w:val="18"/>
          <w:szCs w:val="18"/>
          <w:rtl/>
          <w:lang w:val="he-IL"/>
        </w:rPr>
        <w:tab/>
      </w:r>
      <w:r w:rsidR="00854951">
        <w:rPr>
          <w:rFonts w:ascii="Georgia" w:hAnsi="Georgia"/>
          <w:noProof/>
          <w:sz w:val="18"/>
          <w:szCs w:val="20"/>
        </w:rPr>
        <w:drawing>
          <wp:inline distT="0" distB="0" distL="0" distR="0" wp14:anchorId="551377F3" wp14:editId="0DF4897D">
            <wp:extent cx="2261155" cy="1574704"/>
            <wp:effectExtent l="0" t="0" r="6350" b="6985"/>
            <wp:docPr id="5" name="תמונה 12" descr="צילום כתבה שכותרתה אני בודדה בואו לבקר אותי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12" descr="צילום כתבה שכותרתה אני בודדה בואו לבקר אותי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531" cy="1595858"/>
                    </a:xfrm>
                    <a:prstGeom prst="rect">
                      <a:avLst/>
                    </a:prstGeom>
                    <a:noFill/>
                    <a:ln>
                      <a:noFill/>
                    </a:ln>
                  </pic:spPr>
                </pic:pic>
              </a:graphicData>
            </a:graphic>
          </wp:inline>
        </w:drawing>
      </w:r>
    </w:p>
    <w:p w14:paraId="16AE4668" w14:textId="285633DB" w:rsidR="00EF0A42" w:rsidRPr="00EB3F46" w:rsidRDefault="00EF0A42" w:rsidP="00F56BAD">
      <w:pPr>
        <w:tabs>
          <w:tab w:val="left" w:pos="2918"/>
          <w:tab w:val="center" w:pos="4619"/>
        </w:tabs>
        <w:spacing w:after="120" w:line="240" w:lineRule="atLeast"/>
        <w:rPr>
          <w:rFonts w:ascii="Georgia" w:hAnsi="Georgia" w:cs="Georgia"/>
          <w:noProof/>
          <w:sz w:val="18"/>
          <w:szCs w:val="18"/>
          <w:rtl/>
          <w:lang w:val="he-IL"/>
        </w:rPr>
      </w:pPr>
      <w:r w:rsidRPr="00AA132A">
        <w:rPr>
          <w:rFonts w:ascii="David" w:hAnsi="David"/>
          <w:b/>
          <w:bCs/>
          <w:sz w:val="16"/>
          <w:szCs w:val="16"/>
          <w:rtl/>
        </w:rPr>
        <w:t>ידיעות אחרונות</w:t>
      </w:r>
      <w:r w:rsidRPr="00AA132A">
        <w:rPr>
          <w:rFonts w:ascii="David" w:hAnsi="David"/>
          <w:sz w:val="16"/>
          <w:szCs w:val="16"/>
          <w:rtl/>
        </w:rPr>
        <w:t xml:space="preserve">. צילום: אביגיל עוזי  </w:t>
      </w:r>
      <w:r w:rsidR="00854951">
        <w:rPr>
          <w:rFonts w:ascii="David" w:hAnsi="David"/>
          <w:sz w:val="16"/>
          <w:szCs w:val="16"/>
          <w:rtl/>
        </w:rPr>
        <w:tab/>
      </w:r>
      <w:r w:rsidR="00854951" w:rsidRPr="00AA132A">
        <w:rPr>
          <w:rFonts w:ascii="David" w:hAnsi="David"/>
          <w:b/>
          <w:bCs/>
          <w:sz w:val="16"/>
          <w:szCs w:val="16"/>
          <w:rtl/>
        </w:rPr>
        <w:t>ידיעות אחרונות</w:t>
      </w:r>
      <w:r w:rsidR="00854951" w:rsidRPr="00AA132A">
        <w:rPr>
          <w:rFonts w:ascii="David" w:hAnsi="David"/>
          <w:sz w:val="16"/>
          <w:szCs w:val="16"/>
          <w:rtl/>
        </w:rPr>
        <w:t xml:space="preserve">. צילום: אביגיל עוזי  </w:t>
      </w:r>
    </w:p>
    <w:p w14:paraId="218AB326" w14:textId="59BE4ABD" w:rsidR="00EB3F46" w:rsidRDefault="007F12E9" w:rsidP="008666ED">
      <w:pPr>
        <w:spacing w:line="240" w:lineRule="atLeast"/>
        <w:rPr>
          <w:rFonts w:ascii="Georgia" w:hAnsi="Georgia"/>
          <w:sz w:val="18"/>
          <w:szCs w:val="20"/>
        </w:rPr>
      </w:pPr>
      <w:r>
        <w:rPr>
          <w:rFonts w:ascii="Georgia" w:hAnsi="Georgia"/>
          <w:noProof/>
          <w:sz w:val="18"/>
          <w:szCs w:val="20"/>
        </w:rPr>
        <w:drawing>
          <wp:inline distT="0" distB="0" distL="0" distR="0" wp14:anchorId="6483640B" wp14:editId="762027DB">
            <wp:extent cx="2520950" cy="2417760"/>
            <wp:effectExtent l="0" t="0" r="0" b="1905"/>
            <wp:docPr id="14" name="תמונה 13" descr="צילום כתבה שכותרתה למדתי לחסוך כדי שיהיה לי כסף לאוכ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3" descr="צילום כתבה שכותרתה למדתי לחסוך כדי שיהיה לי כסף לאוכל&#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5278" cy="2421911"/>
                    </a:xfrm>
                    <a:prstGeom prst="rect">
                      <a:avLst/>
                    </a:prstGeom>
                    <a:noFill/>
                    <a:ln>
                      <a:noFill/>
                    </a:ln>
                  </pic:spPr>
                </pic:pic>
              </a:graphicData>
            </a:graphic>
          </wp:inline>
        </w:drawing>
      </w:r>
    </w:p>
    <w:p w14:paraId="74461C95" w14:textId="5D07AFC8" w:rsidR="00EF0A42" w:rsidRPr="00EB3F46" w:rsidRDefault="00EF0A42" w:rsidP="00F56BAD">
      <w:pPr>
        <w:spacing w:after="180" w:line="240" w:lineRule="atLeast"/>
        <w:rPr>
          <w:rFonts w:ascii="Georgia" w:hAnsi="Georgia"/>
          <w:sz w:val="18"/>
          <w:szCs w:val="20"/>
          <w:rtl/>
        </w:rPr>
      </w:pPr>
      <w:r w:rsidRPr="00AA132A">
        <w:rPr>
          <w:rFonts w:ascii="David" w:hAnsi="David"/>
          <w:b/>
          <w:bCs/>
          <w:sz w:val="16"/>
          <w:szCs w:val="16"/>
          <w:rtl/>
        </w:rPr>
        <w:t>ידיעות אחרונות</w:t>
      </w:r>
      <w:r w:rsidRPr="00AA132A">
        <w:rPr>
          <w:rFonts w:ascii="David" w:hAnsi="David"/>
          <w:sz w:val="16"/>
          <w:szCs w:val="16"/>
          <w:rtl/>
        </w:rPr>
        <w:t xml:space="preserve">. צילום: אלעד </w:t>
      </w:r>
      <w:proofErr w:type="spellStart"/>
      <w:r w:rsidRPr="00AA132A">
        <w:rPr>
          <w:rFonts w:ascii="David" w:hAnsi="David"/>
          <w:sz w:val="16"/>
          <w:szCs w:val="16"/>
          <w:rtl/>
        </w:rPr>
        <w:t>גרשגורן</w:t>
      </w:r>
      <w:proofErr w:type="spellEnd"/>
    </w:p>
    <w:p w14:paraId="610776B2"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זאת ועוד, כותרת הגג שנבחרה לפרויקט וליוותה את הכתבות היא "מופקרים לגורלם". כלומר, אנשים מבוגרים אינם יכולים לדאוג לעצמם, המדינה היא שצריכה לדאוג להם, והיא לא עושה זאת. על כן הם "מופקרים". גם הכותרות התכתבו עם המסר. "מדינת ישראל לא מאפשרת לנו להזדקן בכבוד"</w:t>
      </w:r>
      <w:r w:rsidRPr="00EB3F46">
        <w:rPr>
          <w:rFonts w:ascii="Georgia" w:hAnsi="Georgia"/>
          <w:i/>
          <w:iCs/>
          <w:sz w:val="18"/>
          <w:szCs w:val="20"/>
          <w:rtl/>
        </w:rPr>
        <w:t xml:space="preserve"> </w:t>
      </w:r>
      <w:r w:rsidRPr="00EB3F46">
        <w:rPr>
          <w:rFonts w:ascii="Georgia" w:hAnsi="Georgia"/>
          <w:sz w:val="18"/>
          <w:szCs w:val="20"/>
          <w:rtl/>
        </w:rPr>
        <w:t xml:space="preserve">(גיל-עד, 2020, 2021). בטקסט משולבים שלל ביטויי מסכנות: "בימי החורף אני מוצא את עצמי מתלבט אם אני יכול להרשות לעצמי להפעיל מזגן על חימום"; "הכסף לא מספיק, לא תמיד נשאר כדי לקנות את האוכל שאני רוצה"; "אני מתקלח פעם בשבוע"; ועוד. לכל כתבה כזו נלוו בימים הבאים כתבות המשך ("פולו"), ובהן הוצגו אנשים טובים שניאותו לתרום לקשישים. </w:t>
      </w:r>
    </w:p>
    <w:p w14:paraId="766165D9"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lastRenderedPageBreak/>
        <w:t xml:space="preserve">עם זאת, ניכרה לחיוב רגישותה של הכתבת והתעקשותה להביא את קולותיהם של המבוגרים במישרין, ולא באמצעות מתווכים. לתפיסתנו, זהו יוצא מן הכלל המעיד על הכלל. הכתבת הדר גיל-עד, שיזמה את הפרויקט, ביקשה לשנות את הנרטיב הקבוע, וכחלק מתפיסת עולמה הראתה את פניהם של המבוגרים ולא הסתירה אותם, כנהוג. </w:t>
      </w:r>
    </w:p>
    <w:p w14:paraId="118D3836" w14:textId="77777777" w:rsidR="00EB3F46" w:rsidRPr="00EB3F46" w:rsidRDefault="00EB3F46" w:rsidP="00983B9B">
      <w:pPr>
        <w:spacing w:after="180"/>
        <w:ind w:left="284" w:right="284"/>
        <w:jc w:val="both"/>
        <w:rPr>
          <w:rFonts w:ascii="Georgia" w:hAnsi="Georgia"/>
          <w:sz w:val="18"/>
          <w:szCs w:val="20"/>
          <w:rtl/>
        </w:rPr>
      </w:pPr>
      <w:r w:rsidRPr="00EB3F46">
        <w:rPr>
          <w:rFonts w:ascii="Georgia" w:hAnsi="Georgia"/>
          <w:sz w:val="18"/>
          <w:szCs w:val="20"/>
          <w:rtl/>
        </w:rPr>
        <w:t xml:space="preserve">רציתי להראות את המציאות כפי שהיא. במציאות, אנחנו נוטים לפחד </w:t>
      </w:r>
      <w:proofErr w:type="spellStart"/>
      <w:r w:rsidRPr="00EB3F46">
        <w:rPr>
          <w:rFonts w:ascii="Georgia" w:hAnsi="Georgia"/>
          <w:sz w:val="18"/>
          <w:szCs w:val="20"/>
          <w:rtl/>
        </w:rPr>
        <w:t>מהזיקנה</w:t>
      </w:r>
      <w:proofErr w:type="spellEnd"/>
      <w:r w:rsidRPr="00EB3F46">
        <w:rPr>
          <w:rFonts w:ascii="Georgia" w:hAnsi="Georgia"/>
          <w:sz w:val="18"/>
          <w:szCs w:val="20"/>
          <w:rtl/>
        </w:rPr>
        <w:t xml:space="preserve">, להרחיק אותה מעצמנו, ובסדרת הכתבות הזו ביקשתי להנכיח את המבוגרים ולהשמיע את קולם. הקומפוזיציה שנבחרה, התקריב, היא כזו שבה הם נראים כפי שהם – לא מוסתרים, לא מתחבאים, משהו שצריך להתמודד </w:t>
      </w:r>
      <w:proofErr w:type="spellStart"/>
      <w:r w:rsidRPr="00EB3F46">
        <w:rPr>
          <w:rFonts w:ascii="Georgia" w:hAnsi="Georgia"/>
          <w:sz w:val="18"/>
          <w:szCs w:val="20"/>
          <w:rtl/>
        </w:rPr>
        <w:t>איתו</w:t>
      </w:r>
      <w:proofErr w:type="spellEnd"/>
      <w:r w:rsidRPr="00EB3F46">
        <w:rPr>
          <w:rFonts w:ascii="Georgia" w:hAnsi="Georgia"/>
          <w:sz w:val="18"/>
          <w:szCs w:val="20"/>
          <w:rtl/>
        </w:rPr>
        <w:t>.</w:t>
      </w:r>
      <w:r w:rsidRPr="00EB3F46">
        <w:rPr>
          <w:rStyle w:val="FootnoteReference"/>
          <w:rFonts w:ascii="Georgia" w:hAnsi="Georgia"/>
          <w:sz w:val="18"/>
          <w:szCs w:val="20"/>
          <w:rtl/>
        </w:rPr>
        <w:footnoteReference w:id="9"/>
      </w:r>
      <w:r w:rsidRPr="00EB3F46">
        <w:rPr>
          <w:rFonts w:ascii="Georgia" w:hAnsi="Georgia"/>
          <w:sz w:val="18"/>
          <w:szCs w:val="20"/>
          <w:rtl/>
        </w:rPr>
        <w:t xml:space="preserve"> </w:t>
      </w:r>
    </w:p>
    <w:p w14:paraId="71B22530"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ניתן ללמוד מכך לא מעט על יכולתו של עיתונאי יחיד לשנות מעט את המציאות ולקבוע נרטיב חדש, אחר, מתוך רגישות והבנה של המציאות; להחליט להתוות קו שנעדר בו אלמנט הבושה שנלווה לכל שאר הידיעות שנגעו לאוכלוסייה המבוגרת בשנה האחרונה. ייתכן שזו דוגמה צנועה למבנה הכוח שתיאר פוקו (1996), ולפיו הכוח מופעל גם על ידי אינדיבידואלים, כך שהם אינם גורמים פאסיביים אל מול הכוח המוסדי המופעל מלמעלה</w:t>
      </w:r>
      <w:r w:rsidRPr="00EB3F46">
        <w:rPr>
          <w:rFonts w:ascii="Georgia" w:hAnsi="Georgia"/>
          <w:color w:val="202122"/>
          <w:sz w:val="18"/>
          <w:szCs w:val="20"/>
          <w:rtl/>
        </w:rPr>
        <w:t>.</w:t>
      </w:r>
    </w:p>
    <w:p w14:paraId="5A499DC5" w14:textId="0483BBAA"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עם זאת, גם בסדרת הכתבות הזאת המבוגרים אינם משדרים עוצמה. הסביבה שהם מצולמים בה משדרת חולשה ועוני, והמסר העולה מהכתבות הוא של קושי, ולא של הצלחה בחיים. הנרטיב של הסדרה כולה יוצא מנקודת הנחה שהתפיסה ה</w:t>
      </w:r>
      <w:r w:rsidR="00B30F85">
        <w:rPr>
          <w:rFonts w:ascii="Georgia" w:hAnsi="Georgia" w:hint="cs"/>
          <w:sz w:val="18"/>
          <w:szCs w:val="20"/>
          <w:rtl/>
        </w:rPr>
        <w:t xml:space="preserve">מקובלת </w:t>
      </w:r>
      <w:r w:rsidRPr="00EB3F46">
        <w:rPr>
          <w:rFonts w:ascii="Georgia" w:hAnsi="Georgia"/>
          <w:sz w:val="18"/>
          <w:szCs w:val="20"/>
          <w:rtl/>
        </w:rPr>
        <w:t xml:space="preserve">היא כי זקנים מושלכים בצד הדרך. כך עשוי להיווצר אפקט הפוך, המייצר שוב את הרושם שגיל מבוגר שווה בהכרח קושי, סבל וייסורים. </w:t>
      </w:r>
    </w:p>
    <w:p w14:paraId="553667CE" w14:textId="77777777" w:rsidR="00EB3F46" w:rsidRPr="00EB3F46" w:rsidRDefault="00EB3F46" w:rsidP="00EB3F46">
      <w:pPr>
        <w:spacing w:after="180" w:line="280" w:lineRule="exact"/>
        <w:jc w:val="both"/>
        <w:rPr>
          <w:rFonts w:ascii="Georgia" w:hAnsi="Georgia"/>
          <w:sz w:val="18"/>
          <w:szCs w:val="20"/>
          <w:rtl/>
        </w:rPr>
      </w:pPr>
    </w:p>
    <w:p w14:paraId="2339307D" w14:textId="10F9CC07"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 xml:space="preserve">המסר: התוכן הכללי של הכתבה </w:t>
      </w:r>
    </w:p>
    <w:p w14:paraId="6405FF67"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בתקופת הקורונה, במיוחד בתקופות השיא של המגפה (מרץ-אוקטובר 2021), נשמעו בכל רחבי העולם קריאות חדשות, של אנשים צעירים שקראו למעשה "לוותר על הקשישים". נרטיב זה בא לידי ביטוי, בין השאר, בתוצרים התקשורתיים של קבוצת </w:t>
      </w:r>
      <w:r w:rsidRPr="00EB3F46">
        <w:rPr>
          <w:rFonts w:ascii="Georgia" w:hAnsi="Georgia"/>
          <w:sz w:val="18"/>
          <w:szCs w:val="20"/>
        </w:rPr>
        <w:t>"</w:t>
      </w:r>
      <w:r w:rsidRPr="00EB3F46">
        <w:rPr>
          <w:rFonts w:ascii="Georgia" w:hAnsi="Georgia"/>
          <w:sz w:val="18"/>
          <w:szCs w:val="20"/>
          <w:rtl/>
        </w:rPr>
        <w:t>היגיון בריא" – קבוצה הפועלת ברשת וחברים בה גם רופאים זוטרים.</w:t>
      </w:r>
      <w:r w:rsidRPr="00EB3F46">
        <w:rPr>
          <w:rStyle w:val="FootnoteReference"/>
          <w:rFonts w:ascii="Georgia" w:hAnsi="Georgia"/>
          <w:sz w:val="18"/>
          <w:szCs w:val="20"/>
          <w:rtl/>
        </w:rPr>
        <w:footnoteReference w:id="10"/>
      </w:r>
      <w:r w:rsidRPr="00EB3F46">
        <w:rPr>
          <w:rFonts w:ascii="Georgia" w:hAnsi="Georgia"/>
          <w:sz w:val="18"/>
          <w:szCs w:val="20"/>
          <w:rtl/>
        </w:rPr>
        <w:t xml:space="preserve"> הנרטיב העיקרי של חברי הקבוצה, ולפיו אין מה לפחד מהקורונה, קנה אחיזה מסוימת בציבור. דובר בית החולים איכילוב, אבי שושן, חזר גם הוא על הנרטיב בציוצו ברשת החברתית </w:t>
      </w:r>
      <w:proofErr w:type="spellStart"/>
      <w:r w:rsidRPr="00EB3F46">
        <w:rPr>
          <w:rFonts w:ascii="Georgia" w:hAnsi="Georgia"/>
          <w:sz w:val="18"/>
          <w:szCs w:val="20"/>
          <w:rtl/>
        </w:rPr>
        <w:t>טוויטר</w:t>
      </w:r>
      <w:proofErr w:type="spellEnd"/>
      <w:r w:rsidRPr="00EB3F46">
        <w:rPr>
          <w:rFonts w:ascii="Georgia" w:hAnsi="Georgia"/>
          <w:sz w:val="18"/>
          <w:szCs w:val="20"/>
          <w:rtl/>
        </w:rPr>
        <w:t xml:space="preserve">: "כשהגיל הממוצע הוא 82 </w:t>
      </w:r>
      <w:proofErr w:type="spellStart"/>
      <w:r w:rsidRPr="00EB3F46">
        <w:rPr>
          <w:rFonts w:ascii="Georgia" w:hAnsi="Georgia"/>
          <w:sz w:val="18"/>
          <w:szCs w:val="20"/>
          <w:rtl/>
        </w:rPr>
        <w:t>ו׳מחלות</w:t>
      </w:r>
      <w:proofErr w:type="spellEnd"/>
      <w:r w:rsidRPr="00EB3F46">
        <w:rPr>
          <w:rFonts w:ascii="Georgia" w:hAnsi="Georgia"/>
          <w:sz w:val="18"/>
          <w:szCs w:val="20"/>
          <w:rtl/>
        </w:rPr>
        <w:t xml:space="preserve"> רקע׳ הן סרטנים סופניים, דמנציה ואלצהיימר, וחלקם הגדול כבר הגיעו מונשמים בלאו הכי, זה לזרוע חול בעיני הציבור".</w:t>
      </w:r>
    </w:p>
    <w:p w14:paraId="2FEB87F4" w14:textId="2857750B" w:rsidR="00983B9B" w:rsidRDefault="00983B9B" w:rsidP="008666ED">
      <w:pPr>
        <w:spacing w:after="120" w:line="240" w:lineRule="atLeast"/>
        <w:rPr>
          <w:rFonts w:ascii="Georgia" w:hAnsi="Georgia"/>
          <w:sz w:val="18"/>
          <w:szCs w:val="20"/>
        </w:rPr>
      </w:pPr>
      <w:r>
        <w:rPr>
          <w:rFonts w:ascii="Georgia" w:hAnsi="Georgia"/>
          <w:noProof/>
          <w:sz w:val="18"/>
          <w:szCs w:val="20"/>
        </w:rPr>
        <w:lastRenderedPageBreak/>
        <w:drawing>
          <wp:inline distT="0" distB="0" distL="0" distR="0" wp14:anchorId="6910431C" wp14:editId="7751191D">
            <wp:extent cx="1605234" cy="1577975"/>
            <wp:effectExtent l="0" t="0" r="0" b="3175"/>
            <wp:docPr id="26" name="Picture 2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מונה שמכילה טקסט&#10;&#10;התיאור נוצר באופן אוטומטי"/>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98" t="4927" r="2332"/>
                    <a:stretch/>
                  </pic:blipFill>
                  <pic:spPr bwMode="auto">
                    <a:xfrm>
                      <a:off x="0" y="0"/>
                      <a:ext cx="1607604" cy="1580305"/>
                    </a:xfrm>
                    <a:prstGeom prst="rect">
                      <a:avLst/>
                    </a:prstGeom>
                    <a:noFill/>
                    <a:ln>
                      <a:noFill/>
                    </a:ln>
                    <a:extLst>
                      <a:ext uri="{53640926-AAD7-44D8-BBD7-CCE9431645EC}">
                        <a14:shadowObscured xmlns:a14="http://schemas.microsoft.com/office/drawing/2010/main"/>
                      </a:ext>
                    </a:extLst>
                  </pic:spPr>
                </pic:pic>
              </a:graphicData>
            </a:graphic>
          </wp:inline>
        </w:drawing>
      </w:r>
    </w:p>
    <w:p w14:paraId="3E31E749" w14:textId="71899AA2" w:rsidR="00EF0A42" w:rsidRPr="00EB3F46" w:rsidRDefault="00EF0A42" w:rsidP="00F56BAD">
      <w:pPr>
        <w:spacing w:after="180" w:line="240" w:lineRule="atLeast"/>
        <w:rPr>
          <w:rFonts w:ascii="Georgia" w:hAnsi="Georgia"/>
          <w:sz w:val="18"/>
          <w:szCs w:val="20"/>
          <w:rtl/>
        </w:rPr>
      </w:pPr>
      <w:r w:rsidRPr="00AA132A">
        <w:rPr>
          <w:rFonts w:ascii="David" w:hAnsi="David"/>
          <w:sz w:val="16"/>
          <w:szCs w:val="16"/>
          <w:rtl/>
        </w:rPr>
        <w:t xml:space="preserve">אבי שושן. מתוך </w:t>
      </w:r>
      <w:proofErr w:type="spellStart"/>
      <w:r w:rsidRPr="00AA132A">
        <w:rPr>
          <w:rFonts w:ascii="David" w:hAnsi="David"/>
          <w:sz w:val="16"/>
          <w:szCs w:val="16"/>
          <w:rtl/>
        </w:rPr>
        <w:t>טוויטר</w:t>
      </w:r>
      <w:proofErr w:type="spellEnd"/>
    </w:p>
    <w:p w14:paraId="61BAA8A6" w14:textId="77777777" w:rsidR="00EB3F46" w:rsidRPr="00EB3F46" w:rsidRDefault="00EB3F46" w:rsidP="004243DE">
      <w:pPr>
        <w:spacing w:after="180" w:line="280" w:lineRule="exact"/>
        <w:jc w:val="both"/>
        <w:rPr>
          <w:rFonts w:ascii="Georgia" w:hAnsi="Georgia"/>
          <w:sz w:val="18"/>
          <w:szCs w:val="20"/>
          <w:rtl/>
        </w:rPr>
      </w:pPr>
      <w:r w:rsidRPr="00EB3F46">
        <w:rPr>
          <w:rFonts w:ascii="Georgia" w:hAnsi="Georgia"/>
          <w:sz w:val="18"/>
          <w:szCs w:val="20"/>
          <w:rtl/>
        </w:rPr>
        <w:t>המסרים שמהדהדים המקורות השונים מתכתבים זה עם זה ומחזקים את הנרטיב ולפיו הקורונה הורגת רק מבוגרים, או אנשים שהיו מתים בכל מקרה. מכאן שאין זו אשמתנו שאנשים מבוגרים ימותו: "אנחנו לא צריכים לסבול בגללם".</w:t>
      </w:r>
    </w:p>
    <w:p w14:paraId="50E4E609" w14:textId="1C9C8E71"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בקרב משמיעי הקולות הללו היו כמה דמויות דומיננטיות. פרופסור יורם לס, למשל, לשעבר מנכ"ל משרד הבריאות וחבר כנסת, טען שהקורונה היא "שפעת עם יחסי ציבור"</w:t>
      </w:r>
      <w:r w:rsidRPr="00EB3F46">
        <w:rPr>
          <w:rFonts w:ascii="Georgia" w:hAnsi="Georgia"/>
          <w:i/>
          <w:iCs/>
          <w:sz w:val="18"/>
          <w:szCs w:val="20"/>
          <w:rtl/>
        </w:rPr>
        <w:t xml:space="preserve"> </w:t>
      </w:r>
      <w:r w:rsidRPr="00EB3F46">
        <w:rPr>
          <w:rFonts w:ascii="Georgia" w:hAnsi="Georgia"/>
          <w:sz w:val="18"/>
          <w:szCs w:val="20"/>
          <w:rtl/>
        </w:rPr>
        <w:t>(ריאיון אצל אמנון לוי, אפריל 2019). לס הטיף להימנע מסגרים, וטען שהקורונה הורגת רק את אוכלוסיית הסיכון. גם הכותרות מלמדות על ניסיון להיצמד לנרטיב הזה. למשל, "כשיגיע הרגע שבו נצטרך לבחור בין קשישה בת</w:t>
      </w:r>
      <w:r w:rsidR="00D47B9D">
        <w:rPr>
          <w:rFonts w:ascii="Georgia" w:hAnsi="Georgia" w:hint="cs"/>
          <w:sz w:val="18"/>
          <w:szCs w:val="20"/>
          <w:rtl/>
        </w:rPr>
        <w:t xml:space="preserve"> תשעים</w:t>
      </w:r>
      <w:r w:rsidRPr="00EB3F46">
        <w:rPr>
          <w:rFonts w:ascii="Georgia" w:hAnsi="Georgia"/>
          <w:sz w:val="18"/>
          <w:szCs w:val="20"/>
          <w:rtl/>
        </w:rPr>
        <w:t xml:space="preserve"> לחולה בן </w:t>
      </w:r>
      <w:r w:rsidR="00D47B9D">
        <w:rPr>
          <w:rFonts w:ascii="Georgia" w:hAnsi="Georgia" w:hint="cs"/>
          <w:sz w:val="18"/>
          <w:szCs w:val="20"/>
          <w:rtl/>
        </w:rPr>
        <w:t xml:space="preserve">חמישים </w:t>
      </w:r>
      <w:r w:rsidRPr="00EB3F46">
        <w:rPr>
          <w:rFonts w:ascii="Georgia" w:hAnsi="Georgia"/>
          <w:sz w:val="18"/>
          <w:szCs w:val="20"/>
          <w:rtl/>
        </w:rPr>
        <w:t>– אין ספק שנוותר על הקשישה"</w:t>
      </w:r>
      <w:r w:rsidRPr="00EB3F46">
        <w:rPr>
          <w:rFonts w:ascii="Georgia" w:hAnsi="Georgia"/>
          <w:i/>
          <w:iCs/>
          <w:sz w:val="18"/>
          <w:szCs w:val="20"/>
          <w:rtl/>
        </w:rPr>
        <w:t xml:space="preserve"> </w:t>
      </w:r>
      <w:r w:rsidRPr="00EB3F46">
        <w:rPr>
          <w:rFonts w:ascii="Georgia" w:hAnsi="Georgia"/>
          <w:sz w:val="18"/>
          <w:szCs w:val="20"/>
          <w:rtl/>
        </w:rPr>
        <w:t xml:space="preserve">(רופאים מדברים. </w:t>
      </w:r>
      <w:r w:rsidRPr="00EB3F46">
        <w:rPr>
          <w:rFonts w:ascii="Georgia" w:hAnsi="Georgia"/>
          <w:b/>
          <w:bCs/>
          <w:sz w:val="18"/>
          <w:szCs w:val="20"/>
          <w:rtl/>
        </w:rPr>
        <w:t>ידיעות אחרונות</w:t>
      </w:r>
      <w:r w:rsidRPr="00EB3F46">
        <w:rPr>
          <w:rFonts w:ascii="Georgia" w:hAnsi="Georgia"/>
          <w:sz w:val="18"/>
          <w:szCs w:val="20"/>
          <w:rtl/>
        </w:rPr>
        <w:t xml:space="preserve">, 27 במרץ 2020). בהתחשב בשיעורי ההבנה של סכנת המגפה (כפי שעולה משיעור ההתחסנות הגבוה מאוד בישראל, ומהעובדה שבקרב האוכלוסיות בנות החיסון, כולל הצעירים, התחסנו יותר מ-80%), אפשר לומר כי המקום שקולות אלה קיבלו בתקשורת לא תאם כלל את היקפם האמיתי. </w:t>
      </w:r>
    </w:p>
    <w:p w14:paraId="7859B92A" w14:textId="6162366E" w:rsidR="00EB3F46" w:rsidRPr="00EB3F46" w:rsidRDefault="00EB3F46" w:rsidP="001A3ED8">
      <w:pPr>
        <w:spacing w:after="180" w:line="280" w:lineRule="exact"/>
        <w:jc w:val="both"/>
        <w:rPr>
          <w:rFonts w:ascii="Georgia" w:hAnsi="Georgia"/>
          <w:sz w:val="18"/>
          <w:szCs w:val="20"/>
          <w:rtl/>
        </w:rPr>
      </w:pPr>
      <w:r w:rsidRPr="00EB3F46">
        <w:rPr>
          <w:rFonts w:ascii="Georgia" w:hAnsi="Georgia"/>
          <w:sz w:val="18"/>
          <w:szCs w:val="20"/>
          <w:rtl/>
        </w:rPr>
        <w:t xml:space="preserve">עם זאת, ככל שחלף הזמן, המקום שנתנה התקשורת לקולות </w:t>
      </w:r>
      <w:r w:rsidR="0076585B">
        <w:rPr>
          <w:rFonts w:ascii="Georgia" w:hAnsi="Georgia" w:hint="cs"/>
          <w:sz w:val="18"/>
          <w:szCs w:val="20"/>
          <w:rtl/>
        </w:rPr>
        <w:t>הללו</w:t>
      </w:r>
      <w:r w:rsidRPr="00EB3F46">
        <w:rPr>
          <w:rFonts w:ascii="Georgia" w:hAnsi="Georgia"/>
          <w:sz w:val="18"/>
          <w:szCs w:val="20"/>
          <w:rtl/>
        </w:rPr>
        <w:t xml:space="preserve"> הלך והצטמצם. בחודשים האחרונים (אוגוסט-דצמבר) של שנת 2020 צומצמו הראיונות התכופים עם יורם לס באולפני הטלוויזיה, וסקירת הכותרות </w:t>
      </w:r>
      <w:r w:rsidRPr="00EB3F46">
        <w:rPr>
          <w:rFonts w:ascii="Georgia" w:hAnsi="Georgia"/>
          <w:b/>
          <w:bCs/>
          <w:sz w:val="18"/>
          <w:szCs w:val="20"/>
          <w:rtl/>
        </w:rPr>
        <w:t>בידיעות אחרונות</w:t>
      </w:r>
      <w:r w:rsidRPr="00EB3F46">
        <w:rPr>
          <w:rFonts w:ascii="Georgia" w:hAnsi="Georgia"/>
          <w:sz w:val="18"/>
          <w:szCs w:val="20"/>
          <w:rtl/>
        </w:rPr>
        <w:t xml:space="preserve"> מראה כי כבר לא ניתן להם מקום כלל. אולם המסר עדיין נשמע, ואף הוחרף הדיון בהעמדה של תמותת זקנים אל מול מחירם של חיי צעירים. ברשת החברתית </w:t>
      </w:r>
      <w:proofErr w:type="spellStart"/>
      <w:r w:rsidRPr="00EB3F46">
        <w:rPr>
          <w:rFonts w:ascii="Georgia" w:hAnsi="Georgia"/>
          <w:sz w:val="18"/>
          <w:szCs w:val="20"/>
          <w:rtl/>
        </w:rPr>
        <w:t>טוויטר</w:t>
      </w:r>
      <w:proofErr w:type="spellEnd"/>
      <w:r w:rsidRPr="00EB3F46">
        <w:rPr>
          <w:rFonts w:ascii="Georgia" w:hAnsi="Georgia"/>
          <w:sz w:val="18"/>
          <w:szCs w:val="20"/>
          <w:rtl/>
        </w:rPr>
        <w:t xml:space="preserve"> אפשר לקרוא דיון שיזם לס תחת הכותרת "או שסבא שלך ילך לעולמו או ששני מיליון תלמידים יאבדו שתי שנות לימוד. במה תבחר?"</w:t>
      </w:r>
      <w:r w:rsidRPr="00EB3F46">
        <w:rPr>
          <w:rFonts w:ascii="Georgia" w:hAnsi="Georgia"/>
          <w:i/>
          <w:iCs/>
          <w:sz w:val="18"/>
          <w:szCs w:val="20"/>
          <w:rtl/>
        </w:rPr>
        <w:t xml:space="preserve"> </w:t>
      </w:r>
      <w:r w:rsidRPr="00EB3F46">
        <w:rPr>
          <w:rFonts w:ascii="Georgia" w:hAnsi="Georgia"/>
          <w:sz w:val="18"/>
          <w:szCs w:val="20"/>
          <w:rtl/>
        </w:rPr>
        <w:t>(לס, ינואר 2021)</w:t>
      </w:r>
      <w:r w:rsidRPr="00EB3F46">
        <w:rPr>
          <w:rFonts w:ascii="Georgia" w:hAnsi="Georgia"/>
          <w:noProof/>
          <w:sz w:val="18"/>
          <w:szCs w:val="20"/>
          <w:rtl/>
          <w:lang w:val="he-IL"/>
        </w:rPr>
        <w:t>.</w:t>
      </w:r>
    </w:p>
    <w:p w14:paraId="25216E8E"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דברים דומים, וחריפים אף יותר, השמיע שגיא </w:t>
      </w:r>
      <w:proofErr w:type="spellStart"/>
      <w:r w:rsidRPr="00EB3F46">
        <w:rPr>
          <w:rFonts w:ascii="Georgia" w:hAnsi="Georgia"/>
          <w:sz w:val="18"/>
          <w:szCs w:val="20"/>
          <w:rtl/>
        </w:rPr>
        <w:t>ברמק</w:t>
      </w:r>
      <w:proofErr w:type="spellEnd"/>
      <w:r w:rsidRPr="00EB3F46">
        <w:rPr>
          <w:rFonts w:ascii="Georgia" w:hAnsi="Georgia"/>
          <w:sz w:val="18"/>
          <w:szCs w:val="20"/>
          <w:rtl/>
        </w:rPr>
        <w:t xml:space="preserve">, ראש תוכנית ב"קרן תקווה", המזוהה עם הימין </w:t>
      </w:r>
      <w:proofErr w:type="spellStart"/>
      <w:r w:rsidRPr="00EB3F46">
        <w:rPr>
          <w:rFonts w:ascii="Georgia" w:hAnsi="Georgia"/>
          <w:sz w:val="18"/>
          <w:szCs w:val="20"/>
          <w:rtl/>
        </w:rPr>
        <w:t>הליברטריאני</w:t>
      </w:r>
      <w:proofErr w:type="spellEnd"/>
      <w:r w:rsidRPr="00EB3F46">
        <w:rPr>
          <w:rFonts w:ascii="Georgia" w:hAnsi="Georgia"/>
          <w:sz w:val="18"/>
          <w:szCs w:val="20"/>
          <w:rtl/>
        </w:rPr>
        <w:t xml:space="preserve">. </w:t>
      </w:r>
      <w:proofErr w:type="spellStart"/>
      <w:r w:rsidRPr="00EB3F46">
        <w:rPr>
          <w:rFonts w:ascii="Georgia" w:hAnsi="Georgia"/>
          <w:sz w:val="18"/>
          <w:szCs w:val="20"/>
          <w:rtl/>
        </w:rPr>
        <w:t>ברמק</w:t>
      </w:r>
      <w:proofErr w:type="spellEnd"/>
      <w:r w:rsidRPr="00EB3F46">
        <w:rPr>
          <w:rFonts w:ascii="Georgia" w:hAnsi="Georgia"/>
          <w:sz w:val="18"/>
          <w:szCs w:val="20"/>
          <w:rtl/>
        </w:rPr>
        <w:t xml:space="preserve"> ביטא גישה התופסת אחיזה ניכרת במוסדות השלטון בשנים האחרונות: </w:t>
      </w:r>
    </w:p>
    <w:p w14:paraId="0E9AFF74" w14:textId="77777777" w:rsidR="00EB3F46" w:rsidRPr="00EB3F46" w:rsidRDefault="00EB3F46" w:rsidP="00673493">
      <w:pPr>
        <w:shd w:val="clear" w:color="auto" w:fill="FFFFFF"/>
        <w:spacing w:after="180"/>
        <w:ind w:left="567"/>
        <w:jc w:val="both"/>
        <w:rPr>
          <w:rFonts w:ascii="Georgia" w:hAnsi="Georgia"/>
          <w:sz w:val="18"/>
          <w:szCs w:val="20"/>
          <w:rtl/>
        </w:rPr>
      </w:pPr>
      <w:r w:rsidRPr="00EB3F46">
        <w:rPr>
          <w:rFonts w:ascii="Georgia" w:hAnsi="Georgia"/>
          <w:sz w:val="18"/>
          <w:szCs w:val="20"/>
          <w:rtl/>
        </w:rPr>
        <w:lastRenderedPageBreak/>
        <w:t>מבין כל קבוצות האינטרס שמנסות להיטיב עם עצמן על חשבון הכלל, האזרחים הוותיקים בני הגיל השלישי היא המגונה ביותר. לא רק כי מדובר באוכלוסייה מבוססת שנהנית מפירות מדינת הרווחה הגרעונית שלנו, אלא כי מה שצריך לעניין אותנו יותר מכל זה העתיד – הדורות הבאים. הם ליטרלי משנים את סדר הקדימות.</w:t>
      </w:r>
    </w:p>
    <w:p w14:paraId="397AA486" w14:textId="7D3D68CA" w:rsidR="00983B9B" w:rsidRDefault="00983B9B" w:rsidP="008666ED">
      <w:pPr>
        <w:spacing w:line="240" w:lineRule="atLeast"/>
        <w:jc w:val="both"/>
        <w:rPr>
          <w:rFonts w:ascii="Georgia" w:hAnsi="Georgia"/>
          <w:sz w:val="18"/>
          <w:szCs w:val="20"/>
        </w:rPr>
      </w:pPr>
      <w:r>
        <w:rPr>
          <w:rFonts w:ascii="Georgia" w:hAnsi="Georgia"/>
          <w:noProof/>
          <w:sz w:val="18"/>
          <w:szCs w:val="20"/>
        </w:rPr>
        <w:drawing>
          <wp:inline distT="0" distB="0" distL="0" distR="0" wp14:anchorId="43B2B29A" wp14:editId="607E0FB0">
            <wp:extent cx="2851150" cy="1543050"/>
            <wp:effectExtent l="0" t="0" r="6350" b="0"/>
            <wp:docPr id="27" name="Picture 2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תמונה שמכילה טקסט&#10;&#10;התיאור נוצר באופן אוטומטי"/>
                    <pic:cNvPicPr>
                      <a:picLocks noChangeAspect="1" noChangeArrowheads="1"/>
                    </pic:cNvPicPr>
                  </pic:nvPicPr>
                  <pic:blipFill>
                    <a:blip r:embed="rId21" cstate="print">
                      <a:extLst>
                        <a:ext uri="{28A0092B-C50C-407E-A947-70E740481C1C}">
                          <a14:useLocalDpi xmlns:a14="http://schemas.microsoft.com/office/drawing/2010/main" val="0"/>
                        </a:ext>
                      </a:extLst>
                    </a:blip>
                    <a:srcRect b="22321"/>
                    <a:stretch>
                      <a:fillRect/>
                    </a:stretch>
                  </pic:blipFill>
                  <pic:spPr bwMode="auto">
                    <a:xfrm>
                      <a:off x="0" y="0"/>
                      <a:ext cx="2851150" cy="1543050"/>
                    </a:xfrm>
                    <a:prstGeom prst="rect">
                      <a:avLst/>
                    </a:prstGeom>
                    <a:noFill/>
                    <a:ln>
                      <a:noFill/>
                    </a:ln>
                  </pic:spPr>
                </pic:pic>
              </a:graphicData>
            </a:graphic>
          </wp:inline>
        </w:drawing>
      </w:r>
    </w:p>
    <w:p w14:paraId="37EA05F1" w14:textId="27F2D26F" w:rsidR="00EF0A42" w:rsidRPr="00EB3F46" w:rsidRDefault="00EF0A42" w:rsidP="00F56BAD">
      <w:pPr>
        <w:spacing w:after="180" w:line="240" w:lineRule="atLeast"/>
        <w:rPr>
          <w:rFonts w:ascii="Georgia" w:hAnsi="Georgia"/>
          <w:sz w:val="18"/>
          <w:szCs w:val="20"/>
          <w:rtl/>
        </w:rPr>
      </w:pPr>
      <w:r w:rsidRPr="00AA132A">
        <w:rPr>
          <w:rFonts w:ascii="David" w:hAnsi="David"/>
          <w:sz w:val="16"/>
          <w:szCs w:val="16"/>
          <w:rtl/>
        </w:rPr>
        <w:t xml:space="preserve">אבי שושן. מתוך </w:t>
      </w:r>
      <w:proofErr w:type="spellStart"/>
      <w:r w:rsidRPr="00AA132A">
        <w:rPr>
          <w:rFonts w:ascii="David" w:hAnsi="David"/>
          <w:sz w:val="16"/>
          <w:szCs w:val="16"/>
          <w:rtl/>
        </w:rPr>
        <w:t>טוויטר</w:t>
      </w:r>
      <w:proofErr w:type="spellEnd"/>
    </w:p>
    <w:p w14:paraId="11340D72" w14:textId="77BA30D0" w:rsidR="00EB3F46" w:rsidRPr="00EB3F46" w:rsidRDefault="00EB3F46" w:rsidP="004243DE">
      <w:pPr>
        <w:spacing w:after="180" w:line="280" w:lineRule="exact"/>
        <w:jc w:val="both"/>
        <w:rPr>
          <w:rFonts w:ascii="Georgia" w:hAnsi="Georgia"/>
          <w:sz w:val="18"/>
          <w:szCs w:val="20"/>
          <w:rtl/>
        </w:rPr>
      </w:pPr>
      <w:r w:rsidRPr="00EB3F46">
        <w:rPr>
          <w:rFonts w:ascii="Georgia" w:hAnsi="Georgia"/>
          <w:sz w:val="18"/>
          <w:szCs w:val="20"/>
          <w:rtl/>
        </w:rPr>
        <w:t>אף על פי כן, גם בשלבים מאוחרים יותר, ועד לשיאו השלישי של גל התחלואה ב</w:t>
      </w:r>
      <w:r w:rsidR="0076585B">
        <w:rPr>
          <w:rFonts w:ascii="Georgia" w:hAnsi="Georgia" w:hint="cs"/>
          <w:sz w:val="18"/>
          <w:szCs w:val="20"/>
          <w:rtl/>
        </w:rPr>
        <w:t xml:space="preserve">חודשים </w:t>
      </w:r>
      <w:r w:rsidRPr="00EB3F46">
        <w:rPr>
          <w:rFonts w:ascii="Georgia" w:hAnsi="Georgia"/>
          <w:sz w:val="18"/>
          <w:szCs w:val="20"/>
          <w:rtl/>
        </w:rPr>
        <w:t>נובמבר-דצמבר 2020, הודגש שוב ושוב כי מגפת הקורונה פוגעת במבוגרים ומסוכנת להם. בספרו</w:t>
      </w:r>
      <w:r w:rsidR="00A15C6E">
        <w:rPr>
          <w:rFonts w:ascii="Georgia" w:hAnsi="Georgia"/>
          <w:sz w:val="18"/>
          <w:szCs w:val="20"/>
          <w:rtl/>
        </w:rPr>
        <w:t xml:space="preserve"> </w:t>
      </w:r>
      <w:hyperlink r:id="rId22" w:tooltip="תולדות השיגעון בעידן התבונה" w:history="1">
        <w:r w:rsidRPr="00EB3F46">
          <w:rPr>
            <w:rFonts w:ascii="Georgia" w:hAnsi="Georgia"/>
            <w:b/>
            <w:bCs/>
            <w:sz w:val="18"/>
            <w:szCs w:val="20"/>
            <w:rtl/>
          </w:rPr>
          <w:t>תולדות השיגעון בעידן התבונה</w:t>
        </w:r>
      </w:hyperlink>
      <w:r w:rsidRPr="00EB3F46">
        <w:rPr>
          <w:rFonts w:ascii="Georgia" w:hAnsi="Georgia"/>
          <w:sz w:val="18"/>
          <w:szCs w:val="20"/>
          <w:rtl/>
        </w:rPr>
        <w:t>, מסביר פוקו (אצל מילס, 2005, עמ' 59), כיצד יחסי הגומלין בין כוח לידע הביאו להגדרת המשוגעים כמוקצים ולבידודם מהחברה בבתי משוגעים. כוחן של פרופסיות –</w:t>
      </w:r>
      <w:r w:rsidR="00E06515">
        <w:rPr>
          <w:rFonts w:ascii="Georgia" w:hAnsi="Georgia" w:hint="cs"/>
          <w:sz w:val="18"/>
          <w:szCs w:val="20"/>
          <w:rtl/>
        </w:rPr>
        <w:t xml:space="preserve"> </w:t>
      </w:r>
      <w:r w:rsidRPr="00EB3F46">
        <w:rPr>
          <w:rFonts w:ascii="Georgia" w:hAnsi="Georgia"/>
          <w:sz w:val="18"/>
          <w:szCs w:val="20"/>
          <w:rtl/>
        </w:rPr>
        <w:t>הפסיכיאטרים</w:t>
      </w:r>
      <w:r w:rsidR="00E06515">
        <w:rPr>
          <w:rFonts w:ascii="Georgia" w:hAnsi="Georgia" w:hint="cs"/>
          <w:sz w:val="18"/>
          <w:szCs w:val="20"/>
          <w:rtl/>
        </w:rPr>
        <w:t>,</w:t>
      </w:r>
      <w:r w:rsidRPr="00EB3F46">
        <w:rPr>
          <w:rFonts w:ascii="Georgia" w:hAnsi="Georgia"/>
          <w:sz w:val="18"/>
          <w:szCs w:val="20"/>
          <w:rtl/>
        </w:rPr>
        <w:t xml:space="preserve"> שטענו כי עומדים לרשותם ידע בלעדי והליכים ייחודיים להשגתו, העיתונאים ואנשי בריאות הציבור</w:t>
      </w:r>
      <w:r w:rsidR="00855CCC">
        <w:rPr>
          <w:rFonts w:ascii="Georgia" w:hAnsi="Georgia" w:hint="cs"/>
          <w:sz w:val="18"/>
          <w:szCs w:val="20"/>
          <w:rtl/>
        </w:rPr>
        <w:t xml:space="preserve"> </w:t>
      </w:r>
      <w:r w:rsidRPr="00EB3F46">
        <w:rPr>
          <w:rFonts w:ascii="Georgia" w:hAnsi="Georgia"/>
          <w:sz w:val="18"/>
          <w:szCs w:val="20"/>
          <w:rtl/>
        </w:rPr>
        <w:t xml:space="preserve">– מבנה עבור הקהל ועבור הזקנים את המציאות החברתית בהקשר של הקורונה. ההשפעות של הבניה זו מבודדות, שוב, את הזקנים, המודרים ממילא. יותר מכך, במערך הכוחות הביו-פוליטי הנוגע לזקנים, משטר ההחלטות מכריע מדי יום מי ימות ומי יחיה (דקל, 2020, עמ' 267). </w:t>
      </w:r>
    </w:p>
    <w:p w14:paraId="0674F37B" w14:textId="063C2AE3" w:rsidR="00EB3F46" w:rsidRDefault="007F12E9" w:rsidP="008666ED">
      <w:pPr>
        <w:spacing w:line="240" w:lineRule="atLeast"/>
        <w:rPr>
          <w:rFonts w:ascii="Georgia" w:hAnsi="Georgia"/>
          <w:sz w:val="18"/>
          <w:szCs w:val="20"/>
        </w:rPr>
      </w:pPr>
      <w:r>
        <w:rPr>
          <w:rFonts w:ascii="Georgia" w:hAnsi="Georgia"/>
          <w:noProof/>
          <w:sz w:val="18"/>
          <w:szCs w:val="20"/>
        </w:rPr>
        <w:drawing>
          <wp:inline distT="0" distB="0" distL="0" distR="0" wp14:anchorId="705FAA7B" wp14:editId="2EB177DE">
            <wp:extent cx="4258310" cy="1194435"/>
            <wp:effectExtent l="0" t="0" r="0" b="0"/>
            <wp:docPr id="17" name="תמונה 17" descr="תמונה שמכילה טקסט, צילום מסך, עית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תמונה שמכילה טקסט, צילום מסך, עיתון&#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8310" cy="1194435"/>
                    </a:xfrm>
                    <a:prstGeom prst="rect">
                      <a:avLst/>
                    </a:prstGeom>
                    <a:noFill/>
                    <a:ln>
                      <a:noFill/>
                    </a:ln>
                  </pic:spPr>
                </pic:pic>
              </a:graphicData>
            </a:graphic>
          </wp:inline>
        </w:drawing>
      </w:r>
    </w:p>
    <w:p w14:paraId="4D45EEC7" w14:textId="74217BEE" w:rsidR="00EF0A42" w:rsidRPr="00EB3F46" w:rsidRDefault="00EF0A42" w:rsidP="00F56BAD">
      <w:pPr>
        <w:spacing w:after="180" w:line="240" w:lineRule="atLeast"/>
        <w:rPr>
          <w:rFonts w:ascii="Georgia" w:hAnsi="Georgia"/>
          <w:sz w:val="18"/>
          <w:szCs w:val="20"/>
          <w:rtl/>
        </w:rPr>
      </w:pPr>
      <w:r w:rsidRPr="00AA132A">
        <w:rPr>
          <w:rFonts w:ascii="David" w:hAnsi="David"/>
          <w:b/>
          <w:bCs/>
          <w:sz w:val="16"/>
          <w:szCs w:val="16"/>
          <w:rtl/>
        </w:rPr>
        <w:t>ישראל היום</w:t>
      </w:r>
    </w:p>
    <w:p w14:paraId="4FAD78BE"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הספרות מאשררת הבחנה זו כבר מראשית העיסוק בתופעת </w:t>
      </w:r>
      <w:proofErr w:type="spellStart"/>
      <w:r w:rsidRPr="00EB3F46">
        <w:rPr>
          <w:rFonts w:ascii="Georgia" w:hAnsi="Georgia"/>
          <w:sz w:val="18"/>
          <w:szCs w:val="20"/>
          <w:rtl/>
        </w:rPr>
        <w:t>הגילנות</w:t>
      </w:r>
      <w:proofErr w:type="spellEnd"/>
      <w:r w:rsidRPr="00EB3F46">
        <w:rPr>
          <w:rFonts w:ascii="Georgia" w:hAnsi="Georgia"/>
          <w:sz w:val="18"/>
          <w:szCs w:val="20"/>
          <w:rtl/>
        </w:rPr>
        <w:t xml:space="preserve">. </w:t>
      </w:r>
      <w:proofErr w:type="spellStart"/>
      <w:r w:rsidRPr="00EB3F46">
        <w:rPr>
          <w:rFonts w:ascii="Georgia" w:hAnsi="Georgia"/>
          <w:sz w:val="18"/>
          <w:szCs w:val="20"/>
          <w:rtl/>
        </w:rPr>
        <w:t>בטלר</w:t>
      </w:r>
      <w:proofErr w:type="spellEnd"/>
      <w:r w:rsidRPr="00EB3F46">
        <w:rPr>
          <w:rFonts w:ascii="Georgia" w:hAnsi="Georgia"/>
          <w:sz w:val="18"/>
          <w:szCs w:val="20"/>
          <w:rtl/>
        </w:rPr>
        <w:t xml:space="preserve"> (</w:t>
      </w:r>
      <w:r w:rsidRPr="00EB3F46">
        <w:rPr>
          <w:rFonts w:ascii="Georgia" w:hAnsi="Georgia"/>
          <w:sz w:val="18"/>
          <w:szCs w:val="20"/>
        </w:rPr>
        <w:t>Butler, 1969</w:t>
      </w:r>
      <w:r w:rsidRPr="00EB3F46">
        <w:rPr>
          <w:rFonts w:ascii="Georgia" w:hAnsi="Georgia"/>
          <w:sz w:val="18"/>
          <w:szCs w:val="20"/>
          <w:rtl/>
        </w:rPr>
        <w:t xml:space="preserve">) הדגיש כי בידי הצעירים וקבוצת גיל הביניים הכוח והאינטרס לנקוט גישה </w:t>
      </w:r>
      <w:proofErr w:type="spellStart"/>
      <w:r w:rsidRPr="00EB3F46">
        <w:rPr>
          <w:rFonts w:ascii="Georgia" w:hAnsi="Georgia"/>
          <w:sz w:val="18"/>
          <w:szCs w:val="20"/>
          <w:rtl/>
        </w:rPr>
        <w:t>גילנית</w:t>
      </w:r>
      <w:proofErr w:type="spellEnd"/>
      <w:r w:rsidRPr="00EB3F46">
        <w:rPr>
          <w:rFonts w:ascii="Georgia" w:hAnsi="Georgia"/>
          <w:sz w:val="18"/>
          <w:szCs w:val="20"/>
          <w:rtl/>
        </w:rPr>
        <w:t xml:space="preserve"> כלפי הזקנים. לדבריו, הם מבטלים את הזקנים וסולדים מהזדקנות, ממחלות וממוגבלות, ומפחדים מאיבוד הכוח, מלהיות חסרי תועלת ומהמוות (</w:t>
      </w:r>
      <w:r w:rsidRPr="00EB3F46">
        <w:rPr>
          <w:rFonts w:ascii="Georgia" w:hAnsi="Georgia"/>
          <w:sz w:val="18"/>
          <w:szCs w:val="20"/>
        </w:rPr>
        <w:t>Butler, 1969, p. 143</w:t>
      </w:r>
      <w:r w:rsidRPr="00EB3F46">
        <w:rPr>
          <w:rFonts w:ascii="Georgia" w:hAnsi="Georgia"/>
          <w:sz w:val="18"/>
          <w:szCs w:val="20"/>
          <w:rtl/>
        </w:rPr>
        <w:t xml:space="preserve">). </w:t>
      </w:r>
    </w:p>
    <w:p w14:paraId="4CFE00AB" w14:textId="77777777"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lastRenderedPageBreak/>
        <w:t xml:space="preserve">בטור פרשנות מוביל כתב הפרשן הבכיר משה גורלי: </w:t>
      </w:r>
    </w:p>
    <w:p w14:paraId="476C6C53" w14:textId="77777777" w:rsidR="00EB3F46" w:rsidRPr="004243DE" w:rsidRDefault="00EB3F46" w:rsidP="00673493">
      <w:pPr>
        <w:shd w:val="clear" w:color="auto" w:fill="FFFFFF"/>
        <w:spacing w:after="180"/>
        <w:ind w:left="567"/>
        <w:jc w:val="both"/>
        <w:rPr>
          <w:rFonts w:ascii="Georgia" w:hAnsi="Georgia"/>
          <w:spacing w:val="-2"/>
          <w:sz w:val="18"/>
          <w:szCs w:val="20"/>
          <w:rtl/>
        </w:rPr>
      </w:pPr>
      <w:r w:rsidRPr="004243DE">
        <w:rPr>
          <w:rFonts w:ascii="Georgia" w:hAnsi="Georgia"/>
          <w:spacing w:val="-2"/>
          <w:sz w:val="18"/>
          <w:szCs w:val="20"/>
          <w:rtl/>
        </w:rPr>
        <w:t xml:space="preserve">סיפור הקורונה מגיע לצומת שמחייב הערכה מחודשת – האם אמצעי המניעה המחמירים מצדיקים את הסכנה לכלכלה. ובנוסח בוטה יותר: האם ניתן לסבול מצב שבו ימותו כמה אנשים, בעיקר זקנים, ובלבד שלא יתמוטטו כאן בהמוניהן חברות, עסקים ופרנסות. ובניסוח מעודן יותר: האם אין מקום לשקול מדיניות </w:t>
      </w:r>
      <w:proofErr w:type="spellStart"/>
      <w:r w:rsidRPr="004243DE">
        <w:rPr>
          <w:rFonts w:ascii="Georgia" w:hAnsi="Georgia"/>
          <w:spacing w:val="-2"/>
          <w:sz w:val="18"/>
          <w:szCs w:val="20"/>
          <w:rtl/>
        </w:rPr>
        <w:t>גילנית</w:t>
      </w:r>
      <w:proofErr w:type="spellEnd"/>
      <w:r w:rsidRPr="004243DE">
        <w:rPr>
          <w:rFonts w:ascii="Georgia" w:hAnsi="Georgia"/>
          <w:spacing w:val="-2"/>
          <w:sz w:val="18"/>
          <w:szCs w:val="20"/>
          <w:rtl/>
        </w:rPr>
        <w:t xml:space="preserve"> [בריאות ציבור] מידתית יותר, בניגוד לעמדה הנוכחית של משרד הבריאות</w:t>
      </w:r>
      <w:r w:rsidRPr="004243DE">
        <w:rPr>
          <w:rFonts w:ascii="Georgia" w:hAnsi="Georgia"/>
          <w:i/>
          <w:iCs/>
          <w:spacing w:val="-2"/>
          <w:sz w:val="18"/>
          <w:szCs w:val="20"/>
          <w:rtl/>
        </w:rPr>
        <w:t xml:space="preserve"> </w:t>
      </w:r>
      <w:r w:rsidRPr="004243DE">
        <w:rPr>
          <w:rFonts w:ascii="Georgia" w:hAnsi="Georgia"/>
          <w:spacing w:val="-2"/>
          <w:sz w:val="18"/>
          <w:szCs w:val="20"/>
          <w:rtl/>
        </w:rPr>
        <w:t>(גורלי, 2020).</w:t>
      </w:r>
    </w:p>
    <w:p w14:paraId="25847B94" w14:textId="77777777" w:rsidR="00EB3F46" w:rsidRPr="00EB3F46" w:rsidRDefault="00EB3F46" w:rsidP="00EB3F46">
      <w:pPr>
        <w:spacing w:after="180" w:line="280" w:lineRule="exact"/>
        <w:ind w:left="49"/>
        <w:jc w:val="both"/>
        <w:rPr>
          <w:rFonts w:ascii="Georgia" w:hAnsi="Georgia"/>
          <w:sz w:val="18"/>
          <w:szCs w:val="20"/>
          <w:rtl/>
        </w:rPr>
      </w:pPr>
      <w:r w:rsidRPr="00EB3F46">
        <w:rPr>
          <w:rFonts w:ascii="Georgia" w:hAnsi="Georgia"/>
          <w:sz w:val="18"/>
          <w:szCs w:val="20"/>
          <w:rtl/>
        </w:rPr>
        <w:t>ס', בעל תפקיד ניהול מדרג הביניים במערכת הבריאות, אמר לחוקרים בריאיון:</w:t>
      </w:r>
      <w:r w:rsidRPr="00EB3F46">
        <w:rPr>
          <w:rStyle w:val="FootnoteReference"/>
          <w:rFonts w:ascii="Georgia" w:hAnsi="Georgia"/>
          <w:sz w:val="18"/>
          <w:szCs w:val="20"/>
          <w:rtl/>
        </w:rPr>
        <w:footnoteReference w:id="11"/>
      </w:r>
      <w:r w:rsidRPr="00EB3F46">
        <w:rPr>
          <w:rFonts w:ascii="Georgia" w:hAnsi="Georgia"/>
          <w:sz w:val="18"/>
          <w:szCs w:val="20"/>
          <w:rtl/>
        </w:rPr>
        <w:t xml:space="preserve"> </w:t>
      </w:r>
    </w:p>
    <w:p w14:paraId="6685A4EB" w14:textId="77777777" w:rsidR="00EB3F46" w:rsidRPr="00EB3F46" w:rsidRDefault="00EB3F46" w:rsidP="004243DE">
      <w:pPr>
        <w:shd w:val="clear" w:color="auto" w:fill="FFFFFF"/>
        <w:spacing w:after="240"/>
        <w:ind w:left="567"/>
        <w:jc w:val="both"/>
        <w:rPr>
          <w:rFonts w:ascii="Georgia" w:hAnsi="Georgia"/>
          <w:sz w:val="18"/>
          <w:szCs w:val="20"/>
          <w:rtl/>
        </w:rPr>
      </w:pPr>
      <w:r w:rsidRPr="00EB3F46">
        <w:rPr>
          <w:rFonts w:ascii="Georgia" w:hAnsi="Georgia"/>
          <w:sz w:val="18"/>
          <w:szCs w:val="20"/>
          <w:rtl/>
        </w:rPr>
        <w:t xml:space="preserve">זה לא </w:t>
      </w:r>
      <w:proofErr w:type="spellStart"/>
      <w:r w:rsidRPr="00EB3F46">
        <w:rPr>
          <w:rFonts w:ascii="Georgia" w:hAnsi="Georgia"/>
          <w:sz w:val="18"/>
          <w:szCs w:val="20"/>
          <w:rtl/>
        </w:rPr>
        <w:t>שהיתה</w:t>
      </w:r>
      <w:proofErr w:type="spellEnd"/>
      <w:r w:rsidRPr="00EB3F46">
        <w:rPr>
          <w:rFonts w:ascii="Georgia" w:hAnsi="Georgia"/>
          <w:sz w:val="18"/>
          <w:szCs w:val="20"/>
          <w:rtl/>
        </w:rPr>
        <w:t xml:space="preserve"> בשלב מסוים החלטה "לוותר על הקשישים", אבל יש הבנה שבציבור לא ממש מתרגשים ממוות של קשישים. העובדה היא שהיו מאות קשישים שמתו בגל השני והשלישי של המגפה, ולא קרה כלום – הציבור המשיך להתייחס לזה יחסית באדישות, כגזירת גורל. רבים מאוד לא מוכנים לספוג סגר כדי להגן על המבוגרים. הטענה היחידה ששמענו מהם היא ש"צריך לבודד את הקשישים". אבל אנחנו יודעים שהבדידות כשלעצמה גם היא הורגת, אז צריכים לבחור את הרעל שלנו – לבודד אותם כדי להגן עליהם, או לא לבודד אותם ולספוג הדבקה אגרסיבית ואלפי מתים. </w:t>
      </w:r>
    </w:p>
    <w:p w14:paraId="6FE7C483" w14:textId="77777777" w:rsidR="004243DE" w:rsidRDefault="004243DE" w:rsidP="008666ED">
      <w:pPr>
        <w:spacing w:line="240" w:lineRule="atLeast"/>
        <w:rPr>
          <w:rFonts w:ascii="Georgia" w:hAnsi="Georgia"/>
          <w:i/>
          <w:iCs/>
          <w:sz w:val="18"/>
          <w:szCs w:val="20"/>
        </w:rPr>
      </w:pPr>
      <w:r>
        <w:rPr>
          <w:rFonts w:ascii="Georgia" w:hAnsi="Georgia"/>
          <w:noProof/>
          <w:sz w:val="18"/>
          <w:szCs w:val="20"/>
        </w:rPr>
        <w:drawing>
          <wp:inline distT="0" distB="0" distL="0" distR="0" wp14:anchorId="02BB1CF2" wp14:editId="021E7F26">
            <wp:extent cx="3596005" cy="2402205"/>
            <wp:effectExtent l="0" t="0" r="0" b="0"/>
            <wp:docPr id="18" name="תמונה 18" descr="צילום כתבה שכותרתה אם מישהו רק היה דופק בד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צילום כתבה שכותרתה אם מישהו רק היה דופק בדל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6005" cy="2402205"/>
                    </a:xfrm>
                    <a:prstGeom prst="rect">
                      <a:avLst/>
                    </a:prstGeom>
                    <a:noFill/>
                    <a:ln>
                      <a:noFill/>
                    </a:ln>
                  </pic:spPr>
                </pic:pic>
              </a:graphicData>
            </a:graphic>
          </wp:inline>
        </w:drawing>
      </w:r>
    </w:p>
    <w:p w14:paraId="296AD6B1" w14:textId="77777777" w:rsidR="004243DE" w:rsidRPr="00EB3F46" w:rsidRDefault="004243DE" w:rsidP="00F56BAD">
      <w:pPr>
        <w:spacing w:after="180" w:line="240" w:lineRule="atLeast"/>
        <w:rPr>
          <w:rFonts w:ascii="Georgia" w:hAnsi="Georgia"/>
          <w:i/>
          <w:iCs/>
          <w:sz w:val="18"/>
          <w:szCs w:val="20"/>
          <w:rtl/>
        </w:rPr>
      </w:pPr>
      <w:r w:rsidRPr="00AA132A">
        <w:rPr>
          <w:rFonts w:ascii="David" w:hAnsi="David"/>
          <w:b/>
          <w:bCs/>
          <w:sz w:val="16"/>
          <w:szCs w:val="16"/>
          <w:rtl/>
        </w:rPr>
        <w:t>ידיעות אחרונות</w:t>
      </w:r>
      <w:r w:rsidRPr="00AA132A">
        <w:rPr>
          <w:rFonts w:ascii="David" w:hAnsi="David"/>
          <w:sz w:val="16"/>
          <w:szCs w:val="16"/>
          <w:rtl/>
        </w:rPr>
        <w:t xml:space="preserve">. צילום: חיים </w:t>
      </w:r>
      <w:proofErr w:type="spellStart"/>
      <w:r w:rsidRPr="00AA132A">
        <w:rPr>
          <w:rFonts w:ascii="David" w:hAnsi="David"/>
          <w:sz w:val="16"/>
          <w:szCs w:val="16"/>
          <w:rtl/>
        </w:rPr>
        <w:t>הורנשטיין</w:t>
      </w:r>
      <w:proofErr w:type="spellEnd"/>
      <w:r w:rsidRPr="00AA132A">
        <w:rPr>
          <w:rFonts w:ascii="David" w:hAnsi="David"/>
          <w:sz w:val="16"/>
          <w:szCs w:val="16"/>
          <w:rtl/>
        </w:rPr>
        <w:t xml:space="preserve"> </w:t>
      </w:r>
    </w:p>
    <w:p w14:paraId="3014C881"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ברוב הכתבות הנוגעות לקורונה מתחזק וחוזר למרכז השיח בתקשורת ובציבור הנרטיב ולפיו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משמעותה מחלות, המתנה מייאשת למוות, חולשה, חוסר יכולת, חוסר אונים וקורבנות. כך למשל בכתבה על פעילות של זק"א: "בודדים ועריריים, מבלי שאיש מבחין </w:t>
      </w:r>
      <w:r w:rsidRPr="00EB3F46">
        <w:rPr>
          <w:rFonts w:ascii="Georgia" w:hAnsi="Georgia"/>
          <w:sz w:val="18"/>
          <w:szCs w:val="20"/>
          <w:rtl/>
        </w:rPr>
        <w:lastRenderedPageBreak/>
        <w:t>בהיעדרם" (שלום, 2020); ובמקום אחר באותה כתבה: "מצאנו אותו בתוך ערימה של זבל, בלי שאף אחד ישים לב אליו".</w:t>
      </w:r>
    </w:p>
    <w:p w14:paraId="08D9F4C7" w14:textId="77777777" w:rsidR="00EB3F46" w:rsidRPr="004243DE" w:rsidRDefault="00EB3F46" w:rsidP="00983B9B">
      <w:pPr>
        <w:spacing w:before="240" w:after="180" w:line="280" w:lineRule="exact"/>
        <w:jc w:val="both"/>
        <w:rPr>
          <w:rFonts w:ascii="Georgia" w:hAnsi="Georgia"/>
          <w:i/>
          <w:iCs/>
          <w:spacing w:val="-2"/>
          <w:sz w:val="18"/>
          <w:szCs w:val="20"/>
          <w:rtl/>
        </w:rPr>
      </w:pPr>
      <w:r w:rsidRPr="004243DE">
        <w:rPr>
          <w:rFonts w:ascii="Georgia" w:hAnsi="Georgia"/>
          <w:spacing w:val="-2"/>
          <w:sz w:val="18"/>
          <w:szCs w:val="20"/>
          <w:rtl/>
        </w:rPr>
        <w:t>דוגמה בולטת בקיצוניותה לתפיסות הללו היא סדרת הכתבות שפורסמו ב</w:t>
      </w:r>
      <w:r w:rsidRPr="004243DE">
        <w:rPr>
          <w:rFonts w:ascii="Georgia" w:hAnsi="Georgia"/>
          <w:b/>
          <w:bCs/>
          <w:spacing w:val="-2"/>
          <w:sz w:val="18"/>
          <w:szCs w:val="20"/>
          <w:rtl/>
        </w:rPr>
        <w:t xml:space="preserve">ידיעות אחרונות </w:t>
      </w:r>
      <w:r w:rsidRPr="004243DE">
        <w:rPr>
          <w:rFonts w:ascii="Georgia" w:hAnsi="Georgia"/>
          <w:spacing w:val="-2"/>
          <w:sz w:val="18"/>
          <w:szCs w:val="20"/>
          <w:rtl/>
        </w:rPr>
        <w:t xml:space="preserve">לקראת יום השואה הבין-לאומי (27 בינואר 2021). יום אחר יום הובאו ציטוטים מפיהם של המבוגרים, וכולם התחננו לעזרה והביעו את הקושי: "אין לנו כסף לתרופות" (10 בינואר 2021); "מדינת ישראל לא מאפשרת לנו להזדקן בכבוד" (11 בינואר 2021); "אני מפחד להיות לבד" (15 בינואר 2021); ועוד. הכותרות מבטאות פחד מפני החידלון, מפני הסבל הפיזי </w:t>
      </w:r>
      <w:proofErr w:type="spellStart"/>
      <w:r w:rsidRPr="004243DE">
        <w:rPr>
          <w:rFonts w:ascii="Georgia" w:hAnsi="Georgia"/>
          <w:spacing w:val="-2"/>
          <w:sz w:val="18"/>
          <w:szCs w:val="20"/>
          <w:rtl/>
        </w:rPr>
        <w:t>שבזיקנה</w:t>
      </w:r>
      <w:proofErr w:type="spellEnd"/>
      <w:r w:rsidRPr="004243DE">
        <w:rPr>
          <w:rFonts w:ascii="Georgia" w:hAnsi="Georgia"/>
          <w:spacing w:val="-2"/>
          <w:sz w:val="18"/>
          <w:szCs w:val="20"/>
          <w:rtl/>
        </w:rPr>
        <w:t xml:space="preserve"> ומפני הבדידות והעוני: "שרדתי את השואה, וכעת אין לי מה לאכול". (19 בינואר 2021).</w:t>
      </w:r>
      <w:r w:rsidRPr="004243DE">
        <w:rPr>
          <w:rFonts w:ascii="Georgia" w:hAnsi="Georgia"/>
          <w:i/>
          <w:iCs/>
          <w:spacing w:val="-2"/>
          <w:sz w:val="18"/>
          <w:szCs w:val="20"/>
          <w:rtl/>
        </w:rPr>
        <w:t xml:space="preserve"> </w:t>
      </w:r>
    </w:p>
    <w:p w14:paraId="2C903529" w14:textId="039E04E2"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עוד ממצא מרתק, הנראה לכאורה </w:t>
      </w:r>
      <w:bookmarkStart w:id="3" w:name="_Hlk62688019"/>
      <w:r w:rsidRPr="00EB3F46">
        <w:rPr>
          <w:rFonts w:ascii="Georgia" w:hAnsi="Georgia"/>
          <w:sz w:val="18"/>
          <w:szCs w:val="20"/>
          <w:rtl/>
        </w:rPr>
        <w:t>כאבסורד, הוא השינוי שחל בידיעות על אנשים מבוגרים שכבר הלכו לעולמם עקב הקורונה. כאשר כבר היה מדובר במתים, ניתן מקום נרחב יותר לציטוטים של ילדיהם, המתארים אנשים מלאי חיים וייחודיים. למשל: "אבא היה בריא מאוד... בכל שבת וחג היה מעמיס שקיות וארגזים של מוצרי מזון כדי לסייע לנזקקים" (</w:t>
      </w:r>
      <w:r w:rsidRPr="00EB3F46">
        <w:rPr>
          <w:rFonts w:ascii="Georgia" w:hAnsi="Georgia"/>
          <w:b/>
          <w:bCs/>
          <w:sz w:val="18"/>
          <w:szCs w:val="20"/>
          <w:rtl/>
        </w:rPr>
        <w:t>ידיעות אחרונות</w:t>
      </w:r>
      <w:r w:rsidRPr="00EB3F46">
        <w:rPr>
          <w:rFonts w:ascii="Georgia" w:hAnsi="Georgia"/>
          <w:sz w:val="18"/>
          <w:szCs w:val="20"/>
          <w:rtl/>
        </w:rPr>
        <w:t xml:space="preserve">, 12 באוקטובר 2020); "כל בוקר היא הייתה מחכה מחוץ לביתה </w:t>
      </w:r>
      <w:proofErr w:type="spellStart"/>
      <w:r w:rsidRPr="00EB3F46">
        <w:rPr>
          <w:rFonts w:ascii="Georgia" w:hAnsi="Georgia"/>
          <w:sz w:val="18"/>
          <w:szCs w:val="20"/>
          <w:rtl/>
        </w:rPr>
        <w:t>מתוקתקת</w:t>
      </w:r>
      <w:proofErr w:type="spellEnd"/>
      <w:r w:rsidRPr="00EB3F46">
        <w:rPr>
          <w:rFonts w:ascii="Georgia" w:hAnsi="Georgia"/>
          <w:sz w:val="18"/>
          <w:szCs w:val="20"/>
          <w:rtl/>
        </w:rPr>
        <w:t xml:space="preserve"> עם הליפסטיק... אישה פעילה שאי אפשר לא להתאהב בה וברוחה (</w:t>
      </w:r>
      <w:r w:rsidRPr="00EB3F46">
        <w:rPr>
          <w:rFonts w:ascii="Georgia" w:hAnsi="Georgia"/>
          <w:b/>
          <w:bCs/>
          <w:sz w:val="18"/>
          <w:szCs w:val="20"/>
          <w:rtl/>
        </w:rPr>
        <w:t>ידיעות אחרונות</w:t>
      </w:r>
      <w:r w:rsidRPr="00EB3F46">
        <w:rPr>
          <w:rFonts w:ascii="Georgia" w:hAnsi="Georgia"/>
          <w:sz w:val="18"/>
          <w:szCs w:val="20"/>
          <w:rtl/>
        </w:rPr>
        <w:t>, 12 באוקטובר 2020); "נלחם כמו אריה" ו"האיר את החיים" (</w:t>
      </w:r>
      <w:r w:rsidRPr="00EB3F46">
        <w:rPr>
          <w:rFonts w:ascii="Georgia" w:hAnsi="Georgia"/>
          <w:b/>
          <w:bCs/>
          <w:sz w:val="18"/>
          <w:szCs w:val="20"/>
          <w:rtl/>
        </w:rPr>
        <w:t>ידיעות אחרונות</w:t>
      </w:r>
      <w:r w:rsidRPr="00EB3F46">
        <w:rPr>
          <w:rFonts w:ascii="Georgia" w:hAnsi="Georgia"/>
          <w:sz w:val="18"/>
          <w:szCs w:val="20"/>
          <w:rtl/>
        </w:rPr>
        <w:t xml:space="preserve">, 2 בפברואר 2021); "היא </w:t>
      </w:r>
      <w:proofErr w:type="spellStart"/>
      <w:r w:rsidRPr="00EB3F46">
        <w:rPr>
          <w:rFonts w:ascii="Georgia" w:hAnsi="Georgia"/>
          <w:sz w:val="18"/>
          <w:szCs w:val="20"/>
          <w:rtl/>
        </w:rPr>
        <w:t>היתה</w:t>
      </w:r>
      <w:proofErr w:type="spellEnd"/>
      <w:r w:rsidRPr="00EB3F46">
        <w:rPr>
          <w:rFonts w:ascii="Georgia" w:hAnsi="Georgia"/>
          <w:sz w:val="18"/>
          <w:szCs w:val="20"/>
          <w:rtl/>
        </w:rPr>
        <w:t xml:space="preserve"> אישה שצריכה קהל" (</w:t>
      </w:r>
      <w:r w:rsidRPr="00EB3F46">
        <w:rPr>
          <w:rFonts w:ascii="Georgia" w:hAnsi="Georgia"/>
          <w:b/>
          <w:bCs/>
          <w:sz w:val="18"/>
          <w:szCs w:val="20"/>
          <w:rtl/>
        </w:rPr>
        <w:t>ידיעות אחרונות</w:t>
      </w:r>
      <w:r w:rsidRPr="00EB3F46">
        <w:rPr>
          <w:rFonts w:ascii="Georgia" w:hAnsi="Georgia"/>
          <w:sz w:val="18"/>
          <w:szCs w:val="20"/>
          <w:rtl/>
        </w:rPr>
        <w:t xml:space="preserve">, 7 באוקטובר 2020). כל אלה לא באו כמעט לידי ביטוי כאשר מדובר היה במבוגרים שחלו. </w:t>
      </w:r>
    </w:p>
    <w:bookmarkEnd w:id="3"/>
    <w:p w14:paraId="3DA85637" w14:textId="27493239" w:rsidR="004243DE" w:rsidRPr="00EB3F46" w:rsidRDefault="004243DE" w:rsidP="009427C0">
      <w:pPr>
        <w:spacing w:after="180" w:line="280" w:lineRule="exact"/>
        <w:jc w:val="both"/>
        <w:rPr>
          <w:rFonts w:ascii="Georgia" w:hAnsi="Georgia"/>
          <w:sz w:val="18"/>
          <w:szCs w:val="20"/>
          <w:rtl/>
        </w:rPr>
      </w:pPr>
      <w:r w:rsidRPr="00202086">
        <w:rPr>
          <w:rFonts w:ascii="Georgia" w:hAnsi="Georgia" w:hint="eastAsia"/>
          <w:sz w:val="18"/>
          <w:szCs w:val="20"/>
          <w:rtl/>
        </w:rPr>
        <w:t>כפי</w:t>
      </w:r>
      <w:r w:rsidRPr="00202086">
        <w:rPr>
          <w:rFonts w:ascii="Georgia" w:hAnsi="Georgia"/>
          <w:sz w:val="18"/>
          <w:szCs w:val="20"/>
          <w:rtl/>
        </w:rPr>
        <w:t xml:space="preserve"> </w:t>
      </w:r>
      <w:r w:rsidRPr="00202086">
        <w:rPr>
          <w:rFonts w:ascii="Georgia" w:hAnsi="Georgia" w:hint="eastAsia"/>
          <w:sz w:val="18"/>
          <w:szCs w:val="20"/>
          <w:rtl/>
        </w:rPr>
        <w:t>שניתן</w:t>
      </w:r>
      <w:r w:rsidRPr="00202086">
        <w:rPr>
          <w:rFonts w:ascii="Georgia" w:hAnsi="Georgia"/>
          <w:sz w:val="18"/>
          <w:szCs w:val="20"/>
          <w:rtl/>
        </w:rPr>
        <w:t xml:space="preserve"> </w:t>
      </w:r>
      <w:r w:rsidRPr="00202086">
        <w:rPr>
          <w:rFonts w:ascii="Georgia" w:hAnsi="Georgia" w:hint="eastAsia"/>
          <w:sz w:val="18"/>
          <w:szCs w:val="20"/>
          <w:rtl/>
        </w:rPr>
        <w:t>לראות</w:t>
      </w:r>
      <w:r w:rsidRPr="00202086">
        <w:rPr>
          <w:rFonts w:ascii="Georgia" w:hAnsi="Georgia"/>
          <w:sz w:val="18"/>
          <w:szCs w:val="20"/>
          <w:rtl/>
        </w:rPr>
        <w:t xml:space="preserve"> </w:t>
      </w:r>
      <w:r w:rsidRPr="00202086">
        <w:rPr>
          <w:rFonts w:ascii="Georgia" w:hAnsi="Georgia" w:hint="eastAsia"/>
          <w:sz w:val="18"/>
          <w:szCs w:val="20"/>
          <w:rtl/>
        </w:rPr>
        <w:t>בהמשך</w:t>
      </w:r>
      <w:r w:rsidRPr="00202086">
        <w:rPr>
          <w:rFonts w:ascii="Georgia" w:hAnsi="Georgia"/>
          <w:sz w:val="18"/>
          <w:szCs w:val="20"/>
          <w:rtl/>
        </w:rPr>
        <w:t xml:space="preserve">, </w:t>
      </w:r>
      <w:r w:rsidRPr="00202086">
        <w:rPr>
          <w:rFonts w:ascii="Georgia" w:hAnsi="Georgia" w:hint="eastAsia"/>
          <w:sz w:val="18"/>
          <w:szCs w:val="20"/>
          <w:rtl/>
        </w:rPr>
        <w:t>גם</w:t>
      </w:r>
      <w:r w:rsidRPr="00202086">
        <w:rPr>
          <w:rFonts w:ascii="Georgia" w:hAnsi="Georgia"/>
          <w:sz w:val="18"/>
          <w:szCs w:val="20"/>
          <w:rtl/>
        </w:rPr>
        <w:t xml:space="preserve"> </w:t>
      </w:r>
      <w:r w:rsidRPr="00202086">
        <w:rPr>
          <w:rFonts w:ascii="Georgia" w:hAnsi="Georgia" w:hint="eastAsia"/>
          <w:sz w:val="18"/>
          <w:szCs w:val="20"/>
          <w:rtl/>
        </w:rPr>
        <w:t>בתמונות</w:t>
      </w:r>
      <w:r w:rsidRPr="00202086">
        <w:rPr>
          <w:rFonts w:ascii="Georgia" w:hAnsi="Georgia"/>
          <w:sz w:val="18"/>
          <w:szCs w:val="20"/>
          <w:rtl/>
        </w:rPr>
        <w:t xml:space="preserve"> </w:t>
      </w:r>
      <w:r w:rsidRPr="00202086">
        <w:rPr>
          <w:rFonts w:ascii="Georgia" w:hAnsi="Georgia" w:hint="eastAsia"/>
          <w:sz w:val="18"/>
          <w:szCs w:val="20"/>
          <w:rtl/>
        </w:rPr>
        <w:t>המלוות</w:t>
      </w:r>
      <w:r w:rsidRPr="00202086">
        <w:rPr>
          <w:rFonts w:ascii="Georgia" w:hAnsi="Georgia"/>
          <w:sz w:val="18"/>
          <w:szCs w:val="20"/>
          <w:rtl/>
        </w:rPr>
        <w:t xml:space="preserve"> </w:t>
      </w:r>
      <w:r w:rsidRPr="00202086">
        <w:rPr>
          <w:rFonts w:ascii="Georgia" w:hAnsi="Georgia" w:hint="eastAsia"/>
          <w:sz w:val="18"/>
          <w:szCs w:val="20"/>
          <w:rtl/>
        </w:rPr>
        <w:t>את</w:t>
      </w:r>
      <w:r w:rsidRPr="00202086">
        <w:rPr>
          <w:rFonts w:ascii="Georgia" w:hAnsi="Georgia"/>
          <w:sz w:val="18"/>
          <w:szCs w:val="20"/>
          <w:rtl/>
        </w:rPr>
        <w:t xml:space="preserve"> </w:t>
      </w:r>
      <w:r w:rsidRPr="00202086">
        <w:rPr>
          <w:rFonts w:ascii="Georgia" w:hAnsi="Georgia" w:hint="eastAsia"/>
          <w:sz w:val="18"/>
          <w:szCs w:val="20"/>
          <w:rtl/>
        </w:rPr>
        <w:t>הידיעות</w:t>
      </w:r>
      <w:r w:rsidRPr="00202086">
        <w:rPr>
          <w:rFonts w:ascii="Georgia" w:hAnsi="Georgia"/>
          <w:sz w:val="18"/>
          <w:szCs w:val="20"/>
          <w:rtl/>
        </w:rPr>
        <w:t xml:space="preserve"> </w:t>
      </w:r>
      <w:r w:rsidRPr="00202086">
        <w:rPr>
          <w:rFonts w:ascii="Georgia" w:hAnsi="Georgia" w:hint="eastAsia"/>
          <w:sz w:val="18"/>
          <w:szCs w:val="20"/>
          <w:rtl/>
        </w:rPr>
        <w:t>הללו</w:t>
      </w:r>
      <w:r w:rsidRPr="00202086">
        <w:rPr>
          <w:rFonts w:ascii="Georgia" w:hAnsi="Georgia"/>
          <w:sz w:val="18"/>
          <w:szCs w:val="20"/>
          <w:rtl/>
        </w:rPr>
        <w:t xml:space="preserve"> </w:t>
      </w:r>
      <w:r w:rsidRPr="00202086">
        <w:rPr>
          <w:rFonts w:ascii="Georgia" w:hAnsi="Georgia" w:hint="eastAsia"/>
          <w:sz w:val="18"/>
          <w:szCs w:val="20"/>
          <w:rtl/>
        </w:rPr>
        <w:t>נראים</w:t>
      </w:r>
      <w:r w:rsidRPr="00202086">
        <w:rPr>
          <w:rFonts w:ascii="Georgia" w:hAnsi="Georgia"/>
          <w:sz w:val="18"/>
          <w:szCs w:val="20"/>
          <w:rtl/>
        </w:rPr>
        <w:t xml:space="preserve"> </w:t>
      </w:r>
      <w:r w:rsidRPr="00202086">
        <w:rPr>
          <w:rFonts w:ascii="Georgia" w:hAnsi="Georgia" w:hint="eastAsia"/>
          <w:sz w:val="18"/>
          <w:szCs w:val="20"/>
          <w:rtl/>
        </w:rPr>
        <w:t>המתים</w:t>
      </w:r>
      <w:r w:rsidRPr="00202086">
        <w:rPr>
          <w:rFonts w:ascii="Georgia" w:hAnsi="Georgia"/>
          <w:sz w:val="18"/>
          <w:szCs w:val="20"/>
          <w:rtl/>
        </w:rPr>
        <w:t xml:space="preserve"> </w:t>
      </w:r>
      <w:r w:rsidRPr="00202086">
        <w:rPr>
          <w:rFonts w:ascii="Georgia" w:hAnsi="Georgia" w:hint="eastAsia"/>
          <w:sz w:val="18"/>
          <w:szCs w:val="20"/>
          <w:rtl/>
        </w:rPr>
        <w:t>חיים</w:t>
      </w:r>
      <w:r w:rsidRPr="00202086">
        <w:rPr>
          <w:rFonts w:ascii="Georgia" w:hAnsi="Georgia"/>
          <w:sz w:val="18"/>
          <w:szCs w:val="20"/>
          <w:rtl/>
        </w:rPr>
        <w:t xml:space="preserve"> </w:t>
      </w:r>
      <w:r w:rsidRPr="00202086">
        <w:rPr>
          <w:rFonts w:ascii="Georgia" w:hAnsi="Georgia" w:hint="eastAsia"/>
          <w:sz w:val="18"/>
          <w:szCs w:val="20"/>
          <w:rtl/>
        </w:rPr>
        <w:t>מאי</w:t>
      </w:r>
      <w:r w:rsidRPr="00202086">
        <w:rPr>
          <w:rFonts w:ascii="Georgia" w:hAnsi="Georgia"/>
          <w:sz w:val="18"/>
          <w:szCs w:val="20"/>
          <w:rtl/>
        </w:rPr>
        <w:t xml:space="preserve"> </w:t>
      </w:r>
      <w:r w:rsidRPr="00202086">
        <w:rPr>
          <w:rFonts w:ascii="Georgia" w:hAnsi="Georgia" w:hint="eastAsia"/>
          <w:sz w:val="18"/>
          <w:szCs w:val="20"/>
          <w:rtl/>
        </w:rPr>
        <w:t>פעם</w:t>
      </w:r>
      <w:r w:rsidRPr="00202086">
        <w:rPr>
          <w:rFonts w:ascii="Georgia" w:hAnsi="Georgia"/>
          <w:sz w:val="18"/>
          <w:szCs w:val="20"/>
          <w:rtl/>
        </w:rPr>
        <w:t xml:space="preserve">: </w:t>
      </w:r>
      <w:r w:rsidRPr="00202086">
        <w:rPr>
          <w:rFonts w:ascii="Georgia" w:hAnsi="Georgia" w:hint="eastAsia"/>
          <w:sz w:val="18"/>
          <w:szCs w:val="20"/>
          <w:rtl/>
        </w:rPr>
        <w:t>מחויכים</w:t>
      </w:r>
      <w:r w:rsidRPr="00202086">
        <w:rPr>
          <w:rFonts w:ascii="Georgia" w:hAnsi="Georgia"/>
          <w:sz w:val="18"/>
          <w:szCs w:val="20"/>
          <w:rtl/>
        </w:rPr>
        <w:t xml:space="preserve">, </w:t>
      </w:r>
      <w:r w:rsidRPr="00202086">
        <w:rPr>
          <w:rFonts w:ascii="Georgia" w:hAnsi="Georgia" w:hint="eastAsia"/>
          <w:sz w:val="18"/>
          <w:szCs w:val="20"/>
          <w:rtl/>
        </w:rPr>
        <w:t>נאים</w:t>
      </w:r>
      <w:r w:rsidRPr="00202086">
        <w:rPr>
          <w:rFonts w:ascii="Georgia" w:hAnsi="Georgia"/>
          <w:sz w:val="18"/>
          <w:szCs w:val="20"/>
          <w:rtl/>
        </w:rPr>
        <w:t xml:space="preserve">, </w:t>
      </w:r>
      <w:r w:rsidRPr="00202086">
        <w:rPr>
          <w:rFonts w:ascii="Georgia" w:hAnsi="Georgia" w:hint="eastAsia"/>
          <w:sz w:val="18"/>
          <w:szCs w:val="20"/>
          <w:rtl/>
        </w:rPr>
        <w:t>רחוקים</w:t>
      </w:r>
      <w:r w:rsidRPr="00202086">
        <w:rPr>
          <w:rFonts w:ascii="Georgia" w:hAnsi="Georgia"/>
          <w:sz w:val="18"/>
          <w:szCs w:val="20"/>
          <w:rtl/>
        </w:rPr>
        <w:t xml:space="preserve"> </w:t>
      </w:r>
      <w:r w:rsidRPr="00202086">
        <w:rPr>
          <w:rFonts w:ascii="Georgia" w:hAnsi="Georgia" w:hint="eastAsia"/>
          <w:sz w:val="18"/>
          <w:szCs w:val="20"/>
          <w:rtl/>
        </w:rPr>
        <w:t>כל</w:t>
      </w:r>
      <w:r w:rsidRPr="00202086">
        <w:rPr>
          <w:rFonts w:ascii="Georgia" w:hAnsi="Georgia"/>
          <w:sz w:val="18"/>
          <w:szCs w:val="20"/>
          <w:rtl/>
        </w:rPr>
        <w:t xml:space="preserve"> </w:t>
      </w:r>
      <w:r w:rsidRPr="00202086">
        <w:rPr>
          <w:rFonts w:ascii="Georgia" w:hAnsi="Georgia" w:hint="eastAsia"/>
          <w:sz w:val="18"/>
          <w:szCs w:val="20"/>
          <w:rtl/>
        </w:rPr>
        <w:t>כך</w:t>
      </w:r>
      <w:r w:rsidRPr="00202086">
        <w:rPr>
          <w:rFonts w:ascii="Georgia" w:hAnsi="Georgia"/>
          <w:sz w:val="18"/>
          <w:szCs w:val="20"/>
          <w:rtl/>
        </w:rPr>
        <w:t xml:space="preserve"> </w:t>
      </w:r>
      <w:r w:rsidRPr="00202086">
        <w:rPr>
          <w:rFonts w:ascii="Georgia" w:hAnsi="Georgia" w:hint="eastAsia"/>
          <w:sz w:val="18"/>
          <w:szCs w:val="20"/>
          <w:rtl/>
        </w:rPr>
        <w:t>מהדימוי</w:t>
      </w:r>
      <w:r w:rsidRPr="00202086">
        <w:rPr>
          <w:rFonts w:ascii="Georgia" w:hAnsi="Georgia"/>
          <w:sz w:val="18"/>
          <w:szCs w:val="20"/>
          <w:rtl/>
        </w:rPr>
        <w:t xml:space="preserve"> </w:t>
      </w:r>
      <w:r w:rsidRPr="00202086">
        <w:rPr>
          <w:rFonts w:ascii="Georgia" w:hAnsi="Georgia" w:hint="eastAsia"/>
          <w:sz w:val="18"/>
          <w:szCs w:val="20"/>
          <w:rtl/>
        </w:rPr>
        <w:t>הרגיל</w:t>
      </w:r>
      <w:r w:rsidRPr="00202086">
        <w:rPr>
          <w:rFonts w:ascii="Georgia" w:hAnsi="Georgia"/>
          <w:sz w:val="18"/>
          <w:szCs w:val="20"/>
          <w:rtl/>
        </w:rPr>
        <w:t xml:space="preserve"> </w:t>
      </w:r>
      <w:r w:rsidRPr="00202086">
        <w:rPr>
          <w:rFonts w:ascii="Georgia" w:hAnsi="Georgia" w:hint="eastAsia"/>
          <w:sz w:val="18"/>
          <w:szCs w:val="20"/>
          <w:rtl/>
        </w:rPr>
        <w:t>של</w:t>
      </w:r>
      <w:r w:rsidRPr="00202086">
        <w:rPr>
          <w:rFonts w:ascii="Georgia" w:hAnsi="Georgia"/>
          <w:sz w:val="18"/>
          <w:szCs w:val="20"/>
          <w:rtl/>
        </w:rPr>
        <w:t xml:space="preserve"> </w:t>
      </w:r>
      <w:proofErr w:type="spellStart"/>
      <w:r w:rsidRPr="00202086">
        <w:rPr>
          <w:rFonts w:ascii="Georgia" w:hAnsi="Georgia" w:hint="eastAsia"/>
          <w:sz w:val="18"/>
          <w:szCs w:val="20"/>
          <w:rtl/>
        </w:rPr>
        <w:t>זיקנה</w:t>
      </w:r>
      <w:proofErr w:type="spellEnd"/>
      <w:r w:rsidRPr="00202086">
        <w:rPr>
          <w:rFonts w:ascii="Georgia" w:hAnsi="Georgia"/>
          <w:sz w:val="18"/>
          <w:szCs w:val="20"/>
          <w:rtl/>
        </w:rPr>
        <w:t xml:space="preserve"> </w:t>
      </w:r>
      <w:r w:rsidRPr="00202086">
        <w:rPr>
          <w:rFonts w:ascii="Georgia" w:hAnsi="Georgia" w:hint="eastAsia"/>
          <w:sz w:val="18"/>
          <w:szCs w:val="20"/>
          <w:rtl/>
        </w:rPr>
        <w:t>בדרכה</w:t>
      </w:r>
      <w:r w:rsidRPr="00202086">
        <w:rPr>
          <w:rFonts w:ascii="Georgia" w:hAnsi="Georgia"/>
          <w:sz w:val="18"/>
          <w:szCs w:val="20"/>
          <w:rtl/>
        </w:rPr>
        <w:t xml:space="preserve"> </w:t>
      </w:r>
      <w:r w:rsidRPr="00202086">
        <w:rPr>
          <w:rFonts w:ascii="Georgia" w:hAnsi="Georgia" w:hint="eastAsia"/>
          <w:sz w:val="18"/>
          <w:szCs w:val="20"/>
          <w:rtl/>
        </w:rPr>
        <w:t>אל</w:t>
      </w:r>
      <w:r w:rsidRPr="00202086">
        <w:rPr>
          <w:rFonts w:ascii="Georgia" w:hAnsi="Georgia"/>
          <w:sz w:val="18"/>
          <w:szCs w:val="20"/>
          <w:rtl/>
        </w:rPr>
        <w:t xml:space="preserve"> </w:t>
      </w:r>
      <w:r w:rsidRPr="00202086">
        <w:rPr>
          <w:rFonts w:ascii="Georgia" w:hAnsi="Georgia" w:hint="eastAsia"/>
          <w:sz w:val="18"/>
          <w:szCs w:val="20"/>
          <w:rtl/>
        </w:rPr>
        <w:t>המוות</w:t>
      </w:r>
      <w:r w:rsidRPr="00202086">
        <w:rPr>
          <w:rFonts w:ascii="Georgia" w:hAnsi="Georgia"/>
          <w:sz w:val="18"/>
          <w:szCs w:val="20"/>
          <w:rtl/>
        </w:rPr>
        <w:t xml:space="preserve"> </w:t>
      </w:r>
      <w:r w:rsidRPr="00202086">
        <w:rPr>
          <w:rFonts w:ascii="Georgia" w:hAnsi="Georgia" w:hint="eastAsia"/>
          <w:sz w:val="18"/>
          <w:szCs w:val="20"/>
          <w:rtl/>
        </w:rPr>
        <w:t>ומהנרטיב</w:t>
      </w:r>
      <w:r w:rsidRPr="00202086">
        <w:rPr>
          <w:rFonts w:ascii="Georgia" w:hAnsi="Georgia"/>
          <w:sz w:val="18"/>
          <w:szCs w:val="20"/>
          <w:rtl/>
        </w:rPr>
        <w:t xml:space="preserve"> </w:t>
      </w:r>
      <w:r w:rsidRPr="00202086">
        <w:rPr>
          <w:rFonts w:ascii="Georgia" w:hAnsi="Georgia" w:hint="eastAsia"/>
          <w:sz w:val="18"/>
          <w:szCs w:val="20"/>
          <w:rtl/>
        </w:rPr>
        <w:t>השליט</w:t>
      </w:r>
      <w:r w:rsidRPr="00202086">
        <w:rPr>
          <w:rFonts w:ascii="Georgia" w:hAnsi="Georgia"/>
          <w:sz w:val="18"/>
          <w:szCs w:val="20"/>
          <w:rtl/>
        </w:rPr>
        <w:t xml:space="preserve"> </w:t>
      </w:r>
      <w:r w:rsidRPr="00202086">
        <w:rPr>
          <w:rFonts w:ascii="Georgia" w:hAnsi="Georgia" w:hint="eastAsia"/>
          <w:sz w:val="18"/>
          <w:szCs w:val="20"/>
          <w:rtl/>
        </w:rPr>
        <w:t>בשיח</w:t>
      </w:r>
      <w:r w:rsidRPr="00202086">
        <w:rPr>
          <w:rFonts w:ascii="Georgia" w:hAnsi="Georgia"/>
          <w:sz w:val="18"/>
          <w:szCs w:val="20"/>
          <w:rtl/>
        </w:rPr>
        <w:t xml:space="preserve">. </w:t>
      </w:r>
      <w:r w:rsidRPr="00202086">
        <w:rPr>
          <w:rFonts w:ascii="Georgia" w:hAnsi="Georgia" w:hint="eastAsia"/>
          <w:sz w:val="18"/>
          <w:szCs w:val="20"/>
          <w:rtl/>
        </w:rPr>
        <w:t>הטון</w:t>
      </w:r>
      <w:r w:rsidRPr="00202086">
        <w:rPr>
          <w:rFonts w:ascii="Georgia" w:hAnsi="Georgia"/>
          <w:sz w:val="18"/>
          <w:szCs w:val="20"/>
          <w:rtl/>
        </w:rPr>
        <w:t xml:space="preserve"> </w:t>
      </w:r>
      <w:r w:rsidRPr="00202086">
        <w:rPr>
          <w:rFonts w:ascii="Georgia" w:hAnsi="Georgia" w:hint="eastAsia"/>
          <w:sz w:val="18"/>
          <w:szCs w:val="20"/>
          <w:rtl/>
        </w:rPr>
        <w:t>בכל</w:t>
      </w:r>
      <w:r w:rsidRPr="00202086">
        <w:rPr>
          <w:rFonts w:ascii="Georgia" w:hAnsi="Georgia"/>
          <w:sz w:val="18"/>
          <w:szCs w:val="20"/>
          <w:rtl/>
        </w:rPr>
        <w:t xml:space="preserve"> </w:t>
      </w:r>
      <w:r w:rsidRPr="00202086">
        <w:rPr>
          <w:rFonts w:ascii="Georgia" w:hAnsi="Georgia" w:hint="eastAsia"/>
          <w:sz w:val="18"/>
          <w:szCs w:val="20"/>
          <w:rtl/>
        </w:rPr>
        <w:t>אותן</w:t>
      </w:r>
      <w:r w:rsidRPr="00202086">
        <w:rPr>
          <w:rFonts w:ascii="Georgia" w:hAnsi="Georgia"/>
          <w:sz w:val="18"/>
          <w:szCs w:val="20"/>
          <w:rtl/>
        </w:rPr>
        <w:t xml:space="preserve"> </w:t>
      </w:r>
      <w:r w:rsidRPr="00202086">
        <w:rPr>
          <w:rFonts w:ascii="Georgia" w:hAnsi="Georgia" w:hint="eastAsia"/>
          <w:sz w:val="18"/>
          <w:szCs w:val="20"/>
          <w:rtl/>
        </w:rPr>
        <w:t>כתבות</w:t>
      </w:r>
      <w:r w:rsidRPr="00202086">
        <w:rPr>
          <w:rFonts w:ascii="Georgia" w:hAnsi="Georgia"/>
          <w:sz w:val="18"/>
          <w:szCs w:val="20"/>
          <w:rtl/>
        </w:rPr>
        <w:t xml:space="preserve"> </w:t>
      </w:r>
      <w:r w:rsidRPr="00202086">
        <w:rPr>
          <w:rFonts w:ascii="Georgia" w:hAnsi="Georgia" w:hint="eastAsia"/>
          <w:sz w:val="18"/>
          <w:szCs w:val="20"/>
          <w:rtl/>
        </w:rPr>
        <w:t>רך</w:t>
      </w:r>
      <w:r w:rsidRPr="00202086">
        <w:rPr>
          <w:rFonts w:ascii="Georgia" w:hAnsi="Georgia"/>
          <w:sz w:val="18"/>
          <w:szCs w:val="20"/>
          <w:rtl/>
        </w:rPr>
        <w:t xml:space="preserve"> </w:t>
      </w:r>
      <w:r w:rsidRPr="00202086">
        <w:rPr>
          <w:rFonts w:ascii="Georgia" w:hAnsi="Georgia" w:hint="eastAsia"/>
          <w:sz w:val="18"/>
          <w:szCs w:val="20"/>
          <w:rtl/>
        </w:rPr>
        <w:t>יותר</w:t>
      </w:r>
      <w:r w:rsidRPr="00202086">
        <w:rPr>
          <w:rFonts w:ascii="Georgia" w:hAnsi="Georgia"/>
          <w:sz w:val="18"/>
          <w:szCs w:val="20"/>
          <w:rtl/>
        </w:rPr>
        <w:t xml:space="preserve">, </w:t>
      </w:r>
      <w:r w:rsidRPr="00202086">
        <w:rPr>
          <w:rFonts w:ascii="Georgia" w:hAnsi="Georgia" w:hint="eastAsia"/>
          <w:sz w:val="18"/>
          <w:szCs w:val="20"/>
          <w:rtl/>
        </w:rPr>
        <w:t>אמפתי</w:t>
      </w:r>
      <w:r w:rsidRPr="00202086">
        <w:rPr>
          <w:rFonts w:ascii="Georgia" w:hAnsi="Georgia"/>
          <w:sz w:val="18"/>
          <w:szCs w:val="20"/>
          <w:rtl/>
        </w:rPr>
        <w:t xml:space="preserve"> </w:t>
      </w:r>
      <w:r w:rsidRPr="00202086">
        <w:rPr>
          <w:rFonts w:ascii="Georgia" w:hAnsi="Georgia" w:hint="eastAsia"/>
          <w:sz w:val="18"/>
          <w:szCs w:val="20"/>
          <w:rtl/>
        </w:rPr>
        <w:t>כלפי</w:t>
      </w:r>
      <w:r w:rsidRPr="00202086">
        <w:rPr>
          <w:rFonts w:ascii="Georgia" w:hAnsi="Georgia"/>
          <w:sz w:val="18"/>
          <w:szCs w:val="20"/>
          <w:rtl/>
        </w:rPr>
        <w:t xml:space="preserve"> </w:t>
      </w:r>
      <w:r w:rsidRPr="00202086">
        <w:rPr>
          <w:rFonts w:ascii="Georgia" w:hAnsi="Georgia" w:hint="eastAsia"/>
          <w:sz w:val="18"/>
          <w:szCs w:val="20"/>
          <w:rtl/>
        </w:rPr>
        <w:t>המתים</w:t>
      </w:r>
      <w:r w:rsidRPr="00202086">
        <w:rPr>
          <w:rFonts w:ascii="Georgia" w:hAnsi="Georgia"/>
          <w:sz w:val="18"/>
          <w:szCs w:val="20"/>
          <w:rtl/>
        </w:rPr>
        <w:t xml:space="preserve"> </w:t>
      </w:r>
      <w:r w:rsidRPr="00202086">
        <w:rPr>
          <w:rFonts w:ascii="Georgia" w:hAnsi="Georgia" w:hint="eastAsia"/>
          <w:sz w:val="18"/>
          <w:szCs w:val="20"/>
          <w:rtl/>
        </w:rPr>
        <w:t>וגם</w:t>
      </w:r>
      <w:r w:rsidRPr="00202086">
        <w:rPr>
          <w:rFonts w:ascii="Georgia" w:hAnsi="Georgia"/>
          <w:sz w:val="18"/>
          <w:szCs w:val="20"/>
          <w:rtl/>
        </w:rPr>
        <w:t xml:space="preserve"> </w:t>
      </w:r>
      <w:r w:rsidRPr="00202086">
        <w:rPr>
          <w:rFonts w:ascii="Georgia" w:hAnsi="Georgia" w:hint="eastAsia"/>
          <w:sz w:val="18"/>
          <w:szCs w:val="20"/>
          <w:rtl/>
        </w:rPr>
        <w:t>כלפי</w:t>
      </w:r>
      <w:r w:rsidRPr="00202086">
        <w:rPr>
          <w:rFonts w:ascii="Georgia" w:hAnsi="Georgia"/>
          <w:sz w:val="18"/>
          <w:szCs w:val="20"/>
          <w:rtl/>
        </w:rPr>
        <w:t xml:space="preserve"> </w:t>
      </w:r>
      <w:r w:rsidRPr="00202086">
        <w:rPr>
          <w:rFonts w:ascii="Georgia" w:hAnsi="Georgia" w:hint="eastAsia"/>
          <w:sz w:val="18"/>
          <w:szCs w:val="20"/>
          <w:rtl/>
        </w:rPr>
        <w:t>קרוביהם</w:t>
      </w:r>
      <w:r w:rsidRPr="00202086">
        <w:rPr>
          <w:rFonts w:ascii="Georgia" w:hAnsi="Georgia"/>
          <w:sz w:val="18"/>
          <w:szCs w:val="20"/>
          <w:rtl/>
        </w:rPr>
        <w:t xml:space="preserve">, </w:t>
      </w:r>
      <w:r w:rsidRPr="00202086">
        <w:rPr>
          <w:rFonts w:ascii="Georgia" w:hAnsi="Georgia" w:hint="eastAsia"/>
          <w:sz w:val="18"/>
          <w:szCs w:val="20"/>
          <w:rtl/>
        </w:rPr>
        <w:t>כפי</w:t>
      </w:r>
      <w:r w:rsidRPr="00202086">
        <w:rPr>
          <w:rFonts w:ascii="Georgia" w:hAnsi="Georgia"/>
          <w:sz w:val="18"/>
          <w:szCs w:val="20"/>
          <w:rtl/>
        </w:rPr>
        <w:t xml:space="preserve"> </w:t>
      </w:r>
      <w:r w:rsidRPr="00202086">
        <w:rPr>
          <w:rFonts w:ascii="Georgia" w:hAnsi="Georgia" w:hint="eastAsia"/>
          <w:sz w:val="18"/>
          <w:szCs w:val="20"/>
          <w:rtl/>
        </w:rPr>
        <w:t>שאפשר</w:t>
      </w:r>
      <w:r w:rsidRPr="00202086">
        <w:rPr>
          <w:rFonts w:ascii="Georgia" w:hAnsi="Georgia"/>
          <w:sz w:val="18"/>
          <w:szCs w:val="20"/>
          <w:rtl/>
        </w:rPr>
        <w:t xml:space="preserve"> </w:t>
      </w:r>
      <w:r w:rsidRPr="00202086">
        <w:rPr>
          <w:rFonts w:ascii="Georgia" w:hAnsi="Georgia" w:hint="eastAsia"/>
          <w:sz w:val="18"/>
          <w:szCs w:val="20"/>
          <w:rtl/>
        </w:rPr>
        <w:t>לצפות</w:t>
      </w:r>
      <w:r w:rsidRPr="00202086">
        <w:rPr>
          <w:rFonts w:ascii="Georgia" w:hAnsi="Georgia"/>
          <w:sz w:val="18"/>
          <w:szCs w:val="20"/>
          <w:rtl/>
        </w:rPr>
        <w:t xml:space="preserve">. </w:t>
      </w:r>
      <w:r w:rsidRPr="00202086">
        <w:rPr>
          <w:rFonts w:ascii="Georgia" w:hAnsi="Georgia" w:hint="eastAsia"/>
          <w:sz w:val="18"/>
          <w:szCs w:val="20"/>
          <w:rtl/>
        </w:rPr>
        <w:t>הקול</w:t>
      </w:r>
      <w:r w:rsidRPr="00202086">
        <w:rPr>
          <w:rFonts w:ascii="Georgia" w:hAnsi="Georgia"/>
          <w:sz w:val="18"/>
          <w:szCs w:val="20"/>
          <w:rtl/>
        </w:rPr>
        <w:t xml:space="preserve"> </w:t>
      </w:r>
      <w:r w:rsidRPr="00202086">
        <w:rPr>
          <w:rFonts w:ascii="Georgia" w:hAnsi="Georgia" w:hint="eastAsia"/>
          <w:sz w:val="18"/>
          <w:szCs w:val="20"/>
          <w:rtl/>
        </w:rPr>
        <w:t>שנשמע</w:t>
      </w:r>
      <w:r w:rsidRPr="00202086">
        <w:rPr>
          <w:rFonts w:ascii="Georgia" w:hAnsi="Georgia"/>
          <w:sz w:val="18"/>
          <w:szCs w:val="20"/>
          <w:rtl/>
        </w:rPr>
        <w:t xml:space="preserve"> </w:t>
      </w:r>
      <w:r w:rsidRPr="00202086">
        <w:rPr>
          <w:rFonts w:ascii="Georgia" w:hAnsi="Georgia" w:hint="eastAsia"/>
          <w:sz w:val="18"/>
          <w:szCs w:val="20"/>
          <w:rtl/>
        </w:rPr>
        <w:t>הוא</w:t>
      </w:r>
      <w:r w:rsidRPr="00202086">
        <w:rPr>
          <w:rFonts w:ascii="Georgia" w:hAnsi="Georgia"/>
          <w:sz w:val="18"/>
          <w:szCs w:val="20"/>
          <w:rtl/>
        </w:rPr>
        <w:t xml:space="preserve"> </w:t>
      </w:r>
      <w:r w:rsidRPr="00202086">
        <w:rPr>
          <w:rFonts w:ascii="Georgia" w:hAnsi="Georgia" w:hint="eastAsia"/>
          <w:sz w:val="18"/>
          <w:szCs w:val="20"/>
          <w:rtl/>
        </w:rPr>
        <w:t>של</w:t>
      </w:r>
      <w:r w:rsidRPr="00202086">
        <w:rPr>
          <w:rFonts w:ascii="Georgia" w:hAnsi="Georgia"/>
          <w:sz w:val="18"/>
          <w:szCs w:val="20"/>
          <w:rtl/>
        </w:rPr>
        <w:t xml:space="preserve"> </w:t>
      </w:r>
      <w:r w:rsidRPr="00202086">
        <w:rPr>
          <w:rFonts w:ascii="Georgia" w:hAnsi="Georgia" w:hint="eastAsia"/>
          <w:sz w:val="18"/>
          <w:szCs w:val="20"/>
          <w:rtl/>
        </w:rPr>
        <w:t>החיים</w:t>
      </w:r>
      <w:r w:rsidRPr="00202086">
        <w:rPr>
          <w:rFonts w:ascii="Georgia" w:hAnsi="Georgia"/>
          <w:sz w:val="18"/>
          <w:szCs w:val="20"/>
          <w:rtl/>
        </w:rPr>
        <w:t xml:space="preserve">, </w:t>
      </w:r>
      <w:r w:rsidRPr="00202086">
        <w:rPr>
          <w:rFonts w:ascii="Georgia" w:hAnsi="Georgia" w:hint="eastAsia"/>
          <w:sz w:val="18"/>
          <w:szCs w:val="20"/>
          <w:rtl/>
        </w:rPr>
        <w:t>מן</w:t>
      </w:r>
      <w:r w:rsidRPr="00202086">
        <w:rPr>
          <w:rFonts w:ascii="Georgia" w:hAnsi="Georgia"/>
          <w:sz w:val="18"/>
          <w:szCs w:val="20"/>
          <w:rtl/>
        </w:rPr>
        <w:t xml:space="preserve"> </w:t>
      </w:r>
      <w:r w:rsidRPr="00202086">
        <w:rPr>
          <w:rFonts w:ascii="Georgia" w:hAnsi="Georgia" w:hint="eastAsia"/>
          <w:sz w:val="18"/>
          <w:szCs w:val="20"/>
          <w:rtl/>
        </w:rPr>
        <w:t>הסתם</w:t>
      </w:r>
      <w:r w:rsidRPr="00202086">
        <w:rPr>
          <w:rFonts w:ascii="Georgia" w:hAnsi="Georgia"/>
          <w:sz w:val="18"/>
          <w:szCs w:val="20"/>
          <w:rtl/>
        </w:rPr>
        <w:t xml:space="preserve">, </w:t>
      </w:r>
      <w:r w:rsidRPr="00202086">
        <w:rPr>
          <w:rFonts w:ascii="Georgia" w:hAnsi="Georgia" w:hint="eastAsia"/>
          <w:sz w:val="18"/>
          <w:szCs w:val="20"/>
          <w:rtl/>
        </w:rPr>
        <w:t>משום</w:t>
      </w:r>
      <w:r w:rsidRPr="00202086">
        <w:rPr>
          <w:rFonts w:ascii="Georgia" w:hAnsi="Georgia"/>
          <w:sz w:val="18"/>
          <w:szCs w:val="20"/>
          <w:rtl/>
        </w:rPr>
        <w:t xml:space="preserve"> </w:t>
      </w:r>
      <w:r w:rsidRPr="00202086">
        <w:rPr>
          <w:rFonts w:ascii="Georgia" w:hAnsi="Georgia" w:hint="eastAsia"/>
          <w:sz w:val="18"/>
          <w:szCs w:val="20"/>
          <w:rtl/>
        </w:rPr>
        <w:t>שהמתים</w:t>
      </w:r>
      <w:r w:rsidRPr="00202086">
        <w:rPr>
          <w:rFonts w:ascii="Georgia" w:hAnsi="Georgia"/>
          <w:sz w:val="18"/>
          <w:szCs w:val="20"/>
          <w:rtl/>
        </w:rPr>
        <w:t xml:space="preserve"> </w:t>
      </w:r>
      <w:r w:rsidRPr="00202086">
        <w:rPr>
          <w:rFonts w:ascii="Georgia" w:hAnsi="Georgia" w:hint="eastAsia"/>
          <w:sz w:val="18"/>
          <w:szCs w:val="20"/>
          <w:rtl/>
        </w:rPr>
        <w:t>אינם</w:t>
      </w:r>
      <w:r w:rsidRPr="00202086">
        <w:rPr>
          <w:rFonts w:ascii="Georgia" w:hAnsi="Georgia"/>
          <w:sz w:val="18"/>
          <w:szCs w:val="20"/>
          <w:rtl/>
        </w:rPr>
        <w:t xml:space="preserve"> </w:t>
      </w:r>
      <w:r w:rsidRPr="00202086">
        <w:rPr>
          <w:rFonts w:ascii="Georgia" w:hAnsi="Georgia" w:hint="eastAsia"/>
          <w:sz w:val="18"/>
          <w:szCs w:val="20"/>
          <w:rtl/>
        </w:rPr>
        <w:t>יכולים</w:t>
      </w:r>
      <w:r w:rsidRPr="00202086">
        <w:rPr>
          <w:rFonts w:ascii="Georgia" w:hAnsi="Georgia"/>
          <w:sz w:val="18"/>
          <w:szCs w:val="20"/>
          <w:rtl/>
        </w:rPr>
        <w:t xml:space="preserve"> </w:t>
      </w:r>
      <w:r w:rsidRPr="00202086">
        <w:rPr>
          <w:rFonts w:ascii="Georgia" w:hAnsi="Georgia" w:hint="eastAsia"/>
          <w:sz w:val="18"/>
          <w:szCs w:val="20"/>
          <w:rtl/>
        </w:rPr>
        <w:t>לדבר</w:t>
      </w:r>
      <w:r w:rsidRPr="00202086">
        <w:rPr>
          <w:rFonts w:ascii="Georgia" w:hAnsi="Georgia"/>
          <w:sz w:val="18"/>
          <w:szCs w:val="20"/>
          <w:rtl/>
        </w:rPr>
        <w:t xml:space="preserve">. </w:t>
      </w:r>
      <w:r w:rsidRPr="00202086">
        <w:rPr>
          <w:rFonts w:ascii="Georgia" w:hAnsi="Georgia" w:hint="eastAsia"/>
          <w:sz w:val="18"/>
          <w:szCs w:val="20"/>
          <w:rtl/>
        </w:rPr>
        <w:t>הוא</w:t>
      </w:r>
      <w:r w:rsidRPr="00202086">
        <w:rPr>
          <w:rFonts w:ascii="Georgia" w:hAnsi="Georgia"/>
          <w:sz w:val="18"/>
          <w:szCs w:val="20"/>
          <w:rtl/>
        </w:rPr>
        <w:t xml:space="preserve"> </w:t>
      </w:r>
      <w:r w:rsidRPr="00202086">
        <w:rPr>
          <w:rFonts w:ascii="Georgia" w:hAnsi="Georgia" w:hint="eastAsia"/>
          <w:sz w:val="18"/>
          <w:szCs w:val="20"/>
          <w:rtl/>
        </w:rPr>
        <w:t>מביע</w:t>
      </w:r>
      <w:r w:rsidRPr="00202086">
        <w:rPr>
          <w:rFonts w:ascii="Georgia" w:hAnsi="Georgia"/>
          <w:sz w:val="18"/>
          <w:szCs w:val="20"/>
          <w:rtl/>
        </w:rPr>
        <w:t xml:space="preserve"> </w:t>
      </w:r>
      <w:r w:rsidRPr="00202086">
        <w:rPr>
          <w:rFonts w:ascii="Georgia" w:hAnsi="Georgia" w:hint="eastAsia"/>
          <w:sz w:val="18"/>
          <w:szCs w:val="20"/>
          <w:rtl/>
        </w:rPr>
        <w:t>נרטיב</w:t>
      </w:r>
      <w:r w:rsidRPr="00202086">
        <w:rPr>
          <w:rFonts w:ascii="Georgia" w:hAnsi="Georgia"/>
          <w:sz w:val="18"/>
          <w:szCs w:val="20"/>
          <w:rtl/>
        </w:rPr>
        <w:t xml:space="preserve"> </w:t>
      </w:r>
      <w:r w:rsidRPr="00202086">
        <w:rPr>
          <w:rFonts w:ascii="Georgia" w:hAnsi="Georgia" w:hint="eastAsia"/>
          <w:sz w:val="18"/>
          <w:szCs w:val="20"/>
          <w:rtl/>
        </w:rPr>
        <w:t>של</w:t>
      </w:r>
      <w:r w:rsidRPr="00202086">
        <w:rPr>
          <w:rFonts w:ascii="Georgia" w:hAnsi="Georgia"/>
          <w:sz w:val="18"/>
          <w:szCs w:val="20"/>
          <w:rtl/>
        </w:rPr>
        <w:t xml:space="preserve"> </w:t>
      </w:r>
      <w:r w:rsidRPr="00202086">
        <w:rPr>
          <w:rFonts w:ascii="Georgia" w:hAnsi="Georgia" w:hint="eastAsia"/>
          <w:sz w:val="18"/>
          <w:szCs w:val="20"/>
          <w:rtl/>
        </w:rPr>
        <w:t>מאבק</w:t>
      </w:r>
      <w:r w:rsidRPr="00202086">
        <w:rPr>
          <w:rFonts w:ascii="Georgia" w:hAnsi="Georgia"/>
          <w:sz w:val="18"/>
          <w:szCs w:val="20"/>
          <w:rtl/>
        </w:rPr>
        <w:t xml:space="preserve">, </w:t>
      </w:r>
      <w:r w:rsidRPr="00202086">
        <w:rPr>
          <w:rFonts w:ascii="Georgia" w:hAnsi="Georgia" w:hint="eastAsia"/>
          <w:sz w:val="18"/>
          <w:szCs w:val="20"/>
          <w:rtl/>
        </w:rPr>
        <w:t>של</w:t>
      </w:r>
      <w:r w:rsidRPr="00202086">
        <w:rPr>
          <w:rFonts w:ascii="Georgia" w:hAnsi="Georgia"/>
          <w:sz w:val="18"/>
          <w:szCs w:val="20"/>
          <w:rtl/>
        </w:rPr>
        <w:t xml:space="preserve"> </w:t>
      </w:r>
      <w:r w:rsidRPr="00202086">
        <w:rPr>
          <w:rFonts w:ascii="Georgia" w:hAnsi="Georgia" w:hint="eastAsia"/>
          <w:sz w:val="18"/>
          <w:szCs w:val="20"/>
          <w:rtl/>
        </w:rPr>
        <w:t>קרב</w:t>
      </w:r>
      <w:r w:rsidRPr="00202086">
        <w:rPr>
          <w:rFonts w:ascii="Georgia" w:hAnsi="Georgia"/>
          <w:sz w:val="18"/>
          <w:szCs w:val="20"/>
          <w:rtl/>
        </w:rPr>
        <w:t xml:space="preserve"> </w:t>
      </w:r>
      <w:r w:rsidRPr="00202086">
        <w:rPr>
          <w:rFonts w:ascii="Georgia" w:hAnsi="Georgia" w:hint="eastAsia"/>
          <w:sz w:val="18"/>
          <w:szCs w:val="20"/>
          <w:rtl/>
        </w:rPr>
        <w:t>ושל</w:t>
      </w:r>
      <w:r w:rsidRPr="00202086">
        <w:rPr>
          <w:rFonts w:ascii="Georgia" w:hAnsi="Georgia"/>
          <w:sz w:val="18"/>
          <w:szCs w:val="20"/>
          <w:rtl/>
        </w:rPr>
        <w:t xml:space="preserve"> </w:t>
      </w:r>
      <w:r w:rsidRPr="00202086">
        <w:rPr>
          <w:rFonts w:ascii="Georgia" w:hAnsi="Georgia" w:hint="eastAsia"/>
          <w:sz w:val="18"/>
          <w:szCs w:val="20"/>
          <w:rtl/>
        </w:rPr>
        <w:t>חיים</w:t>
      </w:r>
      <w:r w:rsidRPr="00202086">
        <w:rPr>
          <w:rFonts w:ascii="Georgia" w:hAnsi="Georgia"/>
          <w:sz w:val="18"/>
          <w:szCs w:val="20"/>
          <w:rtl/>
        </w:rPr>
        <w:t xml:space="preserve">, </w:t>
      </w:r>
      <w:r w:rsidRPr="00202086">
        <w:rPr>
          <w:rFonts w:ascii="Georgia" w:hAnsi="Georgia" w:hint="eastAsia"/>
          <w:sz w:val="18"/>
          <w:szCs w:val="20"/>
          <w:rtl/>
        </w:rPr>
        <w:t>ולא</w:t>
      </w:r>
      <w:r w:rsidRPr="00202086">
        <w:rPr>
          <w:rFonts w:ascii="Georgia" w:hAnsi="Georgia"/>
          <w:sz w:val="18"/>
          <w:szCs w:val="20"/>
          <w:rtl/>
        </w:rPr>
        <w:t xml:space="preserve"> </w:t>
      </w:r>
      <w:r w:rsidRPr="00202086">
        <w:rPr>
          <w:rFonts w:ascii="Georgia" w:hAnsi="Georgia" w:hint="eastAsia"/>
          <w:sz w:val="18"/>
          <w:szCs w:val="20"/>
          <w:rtl/>
        </w:rPr>
        <w:t>של</w:t>
      </w:r>
      <w:r w:rsidRPr="00202086">
        <w:rPr>
          <w:rFonts w:ascii="Georgia" w:hAnsi="Georgia"/>
          <w:sz w:val="18"/>
          <w:szCs w:val="20"/>
          <w:rtl/>
        </w:rPr>
        <w:t xml:space="preserve"> </w:t>
      </w:r>
      <w:r w:rsidRPr="00202086">
        <w:rPr>
          <w:rFonts w:ascii="Georgia" w:hAnsi="Georgia" w:hint="eastAsia"/>
          <w:sz w:val="18"/>
          <w:szCs w:val="20"/>
          <w:rtl/>
        </w:rPr>
        <w:t>מסכנות</w:t>
      </w:r>
      <w:r w:rsidRPr="00202086">
        <w:rPr>
          <w:rFonts w:ascii="Georgia" w:hAnsi="Georgia"/>
          <w:sz w:val="18"/>
          <w:szCs w:val="20"/>
          <w:rtl/>
        </w:rPr>
        <w:t>.</w:t>
      </w:r>
      <w:r w:rsidRPr="00EB3F46">
        <w:rPr>
          <w:rFonts w:ascii="Georgia" w:hAnsi="Georgia"/>
          <w:sz w:val="18"/>
          <w:szCs w:val="20"/>
          <w:rtl/>
        </w:rPr>
        <w:t xml:space="preserve"> </w:t>
      </w:r>
    </w:p>
    <w:p w14:paraId="14F15B58" w14:textId="1E2D72E3" w:rsidR="00202086" w:rsidRDefault="00D35622" w:rsidP="008666ED">
      <w:pPr>
        <w:spacing w:after="180" w:line="240" w:lineRule="atLeast"/>
        <w:rPr>
          <w:rFonts w:ascii="Georgia" w:hAnsi="Georgia" w:cs="Georgia"/>
          <w:noProof/>
          <w:sz w:val="18"/>
          <w:szCs w:val="18"/>
          <w:rtl/>
          <w:lang w:val="he-IL"/>
        </w:rPr>
      </w:pPr>
      <w:r>
        <w:rPr>
          <w:rFonts w:ascii="Georgia" w:hAnsi="Georgia" w:cs="Georgia"/>
          <w:noProof/>
          <w:sz w:val="18"/>
          <w:szCs w:val="18"/>
          <w:rtl/>
          <w:lang w:val="he-IL"/>
        </w:rPr>
        <w:drawing>
          <wp:inline distT="0" distB="0" distL="0" distR="0" wp14:anchorId="509D271C" wp14:editId="4253650B">
            <wp:extent cx="3364999" cy="1008890"/>
            <wp:effectExtent l="0" t="0" r="6985" b="1270"/>
            <wp:docPr id="1" name="Picture 1" descr="תמונות של אנשים שנפטרו ממחלת ה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תמונות של אנשים שנפטרו ממחלת הקורונה"/>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4999" cy="1008890"/>
                    </a:xfrm>
                    <a:prstGeom prst="rect">
                      <a:avLst/>
                    </a:prstGeom>
                  </pic:spPr>
                </pic:pic>
              </a:graphicData>
            </a:graphic>
          </wp:inline>
        </w:drawing>
      </w:r>
    </w:p>
    <w:p w14:paraId="0A49FAD7" w14:textId="77777777" w:rsidR="00202086" w:rsidRPr="00CB3F11" w:rsidRDefault="00202086" w:rsidP="00F56BAD">
      <w:pPr>
        <w:spacing w:after="180" w:line="240" w:lineRule="atLeast"/>
        <w:rPr>
          <w:rFonts w:ascii="David" w:hAnsi="David"/>
          <w:sz w:val="16"/>
          <w:szCs w:val="16"/>
          <w:rtl/>
        </w:rPr>
      </w:pPr>
      <w:bookmarkStart w:id="4" w:name="_Hlk115254155"/>
      <w:r w:rsidRPr="00CB3F11">
        <w:rPr>
          <w:rFonts w:ascii="David" w:hAnsi="David" w:hint="cs"/>
          <w:sz w:val="16"/>
          <w:szCs w:val="16"/>
          <w:rtl/>
        </w:rPr>
        <w:t>נפטרים. תמונות מתוך אלבומים משפחתיים</w:t>
      </w:r>
      <w:bookmarkEnd w:id="4"/>
    </w:p>
    <w:p w14:paraId="744E9344" w14:textId="160BA6BD" w:rsidR="00EB3F46" w:rsidRDefault="00EB3F46" w:rsidP="00EB3F46">
      <w:pPr>
        <w:spacing w:after="180" w:line="280" w:lineRule="exact"/>
        <w:rPr>
          <w:rFonts w:ascii="Georgia" w:hAnsi="Georgia"/>
          <w:b/>
          <w:bCs/>
          <w:sz w:val="18"/>
          <w:szCs w:val="20"/>
          <w:rtl/>
        </w:rPr>
      </w:pPr>
    </w:p>
    <w:p w14:paraId="58086B23" w14:textId="77777777" w:rsidR="00673493" w:rsidRPr="00EB3F46" w:rsidRDefault="00673493" w:rsidP="00EB3F46">
      <w:pPr>
        <w:spacing w:after="180" w:line="280" w:lineRule="exact"/>
        <w:rPr>
          <w:rFonts w:ascii="Georgia" w:hAnsi="Georgia"/>
          <w:b/>
          <w:bCs/>
          <w:sz w:val="18"/>
          <w:szCs w:val="20"/>
          <w:rtl/>
        </w:rPr>
      </w:pPr>
    </w:p>
    <w:p w14:paraId="05748B9F" w14:textId="282ADAB0" w:rsidR="00EB3F46" w:rsidRPr="00DD36D3" w:rsidRDefault="00EB3F46" w:rsidP="00DD36D3">
      <w:pPr>
        <w:pStyle w:val="KOT4"/>
        <w:spacing w:after="0"/>
        <w:ind w:left="397" w:right="0" w:hanging="397"/>
        <w:rPr>
          <w:rFonts w:cs="Guttman Aharoni"/>
          <w:color w:val="2A8E8C"/>
          <w:sz w:val="32"/>
          <w:szCs w:val="32"/>
          <w:rtl/>
        </w:rPr>
      </w:pPr>
      <w:r w:rsidRPr="00DD36D3">
        <w:rPr>
          <w:rFonts w:cs="Guttman Aharoni"/>
          <w:color w:val="2A8E8C"/>
          <w:sz w:val="32"/>
          <w:szCs w:val="32"/>
          <w:rtl/>
        </w:rPr>
        <w:lastRenderedPageBreak/>
        <w:t xml:space="preserve">דיון ומסקנות </w:t>
      </w:r>
    </w:p>
    <w:p w14:paraId="631D063C" w14:textId="77777777" w:rsidR="00EB3F46" w:rsidRPr="00EB3F46" w:rsidRDefault="00EB3F46" w:rsidP="00EB3F46">
      <w:pPr>
        <w:spacing w:after="180" w:line="280" w:lineRule="exact"/>
        <w:jc w:val="both"/>
        <w:rPr>
          <w:rFonts w:ascii="Georgia" w:hAnsi="Georgia"/>
          <w:sz w:val="18"/>
          <w:szCs w:val="20"/>
          <w:rtl/>
        </w:rPr>
      </w:pPr>
      <w:r w:rsidRPr="00EB3F46">
        <w:rPr>
          <w:rFonts w:ascii="Georgia" w:hAnsi="Georgia"/>
          <w:sz w:val="18"/>
          <w:szCs w:val="20"/>
          <w:rtl/>
        </w:rPr>
        <w:t xml:space="preserve">כבר בראשית שנות ה-80 של המאה הקודמת פרסם פרופסור חיים חזן (1984) ספר חלוצי שקרא לעיון ביקורתי בתופעת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ההפרדה שעשה חזן בין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כתופעה תרבותית וחברתית לבין האדם הזקן ניסתה לפרק את ההכללה החברתית המעקרת את אנושיותו של האדם הזקן כבעל תכונות חברתיות, תרבותיות ואישיות, והופכת אותו לקטגוריה חברתית. </w:t>
      </w:r>
    </w:p>
    <w:p w14:paraId="6B8523D4" w14:textId="38D09A3C" w:rsidR="00EB3F46" w:rsidRPr="00EB3F46" w:rsidRDefault="00EB3F46" w:rsidP="00372E40">
      <w:pPr>
        <w:spacing w:after="180" w:line="280" w:lineRule="exact"/>
        <w:jc w:val="both"/>
        <w:rPr>
          <w:rFonts w:ascii="Georgia" w:hAnsi="Georgia"/>
          <w:sz w:val="18"/>
          <w:szCs w:val="20"/>
          <w:rtl/>
        </w:rPr>
      </w:pPr>
      <w:r w:rsidRPr="00EB3F46">
        <w:rPr>
          <w:rFonts w:ascii="Georgia" w:hAnsi="Georgia"/>
          <w:sz w:val="18"/>
          <w:szCs w:val="20"/>
          <w:rtl/>
        </w:rPr>
        <w:t xml:space="preserve">קטגוריית "הזקנים" נושאת דימויים וסמלים המעצבים את תפיסתנו את האדם הזקן כאובייקט פאסיבי, כזה שאינו מעורר בנו אמפתיה או חמלה. קריאתו של חזן מהדהדת במחקרים בתחום לאורך השנים (לדוגמה: </w:t>
      </w:r>
      <w:proofErr w:type="spellStart"/>
      <w:r w:rsidRPr="00EB3F46">
        <w:rPr>
          <w:rFonts w:ascii="Georgia" w:hAnsi="Georgia"/>
          <w:sz w:val="18"/>
          <w:szCs w:val="20"/>
          <w:rtl/>
        </w:rPr>
        <w:t>ספקטור</w:t>
      </w:r>
      <w:r w:rsidR="00372E40">
        <w:rPr>
          <w:rFonts w:ascii="Georgia" w:hAnsi="Georgia" w:hint="cs"/>
          <w:sz w:val="18"/>
          <w:szCs w:val="20"/>
          <w:rtl/>
        </w:rPr>
        <w:t>-</w:t>
      </w:r>
      <w:r w:rsidRPr="00EB3F46">
        <w:rPr>
          <w:rFonts w:ascii="Georgia" w:hAnsi="Georgia"/>
          <w:sz w:val="18"/>
          <w:szCs w:val="20"/>
          <w:rtl/>
        </w:rPr>
        <w:t>מרזל</w:t>
      </w:r>
      <w:proofErr w:type="spellEnd"/>
      <w:r w:rsidRPr="00EB3F46">
        <w:rPr>
          <w:rFonts w:ascii="Georgia" w:hAnsi="Georgia"/>
          <w:sz w:val="18"/>
          <w:szCs w:val="20"/>
          <w:rtl/>
        </w:rPr>
        <w:t xml:space="preserve">, 2006; קמה </w:t>
      </w:r>
      <w:proofErr w:type="spellStart"/>
      <w:r w:rsidRPr="00EB3F46">
        <w:rPr>
          <w:rFonts w:ascii="Georgia" w:hAnsi="Georgia"/>
          <w:sz w:val="18"/>
          <w:szCs w:val="20"/>
          <w:rtl/>
        </w:rPr>
        <w:t>ופירסט</w:t>
      </w:r>
      <w:proofErr w:type="spellEnd"/>
      <w:r w:rsidRPr="00EB3F46">
        <w:rPr>
          <w:rFonts w:ascii="Georgia" w:hAnsi="Georgia"/>
          <w:sz w:val="18"/>
          <w:szCs w:val="20"/>
          <w:rtl/>
        </w:rPr>
        <w:t xml:space="preserve">, 2015). לטענתנו, ההפרדה בין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לזקן ממשיכה להנחות את אנשי התקשורת ולהדהד בכותרות העיתונים ובדיווחים על הנדבקים והנפטרים הזקנים. התמונה המרצדת </w:t>
      </w:r>
      <w:r w:rsidR="00F82B5C">
        <w:rPr>
          <w:rFonts w:ascii="Georgia" w:hAnsi="Georgia" w:hint="cs"/>
          <w:sz w:val="18"/>
          <w:szCs w:val="20"/>
          <w:rtl/>
        </w:rPr>
        <w:t>ב</w:t>
      </w:r>
      <w:r w:rsidRPr="00EB3F46">
        <w:rPr>
          <w:rFonts w:ascii="Georgia" w:hAnsi="Georgia"/>
          <w:sz w:val="18"/>
          <w:szCs w:val="20"/>
          <w:rtl/>
        </w:rPr>
        <w:t xml:space="preserve">מסך היא חזיתו של בית אבות כזה או אחר, וברקע דיווח על מחלות רקע או שייכות לקבוצת סיכון. האובייקטיביזציה של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בולטת עוד יותר על רקע ההיפוך שחל לאחר פטירתם של הזקנים, אז מובא סיפור אישי ואנושי שמספרת משפחתם לזכרם.</w:t>
      </w:r>
      <w:r w:rsidRPr="00EB3F46" w:rsidDel="00B64530">
        <w:rPr>
          <w:rFonts w:ascii="Georgia" w:hAnsi="Georgia"/>
          <w:sz w:val="18"/>
          <w:szCs w:val="20"/>
          <w:rtl/>
        </w:rPr>
        <w:t xml:space="preserve"> </w:t>
      </w:r>
      <w:r w:rsidRPr="00EB3F46">
        <w:rPr>
          <w:rFonts w:ascii="Georgia" w:hAnsi="Georgia"/>
          <w:sz w:val="18"/>
          <w:szCs w:val="20"/>
          <w:rtl/>
        </w:rPr>
        <w:t>בסיפורים אלה מובחנים הזק</w:t>
      </w:r>
      <w:r w:rsidR="00495779">
        <w:rPr>
          <w:rFonts w:ascii="Georgia" w:hAnsi="Georgia" w:hint="cs"/>
          <w:sz w:val="18"/>
          <w:szCs w:val="20"/>
          <w:rtl/>
        </w:rPr>
        <w:t>נים</w:t>
      </w:r>
      <w:r w:rsidRPr="00EB3F46">
        <w:rPr>
          <w:rFonts w:ascii="Georgia" w:hAnsi="Georgia"/>
          <w:sz w:val="18"/>
          <w:szCs w:val="20"/>
          <w:rtl/>
        </w:rPr>
        <w:t xml:space="preserve">, לרגע, מקטגוריית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והופכים לסובייקטים בעלי שם, פנים וסיפור חיים אישי. </w:t>
      </w:r>
    </w:p>
    <w:p w14:paraId="6DBC7BC4" w14:textId="3C0CC128"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במקרים הרבים המדווחים ומתוארים בתקשורת של תקופת הקורונה מוצגים הזקנים כחסרי אונים, ובתמונות מובלטת בדידותם ומרמזת לסטריאוטיפים המוכרים. האמירות מגלמות הדרה. סיקור כזה מסייע לציבור ולאנשי תקשורת ליצור הזרה וריחוק מהאדם הזקן. לשיטתנו, הזרה זו הולמת, ואולי אף משרתת, את הסיקור החוזר ונשנה של איכותו של "המודל השבדי" ("חיסון עדר"), לעומת בחירתה של ישראל להטיל סגר. כעת, בתקופת הגל הרביעי, גישה זאת משרתת גם את מדיניותה של שרת הפנים איילת שקד</w:t>
      </w:r>
      <w:r w:rsidR="00495779">
        <w:rPr>
          <w:rFonts w:ascii="Georgia" w:hAnsi="Georgia" w:hint="cs"/>
          <w:sz w:val="18"/>
          <w:szCs w:val="20"/>
          <w:rtl/>
        </w:rPr>
        <w:t>, הקוראת ל</w:t>
      </w:r>
      <w:r w:rsidRPr="00EB3F46">
        <w:rPr>
          <w:rFonts w:ascii="Georgia" w:hAnsi="Georgia"/>
          <w:sz w:val="18"/>
          <w:szCs w:val="20"/>
          <w:rtl/>
        </w:rPr>
        <w:t>"הכלת המתים" (</w:t>
      </w:r>
      <w:r w:rsidRPr="00EB3F46">
        <w:rPr>
          <w:rFonts w:ascii="Georgia" w:hAnsi="Georgia"/>
          <w:b/>
          <w:bCs/>
          <w:sz w:val="18"/>
          <w:szCs w:val="20"/>
          <w:rtl/>
        </w:rPr>
        <w:t>חדשות רשת</w:t>
      </w:r>
      <w:r w:rsidRPr="00EB3F46">
        <w:rPr>
          <w:rFonts w:ascii="Georgia" w:hAnsi="Georgia"/>
          <w:sz w:val="18"/>
          <w:szCs w:val="20"/>
          <w:rtl/>
        </w:rPr>
        <w:t>,</w:t>
      </w:r>
      <w:r w:rsidRPr="00EB3F46">
        <w:rPr>
          <w:rFonts w:ascii="Georgia" w:hAnsi="Georgia"/>
          <w:b/>
          <w:bCs/>
          <w:sz w:val="18"/>
          <w:szCs w:val="20"/>
          <w:rtl/>
        </w:rPr>
        <w:t xml:space="preserve"> </w:t>
      </w:r>
      <w:r w:rsidRPr="00EB3F46">
        <w:rPr>
          <w:rFonts w:ascii="Georgia" w:hAnsi="Georgia"/>
          <w:sz w:val="18"/>
          <w:szCs w:val="20"/>
          <w:rtl/>
        </w:rPr>
        <w:t>10 באוגוסט, 2121).</w:t>
      </w:r>
    </w:p>
    <w:p w14:paraId="72E502DD" w14:textId="505AEEB3"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בשיא התקופה, במהלך סתיו 2020, פורסם בעיתון </w:t>
      </w:r>
      <w:r w:rsidRPr="00EB3F46">
        <w:rPr>
          <w:rFonts w:ascii="Georgia" w:hAnsi="Georgia"/>
          <w:b/>
          <w:bCs/>
          <w:sz w:val="18"/>
          <w:szCs w:val="20"/>
          <w:rtl/>
        </w:rPr>
        <w:t>הארץ</w:t>
      </w:r>
      <w:r w:rsidRPr="00EB3F46">
        <w:rPr>
          <w:rFonts w:ascii="Georgia" w:hAnsi="Georgia"/>
          <w:sz w:val="18"/>
          <w:szCs w:val="20"/>
          <w:rtl/>
        </w:rPr>
        <w:t xml:space="preserve"> מאמר שקרא לאמץ את השיטה "השבדית". שיטה זו, שמשמעותה שנויה במחלוקת (</w:t>
      </w:r>
      <w:r w:rsidR="00495779">
        <w:rPr>
          <w:rFonts w:ascii="Georgia" w:hAnsi="Georgia" w:hint="cs"/>
          <w:sz w:val="18"/>
          <w:szCs w:val="20"/>
          <w:rtl/>
        </w:rPr>
        <w:t>ו</w:t>
      </w:r>
      <w:r w:rsidRPr="00EB3F46">
        <w:rPr>
          <w:rFonts w:ascii="Georgia" w:hAnsi="Georgia"/>
          <w:sz w:val="18"/>
          <w:szCs w:val="20"/>
          <w:rtl/>
        </w:rPr>
        <w:t>אף אינה נכונה עובדתית; בשבדיה נקטו הגבלות שונות עקב שיעור התמותה הגבוה), היא לא להילחם בווירוס באמצעות פעילות אקטיבית שתהיה כרוכה בפגיעה בכלכלה. היות שהמשק ומערכות החינוך המשיכו לפעול כרגיל, בזמן שהיה נהיר לכל כי האוכלוסייה הנתונה בסיכון הגבוה ביותר היא הזקנים, הרי האמירה הסמויה היא ויתור על הקשישים. בפועל, בשיאה של המגפה מספר המתים בשבדיה היה גבוה פי עשרה מאשר בקרב שכנותיה, ומספר המתים למיליון איש היה מהגבוהים בעולם. רוב מקרי המוות התרחשו בבתי אבות (כאן 11, 2020).</w:t>
      </w:r>
      <w:r w:rsidRPr="00EB3F46">
        <w:rPr>
          <w:rStyle w:val="FootnoteReference"/>
          <w:rFonts w:ascii="Georgia" w:hAnsi="Georgia"/>
          <w:sz w:val="18"/>
          <w:szCs w:val="20"/>
          <w:rtl/>
        </w:rPr>
        <w:footnoteReference w:id="12"/>
      </w:r>
      <w:r w:rsidRPr="00EB3F46">
        <w:rPr>
          <w:rFonts w:ascii="Georgia" w:hAnsi="Georgia"/>
          <w:sz w:val="18"/>
          <w:szCs w:val="20"/>
          <w:rtl/>
        </w:rPr>
        <w:t xml:space="preserve"> </w:t>
      </w:r>
      <w:r w:rsidRPr="00EB3F46">
        <w:rPr>
          <w:rFonts w:ascii="Georgia" w:hAnsi="Georgia"/>
          <w:color w:val="000000"/>
          <w:spacing w:val="5"/>
          <w:sz w:val="18"/>
          <w:szCs w:val="20"/>
          <w:shd w:val="clear" w:color="auto" w:fill="FFF9F4"/>
          <w:rtl/>
        </w:rPr>
        <w:t>"</w:t>
      </w:r>
      <w:r w:rsidRPr="00EB3F46">
        <w:rPr>
          <w:rFonts w:ascii="Georgia" w:hAnsi="Georgia"/>
          <w:sz w:val="18"/>
          <w:szCs w:val="20"/>
          <w:rtl/>
        </w:rPr>
        <w:t xml:space="preserve">בגדנו בקשישים שלנו", </w:t>
      </w:r>
      <w:r w:rsidRPr="00EB3F46">
        <w:rPr>
          <w:rFonts w:ascii="Georgia" w:hAnsi="Georgia"/>
          <w:sz w:val="18"/>
          <w:szCs w:val="20"/>
          <w:rtl/>
        </w:rPr>
        <w:lastRenderedPageBreak/>
        <w:t xml:space="preserve">אמר פרופסור לווירולוגיה לעיתון </w:t>
      </w:r>
      <w:proofErr w:type="spellStart"/>
      <w:r w:rsidRPr="00EB3F46">
        <w:rPr>
          <w:rFonts w:ascii="Georgia" w:hAnsi="Georgia"/>
          <w:b/>
          <w:bCs/>
          <w:sz w:val="18"/>
          <w:szCs w:val="20"/>
          <w:rtl/>
        </w:rPr>
        <w:t>סוונסקה</w:t>
      </w:r>
      <w:proofErr w:type="spellEnd"/>
      <w:r w:rsidRPr="00EB3F46">
        <w:rPr>
          <w:rFonts w:ascii="Georgia" w:hAnsi="Georgia"/>
          <w:b/>
          <w:bCs/>
          <w:sz w:val="18"/>
          <w:szCs w:val="20"/>
          <w:rtl/>
        </w:rPr>
        <w:t xml:space="preserve"> </w:t>
      </w:r>
      <w:proofErr w:type="spellStart"/>
      <w:r w:rsidRPr="00EB3F46">
        <w:rPr>
          <w:rFonts w:ascii="Georgia" w:hAnsi="Georgia"/>
          <w:b/>
          <w:bCs/>
          <w:sz w:val="18"/>
          <w:szCs w:val="20"/>
          <w:rtl/>
        </w:rPr>
        <w:t>דאגבלט</w:t>
      </w:r>
      <w:proofErr w:type="spellEnd"/>
      <w:r w:rsidRPr="00EB3F46">
        <w:rPr>
          <w:rFonts w:ascii="Georgia" w:hAnsi="Georgia"/>
          <w:sz w:val="18"/>
          <w:szCs w:val="20"/>
          <w:rtl/>
        </w:rPr>
        <w:t xml:space="preserve"> (</w:t>
      </w:r>
      <w:r w:rsidRPr="00EB3F46">
        <w:rPr>
          <w:rFonts w:ascii="Georgia" w:hAnsi="Georgia"/>
          <w:i/>
          <w:iCs/>
          <w:color w:val="202122"/>
          <w:sz w:val="18"/>
          <w:szCs w:val="20"/>
          <w:shd w:val="clear" w:color="auto" w:fill="FFFFFF"/>
        </w:rPr>
        <w:t>Svenska Dagbladet</w:t>
      </w:r>
      <w:r w:rsidRPr="00EB3F46">
        <w:rPr>
          <w:rFonts w:ascii="Georgia" w:hAnsi="Georgia"/>
          <w:color w:val="202122"/>
          <w:sz w:val="18"/>
          <w:szCs w:val="20"/>
          <w:shd w:val="clear" w:color="auto" w:fill="FFFFFF"/>
          <w:rtl/>
        </w:rPr>
        <w:t>)</w:t>
      </w:r>
      <w:r w:rsidRPr="00EB3F46">
        <w:rPr>
          <w:rFonts w:ascii="Georgia" w:hAnsi="Georgia"/>
          <w:i/>
          <w:iCs/>
          <w:color w:val="202122"/>
          <w:sz w:val="18"/>
          <w:szCs w:val="20"/>
          <w:shd w:val="clear" w:color="auto" w:fill="FFFFFF"/>
          <w:rtl/>
        </w:rPr>
        <w:t xml:space="preserve"> </w:t>
      </w:r>
      <w:r w:rsidRPr="00EB3F46">
        <w:rPr>
          <w:rFonts w:ascii="Georgia" w:hAnsi="Georgia"/>
          <w:sz w:val="18"/>
          <w:szCs w:val="20"/>
          <w:rtl/>
        </w:rPr>
        <w:t xml:space="preserve">(אוני, 2020). השיטה הוכרזה, בדיעבד, ככישלון רפואי וכלכלי בהשוואה למדינות השכנות. </w:t>
      </w:r>
    </w:p>
    <w:p w14:paraId="56ABD171" w14:textId="48C4FA6A" w:rsidR="00EB3F46" w:rsidRPr="00EB3F46" w:rsidRDefault="00EB3F46" w:rsidP="002374D0">
      <w:pPr>
        <w:shd w:val="clear" w:color="auto" w:fill="FFFFFF"/>
        <w:spacing w:after="180" w:line="280" w:lineRule="exact"/>
        <w:jc w:val="both"/>
        <w:rPr>
          <w:rFonts w:ascii="Georgia" w:hAnsi="Georgia"/>
          <w:sz w:val="18"/>
          <w:szCs w:val="20"/>
          <w:rtl/>
        </w:rPr>
      </w:pPr>
      <w:r w:rsidRPr="00EB3F46">
        <w:rPr>
          <w:rFonts w:ascii="Georgia" w:hAnsi="Georgia"/>
          <w:sz w:val="18"/>
          <w:szCs w:val="20"/>
          <w:rtl/>
        </w:rPr>
        <w:t xml:space="preserve">כפי שטענו במבוא, בשנים האחרונות חלה התקדמות במחקר בישראל בתחום הזקנים </w:t>
      </w:r>
      <w:proofErr w:type="spellStart"/>
      <w:r w:rsidRPr="00EB3F46">
        <w:rPr>
          <w:rFonts w:ascii="Georgia" w:hAnsi="Georgia"/>
          <w:sz w:val="18"/>
          <w:szCs w:val="20"/>
          <w:rtl/>
        </w:rPr>
        <w:t>והזיקנה</w:t>
      </w:r>
      <w:proofErr w:type="spellEnd"/>
      <w:r w:rsidRPr="00EB3F46">
        <w:rPr>
          <w:rFonts w:ascii="Georgia" w:hAnsi="Georgia"/>
          <w:sz w:val="18"/>
          <w:szCs w:val="20"/>
          <w:rtl/>
        </w:rPr>
        <w:t xml:space="preserve">. השיח על </w:t>
      </w:r>
      <w:proofErr w:type="spellStart"/>
      <w:r w:rsidRPr="00EB3F46">
        <w:rPr>
          <w:rFonts w:ascii="Georgia" w:hAnsi="Georgia"/>
          <w:sz w:val="18"/>
          <w:szCs w:val="20"/>
          <w:rtl/>
        </w:rPr>
        <w:t>גילנות</w:t>
      </w:r>
      <w:proofErr w:type="spellEnd"/>
      <w:r w:rsidRPr="00EB3F46">
        <w:rPr>
          <w:rFonts w:ascii="Georgia" w:hAnsi="Georgia"/>
          <w:sz w:val="18"/>
          <w:szCs w:val="20"/>
          <w:rtl/>
        </w:rPr>
        <w:t xml:space="preserve">, הדרת זקנים וחשיפתם של סטראוטיפים הנלווים לתקופת חיים זו גבר, ואט-אט מתעצבת מדיניות ציבורית וכלכלית המכירה בחשיבות ההכללה וההכלה של האוכלוסייה הזקנה. כפי שטען פוקו (1996), משטורו של הגוף הזקן והפעלת הביו-פוליטיקה על קבוצה זו החלו להתמודד עם כוח התנגדות. היו לכך כמה ביטויים: עלייתה המפתיעה של מפלגת הגמלאים </w:t>
      </w:r>
      <w:r w:rsidR="00495779">
        <w:rPr>
          <w:rFonts w:ascii="Georgia" w:hAnsi="Georgia" w:hint="cs"/>
          <w:sz w:val="18"/>
          <w:szCs w:val="20"/>
          <w:rtl/>
        </w:rPr>
        <w:t>ב</w:t>
      </w:r>
      <w:r w:rsidRPr="00EB3F46">
        <w:rPr>
          <w:rFonts w:ascii="Georgia" w:hAnsi="Georgia"/>
          <w:sz w:val="18"/>
          <w:szCs w:val="20"/>
          <w:rtl/>
        </w:rPr>
        <w:t>מערכת הבחירות 2006; מיזמים דוגמת הנגשת המחשב לאוכלוסיית הקשישים, לשיפור איכות חייהם (</w:t>
      </w:r>
      <w:proofErr w:type="spellStart"/>
      <w:r w:rsidRPr="00EB3F46">
        <w:rPr>
          <w:rFonts w:ascii="Georgia" w:hAnsi="Georgia"/>
          <w:sz w:val="18"/>
          <w:szCs w:val="20"/>
          <w:rtl/>
        </w:rPr>
        <w:t>צוובנר</w:t>
      </w:r>
      <w:proofErr w:type="spellEnd"/>
      <w:r w:rsidRPr="00EB3F46">
        <w:rPr>
          <w:rFonts w:ascii="Georgia" w:hAnsi="Georgia"/>
          <w:sz w:val="18"/>
          <w:szCs w:val="20"/>
          <w:rtl/>
        </w:rPr>
        <w:t>, 2006); מינוי הוועדה לשילוב מבוגרים בתעסוקה ובקהילה (המשרד לאזרחים ותיקים, 2014); התחשבות באוכלוסיית הזקנים בתהליכי התחדשות עירונית (</w:t>
      </w:r>
      <w:proofErr w:type="spellStart"/>
      <w:r w:rsidRPr="00EB3F46">
        <w:rPr>
          <w:rFonts w:ascii="Georgia" w:hAnsi="Georgia"/>
          <w:sz w:val="18"/>
          <w:szCs w:val="20"/>
          <w:rtl/>
        </w:rPr>
        <w:t>רבינוביץ</w:t>
      </w:r>
      <w:proofErr w:type="spellEnd"/>
      <w:r w:rsidRPr="00EB3F46">
        <w:rPr>
          <w:rFonts w:ascii="Georgia" w:hAnsi="Georgia"/>
          <w:sz w:val="18"/>
          <w:szCs w:val="20"/>
          <w:rtl/>
        </w:rPr>
        <w:t xml:space="preserve">', 2017). המדיניות שהמומחים ממליצים עליה היא לאפשר את שילובם של המבוגרים בשוק העבודה מסיבות כלכליות – משבר הפנסיות, ובעיקר מסיבות חברתיות וערכיות – התמודדות עם הבדידות ועוד. אולם הממצאים מלמדים כי להתפתחויות בזירה הפוליטית ובמדיניות הציבורית לא </w:t>
      </w:r>
      <w:proofErr w:type="spellStart"/>
      <w:r w:rsidRPr="00EB3F46">
        <w:rPr>
          <w:rFonts w:ascii="Georgia" w:hAnsi="Georgia"/>
          <w:sz w:val="18"/>
          <w:szCs w:val="20"/>
          <w:rtl/>
        </w:rPr>
        <w:t>היתה</w:t>
      </w:r>
      <w:proofErr w:type="spellEnd"/>
      <w:r w:rsidRPr="00EB3F46">
        <w:rPr>
          <w:rFonts w:ascii="Georgia" w:hAnsi="Georgia"/>
          <w:sz w:val="18"/>
          <w:szCs w:val="20"/>
          <w:rtl/>
        </w:rPr>
        <w:t xml:space="preserve"> כמעט השפעה על אופני הייצוג בתקשורת, וגם לא על השיח הפוליטי (</w:t>
      </w:r>
      <w:proofErr w:type="spellStart"/>
      <w:r w:rsidRPr="00EB3F46">
        <w:rPr>
          <w:rFonts w:ascii="Georgia" w:hAnsi="Georgia"/>
          <w:sz w:val="18"/>
          <w:szCs w:val="20"/>
          <w:rtl/>
        </w:rPr>
        <w:t>פירסט</w:t>
      </w:r>
      <w:proofErr w:type="spellEnd"/>
      <w:r w:rsidRPr="00EB3F46">
        <w:rPr>
          <w:rFonts w:ascii="Georgia" w:hAnsi="Georgia"/>
          <w:sz w:val="18"/>
          <w:szCs w:val="20"/>
          <w:rtl/>
        </w:rPr>
        <w:t xml:space="preserve"> </w:t>
      </w:r>
      <w:proofErr w:type="spellStart"/>
      <w:r w:rsidRPr="00EB3F46">
        <w:rPr>
          <w:rFonts w:ascii="Georgia" w:hAnsi="Georgia"/>
          <w:sz w:val="18"/>
          <w:szCs w:val="20"/>
          <w:rtl/>
        </w:rPr>
        <w:t>ורמר-ביאל</w:t>
      </w:r>
      <w:proofErr w:type="spellEnd"/>
      <w:r w:rsidRPr="00EB3F46">
        <w:rPr>
          <w:rFonts w:ascii="Georgia" w:hAnsi="Georgia"/>
          <w:sz w:val="18"/>
          <w:szCs w:val="20"/>
          <w:rtl/>
        </w:rPr>
        <w:t>, 2007). אדרבה, מהתמות שבדקנו אנו למדים כי חלה התלכדות מחודשת בין</w:t>
      </w:r>
      <w:r w:rsidR="00A15C6E">
        <w:rPr>
          <w:rFonts w:ascii="Georgia" w:hAnsi="Georgia"/>
          <w:b/>
          <w:bCs/>
          <w:sz w:val="18"/>
          <w:szCs w:val="20"/>
          <w:rtl/>
        </w:rPr>
        <w:t xml:space="preserve"> </w:t>
      </w:r>
      <w:r w:rsidRPr="00EB3F46">
        <w:rPr>
          <w:rFonts w:ascii="Georgia" w:hAnsi="Georgia"/>
          <w:sz w:val="18"/>
          <w:szCs w:val="20"/>
          <w:rtl/>
        </w:rPr>
        <w:t>האפידמיה העולמית לבין שלוש פוביות קמאיות המעצבות את התפיסות לגבי הזקן, את הסטראוטיפי</w:t>
      </w:r>
      <w:r w:rsidR="00495779">
        <w:rPr>
          <w:rFonts w:ascii="Georgia" w:hAnsi="Georgia" w:hint="cs"/>
          <w:sz w:val="18"/>
          <w:szCs w:val="20"/>
          <w:rtl/>
        </w:rPr>
        <w:t>ם</w:t>
      </w:r>
      <w:r w:rsidRPr="00EB3F46">
        <w:rPr>
          <w:rFonts w:ascii="Georgia" w:hAnsi="Georgia"/>
          <w:sz w:val="18"/>
          <w:szCs w:val="20"/>
          <w:rtl/>
        </w:rPr>
        <w:t xml:space="preserve"> על </w:t>
      </w:r>
      <w:proofErr w:type="spellStart"/>
      <w:r w:rsidRPr="00EB3F46">
        <w:rPr>
          <w:rFonts w:ascii="Georgia" w:hAnsi="Georgia"/>
          <w:sz w:val="18"/>
          <w:szCs w:val="20"/>
          <w:rtl/>
        </w:rPr>
        <w:t>זיקנה</w:t>
      </w:r>
      <w:proofErr w:type="spellEnd"/>
      <w:r w:rsidRPr="00EB3F46">
        <w:rPr>
          <w:rFonts w:ascii="Georgia" w:hAnsi="Georgia"/>
          <w:sz w:val="18"/>
          <w:szCs w:val="20"/>
          <w:rtl/>
        </w:rPr>
        <w:t xml:space="preserve">, ואת מערכות היחסים של החברה והתרבות עם תופעת </w:t>
      </w:r>
      <w:proofErr w:type="spellStart"/>
      <w:r w:rsidRPr="00EB3F46">
        <w:rPr>
          <w:rFonts w:ascii="Georgia" w:hAnsi="Georgia"/>
          <w:sz w:val="18"/>
          <w:szCs w:val="20"/>
          <w:rtl/>
        </w:rPr>
        <w:t>הזיקנה</w:t>
      </w:r>
      <w:proofErr w:type="spellEnd"/>
      <w:r w:rsidRPr="00EB3F46">
        <w:rPr>
          <w:rFonts w:ascii="Georgia" w:hAnsi="Georgia"/>
          <w:sz w:val="18"/>
          <w:szCs w:val="20"/>
          <w:rtl/>
        </w:rPr>
        <w:t>.</w:t>
      </w:r>
      <w:r w:rsidR="00A15C6E">
        <w:rPr>
          <w:rFonts w:ascii="Georgia" w:hAnsi="Georgia"/>
          <w:sz w:val="18"/>
          <w:szCs w:val="20"/>
          <w:rtl/>
        </w:rPr>
        <w:t xml:space="preserve"> </w:t>
      </w:r>
      <w:r w:rsidRPr="00EB3F46">
        <w:rPr>
          <w:rFonts w:ascii="Georgia" w:hAnsi="Georgia"/>
          <w:sz w:val="18"/>
          <w:szCs w:val="20"/>
          <w:rtl/>
        </w:rPr>
        <w:t>בהיבט הכמותי, יש בתקשורת</w:t>
      </w:r>
      <w:r w:rsidRPr="00EB3F46" w:rsidDel="005110DA">
        <w:rPr>
          <w:rFonts w:ascii="Georgia" w:hAnsi="Georgia"/>
          <w:sz w:val="18"/>
          <w:szCs w:val="20"/>
          <w:rtl/>
        </w:rPr>
        <w:t xml:space="preserve"> </w:t>
      </w:r>
      <w:r w:rsidRPr="00EB3F46">
        <w:rPr>
          <w:rFonts w:ascii="Georgia" w:hAnsi="Georgia"/>
          <w:sz w:val="18"/>
          <w:szCs w:val="20"/>
          <w:rtl/>
        </w:rPr>
        <w:t xml:space="preserve">הנכחה של זקנים ושל </w:t>
      </w:r>
      <w:proofErr w:type="spellStart"/>
      <w:r w:rsidRPr="00EB3F46">
        <w:rPr>
          <w:rFonts w:ascii="Georgia" w:hAnsi="Georgia"/>
          <w:sz w:val="18"/>
          <w:szCs w:val="20"/>
          <w:rtl/>
        </w:rPr>
        <w:t>זיקנה</w:t>
      </w:r>
      <w:proofErr w:type="spellEnd"/>
      <w:r w:rsidRPr="00EB3F46">
        <w:rPr>
          <w:rFonts w:ascii="Georgia" w:hAnsi="Georgia"/>
          <w:sz w:val="18"/>
          <w:szCs w:val="20"/>
          <w:rtl/>
        </w:rPr>
        <w:t>, על מופעיה הסטראוטיפ</w:t>
      </w:r>
      <w:r w:rsidR="00495779">
        <w:rPr>
          <w:rFonts w:ascii="Georgia" w:hAnsi="Georgia" w:hint="cs"/>
          <w:sz w:val="18"/>
          <w:szCs w:val="20"/>
          <w:rtl/>
        </w:rPr>
        <w:t>י</w:t>
      </w:r>
      <w:r w:rsidRPr="00EB3F46">
        <w:rPr>
          <w:rFonts w:ascii="Georgia" w:hAnsi="Georgia"/>
          <w:sz w:val="18"/>
          <w:szCs w:val="20"/>
          <w:rtl/>
        </w:rPr>
        <w:t xml:space="preserve">ים. אולם ההפרדה בין הזקן האינדיבידואל לבין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כקבוצה מוכללת העמיקה. לטעמנו, היא המאפשרת לזקן האינדיבידואל להופיע בה לעיתים בזהות דומיננטית אחרת (כרופא, כחוקר, כפוליטיקאי), בלי לערער את ההכחדה הסמלית האיכותנית (קמה, 2015), של הזקנים בכלל, ובתקופת הקורונה בפרט. </w:t>
      </w:r>
    </w:p>
    <w:p w14:paraId="188ED151" w14:textId="77777777" w:rsidR="00EB3F46" w:rsidRPr="00EB3F46" w:rsidRDefault="00EB3F46" w:rsidP="00EB3F46">
      <w:pPr>
        <w:shd w:val="clear" w:color="auto" w:fill="FFFFFF"/>
        <w:spacing w:after="180" w:line="280" w:lineRule="exact"/>
        <w:jc w:val="both"/>
        <w:rPr>
          <w:rFonts w:ascii="Georgia" w:hAnsi="Georgia"/>
          <w:sz w:val="18"/>
          <w:szCs w:val="20"/>
        </w:rPr>
      </w:pPr>
      <w:r w:rsidRPr="00EB3F46">
        <w:rPr>
          <w:rFonts w:ascii="Georgia" w:hAnsi="Georgia"/>
          <w:sz w:val="18"/>
          <w:szCs w:val="20"/>
          <w:rtl/>
        </w:rPr>
        <w:t xml:space="preserve">לא זו אף זו. לתפיסתנו, הקורונה שחררה מבקבוק התקשורת "שד גילני" בעל שלושה ראשים: </w:t>
      </w:r>
    </w:p>
    <w:p w14:paraId="3A00CE2B" w14:textId="47C79F48" w:rsidR="00EB3F46" w:rsidRPr="00EB3F46" w:rsidRDefault="00EB3F46" w:rsidP="00673493">
      <w:pPr>
        <w:numPr>
          <w:ilvl w:val="0"/>
          <w:numId w:val="35"/>
        </w:numPr>
        <w:shd w:val="clear" w:color="auto" w:fill="FFFFFF"/>
        <w:spacing w:after="180" w:line="280" w:lineRule="exact"/>
        <w:ind w:left="397" w:hanging="397"/>
        <w:contextualSpacing/>
        <w:jc w:val="both"/>
        <w:rPr>
          <w:rFonts w:ascii="Georgia" w:hAnsi="Georgia"/>
          <w:sz w:val="18"/>
          <w:szCs w:val="20"/>
        </w:rPr>
      </w:pPr>
      <w:proofErr w:type="spellStart"/>
      <w:r w:rsidRPr="00EB3F46">
        <w:rPr>
          <w:rFonts w:ascii="Georgia" w:hAnsi="Georgia"/>
          <w:sz w:val="18"/>
          <w:szCs w:val="20"/>
          <w:rtl/>
        </w:rPr>
        <w:t>גרונטו</w:t>
      </w:r>
      <w:proofErr w:type="spellEnd"/>
      <w:r w:rsidRPr="00EB3F46">
        <w:rPr>
          <w:rFonts w:ascii="Georgia" w:hAnsi="Georgia"/>
          <w:sz w:val="18"/>
          <w:szCs w:val="20"/>
          <w:rtl/>
        </w:rPr>
        <w:t xml:space="preserve">-פוביה, כפי שמראים הממצאים הקשורים לתמות </w:t>
      </w:r>
      <w:r w:rsidR="00E14069">
        <w:rPr>
          <w:rFonts w:ascii="Georgia" w:hAnsi="Georgia" w:hint="cs"/>
          <w:sz w:val="18"/>
          <w:szCs w:val="20"/>
          <w:rtl/>
        </w:rPr>
        <w:t xml:space="preserve">התמונה והקול. </w:t>
      </w:r>
      <w:r w:rsidRPr="00EB3F46">
        <w:rPr>
          <w:rFonts w:ascii="Georgia" w:hAnsi="Georgia"/>
          <w:sz w:val="18"/>
          <w:szCs w:val="20"/>
          <w:rtl/>
        </w:rPr>
        <w:t>היא מסמנת את הפחד מהידרדרותו של הגוף, מאיבוד הנעורים והעצמאות, את הפחד להיות לא רלוונטי,</w:t>
      </w:r>
      <w:r w:rsidR="00A15C6E">
        <w:rPr>
          <w:rFonts w:ascii="Georgia" w:hAnsi="Georgia"/>
          <w:sz w:val="18"/>
          <w:szCs w:val="20"/>
          <w:rtl/>
        </w:rPr>
        <w:t xml:space="preserve"> </w:t>
      </w:r>
      <w:r w:rsidRPr="00EB3F46">
        <w:rPr>
          <w:rFonts w:ascii="Georgia" w:hAnsi="Georgia"/>
          <w:sz w:val="18"/>
          <w:szCs w:val="20"/>
          <w:rtl/>
        </w:rPr>
        <w:t xml:space="preserve">מודר ומורחק, ואת והפחד ממוות חברתי; </w:t>
      </w:r>
    </w:p>
    <w:p w14:paraId="4BF214DF" w14:textId="6301FE32" w:rsidR="00EB3F46" w:rsidRPr="00EB3F46" w:rsidRDefault="00EB3F46" w:rsidP="00673493">
      <w:pPr>
        <w:numPr>
          <w:ilvl w:val="0"/>
          <w:numId w:val="35"/>
        </w:numPr>
        <w:shd w:val="clear" w:color="auto" w:fill="FFFFFF"/>
        <w:spacing w:after="180" w:line="280" w:lineRule="exact"/>
        <w:ind w:left="397" w:hanging="397"/>
        <w:contextualSpacing/>
        <w:jc w:val="both"/>
        <w:rPr>
          <w:rFonts w:ascii="Georgia" w:hAnsi="Georgia"/>
          <w:sz w:val="18"/>
          <w:szCs w:val="20"/>
        </w:rPr>
      </w:pPr>
      <w:proofErr w:type="spellStart"/>
      <w:r w:rsidRPr="00EB3F46">
        <w:rPr>
          <w:rFonts w:ascii="Georgia" w:hAnsi="Georgia"/>
          <w:sz w:val="18"/>
          <w:szCs w:val="20"/>
          <w:rtl/>
        </w:rPr>
        <w:t>תנאתו</w:t>
      </w:r>
      <w:proofErr w:type="spellEnd"/>
      <w:r w:rsidRPr="00EB3F46">
        <w:rPr>
          <w:rFonts w:ascii="Georgia" w:hAnsi="Georgia"/>
          <w:sz w:val="18"/>
          <w:szCs w:val="20"/>
          <w:rtl/>
        </w:rPr>
        <w:t>-פוביה – הפחד מהמוות, המשתקף בממצאים</w:t>
      </w:r>
      <w:r w:rsidR="00A15C6E">
        <w:rPr>
          <w:rFonts w:ascii="Georgia" w:hAnsi="Georgia"/>
          <w:sz w:val="18"/>
          <w:szCs w:val="20"/>
          <w:rtl/>
        </w:rPr>
        <w:t xml:space="preserve"> </w:t>
      </w:r>
      <w:proofErr w:type="spellStart"/>
      <w:r w:rsidRPr="00EB3F46">
        <w:rPr>
          <w:rFonts w:ascii="Georgia" w:hAnsi="Georgia"/>
          <w:sz w:val="18"/>
          <w:szCs w:val="20"/>
          <w:rtl/>
        </w:rPr>
        <w:t>בתמת</w:t>
      </w:r>
      <w:proofErr w:type="spellEnd"/>
      <w:r w:rsidRPr="00EB3F46">
        <w:rPr>
          <w:rFonts w:ascii="Georgia" w:hAnsi="Georgia"/>
          <w:sz w:val="18"/>
          <w:szCs w:val="20"/>
          <w:rtl/>
        </w:rPr>
        <w:t xml:space="preserve"> התמונה. הפחד מפני המחלה התאחד עם הפחד מהמוות, המסומל בתת-המודע התרבותי </w:t>
      </w:r>
      <w:proofErr w:type="spellStart"/>
      <w:r w:rsidRPr="00EB3F46">
        <w:rPr>
          <w:rFonts w:ascii="Georgia" w:hAnsi="Georgia"/>
          <w:sz w:val="18"/>
          <w:szCs w:val="20"/>
          <w:rtl/>
        </w:rPr>
        <w:t>בזיקנה</w:t>
      </w:r>
      <w:proofErr w:type="spellEnd"/>
      <w:r w:rsidRPr="00EB3F46">
        <w:rPr>
          <w:rFonts w:ascii="Georgia" w:hAnsi="Georgia"/>
          <w:sz w:val="18"/>
          <w:szCs w:val="20"/>
          <w:rtl/>
        </w:rPr>
        <w:t xml:space="preserve"> (גמליאל, 2000, 2005; הלל-אברהם, 2013). מנגנוני האל-מוות (</w:t>
      </w:r>
      <w:r w:rsidR="00E14069" w:rsidRPr="00EB3F46">
        <w:rPr>
          <w:rFonts w:ascii="Georgia" w:hAnsi="Georgia"/>
          <w:sz w:val="18"/>
          <w:szCs w:val="20"/>
        </w:rPr>
        <w:t>i</w:t>
      </w:r>
      <w:r w:rsidRPr="00EB3F46">
        <w:rPr>
          <w:rFonts w:ascii="Georgia" w:hAnsi="Georgia"/>
          <w:sz w:val="18"/>
          <w:szCs w:val="20"/>
        </w:rPr>
        <w:t>mmortality</w:t>
      </w:r>
      <w:r w:rsidRPr="00EB3F46">
        <w:rPr>
          <w:rFonts w:ascii="Georgia" w:hAnsi="Georgia"/>
          <w:sz w:val="18"/>
          <w:szCs w:val="20"/>
          <w:rtl/>
        </w:rPr>
        <w:t xml:space="preserve">) התרבותיים והנפשיים שאדם מגייס לעצמו כדי לשכוח את היותו ארעי, מאבדים את השפעתם לנוכח מספרי המתים המדווחים יום-יום בתקשורת. ההנכחה המרומזת של אומללות בתקשורת, וגם זו המסמלת את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מתייחסות אליה כאובייקט הנושא את המוות. בכך </w:t>
      </w:r>
      <w:r w:rsidR="00E14069">
        <w:rPr>
          <w:rFonts w:ascii="Georgia" w:hAnsi="Georgia" w:hint="cs"/>
          <w:sz w:val="18"/>
          <w:szCs w:val="20"/>
          <w:rtl/>
        </w:rPr>
        <w:t xml:space="preserve">הן </w:t>
      </w:r>
      <w:r w:rsidRPr="00EB3F46">
        <w:rPr>
          <w:rFonts w:ascii="Georgia" w:hAnsi="Georgia"/>
          <w:sz w:val="18"/>
          <w:szCs w:val="20"/>
          <w:rtl/>
        </w:rPr>
        <w:t xml:space="preserve">מאשררות את החיבור התרבותי שבין מוות </w:t>
      </w:r>
      <w:proofErr w:type="spellStart"/>
      <w:r w:rsidRPr="00EB3F46">
        <w:rPr>
          <w:rFonts w:ascii="Georgia" w:hAnsi="Georgia"/>
          <w:sz w:val="18"/>
          <w:szCs w:val="20"/>
          <w:rtl/>
        </w:rPr>
        <w:t>לזיקנה</w:t>
      </w:r>
      <w:proofErr w:type="spellEnd"/>
      <w:r w:rsidRPr="00EB3F46">
        <w:rPr>
          <w:rFonts w:ascii="Georgia" w:hAnsi="Georgia"/>
          <w:sz w:val="18"/>
          <w:szCs w:val="20"/>
          <w:rtl/>
        </w:rPr>
        <w:t xml:space="preserve"> ומעמיקות את הרתיעה מן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w:t>
      </w:r>
    </w:p>
    <w:p w14:paraId="21179345" w14:textId="512B810B" w:rsidR="00EB3F46" w:rsidRPr="00EB3F46" w:rsidRDefault="00EB3F46" w:rsidP="00673493">
      <w:pPr>
        <w:numPr>
          <w:ilvl w:val="0"/>
          <w:numId w:val="35"/>
        </w:numPr>
        <w:shd w:val="clear" w:color="auto" w:fill="FFFFFF"/>
        <w:spacing w:after="180" w:line="280" w:lineRule="exact"/>
        <w:ind w:left="397" w:hanging="397"/>
        <w:jc w:val="both"/>
        <w:rPr>
          <w:rFonts w:ascii="Georgia" w:hAnsi="Georgia"/>
          <w:sz w:val="18"/>
          <w:szCs w:val="20"/>
          <w:rtl/>
        </w:rPr>
      </w:pPr>
      <w:r w:rsidRPr="00EB3F46">
        <w:rPr>
          <w:rFonts w:ascii="Georgia" w:hAnsi="Georgia"/>
          <w:sz w:val="18"/>
          <w:szCs w:val="20"/>
          <w:rtl/>
        </w:rPr>
        <w:lastRenderedPageBreak/>
        <w:t xml:space="preserve">אקו-פוביה – כפי שמראים הממצאים הקשורים לתמה של המסר, המייצגת את הפחד מהזדקנות לא פרופורציונית של אוכלוסיית העולם. הטענה המרכזית היא כי עלייה בתוחלת החיים, ולאו דווקא באיכות החיים, תביא לעלייה ניכרת במספר המבוגרים החולים במחלות </w:t>
      </w:r>
      <w:proofErr w:type="spellStart"/>
      <w:r w:rsidRPr="00EB3F46">
        <w:rPr>
          <w:rFonts w:ascii="Georgia" w:hAnsi="Georgia"/>
          <w:sz w:val="18"/>
          <w:szCs w:val="20"/>
          <w:rtl/>
        </w:rPr>
        <w:t>זיקנה</w:t>
      </w:r>
      <w:proofErr w:type="spellEnd"/>
      <w:r w:rsidRPr="00EB3F46">
        <w:rPr>
          <w:rFonts w:ascii="Georgia" w:hAnsi="Georgia"/>
          <w:sz w:val="18"/>
          <w:szCs w:val="20"/>
          <w:rtl/>
        </w:rPr>
        <w:t>, ובהתאמה, להוצאות גבוהות מאוד מתקציבי המדינה על שירותי בריאות, קרנות פנסיה ועוד (</w:t>
      </w:r>
      <w:proofErr w:type="spellStart"/>
      <w:r w:rsidRPr="00EB3F46">
        <w:rPr>
          <w:rFonts w:ascii="Georgia" w:hAnsi="Georgia"/>
          <w:sz w:val="18"/>
          <w:szCs w:val="20"/>
        </w:rPr>
        <w:t>Trojanowski</w:t>
      </w:r>
      <w:proofErr w:type="spellEnd"/>
      <w:r w:rsidRPr="00EB3F46">
        <w:rPr>
          <w:rFonts w:ascii="Georgia" w:hAnsi="Georgia"/>
          <w:sz w:val="18"/>
          <w:szCs w:val="20"/>
        </w:rPr>
        <w:t xml:space="preserve"> et al., 2005</w:t>
      </w:r>
      <w:r w:rsidRPr="00EB3F46">
        <w:rPr>
          <w:rFonts w:ascii="Georgia" w:hAnsi="Georgia"/>
          <w:sz w:val="18"/>
          <w:szCs w:val="20"/>
          <w:rtl/>
        </w:rPr>
        <w:t xml:space="preserve">). בהקשר זה מציינת דקל (2020) את המושג "מהפכה דמוגרפית" כמסמנת את תהליך הזדקנות האוכלוסייה מאז המאה ה-18, ומסבירה כיצד היא הביאה איתה מונחים </w:t>
      </w:r>
      <w:proofErr w:type="spellStart"/>
      <w:r w:rsidRPr="00EB3F46">
        <w:rPr>
          <w:rFonts w:ascii="Georgia" w:hAnsi="Georgia"/>
          <w:sz w:val="18"/>
          <w:szCs w:val="20"/>
          <w:rtl/>
        </w:rPr>
        <w:t>גילניים</w:t>
      </w:r>
      <w:proofErr w:type="spellEnd"/>
      <w:r w:rsidRPr="00EB3F46">
        <w:rPr>
          <w:rFonts w:ascii="Georgia" w:hAnsi="Georgia"/>
          <w:sz w:val="18"/>
          <w:szCs w:val="20"/>
          <w:rtl/>
        </w:rPr>
        <w:t xml:space="preserve"> והלך רוח "התופס את הזדקנות האוכלוסייה כסוג של אסון טבע, המלווה בתחושה קלה עד בינונית של פאניקה" (דקל, 2020, עמ' 18). מודי (</w:t>
      </w:r>
      <w:r w:rsidRPr="00EB3F46">
        <w:rPr>
          <w:rFonts w:ascii="Georgia" w:hAnsi="Georgia"/>
          <w:sz w:val="18"/>
          <w:szCs w:val="20"/>
        </w:rPr>
        <w:t>Moody, 2001, P. 34</w:t>
      </w:r>
      <w:r w:rsidRPr="00EB3F46">
        <w:rPr>
          <w:rFonts w:ascii="Georgia" w:hAnsi="Georgia"/>
          <w:sz w:val="18"/>
          <w:szCs w:val="20"/>
          <w:rtl/>
        </w:rPr>
        <w:t xml:space="preserve">) מנסחת סוגיה זו במונחים אקולוגיים, ומסבירה כי זנים המאריכים חיים משפיעים על האיזון האקולוגי. אנו מציעים להתבונן בהנחה הסמויה של פתרון זה: ברירה טבעית תאזן את כמות האוכלוסייה על כדור הארץ. בכך יהיה משום פתרון לאפידמיה, בד בבד עם הרגעת הפוביה מהתכלותו של כדור הארץ ומהפחד שלא יוכל להכיל את האנושות. </w:t>
      </w:r>
    </w:p>
    <w:p w14:paraId="207972E5" w14:textId="62678F0E" w:rsidR="00EB3F46" w:rsidRPr="00EB3F46" w:rsidRDefault="00EB3F46" w:rsidP="00EB3F46">
      <w:pPr>
        <w:pStyle w:val="CommentText"/>
        <w:spacing w:after="180" w:line="280" w:lineRule="exact"/>
        <w:jc w:val="both"/>
        <w:rPr>
          <w:rFonts w:ascii="Georgia" w:hAnsi="Georgia" w:cs="David"/>
          <w:sz w:val="18"/>
          <w:rtl/>
        </w:rPr>
      </w:pPr>
      <w:r w:rsidRPr="00EB3F46">
        <w:rPr>
          <w:rFonts w:ascii="Georgia" w:hAnsi="Georgia" w:cs="David"/>
          <w:sz w:val="18"/>
          <w:rtl/>
        </w:rPr>
        <w:t>לטענתנו, שתי תופעות אפשרו את ההתלכדות בין</w:t>
      </w:r>
      <w:r w:rsidR="00A15C6E">
        <w:rPr>
          <w:rFonts w:ascii="Georgia" w:hAnsi="Georgia" w:cs="David"/>
          <w:b/>
          <w:bCs/>
          <w:sz w:val="18"/>
          <w:rtl/>
        </w:rPr>
        <w:t xml:space="preserve"> </w:t>
      </w:r>
      <w:r w:rsidRPr="00EB3F46">
        <w:rPr>
          <w:rFonts w:ascii="Georgia" w:hAnsi="Georgia" w:cs="David"/>
          <w:sz w:val="18"/>
          <w:rtl/>
        </w:rPr>
        <w:t xml:space="preserve">האפידמיה העולמית לבין שלוש הפוביות שהוצגו לעיל, ואת היסחפותה של התקשורת לשיח זה: </w:t>
      </w:r>
    </w:p>
    <w:p w14:paraId="6E3970D6" w14:textId="0DFD1524" w:rsidR="00EB3F46" w:rsidRPr="00EB3F46" w:rsidRDefault="00EB3F46" w:rsidP="00673493">
      <w:pPr>
        <w:pStyle w:val="CommentText"/>
        <w:numPr>
          <w:ilvl w:val="0"/>
          <w:numId w:val="34"/>
        </w:numPr>
        <w:shd w:val="clear" w:color="auto" w:fill="FFFFFF"/>
        <w:spacing w:after="180" w:line="280" w:lineRule="exact"/>
        <w:ind w:left="397" w:hanging="397"/>
        <w:contextualSpacing/>
        <w:jc w:val="both"/>
        <w:rPr>
          <w:rFonts w:ascii="Georgia" w:hAnsi="Georgia" w:cs="David"/>
          <w:sz w:val="18"/>
          <w:rtl/>
        </w:rPr>
      </w:pPr>
      <w:r w:rsidRPr="00EB3F46">
        <w:rPr>
          <w:rFonts w:ascii="Georgia" w:hAnsi="Georgia" w:cs="David"/>
          <w:sz w:val="18"/>
          <w:rtl/>
        </w:rPr>
        <w:t>החיבור בין השיח הרפואי לשיח התקשורתי בתקופה לא שגרתית זו של מגפה עולמית הגביר את תהליך</w:t>
      </w:r>
      <w:r w:rsidR="00A15C6E">
        <w:rPr>
          <w:rFonts w:ascii="Georgia" w:hAnsi="Georgia" w:cs="David"/>
          <w:sz w:val="18"/>
          <w:rtl/>
        </w:rPr>
        <w:t xml:space="preserve"> </w:t>
      </w:r>
      <w:r w:rsidRPr="00EB3F46">
        <w:rPr>
          <w:rFonts w:ascii="Georgia" w:hAnsi="Georgia" w:cs="David"/>
          <w:sz w:val="18"/>
          <w:rtl/>
        </w:rPr>
        <w:t xml:space="preserve">המדיקליזציה של </w:t>
      </w:r>
      <w:proofErr w:type="spellStart"/>
      <w:r w:rsidRPr="00EB3F46">
        <w:rPr>
          <w:rFonts w:ascii="Georgia" w:hAnsi="Georgia" w:cs="David"/>
          <w:sz w:val="18"/>
          <w:rtl/>
        </w:rPr>
        <w:t>הזיקנה</w:t>
      </w:r>
      <w:proofErr w:type="spellEnd"/>
      <w:r w:rsidRPr="00EB3F46">
        <w:rPr>
          <w:rFonts w:ascii="Georgia" w:hAnsi="Georgia" w:cs="David"/>
          <w:sz w:val="18"/>
          <w:rtl/>
        </w:rPr>
        <w:t>, המגדיר אותה כפתולוגיה שיש לטפל בה. הלל-אברהם (2013) מראה את</w:t>
      </w:r>
      <w:r w:rsidR="00A15C6E">
        <w:rPr>
          <w:rFonts w:ascii="Georgia" w:hAnsi="Georgia" w:cs="David"/>
          <w:sz w:val="18"/>
          <w:rtl/>
        </w:rPr>
        <w:t xml:space="preserve"> </w:t>
      </w:r>
      <w:r w:rsidRPr="00EB3F46">
        <w:rPr>
          <w:rFonts w:ascii="Georgia" w:hAnsi="Georgia" w:cs="David"/>
          <w:sz w:val="18"/>
          <w:rtl/>
        </w:rPr>
        <w:t xml:space="preserve">הקשר בין שדה הרפואה לשדה התקשורת כזירה המשרישה את הדה-לגיטימציה של ההזדקנות. קשר זה השתקף בממדים שונים במהלך מגפת הקורונה, תקופה שבה </w:t>
      </w:r>
      <w:proofErr w:type="spellStart"/>
      <w:r w:rsidRPr="00EB3F46">
        <w:rPr>
          <w:rFonts w:ascii="Georgia" w:hAnsi="Georgia" w:cs="David"/>
          <w:sz w:val="18"/>
          <w:rtl/>
        </w:rPr>
        <w:t>הזיקנה</w:t>
      </w:r>
      <w:proofErr w:type="spellEnd"/>
      <w:r w:rsidRPr="00EB3F46">
        <w:rPr>
          <w:rFonts w:ascii="Georgia" w:hAnsi="Georgia" w:cs="David"/>
          <w:sz w:val="18"/>
          <w:rtl/>
        </w:rPr>
        <w:t xml:space="preserve"> היוותה פתולוגיה שהעמידה את הזקן בסיכון. בתקופתנו, השיח האפידמי-רפואי תפס מקום מרכזי בשיח התקשורתי, ועיצב את השיח ואת המדיניות גם בהקשרים אחרים דוגמת כלכלה וחינוך. לטענתנו, שיח זה הביא לנסיגה בהישגים המצומצמים והעדינים גם בהקשר של זקנים ומיקומם החברתי.</w:t>
      </w:r>
    </w:p>
    <w:p w14:paraId="2CAAC40B" w14:textId="77777777" w:rsidR="00EB3F46" w:rsidRPr="00EB3F46" w:rsidRDefault="00EB3F46" w:rsidP="00673493">
      <w:pPr>
        <w:pStyle w:val="CommentText"/>
        <w:numPr>
          <w:ilvl w:val="0"/>
          <w:numId w:val="34"/>
        </w:numPr>
        <w:shd w:val="clear" w:color="auto" w:fill="FFFFFF"/>
        <w:spacing w:after="180" w:line="280" w:lineRule="exact"/>
        <w:ind w:left="397" w:hanging="397"/>
        <w:jc w:val="both"/>
        <w:rPr>
          <w:rFonts w:ascii="Georgia" w:hAnsi="Georgia" w:cs="David"/>
          <w:sz w:val="18"/>
        </w:rPr>
      </w:pPr>
      <w:r w:rsidRPr="00EB3F46">
        <w:rPr>
          <w:rFonts w:ascii="Georgia" w:hAnsi="Georgia" w:cs="David"/>
          <w:sz w:val="18"/>
          <w:rtl/>
        </w:rPr>
        <w:t xml:space="preserve">רידוד העיסוק </w:t>
      </w:r>
      <w:proofErr w:type="spellStart"/>
      <w:r w:rsidRPr="00EB3F46">
        <w:rPr>
          <w:rFonts w:ascii="Georgia" w:hAnsi="Georgia" w:cs="David"/>
          <w:sz w:val="18"/>
          <w:rtl/>
        </w:rPr>
        <w:t>בזיקנה</w:t>
      </w:r>
      <w:proofErr w:type="spellEnd"/>
      <w:r w:rsidRPr="00EB3F46">
        <w:rPr>
          <w:rFonts w:ascii="Georgia" w:hAnsi="Georgia" w:cs="David"/>
          <w:sz w:val="18"/>
          <w:rtl/>
        </w:rPr>
        <w:t xml:space="preserve"> לשיח </w:t>
      </w:r>
      <w:proofErr w:type="spellStart"/>
      <w:r w:rsidRPr="00EB3F46">
        <w:rPr>
          <w:rFonts w:ascii="Georgia" w:hAnsi="Georgia" w:cs="David"/>
          <w:sz w:val="18"/>
          <w:rtl/>
        </w:rPr>
        <w:t>מהותני</w:t>
      </w:r>
      <w:proofErr w:type="spellEnd"/>
      <w:r w:rsidRPr="00EB3F46">
        <w:rPr>
          <w:rFonts w:ascii="Georgia" w:hAnsi="Georgia" w:cs="David"/>
          <w:sz w:val="18"/>
          <w:rtl/>
        </w:rPr>
        <w:t xml:space="preserve"> בלבד, המעקר את הממד האנושי בזקן האינדיבידואל. רידוד זה הביא להתייחסות למחלות רקע, לפתולוגיה של גיל, לסגר מוחלט ולהפרדתם של הזקנים מהמשפחה ומהקהילה הקרובה והרחוקה. בתקופה זו אף נלקחה מהם ביתר שאת הזכות לקבל החלטות על חייהם, וניתנה בידי נכדיהם וילדיהם (חזן, אצל בחור ניר, 2020, עמ' 15). </w:t>
      </w:r>
    </w:p>
    <w:p w14:paraId="2E2FAF0B" w14:textId="0D02592B" w:rsidR="00EB3F46" w:rsidRPr="00EB3F46" w:rsidRDefault="00EB3F46" w:rsidP="00EB3F46">
      <w:pPr>
        <w:pStyle w:val="CommentText"/>
        <w:shd w:val="clear" w:color="auto" w:fill="FFFFFF"/>
        <w:spacing w:after="180" w:line="280" w:lineRule="exact"/>
        <w:jc w:val="both"/>
        <w:rPr>
          <w:rFonts w:ascii="Georgia" w:hAnsi="Georgia" w:cs="David"/>
          <w:sz w:val="18"/>
          <w:rtl/>
        </w:rPr>
      </w:pPr>
      <w:r w:rsidRPr="00EB3F46">
        <w:rPr>
          <w:rFonts w:ascii="Georgia" w:hAnsi="Georgia" w:cs="David"/>
          <w:sz w:val="18"/>
          <w:rtl/>
        </w:rPr>
        <w:t xml:space="preserve">שתי התופעות הללו כרוכות זו בזו, שכן המדיקליזציה של </w:t>
      </w:r>
      <w:proofErr w:type="spellStart"/>
      <w:r w:rsidRPr="00EB3F46">
        <w:rPr>
          <w:rFonts w:ascii="Georgia" w:hAnsi="Georgia" w:cs="David"/>
          <w:sz w:val="18"/>
          <w:rtl/>
        </w:rPr>
        <w:t>הזיקנה</w:t>
      </w:r>
      <w:proofErr w:type="spellEnd"/>
      <w:r w:rsidRPr="00EB3F46">
        <w:rPr>
          <w:rFonts w:ascii="Georgia" w:hAnsi="Georgia" w:cs="David"/>
          <w:sz w:val="18"/>
          <w:rtl/>
        </w:rPr>
        <w:t xml:space="preserve"> ניזונה מן השיח </w:t>
      </w:r>
      <w:proofErr w:type="spellStart"/>
      <w:r w:rsidRPr="00EB3F46">
        <w:rPr>
          <w:rFonts w:ascii="Georgia" w:hAnsi="Georgia" w:cs="David"/>
          <w:sz w:val="18"/>
          <w:rtl/>
        </w:rPr>
        <w:t>המהותני</w:t>
      </w:r>
      <w:proofErr w:type="spellEnd"/>
      <w:r w:rsidRPr="00EB3F46">
        <w:rPr>
          <w:rFonts w:ascii="Georgia" w:hAnsi="Georgia" w:cs="David"/>
          <w:sz w:val="18"/>
          <w:rtl/>
        </w:rPr>
        <w:t xml:space="preserve"> על הזדקנות, ומזינה אותו בתורה. הייצוג של הזקנים בתקופה זו מאשרר את ההבניה של </w:t>
      </w:r>
      <w:proofErr w:type="spellStart"/>
      <w:r w:rsidRPr="00EB3F46">
        <w:rPr>
          <w:rFonts w:ascii="Georgia" w:hAnsi="Georgia" w:cs="David"/>
          <w:sz w:val="18"/>
          <w:rtl/>
        </w:rPr>
        <w:t>הזיקנה</w:t>
      </w:r>
      <w:proofErr w:type="spellEnd"/>
      <w:r w:rsidRPr="00EB3F46">
        <w:rPr>
          <w:rFonts w:ascii="Georgia" w:hAnsi="Georgia" w:cs="David"/>
          <w:sz w:val="18"/>
          <w:rtl/>
        </w:rPr>
        <w:t xml:space="preserve"> כ"אחרות" מוחלשת הנתפסת טבעית, ומסווה תפיסות והתנהגות גזעניות. הממד הפרשני של התרבות</w:t>
      </w:r>
      <w:r w:rsidR="004F723F">
        <w:rPr>
          <w:rFonts w:ascii="Georgia" w:hAnsi="Georgia" w:cs="David" w:hint="cs"/>
          <w:sz w:val="18"/>
          <w:rtl/>
        </w:rPr>
        <w:t>,</w:t>
      </w:r>
      <w:r w:rsidRPr="00EB3F46">
        <w:rPr>
          <w:rFonts w:ascii="Georgia" w:hAnsi="Georgia" w:cs="David"/>
          <w:sz w:val="18"/>
          <w:rtl/>
        </w:rPr>
        <w:t xml:space="preserve"> </w:t>
      </w:r>
      <w:r w:rsidR="004F723F">
        <w:rPr>
          <w:rFonts w:ascii="Georgia" w:hAnsi="Georgia" w:cs="David" w:hint="cs"/>
          <w:sz w:val="18"/>
          <w:rtl/>
        </w:rPr>
        <w:t>ה</w:t>
      </w:r>
      <w:r w:rsidRPr="00EB3F46">
        <w:rPr>
          <w:rFonts w:ascii="Georgia" w:hAnsi="Georgia" w:cs="David"/>
          <w:sz w:val="18"/>
          <w:rtl/>
        </w:rPr>
        <w:t>משמש ככוח היוצר סטראוטיפים</w:t>
      </w:r>
      <w:r w:rsidR="004F723F">
        <w:rPr>
          <w:rFonts w:ascii="Georgia" w:hAnsi="Georgia" w:cs="David" w:hint="cs"/>
          <w:sz w:val="18"/>
          <w:rtl/>
        </w:rPr>
        <w:t>,</w:t>
      </w:r>
      <w:r w:rsidRPr="00EB3F46">
        <w:rPr>
          <w:rFonts w:ascii="Georgia" w:hAnsi="Georgia" w:cs="David"/>
          <w:sz w:val="18"/>
          <w:rtl/>
        </w:rPr>
        <w:t xml:space="preserve"> נותר סמוי עד כדי כך שהזקנים עצמם מפנימים את הסטראוטיפים ו</w:t>
      </w:r>
      <w:r w:rsidR="004F723F">
        <w:rPr>
          <w:rFonts w:ascii="Georgia" w:hAnsi="Georgia" w:cs="David" w:hint="cs"/>
          <w:sz w:val="18"/>
          <w:rtl/>
        </w:rPr>
        <w:t xml:space="preserve">את </w:t>
      </w:r>
      <w:r w:rsidRPr="00EB3F46">
        <w:rPr>
          <w:rFonts w:ascii="Georgia" w:hAnsi="Georgia" w:cs="David"/>
          <w:sz w:val="18"/>
          <w:rtl/>
        </w:rPr>
        <w:t>הסטיגמות החברתיות המיוחסות להם</w:t>
      </w:r>
      <w:r w:rsidR="00A15C6E">
        <w:rPr>
          <w:rFonts w:ascii="Georgia" w:hAnsi="Georgia" w:cs="David"/>
          <w:sz w:val="18"/>
          <w:rtl/>
        </w:rPr>
        <w:t xml:space="preserve"> </w:t>
      </w:r>
      <w:r w:rsidRPr="00EB3F46">
        <w:rPr>
          <w:rFonts w:ascii="Georgia" w:hAnsi="Georgia" w:cs="David"/>
          <w:sz w:val="18"/>
          <w:rtl/>
        </w:rPr>
        <w:t xml:space="preserve">(חזן, 1984; </w:t>
      </w:r>
      <w:r w:rsidRPr="00EB3F46">
        <w:rPr>
          <w:rFonts w:ascii="Georgia" w:hAnsi="Georgia" w:cs="David"/>
          <w:sz w:val="18"/>
          <w:rtl/>
        </w:rPr>
        <w:lastRenderedPageBreak/>
        <w:t>קורן, 2013). טענה זו מוסברת על בסיס המודל העצמי של קולי</w:t>
      </w:r>
      <w:r w:rsidR="00A15C6E">
        <w:rPr>
          <w:rFonts w:ascii="Georgia" w:hAnsi="Georgia" w:cs="David"/>
          <w:sz w:val="18"/>
          <w:rtl/>
        </w:rPr>
        <w:t xml:space="preserve"> </w:t>
      </w:r>
      <w:r w:rsidRPr="00EB3F46">
        <w:rPr>
          <w:rFonts w:ascii="Georgia" w:hAnsi="Georgia" w:cs="David"/>
          <w:sz w:val="18"/>
          <w:rtl/>
        </w:rPr>
        <w:t>(</w:t>
      </w:r>
      <w:r w:rsidRPr="00EB3F46">
        <w:rPr>
          <w:rFonts w:ascii="Georgia" w:hAnsi="Georgia" w:cs="David"/>
          <w:sz w:val="18"/>
        </w:rPr>
        <w:t>Cooley, 1902</w:t>
      </w:r>
      <w:r w:rsidRPr="00EB3F46">
        <w:rPr>
          <w:rFonts w:ascii="Georgia" w:hAnsi="Georgia" w:cs="David"/>
          <w:sz w:val="18"/>
          <w:rtl/>
        </w:rPr>
        <w:t xml:space="preserve">), ולפיו האדם תופס את עצמו לפי האופן שבו אחרים תופסים אותו. </w:t>
      </w:r>
    </w:p>
    <w:p w14:paraId="765AF2B0" w14:textId="2E99DECD" w:rsidR="00EB3F46" w:rsidRPr="00EB3F46" w:rsidRDefault="00EB3F46" w:rsidP="002374D0">
      <w:pPr>
        <w:spacing w:after="180" w:line="280" w:lineRule="exact"/>
        <w:jc w:val="both"/>
        <w:rPr>
          <w:rFonts w:ascii="Georgia" w:hAnsi="Georgia"/>
          <w:sz w:val="18"/>
          <w:szCs w:val="20"/>
          <w:rtl/>
        </w:rPr>
      </w:pPr>
      <w:r w:rsidRPr="00EB3F46">
        <w:rPr>
          <w:rFonts w:ascii="Georgia" w:hAnsi="Georgia"/>
          <w:sz w:val="18"/>
          <w:szCs w:val="20"/>
          <w:rtl/>
        </w:rPr>
        <w:t xml:space="preserve">מכאן עולה שאלתו של חזן (1984): "כאשר החברה הסובבת מייצרת לקשיש מראותּ מְעֻווָּתוֹת </w:t>
      </w:r>
      <w:proofErr w:type="spellStart"/>
      <w:r w:rsidRPr="00EB3F46">
        <w:rPr>
          <w:rFonts w:ascii="Georgia" w:hAnsi="Georgia"/>
          <w:sz w:val="18"/>
          <w:szCs w:val="20"/>
          <w:rtl/>
        </w:rPr>
        <w:t>ומְעַוְּתוֹת</w:t>
      </w:r>
      <w:proofErr w:type="spellEnd"/>
      <w:r w:rsidRPr="00EB3F46">
        <w:rPr>
          <w:rFonts w:ascii="Georgia" w:hAnsi="Georgia"/>
          <w:sz w:val="18"/>
          <w:szCs w:val="20"/>
          <w:rtl/>
        </w:rPr>
        <w:t xml:space="preserve">, מהי התפיסה שהוא יכול ליצור לעצמו על עצמו?" (חזן, 1984, עמ' 51). הפחד מכיליון הגוף, הרתיעה מההזדקנות, מחוסר הרלוונטיות ומהמוות לא יחלפו. עלינו להיות מודעים למה שאנו מפחדים מפניו, ולכך שאנו משליכים את הפחד הזה על אוכלוסייה שלמה. בחברה שיש בה מגוון זהויות ותרבויות עלינו לאמץ את הרגישות הזאת גם בהקשרים </w:t>
      </w:r>
      <w:r w:rsidR="004F723F">
        <w:rPr>
          <w:rFonts w:ascii="Georgia" w:hAnsi="Georgia" w:hint="cs"/>
          <w:sz w:val="18"/>
          <w:szCs w:val="20"/>
          <w:rtl/>
        </w:rPr>
        <w:t xml:space="preserve">      </w:t>
      </w:r>
      <w:r w:rsidRPr="00EB3F46">
        <w:rPr>
          <w:rFonts w:ascii="Georgia" w:hAnsi="Georgia"/>
          <w:sz w:val="18"/>
          <w:szCs w:val="20"/>
          <w:rtl/>
        </w:rPr>
        <w:t>הבין-דוריים. כחוקרות, כאנשי תקשורת ו</w:t>
      </w:r>
      <w:r w:rsidR="00C15C4D">
        <w:rPr>
          <w:rFonts w:ascii="Georgia" w:hAnsi="Georgia" w:hint="cs"/>
          <w:sz w:val="18"/>
          <w:szCs w:val="20"/>
          <w:rtl/>
        </w:rPr>
        <w:t>כ</w:t>
      </w:r>
      <w:r w:rsidRPr="00EB3F46">
        <w:rPr>
          <w:rFonts w:ascii="Georgia" w:hAnsi="Georgia"/>
          <w:sz w:val="18"/>
          <w:szCs w:val="20"/>
          <w:rtl/>
        </w:rPr>
        <w:t xml:space="preserve">מעצבי מדיניות ודעת קהל, מוטלת עלינו האחריות להיות מודעים לכך, לחדד את הרגישות שלנו ושל סביבתנו, ולהחליף את ההשתקפויות בחדר המראות. </w:t>
      </w:r>
    </w:p>
    <w:p w14:paraId="1A1D44E6" w14:textId="7E004089" w:rsidR="00EB3F46" w:rsidRDefault="00EB3F46" w:rsidP="00EB3F46">
      <w:pPr>
        <w:shd w:val="clear" w:color="auto" w:fill="FFFFFF"/>
        <w:spacing w:after="180" w:line="280" w:lineRule="exact"/>
        <w:jc w:val="both"/>
        <w:rPr>
          <w:rFonts w:ascii="Georgia" w:hAnsi="Georgia"/>
          <w:sz w:val="18"/>
          <w:szCs w:val="20"/>
          <w:rtl/>
        </w:rPr>
      </w:pPr>
    </w:p>
    <w:p w14:paraId="6AB8CFB0" w14:textId="77777777" w:rsidR="004243DE" w:rsidRPr="00EB3F46" w:rsidRDefault="004243DE" w:rsidP="00EB3F46">
      <w:pPr>
        <w:shd w:val="clear" w:color="auto" w:fill="FFFFFF"/>
        <w:spacing w:after="180" w:line="280" w:lineRule="exact"/>
        <w:jc w:val="both"/>
        <w:rPr>
          <w:rFonts w:ascii="Georgia" w:hAnsi="Georgia"/>
          <w:sz w:val="18"/>
          <w:szCs w:val="20"/>
          <w:rtl/>
        </w:rPr>
      </w:pPr>
    </w:p>
    <w:p w14:paraId="6FE8E1E0" w14:textId="0F146629" w:rsidR="00EB3F46" w:rsidRPr="00DD36D3" w:rsidRDefault="00EB3F46" w:rsidP="00DD36D3">
      <w:pPr>
        <w:pStyle w:val="KOT4"/>
        <w:spacing w:after="0"/>
        <w:ind w:left="397" w:right="0" w:hanging="397"/>
        <w:rPr>
          <w:rFonts w:cs="Guttman Aharoni"/>
          <w:color w:val="2A8E8C"/>
          <w:sz w:val="32"/>
          <w:szCs w:val="32"/>
          <w:rtl/>
        </w:rPr>
      </w:pPr>
      <w:r w:rsidRPr="00DD36D3">
        <w:rPr>
          <w:rFonts w:cs="Guttman Aharoni"/>
          <w:color w:val="2A8E8C"/>
          <w:sz w:val="32"/>
          <w:szCs w:val="32"/>
          <w:rtl/>
        </w:rPr>
        <w:t>המלצות ומגבלות</w:t>
      </w:r>
    </w:p>
    <w:p w14:paraId="1E8AC940" w14:textId="77777777" w:rsidR="008A3897" w:rsidRPr="00A20B01" w:rsidRDefault="008A3897" w:rsidP="008A3897">
      <w:pPr>
        <w:keepNext/>
        <w:keepLines/>
        <w:spacing w:after="180" w:line="280" w:lineRule="exact"/>
        <w:jc w:val="both"/>
        <w:rPr>
          <w:rFonts w:ascii="Georgia" w:hAnsi="Georgia"/>
          <w:color w:val="000000"/>
          <w:sz w:val="18"/>
          <w:szCs w:val="20"/>
          <w:shd w:val="clear" w:color="auto" w:fill="FFFFFF"/>
          <w:rtl/>
        </w:rPr>
      </w:pPr>
    </w:p>
    <w:p w14:paraId="542E42AA" w14:textId="5A14EB27"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 xml:space="preserve">המלצות לפעולה </w:t>
      </w:r>
    </w:p>
    <w:p w14:paraId="0DC04A01" w14:textId="2E2375C1" w:rsidR="00EB3F46" w:rsidRPr="00EB3F46" w:rsidRDefault="00EB3F46" w:rsidP="00EB3F46">
      <w:pPr>
        <w:shd w:val="clear" w:color="auto" w:fill="FFFFFF"/>
        <w:spacing w:after="180" w:line="280" w:lineRule="exact"/>
        <w:jc w:val="both"/>
        <w:rPr>
          <w:rFonts w:ascii="Georgia" w:hAnsi="Georgia"/>
          <w:sz w:val="18"/>
          <w:szCs w:val="20"/>
          <w:rtl/>
        </w:rPr>
      </w:pPr>
      <w:r w:rsidRPr="00EB3F46">
        <w:rPr>
          <w:rFonts w:ascii="Georgia" w:hAnsi="Georgia"/>
          <w:sz w:val="18"/>
          <w:szCs w:val="20"/>
          <w:rtl/>
        </w:rPr>
        <w:t>אנו מציעים לשקף את ממצאי המחקר הנוכחי לעורכים בכלי התקשורת, ולדון בדרכים ליצירת נרטיבים אחרים. דוגמה לכך היא פרויקט של אחד מכותבי מחקר זה בדמות סדרת כתבות שהתמקדו באוכלוסייה המבוגרת לאחר הפרישה לפנסיה (</w:t>
      </w:r>
      <w:r w:rsidRPr="00EB3F46">
        <w:rPr>
          <w:rFonts w:ascii="Georgia" w:hAnsi="Georgia"/>
          <w:b/>
          <w:bCs/>
          <w:sz w:val="18"/>
          <w:szCs w:val="20"/>
          <w:rtl/>
        </w:rPr>
        <w:t>ידיעות אחרונות</w:t>
      </w:r>
      <w:r w:rsidRPr="00EB3F46">
        <w:rPr>
          <w:rFonts w:ascii="Georgia" w:hAnsi="Georgia"/>
          <w:sz w:val="18"/>
          <w:szCs w:val="20"/>
          <w:rtl/>
        </w:rPr>
        <w:t xml:space="preserve">, 2019), והובאו בה אך ורק דוגמאות למבוגרים פעילים ולאתגרים שונים המעסיקים אותם. התמונות שנבחרו שידרו עוצמה, והראו סוגיות מהותיות כמו תעסוקה, כלכלה, חיי פנאי ועוד. זאת מתוך הבנה כי בשל התקדמות הרפואה, האוכלוסייה מתבגרת ותוסיף להתבגר, ועל כן לא ניתן עוד להתייחס לגיל השלישי כאל גיל מעבר בין החיים למוות. </w:t>
      </w:r>
    </w:p>
    <w:p w14:paraId="24E3BE77" w14:textId="77777777" w:rsidR="00EB3F46" w:rsidRPr="00EB3F46" w:rsidRDefault="00EB3F46" w:rsidP="00EB3F46">
      <w:pPr>
        <w:shd w:val="clear" w:color="auto" w:fill="FFFFFF"/>
        <w:spacing w:after="180" w:line="280" w:lineRule="exact"/>
        <w:jc w:val="both"/>
        <w:rPr>
          <w:rFonts w:ascii="Georgia" w:hAnsi="Georgia"/>
          <w:b/>
          <w:bCs/>
          <w:sz w:val="18"/>
          <w:szCs w:val="20"/>
          <w:rtl/>
        </w:rPr>
      </w:pPr>
    </w:p>
    <w:p w14:paraId="500E9440" w14:textId="6F8E235D"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t xml:space="preserve">המלצות תאורטיות </w:t>
      </w:r>
    </w:p>
    <w:p w14:paraId="5A5A3DDB" w14:textId="21692A42" w:rsidR="00EB3F46" w:rsidRPr="00EB3F46" w:rsidRDefault="00EB3F46" w:rsidP="00EB3F46">
      <w:pPr>
        <w:shd w:val="clear" w:color="auto" w:fill="FFFFFF"/>
        <w:spacing w:after="180" w:line="280" w:lineRule="exact"/>
        <w:jc w:val="both"/>
        <w:rPr>
          <w:rFonts w:ascii="Georgia" w:hAnsi="Georgia"/>
          <w:sz w:val="18"/>
          <w:szCs w:val="20"/>
          <w:rtl/>
        </w:rPr>
      </w:pPr>
      <w:r w:rsidRPr="00EB3F46">
        <w:rPr>
          <w:rFonts w:ascii="Georgia" w:hAnsi="Georgia"/>
          <w:sz w:val="18"/>
          <w:szCs w:val="20"/>
          <w:rtl/>
        </w:rPr>
        <w:t xml:space="preserve">בהמשך לכך, נציע מחקר ניטור שיבדוק את התבססות הפעולה שהצענו ויבחן את השפעותיה על יצירת נרטיבים חלופיים. לאור מחקר זה וממצאיו נציע לבצע מחקר שיבדוק את עמדותיהם של זקנים כלפי השיח התקשורתי הגילני. דוגמה לעמדות כאלה הופיעה בכתבה יחידה שהתפרסמה בשיאה של מגפת הקורונה ובה שלושה פרופסורים בגיל גבורות ביטאו את ההיפוך ביחס של ילדיהם ונכדיהם כלפיהם ואת איבוד עצמאותם. מעניין להרחיב את הדיון למדגם מייצג יותר של אנשים מבוגרים. </w:t>
      </w:r>
    </w:p>
    <w:p w14:paraId="5303D5E5" w14:textId="77777777" w:rsidR="00EB3F46" w:rsidRPr="00EB3F46" w:rsidRDefault="00EB3F46" w:rsidP="00EB3F46">
      <w:pPr>
        <w:shd w:val="clear" w:color="auto" w:fill="FFFFFF"/>
        <w:spacing w:after="180" w:line="280" w:lineRule="exact"/>
        <w:jc w:val="both"/>
        <w:rPr>
          <w:rFonts w:ascii="Georgia" w:hAnsi="Georgia"/>
          <w:sz w:val="18"/>
          <w:szCs w:val="20"/>
          <w:rtl/>
        </w:rPr>
      </w:pPr>
    </w:p>
    <w:p w14:paraId="55319C24" w14:textId="3AEF8BB7" w:rsidR="00EB3F46" w:rsidRPr="008A3897" w:rsidRDefault="00EB3F46" w:rsidP="008A3897">
      <w:pPr>
        <w:pStyle w:val="KOT5"/>
        <w:spacing w:after="0"/>
        <w:ind w:right="0"/>
        <w:outlineLvl w:val="2"/>
        <w:rPr>
          <w:rFonts w:cs="Guttman Aharoni"/>
          <w:color w:val="BA2A16"/>
          <w:rtl/>
        </w:rPr>
      </w:pPr>
      <w:r w:rsidRPr="008A3897">
        <w:rPr>
          <w:rFonts w:cs="Guttman Aharoni"/>
          <w:color w:val="BA2A16"/>
          <w:rtl/>
        </w:rPr>
        <w:lastRenderedPageBreak/>
        <w:t xml:space="preserve">מגבלות המחקר </w:t>
      </w:r>
    </w:p>
    <w:p w14:paraId="6B3FE4C5" w14:textId="77777777" w:rsidR="00EB3F46" w:rsidRPr="00EB3F46" w:rsidRDefault="00EB3F46" w:rsidP="00EB3F46">
      <w:pPr>
        <w:shd w:val="clear" w:color="auto" w:fill="FFFFFF"/>
        <w:spacing w:after="180" w:line="280" w:lineRule="exact"/>
        <w:jc w:val="both"/>
        <w:rPr>
          <w:rFonts w:ascii="Georgia" w:hAnsi="Georgia"/>
          <w:sz w:val="18"/>
          <w:szCs w:val="20"/>
          <w:rtl/>
        </w:rPr>
      </w:pPr>
      <w:r w:rsidRPr="00EB3F46">
        <w:rPr>
          <w:rFonts w:ascii="Georgia" w:hAnsi="Georgia"/>
          <w:sz w:val="18"/>
          <w:szCs w:val="20"/>
          <w:rtl/>
        </w:rPr>
        <w:t>מגבלתו של המחקר שערכנו היא בניתוח הפרשני-סובייקטיבי, שלמרות השיטתיות והיקף הנתונים, עדיין מנסה לשקף תוצרי תקשורת המאופיינת ב"היעדר תחביר ומבנים דקדוקיים ברורים (אנלוגיות, ניגוד, טענה סיבתית), המייצרים עמימות, אי דיוק, נזילות ואי בהירות" (</w:t>
      </w:r>
      <w:proofErr w:type="spellStart"/>
      <w:r w:rsidRPr="00EB3F46">
        <w:rPr>
          <w:rFonts w:ascii="Georgia" w:hAnsi="Georgia"/>
          <w:sz w:val="18"/>
          <w:szCs w:val="20"/>
        </w:rPr>
        <w:t>Messaris</w:t>
      </w:r>
      <w:proofErr w:type="spellEnd"/>
      <w:r w:rsidRPr="00EB3F46">
        <w:rPr>
          <w:rFonts w:ascii="Georgia" w:hAnsi="Georgia"/>
          <w:sz w:val="18"/>
          <w:szCs w:val="20"/>
        </w:rPr>
        <w:t>, 1997</w:t>
      </w:r>
      <w:r w:rsidRPr="00EB3F46">
        <w:rPr>
          <w:rFonts w:ascii="Georgia" w:hAnsi="Georgia"/>
          <w:sz w:val="18"/>
          <w:szCs w:val="20"/>
          <w:rtl/>
        </w:rPr>
        <w:t xml:space="preserve"> אצל </w:t>
      </w:r>
      <w:proofErr w:type="spellStart"/>
      <w:r w:rsidRPr="00EB3F46">
        <w:rPr>
          <w:rFonts w:ascii="Georgia" w:hAnsi="Georgia"/>
          <w:sz w:val="18"/>
          <w:szCs w:val="20"/>
          <w:rtl/>
        </w:rPr>
        <w:t>ברטל</w:t>
      </w:r>
      <w:proofErr w:type="spellEnd"/>
      <w:r w:rsidRPr="00EB3F46">
        <w:rPr>
          <w:rFonts w:ascii="Georgia" w:hAnsi="Georgia"/>
          <w:sz w:val="18"/>
          <w:szCs w:val="20"/>
          <w:rtl/>
        </w:rPr>
        <w:t xml:space="preserve">, 2013, עמ' 142), מאפיינים </w:t>
      </w:r>
      <w:proofErr w:type="spellStart"/>
      <w:r w:rsidRPr="00EB3F46">
        <w:rPr>
          <w:rFonts w:ascii="Georgia" w:hAnsi="Georgia"/>
          <w:sz w:val="18"/>
          <w:szCs w:val="20"/>
          <w:rtl/>
        </w:rPr>
        <w:t>שמסאריס</w:t>
      </w:r>
      <w:proofErr w:type="spellEnd"/>
      <w:r w:rsidRPr="00EB3F46">
        <w:rPr>
          <w:rFonts w:ascii="Georgia" w:hAnsi="Georgia"/>
          <w:sz w:val="18"/>
          <w:szCs w:val="20"/>
          <w:rtl/>
        </w:rPr>
        <w:t xml:space="preserve"> רואה בהם דווקא חלק ממקורות כוחה בתהליך השכנוע. </w:t>
      </w:r>
    </w:p>
    <w:p w14:paraId="0D3855A7" w14:textId="77777777" w:rsidR="00EB3F46" w:rsidRPr="00EB3F46" w:rsidRDefault="00EB3F46" w:rsidP="002374D0">
      <w:pPr>
        <w:shd w:val="clear" w:color="auto" w:fill="FFFFFF"/>
        <w:spacing w:after="180" w:line="280" w:lineRule="exact"/>
        <w:jc w:val="both"/>
        <w:rPr>
          <w:rFonts w:ascii="Georgia" w:hAnsi="Georgia"/>
          <w:sz w:val="18"/>
          <w:szCs w:val="20"/>
          <w:rtl/>
        </w:rPr>
      </w:pPr>
      <w:r w:rsidRPr="00EB3F46">
        <w:rPr>
          <w:rFonts w:ascii="Georgia" w:hAnsi="Georgia"/>
          <w:sz w:val="18"/>
          <w:szCs w:val="20"/>
          <w:rtl/>
        </w:rPr>
        <w:t xml:space="preserve">כאמור לעיל, הדיון באופן הייצוג של קבוצה בטקסט תקשורתי מתייחס, בדרך כלל, לשלושה ממדים: נפח ייצוגה של הקבוצה על המרקע; איכות ייצוגה על המרקע, ומערכת יחסי הגומלין שבין חברי קבוצת הרוב לחברי קבוצת המיעוט. במחקרנו ביצענו "זום-אין" על ייצוגי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בתקופה ספציפית, ועל כן אין בו כדי לבחון את השילוב בין שלושת הממדים, שהיה עשוי לצייר תמונה מורכבת יותר ולשקף מגמה.</w:t>
      </w:r>
    </w:p>
    <w:p w14:paraId="453A935A" w14:textId="77777777" w:rsidR="00EB3F46" w:rsidRPr="00EB3F46" w:rsidRDefault="00EB3F46" w:rsidP="002374D0">
      <w:pPr>
        <w:shd w:val="clear" w:color="auto" w:fill="FFFFFF"/>
        <w:spacing w:after="180" w:line="280" w:lineRule="exact"/>
        <w:jc w:val="both"/>
        <w:rPr>
          <w:rFonts w:ascii="Georgia" w:hAnsi="Georgia"/>
          <w:sz w:val="18"/>
          <w:szCs w:val="20"/>
          <w:rtl/>
        </w:rPr>
      </w:pPr>
      <w:r w:rsidRPr="00EB3F46">
        <w:rPr>
          <w:rFonts w:ascii="Georgia" w:hAnsi="Georgia"/>
          <w:sz w:val="18"/>
          <w:szCs w:val="20"/>
          <w:rtl/>
        </w:rPr>
        <w:t xml:space="preserve">עוד מגבלה של המחקר נובעת דווקא מחוזקתו. חוזקו של המחקר הוא בהיקף הנרחב של הסיקור; חולשותיו הן ביכולתנו להעמיק בניתוח התוכן מעבר לקריטריונים שבחרנו להעמיד במחקר זה. נוסף על כך, המחקר בחן את </w:t>
      </w:r>
      <w:proofErr w:type="spellStart"/>
      <w:r w:rsidRPr="00EB3F46">
        <w:rPr>
          <w:rFonts w:ascii="Georgia" w:hAnsi="Georgia"/>
          <w:sz w:val="18"/>
          <w:szCs w:val="20"/>
          <w:rtl/>
        </w:rPr>
        <w:t>הגילנות</w:t>
      </w:r>
      <w:proofErr w:type="spellEnd"/>
      <w:r w:rsidRPr="00EB3F46">
        <w:rPr>
          <w:rFonts w:ascii="Georgia" w:hAnsi="Georgia"/>
          <w:sz w:val="18"/>
          <w:szCs w:val="20"/>
          <w:rtl/>
        </w:rPr>
        <w:t xml:space="preserve"> והיחס לאוכלוסייה המבוגרת כפי שבאו לידי ביטוי בתקשורת בתקופה המסוכנת להם ביותר בעשרות השנים האחרונות. משום כך אי אפשר בהכרח להשליך מכך על תקופות קודמות. </w:t>
      </w:r>
    </w:p>
    <w:p w14:paraId="7333B98F" w14:textId="4F047FF5" w:rsidR="00EB3F46" w:rsidRDefault="00EB3F46" w:rsidP="00EB3F46">
      <w:pPr>
        <w:shd w:val="clear" w:color="auto" w:fill="FFFFFF"/>
        <w:spacing w:after="180" w:line="280" w:lineRule="exact"/>
        <w:jc w:val="both"/>
        <w:rPr>
          <w:rFonts w:ascii="Georgia" w:hAnsi="Georgia"/>
          <w:b/>
          <w:bCs/>
          <w:sz w:val="18"/>
          <w:szCs w:val="20"/>
          <w:rtl/>
        </w:rPr>
      </w:pPr>
    </w:p>
    <w:p w14:paraId="7AADBEDB" w14:textId="77777777" w:rsidR="004243DE" w:rsidRPr="00EB3F46" w:rsidRDefault="004243DE" w:rsidP="00EB3F46">
      <w:pPr>
        <w:shd w:val="clear" w:color="auto" w:fill="FFFFFF"/>
        <w:spacing w:after="180" w:line="280" w:lineRule="exact"/>
        <w:jc w:val="both"/>
        <w:rPr>
          <w:rFonts w:ascii="Georgia" w:hAnsi="Georgia"/>
          <w:b/>
          <w:bCs/>
          <w:sz w:val="18"/>
          <w:szCs w:val="20"/>
          <w:rtl/>
        </w:rPr>
      </w:pPr>
    </w:p>
    <w:p w14:paraId="2262A94C" w14:textId="1C9FECAB" w:rsidR="00EB3F46" w:rsidRPr="00DD36D3" w:rsidRDefault="00EB3F46" w:rsidP="00DD36D3">
      <w:pPr>
        <w:pStyle w:val="KOT4"/>
        <w:spacing w:after="0"/>
        <w:ind w:left="397" w:right="0" w:hanging="397"/>
        <w:rPr>
          <w:rFonts w:cs="Guttman Aharoni"/>
          <w:color w:val="2A8E8C"/>
          <w:sz w:val="32"/>
          <w:szCs w:val="32"/>
          <w:rtl/>
        </w:rPr>
      </w:pPr>
      <w:r w:rsidRPr="00DD36D3">
        <w:rPr>
          <w:rFonts w:cs="Guttman Aharoni"/>
          <w:color w:val="2A8E8C"/>
          <w:sz w:val="32"/>
          <w:szCs w:val="32"/>
          <w:rtl/>
        </w:rPr>
        <w:t>מקורות</w:t>
      </w:r>
    </w:p>
    <w:p w14:paraId="3E05964F" w14:textId="5A86E1D8"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 xml:space="preserve">אברהם, א', פירסט, ע' ואלפנט-לפלר, נ' (2004). </w:t>
      </w:r>
      <w:r w:rsidRPr="00EB3F46">
        <w:rPr>
          <w:rFonts w:ascii="Georgia" w:hAnsi="Georgia" w:cs="David"/>
          <w:b/>
          <w:bCs/>
          <w:noProof/>
          <w:sz w:val="18"/>
          <w:szCs w:val="20"/>
          <w:rtl/>
        </w:rPr>
        <w:t>הנעדרים והנוכחים בזמן צפיית שיא: מגוון תרבותי בשידורי ערוצי הטלוויזיה המסחרית בישראל</w:t>
      </w:r>
      <w:r w:rsidRPr="00EB3F46">
        <w:rPr>
          <w:rFonts w:ascii="Georgia" w:hAnsi="Georgia" w:cs="David"/>
          <w:noProof/>
          <w:sz w:val="18"/>
          <w:szCs w:val="20"/>
          <w:rtl/>
        </w:rPr>
        <w:t>. הרשות השנייה לטלויזיה ולרדיו.</w:t>
      </w:r>
    </w:p>
    <w:p w14:paraId="77643C66" w14:textId="77777777" w:rsidR="00EB3F46" w:rsidRPr="00EB3F46" w:rsidRDefault="00EB3F46" w:rsidP="00F56BAD">
      <w:pPr>
        <w:spacing w:after="120"/>
        <w:ind w:left="397" w:hanging="397"/>
        <w:jc w:val="both"/>
        <w:rPr>
          <w:rFonts w:ascii="Georgia" w:hAnsi="Georgia"/>
          <w:sz w:val="18"/>
          <w:szCs w:val="20"/>
        </w:rPr>
      </w:pPr>
      <w:r w:rsidRPr="00EB3F46">
        <w:rPr>
          <w:rFonts w:ascii="Georgia" w:hAnsi="Georgia"/>
          <w:sz w:val="18"/>
          <w:szCs w:val="20"/>
          <w:rtl/>
        </w:rPr>
        <w:t xml:space="preserve">אוני, א' (2020, 13 בספטמבר). המודל השבדי למיגור הקורונה נכשל? בלי ששמנו לב הוא דווקא חוזר למשחק ובגדול. </w:t>
      </w:r>
      <w:r w:rsidRPr="00EB3F46">
        <w:rPr>
          <w:rFonts w:ascii="Georgia" w:hAnsi="Georgia"/>
          <w:b/>
          <w:bCs/>
          <w:sz w:val="18"/>
          <w:szCs w:val="20"/>
          <w:rtl/>
        </w:rPr>
        <w:t>גלובס</w:t>
      </w:r>
      <w:r w:rsidRPr="00EB3F46">
        <w:rPr>
          <w:rFonts w:ascii="Georgia" w:hAnsi="Georgia"/>
          <w:sz w:val="18"/>
          <w:szCs w:val="20"/>
          <w:rtl/>
        </w:rPr>
        <w:t>.</w:t>
      </w:r>
    </w:p>
    <w:p w14:paraId="5B6DFDE1"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אייל, נ׳ (1996). </w:t>
      </w:r>
      <w:r w:rsidRPr="00EB3F46">
        <w:rPr>
          <w:rFonts w:ascii="Georgia" w:hAnsi="Georgia"/>
          <w:b/>
          <w:bCs/>
          <w:noProof/>
          <w:sz w:val="18"/>
          <w:szCs w:val="20"/>
          <w:rtl/>
        </w:rPr>
        <w:t>הזמן האמיתי: החוויה האישית של הזמן</w:t>
      </w:r>
      <w:r w:rsidRPr="00EB3F46">
        <w:rPr>
          <w:rFonts w:ascii="Georgia" w:hAnsi="Georgia"/>
          <w:sz w:val="18"/>
          <w:szCs w:val="20"/>
          <w:rtl/>
        </w:rPr>
        <w:t xml:space="preserve">. אריה ניר. </w:t>
      </w:r>
    </w:p>
    <w:p w14:paraId="25B17F13"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אייל, נ׳ (1998). אני מחוג שברח מהשעון: החוויה האישית של הזמן בתקופת הזקנה. </w:t>
      </w:r>
      <w:r w:rsidRPr="00EB3F46">
        <w:rPr>
          <w:rFonts w:ascii="Georgia" w:hAnsi="Georgia"/>
          <w:b/>
          <w:bCs/>
          <w:noProof/>
          <w:sz w:val="18"/>
          <w:szCs w:val="20"/>
          <w:rtl/>
        </w:rPr>
        <w:t>גרונטולוגיה</w:t>
      </w:r>
      <w:r w:rsidRPr="00EB3F46">
        <w:rPr>
          <w:rFonts w:ascii="Georgia" w:hAnsi="Georgia"/>
          <w:sz w:val="18"/>
          <w:szCs w:val="20"/>
          <w:rtl/>
        </w:rPr>
        <w:t xml:space="preserve">, </w:t>
      </w:r>
      <w:r w:rsidRPr="00EB3F46">
        <w:rPr>
          <w:rFonts w:ascii="Georgia" w:hAnsi="Georgia"/>
          <w:b/>
          <w:bCs/>
          <w:sz w:val="18"/>
          <w:szCs w:val="20"/>
          <w:rtl/>
        </w:rPr>
        <w:t>כה</w:t>
      </w:r>
      <w:r w:rsidRPr="00EB3F46">
        <w:rPr>
          <w:rFonts w:ascii="Georgia" w:hAnsi="Georgia"/>
          <w:sz w:val="18"/>
          <w:szCs w:val="20"/>
          <w:rtl/>
        </w:rPr>
        <w:t>, 24</w:t>
      </w:r>
      <w:r w:rsidRPr="00EB3F46">
        <w:rPr>
          <w:rFonts w:ascii="Georgia" w:hAnsi="Georgia"/>
          <w:sz w:val="18"/>
          <w:szCs w:val="20"/>
          <w:shd w:val="clear" w:color="auto" w:fill="FFFFFF"/>
          <w:rtl/>
        </w:rPr>
        <w:t>–29.</w:t>
      </w:r>
    </w:p>
    <w:p w14:paraId="2564C9AE"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Pr>
      </w:pPr>
      <w:r w:rsidRPr="00EB3F46">
        <w:rPr>
          <w:rFonts w:ascii="Georgia" w:hAnsi="Georgia" w:cs="David"/>
          <w:noProof/>
          <w:sz w:val="18"/>
          <w:szCs w:val="20"/>
          <w:rtl/>
        </w:rPr>
        <w:t xml:space="preserve">איל, נ׳ (2020, 6 בספטמבר). קחו אחריות. </w:t>
      </w:r>
      <w:r w:rsidRPr="00EB3F46">
        <w:rPr>
          <w:rFonts w:ascii="Georgia" w:hAnsi="Georgia" w:cs="David"/>
          <w:b/>
          <w:bCs/>
          <w:noProof/>
          <w:sz w:val="18"/>
          <w:szCs w:val="20"/>
          <w:rtl/>
        </w:rPr>
        <w:t>ידיעות אחרונות</w:t>
      </w:r>
      <w:r w:rsidRPr="00EB3F46">
        <w:rPr>
          <w:rFonts w:ascii="Georgia" w:hAnsi="Georgia" w:cs="David"/>
          <w:noProof/>
          <w:sz w:val="18"/>
          <w:szCs w:val="20"/>
          <w:rtl/>
        </w:rPr>
        <w:t>.</w:t>
      </w:r>
    </w:p>
    <w:p w14:paraId="2699E085"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 xml:space="preserve">אלבז-אלוש, ק׳ (2020, 7 באוקטובר). הורגים אותם מבדידות ודיכאון. </w:t>
      </w:r>
      <w:r w:rsidRPr="00EB3F46">
        <w:rPr>
          <w:rFonts w:ascii="Georgia" w:hAnsi="Georgia" w:cs="David"/>
          <w:b/>
          <w:bCs/>
          <w:noProof/>
          <w:sz w:val="18"/>
          <w:szCs w:val="20"/>
          <w:rtl/>
        </w:rPr>
        <w:t>ידיעות אחרונות</w:t>
      </w:r>
      <w:r w:rsidRPr="00EB3F46">
        <w:rPr>
          <w:rFonts w:ascii="Georgia" w:hAnsi="Georgia" w:cs="David"/>
          <w:noProof/>
          <w:sz w:val="18"/>
          <w:szCs w:val="20"/>
          <w:rtl/>
        </w:rPr>
        <w:t>.</w:t>
      </w:r>
    </w:p>
    <w:p w14:paraId="78470CA7"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אלון, א׳ (2020, 26 במרץ). מי יציל את ההורים שלנו.</w:t>
      </w:r>
      <w:r w:rsidRPr="00EB3F46">
        <w:rPr>
          <w:rFonts w:ascii="Georgia" w:hAnsi="Georgia" w:cs="David"/>
          <w:b/>
          <w:bCs/>
          <w:noProof/>
          <w:sz w:val="18"/>
          <w:szCs w:val="20"/>
          <w:rtl/>
        </w:rPr>
        <w:t xml:space="preserve"> ידיעות אחרונות</w:t>
      </w:r>
      <w:r w:rsidRPr="00EB3F46">
        <w:rPr>
          <w:rFonts w:ascii="Georgia" w:hAnsi="Georgia" w:cs="David"/>
          <w:noProof/>
          <w:sz w:val="18"/>
          <w:szCs w:val="20"/>
          <w:rtl/>
        </w:rPr>
        <w:t>.</w:t>
      </w:r>
    </w:p>
    <w:p w14:paraId="58BD67AA"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shd w:val="clear" w:color="auto" w:fill="FFFFFF"/>
          <w:rtl/>
        </w:rPr>
        <w:lastRenderedPageBreak/>
        <w:t xml:space="preserve">אלון, ש׳, </w:t>
      </w:r>
      <w:proofErr w:type="spellStart"/>
      <w:r w:rsidRPr="00EB3F46">
        <w:rPr>
          <w:rFonts w:ascii="Georgia" w:hAnsi="Georgia"/>
          <w:sz w:val="18"/>
          <w:szCs w:val="20"/>
          <w:shd w:val="clear" w:color="auto" w:fill="FFFFFF"/>
          <w:rtl/>
        </w:rPr>
        <w:t>גולנדר</w:t>
      </w:r>
      <w:proofErr w:type="spellEnd"/>
      <w:r w:rsidRPr="00EB3F46">
        <w:rPr>
          <w:rFonts w:ascii="Georgia" w:hAnsi="Georgia"/>
          <w:sz w:val="18"/>
          <w:szCs w:val="20"/>
          <w:shd w:val="clear" w:color="auto" w:fill="FFFFFF"/>
          <w:rtl/>
        </w:rPr>
        <w:t xml:space="preserve">, ח׳ וכרמל, ש' (2013). השלכות </w:t>
      </w:r>
      <w:proofErr w:type="spellStart"/>
      <w:r w:rsidRPr="00EB3F46">
        <w:rPr>
          <w:rFonts w:ascii="Georgia" w:hAnsi="Georgia"/>
          <w:sz w:val="18"/>
          <w:szCs w:val="20"/>
          <w:shd w:val="clear" w:color="auto" w:fill="FFFFFF"/>
          <w:rtl/>
        </w:rPr>
        <w:t>הגילנות</w:t>
      </w:r>
      <w:proofErr w:type="spellEnd"/>
      <w:r w:rsidRPr="00EB3F46">
        <w:rPr>
          <w:rFonts w:ascii="Georgia" w:hAnsi="Georgia"/>
          <w:sz w:val="18"/>
          <w:szCs w:val="20"/>
          <w:shd w:val="clear" w:color="auto" w:fill="FFFFFF"/>
          <w:rtl/>
        </w:rPr>
        <w:t xml:space="preserve"> על הפרט המזדקן בזירה החברתית, הבריאותית והתעסוקתית. </w:t>
      </w:r>
      <w:r w:rsidRPr="00EB3F46">
        <w:rPr>
          <w:rFonts w:ascii="Georgia" w:hAnsi="Georgia"/>
          <w:sz w:val="18"/>
          <w:szCs w:val="20"/>
          <w:rtl/>
        </w:rPr>
        <w:t xml:space="preserve">בתוך י' דורון (עורך), </w:t>
      </w:r>
      <w:r w:rsidRPr="00EB3F46">
        <w:rPr>
          <w:rFonts w:ascii="Georgia" w:hAnsi="Georgia"/>
          <w:b/>
          <w:bCs/>
          <w:noProof/>
          <w:sz w:val="18"/>
          <w:szCs w:val="20"/>
          <w:rtl/>
        </w:rPr>
        <w:t>גילנות</w:t>
      </w:r>
      <w:r w:rsidRPr="00EB3F46">
        <w:rPr>
          <w:rFonts w:ascii="Georgia" w:hAnsi="Georgia"/>
          <w:b/>
          <w:bCs/>
          <w:i/>
          <w:iCs/>
          <w:sz w:val="18"/>
          <w:szCs w:val="20"/>
          <w:rtl/>
        </w:rPr>
        <w:t xml:space="preserve"> </w:t>
      </w:r>
      <w:r w:rsidRPr="00EB3F46">
        <w:rPr>
          <w:rFonts w:ascii="Georgia" w:hAnsi="Georgia"/>
          <w:b/>
          <w:bCs/>
          <w:noProof/>
          <w:sz w:val="18"/>
          <w:szCs w:val="20"/>
          <w:rtl/>
        </w:rPr>
        <w:t>בחברה הישראלית: הבניה חברתית של הזקנה בישראל (</w:t>
      </w:r>
      <w:r w:rsidRPr="00EB3F46">
        <w:rPr>
          <w:rFonts w:ascii="Georgia" w:hAnsi="Georgia"/>
          <w:sz w:val="18"/>
          <w:szCs w:val="20"/>
          <w:rtl/>
        </w:rPr>
        <w:t>עמ' 67–96).</w:t>
      </w:r>
      <w:r w:rsidRPr="00EB3F46">
        <w:rPr>
          <w:rFonts w:ascii="Georgia" w:hAnsi="Georgia"/>
          <w:b/>
          <w:bCs/>
          <w:sz w:val="18"/>
          <w:szCs w:val="20"/>
          <w:rtl/>
        </w:rPr>
        <w:t xml:space="preserve"> </w:t>
      </w:r>
      <w:r w:rsidRPr="00EB3F46">
        <w:rPr>
          <w:rFonts w:ascii="Georgia" w:hAnsi="Georgia"/>
          <w:sz w:val="18"/>
          <w:szCs w:val="20"/>
          <w:rtl/>
        </w:rPr>
        <w:t xml:space="preserve">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753ECE7B" w14:textId="77777777" w:rsidR="00EB3F46" w:rsidRPr="00EB3F46" w:rsidRDefault="00EB3F46" w:rsidP="00F56BAD">
      <w:pPr>
        <w:spacing w:after="120"/>
        <w:ind w:left="397" w:hanging="397"/>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אפלר-חטאב</w:t>
      </w:r>
      <w:proofErr w:type="spellEnd"/>
      <w:r w:rsidRPr="00EB3F46">
        <w:rPr>
          <w:rFonts w:ascii="Georgia" w:hAnsi="Georgia"/>
          <w:sz w:val="18"/>
          <w:szCs w:val="20"/>
          <w:shd w:val="clear" w:color="auto" w:fill="FFFFFF"/>
          <w:rtl/>
        </w:rPr>
        <w:t>, ר׳ (2020, 20 בינואר). מהו מקום עבודה "</w:t>
      </w:r>
      <w:r w:rsidRPr="00EB3F46">
        <w:rPr>
          <w:rFonts w:ascii="Georgia" w:hAnsi="Georgia"/>
          <w:sz w:val="18"/>
          <w:szCs w:val="20"/>
          <w:shd w:val="clear" w:color="auto" w:fill="FFFFFF"/>
        </w:rPr>
        <w:t>Age Friendly</w:t>
      </w:r>
      <w:r w:rsidRPr="00EB3F46">
        <w:rPr>
          <w:rFonts w:ascii="Georgia" w:hAnsi="Georgia"/>
          <w:sz w:val="18"/>
          <w:szCs w:val="20"/>
          <w:shd w:val="clear" w:color="auto" w:fill="FFFFFF"/>
          <w:rtl/>
        </w:rPr>
        <w:t xml:space="preserve">" וכיצד תזהו אותו. </w:t>
      </w:r>
      <w:r w:rsidRPr="00EB3F46">
        <w:rPr>
          <w:rFonts w:ascii="Georgia" w:hAnsi="Georgia"/>
          <w:b/>
          <w:bCs/>
          <w:noProof/>
          <w:sz w:val="18"/>
          <w:szCs w:val="20"/>
          <w:rtl/>
        </w:rPr>
        <w:t>דורות</w:t>
      </w:r>
      <w:r w:rsidRPr="00EB3F46">
        <w:rPr>
          <w:rFonts w:ascii="Georgia" w:hAnsi="Georgia"/>
          <w:i/>
          <w:iCs/>
          <w:sz w:val="18"/>
          <w:szCs w:val="20"/>
          <w:shd w:val="clear" w:color="auto" w:fill="FFFFFF"/>
          <w:rtl/>
        </w:rPr>
        <w:t xml:space="preserve">. </w:t>
      </w:r>
    </w:p>
    <w:p w14:paraId="058429D7" w14:textId="77777777" w:rsidR="00EB3F46" w:rsidRPr="00EB3F46" w:rsidRDefault="00EB3F46" w:rsidP="00F56BAD">
      <w:pPr>
        <w:spacing w:after="120"/>
        <w:ind w:left="397" w:hanging="397"/>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בארת</w:t>
      </w:r>
      <w:proofErr w:type="spellEnd"/>
      <w:r w:rsidRPr="00EB3F46">
        <w:rPr>
          <w:rFonts w:ascii="Georgia" w:hAnsi="Georgia"/>
          <w:sz w:val="18"/>
          <w:szCs w:val="20"/>
          <w:shd w:val="clear" w:color="auto" w:fill="FFFFFF"/>
          <w:rtl/>
        </w:rPr>
        <w:t xml:space="preserve">, ר׳ (1998) [1957]. </w:t>
      </w:r>
      <w:r w:rsidRPr="00EB3F46">
        <w:rPr>
          <w:rFonts w:ascii="Georgia" w:hAnsi="Georgia"/>
          <w:b/>
          <w:bCs/>
          <w:noProof/>
          <w:sz w:val="18"/>
          <w:szCs w:val="20"/>
          <w:rtl/>
        </w:rPr>
        <w:t xml:space="preserve">מיתולוגיות </w:t>
      </w:r>
      <w:r w:rsidRPr="00EB3F46">
        <w:rPr>
          <w:rFonts w:ascii="Georgia" w:hAnsi="Georgia"/>
          <w:noProof/>
          <w:sz w:val="18"/>
          <w:szCs w:val="20"/>
          <w:rtl/>
        </w:rPr>
        <w:t>(תרגום:</w:t>
      </w:r>
      <w:r w:rsidRPr="00EB3F46">
        <w:rPr>
          <w:rFonts w:ascii="Georgia" w:hAnsi="Georgia"/>
          <w:sz w:val="18"/>
          <w:szCs w:val="20"/>
          <w:shd w:val="clear" w:color="auto" w:fill="FFFFFF"/>
          <w:rtl/>
        </w:rPr>
        <w:t xml:space="preserve"> עידו </w:t>
      </w:r>
      <w:proofErr w:type="spellStart"/>
      <w:r w:rsidRPr="00EB3F46">
        <w:rPr>
          <w:rFonts w:ascii="Georgia" w:hAnsi="Georgia"/>
          <w:sz w:val="18"/>
          <w:szCs w:val="20"/>
          <w:shd w:val="clear" w:color="auto" w:fill="FFFFFF"/>
          <w:rtl/>
        </w:rPr>
        <w:t>בסוק</w:t>
      </w:r>
      <w:proofErr w:type="spellEnd"/>
      <w:r w:rsidRPr="00EB3F46">
        <w:rPr>
          <w:rFonts w:ascii="Georgia" w:hAnsi="Georgia"/>
          <w:sz w:val="18"/>
          <w:szCs w:val="20"/>
          <w:shd w:val="clear" w:color="auto" w:fill="FFFFFF"/>
          <w:rtl/>
        </w:rPr>
        <w:t xml:space="preserve">). בבל. </w:t>
      </w:r>
    </w:p>
    <w:p w14:paraId="3A45D8F9"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shd w:val="clear" w:color="auto" w:fill="FFFFFF"/>
          <w:rtl/>
        </w:rPr>
        <w:t>בארת</w:t>
      </w:r>
      <w:proofErr w:type="spellEnd"/>
      <w:r w:rsidRPr="00EB3F46">
        <w:rPr>
          <w:rFonts w:ascii="Georgia" w:hAnsi="Georgia"/>
          <w:sz w:val="18"/>
          <w:szCs w:val="20"/>
          <w:shd w:val="clear" w:color="auto" w:fill="FFFFFF"/>
          <w:rtl/>
        </w:rPr>
        <w:t xml:space="preserve">, ר׳ (2002). </w:t>
      </w:r>
      <w:r w:rsidRPr="00EB3F46">
        <w:rPr>
          <w:rFonts w:ascii="Georgia" w:hAnsi="Georgia"/>
          <w:noProof/>
          <w:sz w:val="18"/>
          <w:szCs w:val="20"/>
          <w:rtl/>
        </w:rPr>
        <w:t>רטוריקה של הדימוי.</w:t>
      </w:r>
      <w:r w:rsidRPr="00EB3F46">
        <w:rPr>
          <w:rFonts w:ascii="Georgia" w:hAnsi="Georgia"/>
          <w:sz w:val="18"/>
          <w:szCs w:val="20"/>
          <w:shd w:val="clear" w:color="auto" w:fill="FFFFFF"/>
          <w:rtl/>
        </w:rPr>
        <w:t xml:space="preserve"> בתוך </w:t>
      </w:r>
      <w:r w:rsidRPr="00EB3F46">
        <w:rPr>
          <w:rFonts w:ascii="Georgia" w:hAnsi="Georgia"/>
          <w:sz w:val="18"/>
          <w:szCs w:val="20"/>
          <w:rtl/>
        </w:rPr>
        <w:t xml:space="preserve">ת׳ </w:t>
      </w:r>
      <w:proofErr w:type="spellStart"/>
      <w:r w:rsidRPr="00EB3F46">
        <w:rPr>
          <w:rFonts w:ascii="Georgia" w:hAnsi="Georgia"/>
          <w:sz w:val="18"/>
          <w:szCs w:val="20"/>
          <w:rtl/>
        </w:rPr>
        <w:t>ליבס</w:t>
      </w:r>
      <w:proofErr w:type="spellEnd"/>
      <w:r w:rsidRPr="00EB3F46">
        <w:rPr>
          <w:rFonts w:ascii="Georgia" w:hAnsi="Georgia"/>
          <w:sz w:val="18"/>
          <w:szCs w:val="20"/>
          <w:rtl/>
        </w:rPr>
        <w:t xml:space="preserve"> ומ' </w:t>
      </w:r>
      <w:proofErr w:type="spellStart"/>
      <w:r w:rsidRPr="00EB3F46">
        <w:rPr>
          <w:rFonts w:ascii="Georgia" w:hAnsi="Georgia"/>
          <w:sz w:val="18"/>
          <w:szCs w:val="20"/>
          <w:rtl/>
        </w:rPr>
        <w:t>טלמון</w:t>
      </w:r>
      <w:proofErr w:type="spellEnd"/>
      <w:r w:rsidRPr="00EB3F46">
        <w:rPr>
          <w:rFonts w:ascii="Georgia" w:hAnsi="Georgia"/>
          <w:sz w:val="18"/>
          <w:szCs w:val="20"/>
          <w:rtl/>
        </w:rPr>
        <w:t xml:space="preserve"> (עורכות), </w:t>
      </w:r>
      <w:r w:rsidRPr="00EB3F46">
        <w:rPr>
          <w:rFonts w:ascii="Georgia" w:hAnsi="Georgia"/>
          <w:b/>
          <w:bCs/>
          <w:noProof/>
          <w:sz w:val="18"/>
          <w:szCs w:val="20"/>
          <w:rtl/>
        </w:rPr>
        <w:t>תקשורת כתרבות: מקראה</w:t>
      </w:r>
      <w:r w:rsidRPr="00EB3F46">
        <w:rPr>
          <w:rFonts w:ascii="Georgia" w:hAnsi="Georgia"/>
          <w:sz w:val="18"/>
          <w:szCs w:val="20"/>
          <w:rtl/>
        </w:rPr>
        <w:t xml:space="preserve"> (כרך א, עמ' 259–271). האוניברסיטה הפתוחה.</w:t>
      </w:r>
      <w:r w:rsidRPr="00EB3F46">
        <w:rPr>
          <w:rFonts w:ascii="Georgia" w:hAnsi="Georgia"/>
          <w:sz w:val="18"/>
          <w:szCs w:val="20"/>
          <w:shd w:val="clear" w:color="auto" w:fill="FFFFFF"/>
          <w:rtl/>
        </w:rPr>
        <w:t xml:space="preserve"> </w:t>
      </w:r>
    </w:p>
    <w:p w14:paraId="24A1A751"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בודנר</w:t>
      </w:r>
      <w:proofErr w:type="spellEnd"/>
      <w:r w:rsidRPr="00EB3F46">
        <w:rPr>
          <w:rFonts w:ascii="Georgia" w:hAnsi="Georgia"/>
          <w:sz w:val="18"/>
          <w:szCs w:val="20"/>
          <w:rtl/>
        </w:rPr>
        <w:t xml:space="preserve">, א׳ (2013). רכיבי עמדות </w:t>
      </w:r>
      <w:proofErr w:type="spellStart"/>
      <w:r w:rsidRPr="00EB3F46">
        <w:rPr>
          <w:rFonts w:ascii="Georgia" w:hAnsi="Georgia"/>
          <w:sz w:val="18"/>
          <w:szCs w:val="20"/>
          <w:rtl/>
        </w:rPr>
        <w:t>גילניות</w:t>
      </w:r>
      <w:proofErr w:type="spellEnd"/>
      <w:r w:rsidRPr="00EB3F46">
        <w:rPr>
          <w:rFonts w:ascii="Georgia" w:hAnsi="Georgia"/>
          <w:sz w:val="18"/>
          <w:szCs w:val="20"/>
          <w:rtl/>
        </w:rPr>
        <w:t xml:space="preserve"> בקרב צעירים בישראל והקשר למשתני גיל, מגדר ודתיות. בתוך י' דורון (עורך), </w:t>
      </w:r>
      <w:r w:rsidRPr="00EB3F46">
        <w:rPr>
          <w:rFonts w:ascii="Georgia" w:hAnsi="Georgia"/>
          <w:b/>
          <w:bCs/>
          <w:noProof/>
          <w:sz w:val="18"/>
          <w:szCs w:val="20"/>
          <w:rtl/>
        </w:rPr>
        <w:t>גילנות בחברה הישראלית: הבניה חברתית של הזקנה בישראל</w:t>
      </w:r>
      <w:r w:rsidRPr="00EB3F46">
        <w:rPr>
          <w:rFonts w:ascii="Georgia" w:hAnsi="Georgia"/>
          <w:sz w:val="18"/>
          <w:szCs w:val="20"/>
          <w:rtl/>
        </w:rPr>
        <w:t xml:space="preserve"> (עמ' 132–152)</w:t>
      </w:r>
      <w:r w:rsidRPr="00EB3F46">
        <w:rPr>
          <w:rFonts w:ascii="Georgia" w:hAnsi="Georgia"/>
          <w:i/>
          <w:iCs/>
          <w:sz w:val="18"/>
          <w:szCs w:val="20"/>
          <w:rtl/>
        </w:rPr>
        <w:t xml:space="preserve"> </w:t>
      </w:r>
      <w:r w:rsidRPr="00EB3F46">
        <w:rPr>
          <w:rFonts w:ascii="Georgia" w:hAnsi="Georgia"/>
          <w:sz w:val="18"/>
          <w:szCs w:val="20"/>
          <w:rtl/>
        </w:rPr>
        <w:t xml:space="preserve">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689CA69D"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בחור ניר, ד' (2020, 4 ביוני). פתאום אנחנו הסוהרים של ההורים. </w:t>
      </w:r>
      <w:r w:rsidRPr="00EB3F46">
        <w:rPr>
          <w:rFonts w:ascii="Georgia" w:hAnsi="Georgia"/>
          <w:b/>
          <w:bCs/>
          <w:noProof/>
          <w:sz w:val="18"/>
          <w:szCs w:val="20"/>
          <w:rtl/>
        </w:rPr>
        <w:t>מוסף כלכליסט</w:t>
      </w:r>
      <w:r w:rsidRPr="00EB3F46">
        <w:rPr>
          <w:rFonts w:ascii="Georgia" w:hAnsi="Georgia"/>
          <w:sz w:val="18"/>
          <w:szCs w:val="20"/>
          <w:rtl/>
        </w:rPr>
        <w:t>.</w:t>
      </w:r>
    </w:p>
    <w:p w14:paraId="5CB0CD38"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בלובשטיין</w:t>
      </w:r>
      <w:proofErr w:type="spellEnd"/>
      <w:r w:rsidRPr="00EB3F46">
        <w:rPr>
          <w:rFonts w:ascii="Georgia" w:hAnsi="Georgia"/>
          <w:sz w:val="18"/>
          <w:szCs w:val="20"/>
          <w:rtl/>
        </w:rPr>
        <w:t xml:space="preserve">, ע׳ (2018). בין הזדקנות מוצלחת להזדקנות קשובה: הרהורים וערעורים בעקבות הגל השני בפסיכולוגיה חיובית. </w:t>
      </w:r>
      <w:r w:rsidRPr="00EB3F46">
        <w:rPr>
          <w:rFonts w:ascii="Georgia" w:hAnsi="Georgia"/>
          <w:b/>
          <w:bCs/>
          <w:noProof/>
          <w:sz w:val="18"/>
          <w:szCs w:val="20"/>
          <w:rtl/>
        </w:rPr>
        <w:t>מכון הרצג לחקר ההזדקנות והזיקנה</w:t>
      </w:r>
      <w:r w:rsidRPr="00EB3F46">
        <w:rPr>
          <w:rFonts w:ascii="Georgia" w:hAnsi="Georgia"/>
          <w:noProof/>
          <w:sz w:val="18"/>
          <w:szCs w:val="20"/>
          <w:rtl/>
        </w:rPr>
        <w:t>,</w:t>
      </w:r>
      <w:r w:rsidRPr="00EB3F46">
        <w:rPr>
          <w:rFonts w:ascii="Georgia" w:hAnsi="Georgia"/>
          <w:sz w:val="18"/>
          <w:szCs w:val="20"/>
          <w:rtl/>
        </w:rPr>
        <w:t xml:space="preserve"> </w:t>
      </w:r>
      <w:r w:rsidRPr="00EB3F46">
        <w:rPr>
          <w:rFonts w:ascii="Georgia" w:hAnsi="Georgia"/>
          <w:b/>
          <w:bCs/>
          <w:sz w:val="18"/>
          <w:szCs w:val="20"/>
          <w:rtl/>
        </w:rPr>
        <w:t>18</w:t>
      </w:r>
      <w:r w:rsidRPr="00EB3F46">
        <w:rPr>
          <w:rFonts w:ascii="Georgia" w:hAnsi="Georgia"/>
          <w:sz w:val="18"/>
          <w:szCs w:val="20"/>
          <w:rtl/>
        </w:rPr>
        <w:t>, 4–8.</w:t>
      </w:r>
    </w:p>
    <w:p w14:paraId="05BDC4AC"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בן ישראל, ר׳ ובן ישראל, ג׳ (2002). אזרחים ותיקים: כבוד חברתי, מעמד והתארגנות ייצוגית. </w:t>
      </w:r>
      <w:r w:rsidRPr="00EB3F46">
        <w:rPr>
          <w:rFonts w:ascii="Georgia" w:hAnsi="Georgia"/>
          <w:b/>
          <w:bCs/>
          <w:noProof/>
          <w:sz w:val="18"/>
          <w:szCs w:val="20"/>
          <w:rtl/>
        </w:rPr>
        <w:t>עבודה, חברה ומשפט</w:t>
      </w:r>
      <w:r w:rsidRPr="00EB3F46">
        <w:rPr>
          <w:rFonts w:ascii="Georgia" w:hAnsi="Georgia"/>
          <w:sz w:val="18"/>
          <w:szCs w:val="20"/>
          <w:shd w:val="clear" w:color="auto" w:fill="FFFFFF"/>
          <w:rtl/>
        </w:rPr>
        <w:t xml:space="preserve">, </w:t>
      </w:r>
      <w:r w:rsidRPr="00EB3F46">
        <w:rPr>
          <w:rFonts w:ascii="Georgia" w:hAnsi="Georgia"/>
          <w:b/>
          <w:bCs/>
          <w:sz w:val="18"/>
          <w:szCs w:val="20"/>
          <w:shd w:val="clear" w:color="auto" w:fill="FFFFFF"/>
          <w:rtl/>
        </w:rPr>
        <w:t>ט</w:t>
      </w:r>
      <w:r w:rsidRPr="00EB3F46">
        <w:rPr>
          <w:rFonts w:ascii="Georgia" w:hAnsi="Georgia"/>
          <w:sz w:val="18"/>
          <w:szCs w:val="20"/>
          <w:shd w:val="clear" w:color="auto" w:fill="FFFFFF"/>
          <w:rtl/>
        </w:rPr>
        <w:t xml:space="preserve">, 229–269. </w:t>
      </w:r>
    </w:p>
    <w:p w14:paraId="5C2EC077" w14:textId="77777777" w:rsidR="00EB3F46" w:rsidRPr="00EB3F46" w:rsidRDefault="00EB3F46" w:rsidP="00F56BAD">
      <w:pPr>
        <w:spacing w:after="120"/>
        <w:ind w:left="397" w:hanging="397"/>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ברודסקי</w:t>
      </w:r>
      <w:proofErr w:type="spellEnd"/>
      <w:r w:rsidRPr="00EB3F46">
        <w:rPr>
          <w:rFonts w:ascii="Georgia" w:hAnsi="Georgia"/>
          <w:sz w:val="18"/>
          <w:szCs w:val="20"/>
          <w:shd w:val="clear" w:color="auto" w:fill="FFFFFF"/>
          <w:rtl/>
        </w:rPr>
        <w:t xml:space="preserve">, ג׳, שנור, י׳ ובאר, ש׳ (2010). </w:t>
      </w:r>
      <w:r w:rsidRPr="00EB3F46">
        <w:rPr>
          <w:rFonts w:ascii="Georgia" w:hAnsi="Georgia"/>
          <w:b/>
          <w:bCs/>
          <w:noProof/>
          <w:sz w:val="18"/>
          <w:szCs w:val="20"/>
          <w:rtl/>
        </w:rPr>
        <w:t>קשישים בישראל: שנתון סטטיסטי</w:t>
      </w:r>
      <w:r w:rsidRPr="00EB3F46">
        <w:rPr>
          <w:rFonts w:ascii="Georgia" w:hAnsi="Georgia"/>
          <w:sz w:val="18"/>
          <w:szCs w:val="20"/>
          <w:shd w:val="clear" w:color="auto" w:fill="FFFFFF"/>
          <w:rtl/>
        </w:rPr>
        <w:t xml:space="preserve"> </w:t>
      </w:r>
      <w:r w:rsidRPr="00EB3F46">
        <w:rPr>
          <w:rFonts w:ascii="Georgia" w:hAnsi="Georgia"/>
          <w:b/>
          <w:bCs/>
          <w:sz w:val="18"/>
          <w:szCs w:val="20"/>
          <w:shd w:val="clear" w:color="auto" w:fill="FFFFFF"/>
          <w:rtl/>
        </w:rPr>
        <w:t>2009</w:t>
      </w:r>
      <w:r w:rsidRPr="00EB3F46">
        <w:rPr>
          <w:rFonts w:ascii="Georgia" w:hAnsi="Georgia"/>
          <w:sz w:val="18"/>
          <w:szCs w:val="20"/>
          <w:shd w:val="clear" w:color="auto" w:fill="FFFFFF"/>
          <w:rtl/>
        </w:rPr>
        <w:t xml:space="preserve">. </w:t>
      </w:r>
      <w:proofErr w:type="spellStart"/>
      <w:r w:rsidRPr="00EB3F46">
        <w:rPr>
          <w:rFonts w:ascii="Georgia" w:hAnsi="Georgia"/>
          <w:sz w:val="18"/>
          <w:szCs w:val="20"/>
          <w:shd w:val="clear" w:color="auto" w:fill="FFFFFF"/>
          <w:rtl/>
        </w:rPr>
        <w:t>מאיירס</w:t>
      </w:r>
      <w:proofErr w:type="spellEnd"/>
      <w:r w:rsidRPr="00EB3F46">
        <w:rPr>
          <w:rFonts w:ascii="Georgia" w:hAnsi="Georgia"/>
          <w:sz w:val="18"/>
          <w:szCs w:val="20"/>
          <w:shd w:val="clear" w:color="auto" w:fill="FFFFFF"/>
          <w:rtl/>
        </w:rPr>
        <w:t>-ג'וינט-</w:t>
      </w:r>
      <w:proofErr w:type="spellStart"/>
      <w:r w:rsidRPr="00EB3F46">
        <w:rPr>
          <w:rFonts w:ascii="Georgia" w:hAnsi="Georgia"/>
          <w:sz w:val="18"/>
          <w:szCs w:val="20"/>
          <w:shd w:val="clear" w:color="auto" w:fill="FFFFFF"/>
          <w:rtl/>
        </w:rPr>
        <w:t>ברוקדייל</w:t>
      </w:r>
      <w:proofErr w:type="spellEnd"/>
      <w:r w:rsidRPr="00EB3F46">
        <w:rPr>
          <w:rFonts w:ascii="Georgia" w:hAnsi="Georgia"/>
          <w:sz w:val="18"/>
          <w:szCs w:val="20"/>
          <w:shd w:val="clear" w:color="auto" w:fill="FFFFFF"/>
          <w:rtl/>
        </w:rPr>
        <w:t xml:space="preserve">. </w:t>
      </w:r>
    </w:p>
    <w:p w14:paraId="089A8819"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shd w:val="clear" w:color="auto" w:fill="FFFFFF"/>
          <w:rtl/>
        </w:rPr>
        <w:t xml:space="preserve">בר-טור, ל׳ (2005). </w:t>
      </w:r>
      <w:r w:rsidRPr="00EB3F46">
        <w:rPr>
          <w:rFonts w:ascii="Georgia" w:hAnsi="Georgia"/>
          <w:b/>
          <w:bCs/>
          <w:sz w:val="18"/>
          <w:szCs w:val="20"/>
          <w:rtl/>
        </w:rPr>
        <w:t>האתגר שבהזדקנות: בריאות נפשית, הערכה וטיפול</w:t>
      </w:r>
      <w:r w:rsidRPr="00EB3F46">
        <w:rPr>
          <w:rFonts w:ascii="Georgia" w:hAnsi="Georgia"/>
          <w:sz w:val="18"/>
          <w:szCs w:val="20"/>
          <w:rtl/>
        </w:rPr>
        <w:t>. ג'וינט ישראל.</w:t>
      </w:r>
    </w:p>
    <w:p w14:paraId="2B63EC05" w14:textId="77777777" w:rsidR="00EB3F46" w:rsidRPr="00EB3F46" w:rsidRDefault="00EB3F46" w:rsidP="00F56BAD">
      <w:pPr>
        <w:spacing w:after="120"/>
        <w:ind w:left="397" w:hanging="397"/>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ברטל</w:t>
      </w:r>
      <w:proofErr w:type="spellEnd"/>
      <w:r w:rsidRPr="00EB3F46">
        <w:rPr>
          <w:rFonts w:ascii="Georgia" w:hAnsi="Georgia"/>
          <w:sz w:val="18"/>
          <w:szCs w:val="20"/>
          <w:shd w:val="clear" w:color="auto" w:fill="FFFFFF"/>
          <w:rtl/>
        </w:rPr>
        <w:t xml:space="preserve">, א׳ (2013). סיפורה של כרזת פרסומת יפנית: מתודולוגיה אינטגרטיבית לחקר הדימוי בפרסום. בתוך ד' אריאלי הורביץ, א' </w:t>
      </w:r>
      <w:proofErr w:type="spellStart"/>
      <w:r w:rsidRPr="00EB3F46">
        <w:rPr>
          <w:rFonts w:ascii="Georgia" w:hAnsi="Georgia"/>
          <w:sz w:val="18"/>
          <w:szCs w:val="20"/>
          <w:shd w:val="clear" w:color="auto" w:fill="FFFFFF"/>
          <w:rtl/>
        </w:rPr>
        <w:t>ברטל</w:t>
      </w:r>
      <w:proofErr w:type="spellEnd"/>
      <w:r w:rsidRPr="00EB3F46">
        <w:rPr>
          <w:rFonts w:ascii="Georgia" w:hAnsi="Georgia"/>
          <w:sz w:val="18"/>
          <w:szCs w:val="20"/>
          <w:shd w:val="clear" w:color="auto" w:fill="FFFFFF"/>
          <w:rtl/>
        </w:rPr>
        <w:t xml:space="preserve"> ונ' מאירי-דן (עורכים), </w:t>
      </w:r>
      <w:proofErr w:type="spellStart"/>
      <w:r w:rsidRPr="00EB3F46">
        <w:rPr>
          <w:rFonts w:ascii="Georgia" w:hAnsi="Georgia"/>
          <w:b/>
          <w:bCs/>
          <w:sz w:val="18"/>
          <w:szCs w:val="20"/>
          <w:shd w:val="clear" w:color="auto" w:fill="FFFFFF"/>
          <w:rtl/>
        </w:rPr>
        <w:t>פרוטוקולאז</w:t>
      </w:r>
      <w:proofErr w:type="spellEnd"/>
      <w:r w:rsidRPr="00EB3F46">
        <w:rPr>
          <w:rFonts w:ascii="Georgia" w:hAnsi="Georgia"/>
          <w:b/>
          <w:bCs/>
          <w:sz w:val="18"/>
          <w:szCs w:val="20"/>
          <w:shd w:val="clear" w:color="auto" w:fill="FFFFFF"/>
          <w:rtl/>
        </w:rPr>
        <w:t xml:space="preserve">' כותבים חזותית: מתודולוגיות בחקר התרבות החזותית </w:t>
      </w:r>
      <w:r w:rsidRPr="00EB3F46">
        <w:rPr>
          <w:rFonts w:ascii="Georgia" w:hAnsi="Georgia"/>
          <w:sz w:val="18"/>
          <w:szCs w:val="20"/>
          <w:shd w:val="clear" w:color="auto" w:fill="FFFFFF"/>
          <w:rtl/>
        </w:rPr>
        <w:t xml:space="preserve">(עמ' 134–160). רסלינג. </w:t>
      </w:r>
    </w:p>
    <w:p w14:paraId="3362337D"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בריל, ש', חזן, ח', כהן-</w:t>
      </w:r>
      <w:proofErr w:type="spellStart"/>
      <w:r w:rsidRPr="00EB3F46">
        <w:rPr>
          <w:rFonts w:ascii="Georgia" w:hAnsi="Georgia"/>
          <w:sz w:val="18"/>
          <w:szCs w:val="20"/>
          <w:rtl/>
        </w:rPr>
        <w:t>מנספילד</w:t>
      </w:r>
      <w:proofErr w:type="spellEnd"/>
      <w:r w:rsidRPr="00EB3F46">
        <w:rPr>
          <w:rFonts w:ascii="Georgia" w:hAnsi="Georgia"/>
          <w:sz w:val="18"/>
          <w:szCs w:val="20"/>
          <w:rtl/>
        </w:rPr>
        <w:t xml:space="preserve">, י' ולביא, ש' (2020). </w:t>
      </w:r>
      <w:r w:rsidRPr="00EB3F46">
        <w:rPr>
          <w:rFonts w:ascii="Georgia" w:hAnsi="Georgia"/>
          <w:b/>
          <w:bCs/>
          <w:sz w:val="18"/>
          <w:szCs w:val="20"/>
          <w:rtl/>
        </w:rPr>
        <w:t>סוף החיים: רפואה, משפט ותרבות בישראל לנוכח פני המוות</w:t>
      </w:r>
      <w:r w:rsidRPr="00EB3F46">
        <w:rPr>
          <w:rFonts w:ascii="Georgia" w:hAnsi="Georgia"/>
          <w:sz w:val="18"/>
          <w:szCs w:val="20"/>
          <w:rtl/>
        </w:rPr>
        <w:t>. הקיבוץ המאוחד.</w:t>
      </w:r>
    </w:p>
    <w:p w14:paraId="595E1AAD"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בריק, י׳ </w:t>
      </w:r>
      <w:proofErr w:type="spellStart"/>
      <w:r w:rsidRPr="00EB3F46">
        <w:rPr>
          <w:rFonts w:ascii="Georgia" w:hAnsi="Georgia"/>
          <w:sz w:val="18"/>
          <w:szCs w:val="20"/>
          <w:shd w:val="clear" w:color="auto" w:fill="FFFFFF"/>
          <w:rtl/>
        </w:rPr>
        <w:t>ולבנשטיין</w:t>
      </w:r>
      <w:proofErr w:type="spellEnd"/>
      <w:r w:rsidRPr="00EB3F46">
        <w:rPr>
          <w:rFonts w:ascii="Georgia" w:hAnsi="Georgia"/>
          <w:sz w:val="18"/>
          <w:szCs w:val="20"/>
          <w:shd w:val="clear" w:color="auto" w:fill="FFFFFF"/>
          <w:rtl/>
        </w:rPr>
        <w:t xml:space="preserve">, א׳ (2010). </w:t>
      </w:r>
      <w:r w:rsidRPr="00EB3F46">
        <w:rPr>
          <w:rFonts w:ascii="Georgia" w:hAnsi="Georgia"/>
          <w:b/>
          <w:bCs/>
          <w:sz w:val="18"/>
          <w:szCs w:val="20"/>
          <w:shd w:val="clear" w:color="auto" w:fill="FFFFFF"/>
          <w:rtl/>
        </w:rPr>
        <w:t>הזקן והמשפחה: סוגיות מרכזיות ביחסים רב-דוריים</w:t>
      </w:r>
      <w:r w:rsidRPr="00EB3F46">
        <w:rPr>
          <w:rFonts w:ascii="Georgia" w:hAnsi="Georgia"/>
          <w:sz w:val="18"/>
          <w:szCs w:val="20"/>
          <w:shd w:val="clear" w:color="auto" w:fill="FFFFFF"/>
          <w:rtl/>
        </w:rPr>
        <w:t xml:space="preserve">. אשל. </w:t>
      </w:r>
    </w:p>
    <w:p w14:paraId="0A3237A4"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 xml:space="preserve">גורלי, מ׳ (2020, 12 במרץ). לשקול מחדש. </w:t>
      </w:r>
      <w:r w:rsidRPr="00EB3F46">
        <w:rPr>
          <w:rFonts w:ascii="Georgia" w:hAnsi="Georgia" w:cs="David"/>
          <w:b/>
          <w:bCs/>
          <w:noProof/>
          <w:sz w:val="18"/>
          <w:szCs w:val="20"/>
          <w:rtl/>
        </w:rPr>
        <w:t>כלכליסט</w:t>
      </w:r>
      <w:r w:rsidRPr="00EB3F46">
        <w:rPr>
          <w:rFonts w:ascii="Georgia" w:hAnsi="Georgia" w:cs="David"/>
          <w:noProof/>
          <w:sz w:val="18"/>
          <w:szCs w:val="20"/>
          <w:rtl/>
        </w:rPr>
        <w:t>.</w:t>
      </w:r>
    </w:p>
    <w:p w14:paraId="438D4B6C"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גיל-עד, ה׳ (2020, 23 בספטמבר). אני רוצה שהוא יהיה בבית.</w:t>
      </w:r>
      <w:r w:rsidRPr="00EB3F46">
        <w:rPr>
          <w:rFonts w:ascii="Georgia" w:hAnsi="Georgia" w:cs="David"/>
          <w:b/>
          <w:bCs/>
          <w:noProof/>
          <w:sz w:val="18"/>
          <w:szCs w:val="20"/>
          <w:rtl/>
        </w:rPr>
        <w:t xml:space="preserve"> </w:t>
      </w:r>
      <w:r w:rsidRPr="00EB3F46">
        <w:rPr>
          <w:rFonts w:ascii="Georgia" w:hAnsi="Georgia" w:cs="David"/>
          <w:b/>
          <w:bCs/>
          <w:sz w:val="18"/>
          <w:szCs w:val="20"/>
          <w:shd w:val="clear" w:color="auto" w:fill="FFFFFF"/>
          <w:rtl/>
        </w:rPr>
        <w:t>ידיעות אחרונות</w:t>
      </w:r>
      <w:r w:rsidRPr="00EB3F46">
        <w:rPr>
          <w:rFonts w:ascii="Georgia" w:hAnsi="Georgia" w:cs="David"/>
          <w:i/>
          <w:iCs/>
          <w:noProof/>
          <w:sz w:val="18"/>
          <w:szCs w:val="20"/>
          <w:rtl/>
        </w:rPr>
        <w:t>.</w:t>
      </w:r>
    </w:p>
    <w:p w14:paraId="1E933498"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 xml:space="preserve">גיל-עד, ה׳ (2021). פרויקט ניצולי השואה. </w:t>
      </w:r>
      <w:r w:rsidRPr="00EB3F46">
        <w:rPr>
          <w:rFonts w:ascii="Georgia" w:hAnsi="Georgia" w:cs="David"/>
          <w:b/>
          <w:bCs/>
          <w:sz w:val="18"/>
          <w:szCs w:val="20"/>
          <w:shd w:val="clear" w:color="auto" w:fill="FFFFFF"/>
          <w:rtl/>
        </w:rPr>
        <w:t>ידיעות אחרונות</w:t>
      </w:r>
      <w:r w:rsidRPr="00EB3F46">
        <w:rPr>
          <w:rFonts w:ascii="Georgia" w:hAnsi="Georgia" w:cs="David"/>
          <w:i/>
          <w:iCs/>
          <w:noProof/>
          <w:sz w:val="18"/>
          <w:szCs w:val="20"/>
          <w:rtl/>
        </w:rPr>
        <w:t>.</w:t>
      </w:r>
    </w:p>
    <w:p w14:paraId="10557434"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גמליאל, ט׳ (2000). </w:t>
      </w:r>
      <w:proofErr w:type="spellStart"/>
      <w:r w:rsidRPr="00EB3F46">
        <w:rPr>
          <w:rFonts w:ascii="Georgia" w:hAnsi="Georgia"/>
          <w:b/>
          <w:bCs/>
          <w:sz w:val="18"/>
          <w:szCs w:val="20"/>
          <w:shd w:val="clear" w:color="auto" w:fill="FFFFFF"/>
          <w:rtl/>
        </w:rPr>
        <w:t>זיקנה</w:t>
      </w:r>
      <w:proofErr w:type="spellEnd"/>
      <w:r w:rsidRPr="00EB3F46">
        <w:rPr>
          <w:rFonts w:ascii="Georgia" w:hAnsi="Georgia"/>
          <w:b/>
          <w:bCs/>
          <w:sz w:val="18"/>
          <w:szCs w:val="20"/>
          <w:shd w:val="clear" w:color="auto" w:fill="FFFFFF"/>
          <w:rtl/>
        </w:rPr>
        <w:t xml:space="preserve"> עם זיק בעיניים: מחקר אנתרופולוגי במוסד לדיור מוגן</w:t>
      </w:r>
      <w:r w:rsidRPr="00EB3F46">
        <w:rPr>
          <w:rFonts w:ascii="Georgia" w:hAnsi="Georgia"/>
          <w:sz w:val="18"/>
          <w:szCs w:val="20"/>
          <w:shd w:val="clear" w:color="auto" w:fill="FFFFFF"/>
          <w:rtl/>
        </w:rPr>
        <w:t>. דיונון.</w:t>
      </w:r>
    </w:p>
    <w:p w14:paraId="39579F38"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גמליאל, ט׳ (2005). </w:t>
      </w:r>
      <w:r w:rsidRPr="00EB3F46">
        <w:rPr>
          <w:rFonts w:ascii="Georgia" w:hAnsi="Georgia"/>
          <w:b/>
          <w:bCs/>
          <w:sz w:val="18"/>
          <w:szCs w:val="20"/>
          <w:shd w:val="clear" w:color="auto" w:fill="FFFFFF"/>
          <w:rtl/>
        </w:rPr>
        <w:t>סוף הסיפור: משמעות, זהות, זקנה</w:t>
      </w:r>
      <w:r w:rsidRPr="00EB3F46">
        <w:rPr>
          <w:rFonts w:ascii="Georgia" w:hAnsi="Georgia"/>
          <w:sz w:val="18"/>
          <w:szCs w:val="20"/>
          <w:shd w:val="clear" w:color="auto" w:fill="FFFFFF"/>
          <w:rtl/>
        </w:rPr>
        <w:t>. אוניברסיטת תל-אביב.</w:t>
      </w:r>
    </w:p>
    <w:p w14:paraId="71840740" w14:textId="72B3F8F4"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גמליאל, ט׳ (2013). מגידי הגירה: זקנים בסצנת הגן הציבורי. </w:t>
      </w:r>
      <w:r w:rsidRPr="00EB3F46">
        <w:rPr>
          <w:rFonts w:ascii="Georgia" w:hAnsi="Georgia"/>
          <w:b/>
          <w:bCs/>
          <w:sz w:val="18"/>
          <w:szCs w:val="20"/>
          <w:shd w:val="clear" w:color="auto" w:fill="FFFFFF"/>
          <w:rtl/>
        </w:rPr>
        <w:t>גרונטולוגיה וגריאטריה</w:t>
      </w:r>
      <w:r w:rsidRPr="00EB3F46">
        <w:rPr>
          <w:rFonts w:ascii="Georgia" w:hAnsi="Georgia"/>
          <w:sz w:val="18"/>
          <w:szCs w:val="20"/>
          <w:shd w:val="clear" w:color="auto" w:fill="FFFFFF"/>
          <w:rtl/>
        </w:rPr>
        <w:t xml:space="preserve">, </w:t>
      </w:r>
      <w:r w:rsidR="00CA1460">
        <w:rPr>
          <w:rFonts w:ascii="Georgia" w:hAnsi="Georgia"/>
          <w:sz w:val="18"/>
          <w:szCs w:val="20"/>
          <w:shd w:val="clear" w:color="auto" w:fill="FFFFFF"/>
          <w:rtl/>
        </w:rPr>
        <w:br/>
      </w:r>
      <w:r w:rsidRPr="00EB3F46">
        <w:rPr>
          <w:rFonts w:ascii="Georgia" w:hAnsi="Georgia"/>
          <w:b/>
          <w:bCs/>
          <w:sz w:val="18"/>
          <w:szCs w:val="20"/>
          <w:shd w:val="clear" w:color="auto" w:fill="FFFFFF"/>
          <w:rtl/>
        </w:rPr>
        <w:t>מ</w:t>
      </w:r>
      <w:r w:rsidRPr="00EB3F46">
        <w:rPr>
          <w:rFonts w:ascii="Georgia" w:hAnsi="Georgia"/>
          <w:sz w:val="18"/>
          <w:szCs w:val="20"/>
          <w:shd w:val="clear" w:color="auto" w:fill="FFFFFF"/>
          <w:rtl/>
        </w:rPr>
        <w:t xml:space="preserve">(2–3), 29–23. </w:t>
      </w:r>
    </w:p>
    <w:p w14:paraId="71170F45"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shd w:val="clear" w:color="auto" w:fill="FFFFFF"/>
          <w:rtl/>
        </w:rPr>
        <w:t xml:space="preserve">דורון, י׳ (2008א).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ואנטי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בפסיקת בית המשפט העליון, </w:t>
      </w:r>
      <w:r w:rsidRPr="00EB3F46">
        <w:rPr>
          <w:rFonts w:ascii="Georgia" w:hAnsi="Georgia"/>
          <w:b/>
          <w:bCs/>
          <w:sz w:val="18"/>
          <w:szCs w:val="20"/>
          <w:shd w:val="clear" w:color="auto" w:fill="FFFFFF"/>
          <w:rtl/>
        </w:rPr>
        <w:t>המשפט</w:t>
      </w:r>
      <w:r w:rsidRPr="00EB3F46">
        <w:rPr>
          <w:rFonts w:ascii="Georgia" w:hAnsi="Georgia"/>
          <w:sz w:val="18"/>
          <w:szCs w:val="20"/>
          <w:shd w:val="clear" w:color="auto" w:fill="FFFFFF"/>
          <w:rtl/>
        </w:rPr>
        <w:t xml:space="preserve">, </w:t>
      </w:r>
      <w:r w:rsidRPr="00EB3F46">
        <w:rPr>
          <w:rFonts w:ascii="Georgia" w:hAnsi="Georgia"/>
          <w:b/>
          <w:bCs/>
          <w:sz w:val="18"/>
          <w:szCs w:val="20"/>
          <w:shd w:val="clear" w:color="auto" w:fill="FFFFFF"/>
          <w:rtl/>
        </w:rPr>
        <w:t>14</w:t>
      </w:r>
      <w:r w:rsidRPr="00EB3F46">
        <w:rPr>
          <w:rFonts w:ascii="Georgia" w:hAnsi="Georgia"/>
          <w:sz w:val="18"/>
          <w:szCs w:val="20"/>
          <w:shd w:val="clear" w:color="auto" w:fill="FFFFFF"/>
          <w:rtl/>
        </w:rPr>
        <w:t xml:space="preserve">, 25–37. </w:t>
      </w:r>
    </w:p>
    <w:p w14:paraId="1CB1AEFF" w14:textId="64D260F1"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rtl/>
        </w:rPr>
        <w:lastRenderedPageBreak/>
        <w:t xml:space="preserve">דורון, י׳ (2008ב). הבלתי נראים: זקנים בצל </w:t>
      </w:r>
      <w:proofErr w:type="spellStart"/>
      <w:r w:rsidRPr="00EB3F46">
        <w:rPr>
          <w:rFonts w:ascii="Georgia" w:hAnsi="Georgia"/>
          <w:sz w:val="18"/>
          <w:szCs w:val="20"/>
          <w:rtl/>
        </w:rPr>
        <w:t>אפוטרופוסות</w:t>
      </w:r>
      <w:proofErr w:type="spellEnd"/>
      <w:r w:rsidRPr="00EB3F46">
        <w:rPr>
          <w:rFonts w:ascii="Georgia" w:hAnsi="Georgia"/>
          <w:sz w:val="18"/>
          <w:szCs w:val="20"/>
          <w:rtl/>
        </w:rPr>
        <w:t xml:space="preserve"> משפטית. בתוך י' רונן, י' דורון </w:t>
      </w:r>
      <w:r w:rsidR="00CA1460">
        <w:rPr>
          <w:rFonts w:ascii="Georgia" w:hAnsi="Georgia"/>
          <w:sz w:val="18"/>
          <w:szCs w:val="20"/>
          <w:rtl/>
        </w:rPr>
        <w:br/>
      </w:r>
      <w:r w:rsidRPr="00EB3F46">
        <w:rPr>
          <w:rFonts w:ascii="Georgia" w:hAnsi="Georgia"/>
          <w:sz w:val="18"/>
          <w:szCs w:val="20"/>
          <w:rtl/>
        </w:rPr>
        <w:t>ו</w:t>
      </w:r>
      <w:r w:rsidR="00CA1460">
        <w:rPr>
          <w:rFonts w:ascii="Georgia" w:hAnsi="Georgia" w:hint="cs"/>
          <w:sz w:val="18"/>
          <w:szCs w:val="20"/>
          <w:rtl/>
        </w:rPr>
        <w:t>-ו'</w:t>
      </w:r>
      <w:r w:rsidRPr="00EB3F46">
        <w:rPr>
          <w:rFonts w:ascii="Georgia" w:hAnsi="Georgia"/>
          <w:sz w:val="18"/>
          <w:szCs w:val="20"/>
          <w:rtl/>
        </w:rPr>
        <w:t xml:space="preserve"> סלונים-נבו (עורכים), </w:t>
      </w:r>
      <w:r w:rsidRPr="00EB3F46">
        <w:rPr>
          <w:rFonts w:ascii="Georgia" w:hAnsi="Georgia"/>
          <w:b/>
          <w:bCs/>
          <w:sz w:val="18"/>
          <w:szCs w:val="20"/>
          <w:rtl/>
        </w:rPr>
        <w:t xml:space="preserve">הדרה חברתית וזכויות אדם בישראל </w:t>
      </w:r>
      <w:r w:rsidRPr="00EB3F46">
        <w:rPr>
          <w:rFonts w:ascii="Georgia" w:hAnsi="Georgia"/>
          <w:sz w:val="18"/>
          <w:szCs w:val="20"/>
          <w:rtl/>
        </w:rPr>
        <w:t>(עמ'</w:t>
      </w:r>
      <w:r w:rsidRPr="00EB3F46">
        <w:rPr>
          <w:rFonts w:ascii="Georgia" w:hAnsi="Georgia"/>
          <w:b/>
          <w:bCs/>
          <w:sz w:val="18"/>
          <w:szCs w:val="20"/>
          <w:rtl/>
        </w:rPr>
        <w:t xml:space="preserve"> </w:t>
      </w:r>
      <w:r w:rsidRPr="00EB3F46">
        <w:rPr>
          <w:rFonts w:ascii="Georgia" w:hAnsi="Georgia"/>
          <w:sz w:val="18"/>
          <w:szCs w:val="20"/>
          <w:rtl/>
        </w:rPr>
        <w:t>205</w:t>
      </w:r>
      <w:r w:rsidRPr="00EB3F46">
        <w:rPr>
          <w:rFonts w:ascii="Georgia" w:hAnsi="Georgia"/>
          <w:sz w:val="18"/>
          <w:szCs w:val="20"/>
          <w:shd w:val="clear" w:color="auto" w:fill="FFFFFF"/>
          <w:rtl/>
        </w:rPr>
        <w:t>–232)</w:t>
      </w:r>
      <w:r w:rsidRPr="00EB3F46">
        <w:rPr>
          <w:rFonts w:ascii="Georgia" w:hAnsi="Georgia"/>
          <w:sz w:val="18"/>
          <w:szCs w:val="20"/>
          <w:rtl/>
        </w:rPr>
        <w:t xml:space="preserve">. רמות. </w:t>
      </w:r>
    </w:p>
    <w:p w14:paraId="679339E3"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shd w:val="clear" w:color="auto" w:fill="FFFFFF"/>
          <w:rtl/>
        </w:rPr>
        <w:t xml:space="preserve">דורון, י׳ ואפטר, א׳ (2009). </w:t>
      </w:r>
      <w:r w:rsidRPr="00EB3F46">
        <w:rPr>
          <w:rFonts w:ascii="Georgia" w:hAnsi="Georgia"/>
          <w:b/>
          <w:bCs/>
          <w:sz w:val="18"/>
          <w:szCs w:val="20"/>
          <w:rtl/>
        </w:rPr>
        <w:t xml:space="preserve">לנהוג </w:t>
      </w:r>
      <w:proofErr w:type="spellStart"/>
      <w:r w:rsidRPr="00EB3F46">
        <w:rPr>
          <w:rFonts w:ascii="Georgia" w:hAnsi="Georgia"/>
          <w:b/>
          <w:bCs/>
          <w:sz w:val="18"/>
          <w:szCs w:val="20"/>
          <w:rtl/>
        </w:rPr>
        <w:t>בזיקנה</w:t>
      </w:r>
      <w:proofErr w:type="spellEnd"/>
      <w:r w:rsidRPr="00EB3F46">
        <w:rPr>
          <w:rFonts w:ascii="Georgia" w:hAnsi="Georgia"/>
          <w:b/>
          <w:bCs/>
          <w:sz w:val="18"/>
          <w:szCs w:val="20"/>
          <w:rtl/>
        </w:rPr>
        <w:t>: בחיפוש אחר איזון חוקי מתוך מבט השוואתי</w:t>
      </w:r>
      <w:r w:rsidRPr="00EB3F46">
        <w:rPr>
          <w:rFonts w:ascii="Georgia" w:hAnsi="Georgia"/>
          <w:sz w:val="18"/>
          <w:szCs w:val="20"/>
          <w:shd w:val="clear" w:color="auto" w:fill="FFFFFF"/>
          <w:rtl/>
        </w:rPr>
        <w:t xml:space="preserve">. דוח מחקר המוגש לקרן רן נאור. אוניברסיטת חיפה. </w:t>
      </w:r>
    </w:p>
    <w:p w14:paraId="16209DB9"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shd w:val="clear" w:color="auto" w:fill="FFFFFF"/>
          <w:rtl/>
        </w:rPr>
        <w:t xml:space="preserve">דורון, י׳ וגולדברג, א' (2013). מופעים של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w:t>
      </w:r>
      <w:r w:rsidRPr="00EB3F46">
        <w:rPr>
          <w:rFonts w:ascii="Georgia" w:hAnsi="Georgia"/>
          <w:sz w:val="18"/>
          <w:szCs w:val="20"/>
          <w:rtl/>
        </w:rPr>
        <w:t xml:space="preserve">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w:t>
      </w:r>
      <w:r w:rsidRPr="00EB3F46">
        <w:rPr>
          <w:rFonts w:ascii="Georgia" w:hAnsi="Georgia"/>
          <w:b/>
          <w:bCs/>
          <w:i/>
          <w:iCs/>
          <w:sz w:val="18"/>
          <w:szCs w:val="20"/>
          <w:rtl/>
        </w:rPr>
        <w:t xml:space="preserve">: </w:t>
      </w:r>
      <w:r w:rsidRPr="00EB3F46">
        <w:rPr>
          <w:rFonts w:ascii="Georgia" w:hAnsi="Georgia"/>
          <w:b/>
          <w:bCs/>
          <w:sz w:val="18"/>
          <w:szCs w:val="20"/>
          <w:rtl/>
        </w:rPr>
        <w:t xml:space="preserve">הבניה חברתית של הזקנה בישראל </w:t>
      </w:r>
      <w:r w:rsidRPr="00EB3F46">
        <w:rPr>
          <w:rFonts w:ascii="Georgia" w:hAnsi="Georgia"/>
          <w:sz w:val="18"/>
          <w:szCs w:val="20"/>
          <w:rtl/>
        </w:rPr>
        <w:t>(13</w:t>
      </w:r>
      <w:r w:rsidRPr="00EB3F46">
        <w:rPr>
          <w:rFonts w:ascii="Georgia" w:hAnsi="Georgia"/>
          <w:sz w:val="18"/>
          <w:szCs w:val="20"/>
          <w:shd w:val="clear" w:color="auto" w:fill="FFFFFF"/>
          <w:rtl/>
        </w:rPr>
        <w:t xml:space="preserve">–27). 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w:t>
      </w:r>
    </w:p>
    <w:p w14:paraId="7C4F7707"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דורון, י׳ וקורן, ח׳ (2005). תפקיד העובד הסוציאלי במעונות לזקנים עצמאיים תשושים: פרספקטיבה של 20 שנה. </w:t>
      </w:r>
      <w:r w:rsidRPr="00EB3F46">
        <w:rPr>
          <w:rFonts w:ascii="Georgia" w:hAnsi="Georgia"/>
          <w:b/>
          <w:bCs/>
          <w:sz w:val="18"/>
          <w:szCs w:val="20"/>
          <w:rtl/>
        </w:rPr>
        <w:t>גרונטולוגיה וגריאטרי</w:t>
      </w:r>
      <w:r w:rsidRPr="00EB3F46">
        <w:rPr>
          <w:rFonts w:ascii="Georgia" w:hAnsi="Georgia"/>
          <w:b/>
          <w:bCs/>
          <w:sz w:val="18"/>
          <w:szCs w:val="20"/>
          <w:shd w:val="clear" w:color="auto" w:fill="FFFFFF"/>
          <w:rtl/>
        </w:rPr>
        <w:t>ה</w:t>
      </w:r>
      <w:r w:rsidRPr="00EB3F46">
        <w:rPr>
          <w:rFonts w:ascii="Georgia" w:hAnsi="Georgia"/>
          <w:sz w:val="18"/>
          <w:szCs w:val="20"/>
          <w:shd w:val="clear" w:color="auto" w:fill="FFFFFF"/>
          <w:rtl/>
        </w:rPr>
        <w:t xml:space="preserve">, </w:t>
      </w:r>
      <w:r w:rsidRPr="00EB3F46">
        <w:rPr>
          <w:rFonts w:ascii="Georgia" w:hAnsi="Georgia"/>
          <w:b/>
          <w:bCs/>
          <w:sz w:val="18"/>
          <w:szCs w:val="20"/>
          <w:shd w:val="clear" w:color="auto" w:fill="FFFFFF"/>
          <w:rtl/>
        </w:rPr>
        <w:t>לב</w:t>
      </w:r>
      <w:r w:rsidRPr="00EB3F46">
        <w:rPr>
          <w:rFonts w:ascii="Georgia" w:hAnsi="Georgia"/>
          <w:sz w:val="18"/>
          <w:szCs w:val="20"/>
          <w:shd w:val="clear" w:color="auto" w:fill="FFFFFF"/>
          <w:rtl/>
        </w:rPr>
        <w:t>(1), 39–61.</w:t>
      </w:r>
    </w:p>
    <w:p w14:paraId="0F9649EC"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דורון, י׳ וקליין, ע׳ (2010). הזירה הלא מתאימה? אפליה מטעמי גיל בראי בית הדין האזורי לעבודה בחיפה. </w:t>
      </w:r>
      <w:r w:rsidRPr="00EB3F46">
        <w:rPr>
          <w:rFonts w:ascii="Georgia" w:hAnsi="Georgia"/>
          <w:b/>
          <w:bCs/>
          <w:sz w:val="18"/>
          <w:szCs w:val="20"/>
          <w:rtl/>
        </w:rPr>
        <w:t>עבודה, חברה ומשפט</w:t>
      </w:r>
      <w:r w:rsidRPr="00EB3F46">
        <w:rPr>
          <w:rFonts w:ascii="Georgia" w:hAnsi="Georgia"/>
          <w:sz w:val="18"/>
          <w:szCs w:val="20"/>
          <w:shd w:val="clear" w:color="auto" w:fill="FFFFFF"/>
          <w:rtl/>
        </w:rPr>
        <w:t xml:space="preserve">, </w:t>
      </w:r>
      <w:proofErr w:type="spellStart"/>
      <w:r w:rsidRPr="00EB3F46">
        <w:rPr>
          <w:rFonts w:ascii="Georgia" w:hAnsi="Georgia"/>
          <w:b/>
          <w:bCs/>
          <w:sz w:val="18"/>
          <w:szCs w:val="20"/>
          <w:shd w:val="clear" w:color="auto" w:fill="FFFFFF"/>
          <w:rtl/>
        </w:rPr>
        <w:t>יב</w:t>
      </w:r>
      <w:proofErr w:type="spellEnd"/>
      <w:r w:rsidRPr="00EB3F46">
        <w:rPr>
          <w:rFonts w:ascii="Georgia" w:hAnsi="Georgia"/>
          <w:sz w:val="18"/>
          <w:szCs w:val="20"/>
          <w:shd w:val="clear" w:color="auto" w:fill="FFFFFF"/>
          <w:rtl/>
        </w:rPr>
        <w:t>, 435–468.</w:t>
      </w:r>
    </w:p>
    <w:p w14:paraId="139E9850" w14:textId="77777777" w:rsidR="00EB3F46" w:rsidRPr="00EB3F46" w:rsidRDefault="00EB3F46" w:rsidP="00F56BAD">
      <w:pPr>
        <w:spacing w:after="120"/>
        <w:ind w:left="397" w:hanging="397"/>
        <w:jc w:val="both"/>
        <w:rPr>
          <w:rFonts w:ascii="Georgia" w:hAnsi="Georgia"/>
          <w:sz w:val="18"/>
          <w:szCs w:val="20"/>
          <w:shd w:val="clear" w:color="auto" w:fill="FFFFFF"/>
          <w:rtl/>
        </w:rPr>
      </w:pPr>
      <w:bookmarkStart w:id="5" w:name="_Hlk63014340"/>
      <w:r w:rsidRPr="00EB3F46">
        <w:rPr>
          <w:rFonts w:ascii="Georgia" w:hAnsi="Georgia"/>
          <w:sz w:val="18"/>
          <w:szCs w:val="20"/>
          <w:shd w:val="clear" w:color="auto" w:fill="FFFFFF"/>
          <w:rtl/>
        </w:rPr>
        <w:t xml:space="preserve">דקל, ט׳ (2020). </w:t>
      </w:r>
      <w:r w:rsidRPr="00EB3F46">
        <w:rPr>
          <w:rFonts w:ascii="Georgia" w:hAnsi="Georgia"/>
          <w:b/>
          <w:bCs/>
          <w:sz w:val="18"/>
          <w:szCs w:val="20"/>
          <w:shd w:val="clear" w:color="auto" w:fill="FFFFFF"/>
          <w:rtl/>
        </w:rPr>
        <w:t xml:space="preserve">נשים וזקנה: מגדר </w:t>
      </w:r>
      <w:proofErr w:type="spellStart"/>
      <w:r w:rsidRPr="00EB3F46">
        <w:rPr>
          <w:rFonts w:ascii="Georgia" w:hAnsi="Georgia"/>
          <w:b/>
          <w:bCs/>
          <w:sz w:val="18"/>
          <w:szCs w:val="20"/>
          <w:shd w:val="clear" w:color="auto" w:fill="FFFFFF"/>
          <w:rtl/>
        </w:rPr>
        <w:t>וגילנות</w:t>
      </w:r>
      <w:proofErr w:type="spellEnd"/>
      <w:r w:rsidRPr="00EB3F46">
        <w:rPr>
          <w:rFonts w:ascii="Georgia" w:hAnsi="Georgia"/>
          <w:b/>
          <w:bCs/>
          <w:sz w:val="18"/>
          <w:szCs w:val="20"/>
          <w:shd w:val="clear" w:color="auto" w:fill="FFFFFF"/>
          <w:rtl/>
        </w:rPr>
        <w:t xml:space="preserve"> בראי האמנות בישראל</w:t>
      </w:r>
      <w:r w:rsidRPr="00EB3F46">
        <w:rPr>
          <w:rFonts w:ascii="Georgia" w:hAnsi="Georgia"/>
          <w:sz w:val="18"/>
          <w:szCs w:val="20"/>
          <w:shd w:val="clear" w:color="auto" w:fill="FFFFFF"/>
          <w:rtl/>
        </w:rPr>
        <w:t xml:space="preserve">. </w:t>
      </w:r>
      <w:r w:rsidRPr="00EB3F46">
        <w:rPr>
          <w:rFonts w:ascii="Georgia" w:hAnsi="Georgia"/>
          <w:sz w:val="18"/>
          <w:szCs w:val="20"/>
          <w:rtl/>
        </w:rPr>
        <w:t>למדא,</w:t>
      </w:r>
      <w:r w:rsidRPr="00EB3F46">
        <w:rPr>
          <w:rFonts w:ascii="Georgia" w:hAnsi="Georgia"/>
          <w:b/>
          <w:bCs/>
          <w:sz w:val="18"/>
          <w:szCs w:val="20"/>
          <w:rtl/>
        </w:rPr>
        <w:t xml:space="preserve"> </w:t>
      </w:r>
      <w:r w:rsidRPr="00EB3F46">
        <w:rPr>
          <w:rFonts w:ascii="Georgia" w:hAnsi="Georgia"/>
          <w:sz w:val="18"/>
          <w:szCs w:val="20"/>
          <w:shd w:val="clear" w:color="auto" w:fill="FFFFFF"/>
          <w:rtl/>
        </w:rPr>
        <w:t>האוניברסיטה הפתוחה.</w:t>
      </w:r>
    </w:p>
    <w:p w14:paraId="4645E3AB" w14:textId="77777777" w:rsidR="00EB3F46" w:rsidRPr="00EB3F46" w:rsidRDefault="00EB3F46" w:rsidP="00F56BAD">
      <w:pPr>
        <w:spacing w:after="120"/>
        <w:ind w:left="397" w:hanging="397"/>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היינק</w:t>
      </w:r>
      <w:proofErr w:type="spellEnd"/>
      <w:r w:rsidRPr="00EB3F46">
        <w:rPr>
          <w:rFonts w:ascii="Georgia" w:hAnsi="Georgia"/>
          <w:sz w:val="18"/>
          <w:szCs w:val="20"/>
          <w:shd w:val="clear" w:color="auto" w:fill="FFFFFF"/>
          <w:rtl/>
        </w:rPr>
        <w:t xml:space="preserve">, י' </w:t>
      </w:r>
      <w:proofErr w:type="spellStart"/>
      <w:r w:rsidRPr="00EB3F46">
        <w:rPr>
          <w:rFonts w:ascii="Georgia" w:hAnsi="Georgia"/>
          <w:sz w:val="18"/>
          <w:szCs w:val="20"/>
          <w:shd w:val="clear" w:color="auto" w:fill="FFFFFF"/>
          <w:rtl/>
        </w:rPr>
        <w:t>ודוולצקי</w:t>
      </w:r>
      <w:bookmarkEnd w:id="5"/>
      <w:proofErr w:type="spellEnd"/>
      <w:r w:rsidRPr="00EB3F46">
        <w:rPr>
          <w:rFonts w:ascii="Georgia" w:hAnsi="Georgia"/>
          <w:sz w:val="18"/>
          <w:szCs w:val="20"/>
          <w:shd w:val="clear" w:color="auto" w:fill="FFFFFF"/>
          <w:rtl/>
        </w:rPr>
        <w:t xml:space="preserve">, צ' (2015). </w:t>
      </w:r>
      <w:r w:rsidRPr="00EB3F46">
        <w:rPr>
          <w:rFonts w:ascii="Georgia" w:hAnsi="Georgia"/>
          <w:b/>
          <w:bCs/>
          <w:sz w:val="18"/>
          <w:szCs w:val="20"/>
          <w:rtl/>
        </w:rPr>
        <w:t>פסיכוגריאטריה: פרקים נבחרים</w:t>
      </w:r>
      <w:r w:rsidRPr="00EB3F46">
        <w:rPr>
          <w:rFonts w:ascii="Georgia" w:hAnsi="Georgia"/>
          <w:sz w:val="18"/>
          <w:szCs w:val="20"/>
          <w:shd w:val="clear" w:color="auto" w:fill="FFFFFF"/>
          <w:rtl/>
        </w:rPr>
        <w:t>. אשל ג'וינט-ישראל.</w:t>
      </w:r>
    </w:p>
    <w:p w14:paraId="023BF037"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הלל-אברהם, ר׳ (2013). </w:t>
      </w:r>
      <w:r w:rsidRPr="00EB3F46">
        <w:rPr>
          <w:rFonts w:ascii="Georgia" w:hAnsi="Georgia"/>
          <w:b/>
          <w:bCs/>
          <w:sz w:val="18"/>
          <w:szCs w:val="20"/>
          <w:shd w:val="clear" w:color="auto" w:fill="FFFFFF"/>
          <w:rtl/>
        </w:rPr>
        <w:t xml:space="preserve">רפואת האנטי </w:t>
      </w:r>
      <w:proofErr w:type="spellStart"/>
      <w:r w:rsidRPr="00EB3F46">
        <w:rPr>
          <w:rFonts w:ascii="Georgia" w:hAnsi="Georgia"/>
          <w:b/>
          <w:bCs/>
          <w:sz w:val="18"/>
          <w:szCs w:val="20"/>
          <w:shd w:val="clear" w:color="auto" w:fill="FFFFFF"/>
          <w:rtl/>
        </w:rPr>
        <w:t>אייג'ינג</w:t>
      </w:r>
      <w:proofErr w:type="spellEnd"/>
      <w:r w:rsidRPr="00EB3F46">
        <w:rPr>
          <w:rFonts w:ascii="Georgia" w:hAnsi="Georgia"/>
          <w:b/>
          <w:bCs/>
          <w:sz w:val="18"/>
          <w:szCs w:val="20"/>
          <w:shd w:val="clear" w:color="auto" w:fill="FFFFFF"/>
          <w:rtl/>
        </w:rPr>
        <w:t xml:space="preserve"> בישראל: התקבלות פרופסיונאלית בתנאים של דחייה</w:t>
      </w:r>
      <w:r w:rsidRPr="00EB3F46">
        <w:rPr>
          <w:rFonts w:ascii="Georgia" w:hAnsi="Georgia"/>
          <w:sz w:val="18"/>
          <w:szCs w:val="20"/>
          <w:shd w:val="clear" w:color="auto" w:fill="FFFFFF"/>
          <w:rtl/>
        </w:rPr>
        <w:t xml:space="preserve"> (חיבור לשם קבלת תואר דוקטור לפילוסופיה). אוניברסיטת בר-אילן.</w:t>
      </w:r>
    </w:p>
    <w:p w14:paraId="507B2055"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המשרד לאזרחים ותיקים (2014). </w:t>
      </w:r>
      <w:r w:rsidRPr="00EB3F46">
        <w:rPr>
          <w:rFonts w:ascii="Georgia" w:hAnsi="Georgia"/>
          <w:b/>
          <w:bCs/>
          <w:sz w:val="18"/>
          <w:szCs w:val="20"/>
          <w:rtl/>
        </w:rPr>
        <w:t>דוח מסקנות הוועדה לשילוב מבוגרים בתעסוקה וקהילה</w:t>
      </w:r>
      <w:r w:rsidRPr="00EB3F46">
        <w:rPr>
          <w:rFonts w:ascii="Georgia" w:hAnsi="Georgia"/>
          <w:sz w:val="18"/>
          <w:szCs w:val="20"/>
          <w:rtl/>
        </w:rPr>
        <w:t>. בשיתוף המועצה הלאומית לכלכלה בראשות חה"כ אורי אורבך, שר המשרד לאזרחים ותיקים.</w:t>
      </w:r>
    </w:p>
    <w:p w14:paraId="1E94391F"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הנטמן,</w:t>
      </w:r>
      <w:r w:rsidRPr="00EB3F46">
        <w:rPr>
          <w:rFonts w:ascii="Georgia" w:hAnsi="Georgia"/>
          <w:sz w:val="18"/>
          <w:szCs w:val="20"/>
        </w:rPr>
        <w:t xml:space="preserve"> </w:t>
      </w:r>
      <w:r w:rsidRPr="00EB3F46">
        <w:rPr>
          <w:rFonts w:ascii="Georgia" w:hAnsi="Georgia"/>
          <w:sz w:val="18"/>
          <w:szCs w:val="20"/>
          <w:rtl/>
        </w:rPr>
        <w:t xml:space="preserve">ש׳ (2012). עבודה סוציאלית עם זקנים. בתוך מ' חובב, א' </w:t>
      </w:r>
      <w:proofErr w:type="spellStart"/>
      <w:r w:rsidRPr="00EB3F46">
        <w:rPr>
          <w:rFonts w:ascii="Georgia" w:hAnsi="Georgia"/>
          <w:sz w:val="18"/>
          <w:szCs w:val="20"/>
          <w:rtl/>
        </w:rPr>
        <w:t>לונטל</w:t>
      </w:r>
      <w:proofErr w:type="spellEnd"/>
      <w:r w:rsidRPr="00EB3F46">
        <w:rPr>
          <w:rFonts w:ascii="Georgia" w:hAnsi="Georgia"/>
          <w:sz w:val="18"/>
          <w:szCs w:val="20"/>
          <w:rtl/>
        </w:rPr>
        <w:t xml:space="preserve"> ו' קטן (עורכים), </w:t>
      </w:r>
      <w:r w:rsidRPr="00EB3F46">
        <w:rPr>
          <w:rFonts w:ascii="Georgia" w:hAnsi="Georgia"/>
          <w:b/>
          <w:bCs/>
          <w:sz w:val="18"/>
          <w:szCs w:val="20"/>
          <w:rtl/>
        </w:rPr>
        <w:t>עבודה סוציאלית בישראל</w:t>
      </w:r>
      <w:r w:rsidRPr="00EB3F46">
        <w:rPr>
          <w:rFonts w:ascii="Georgia" w:hAnsi="Georgia"/>
          <w:sz w:val="18"/>
          <w:szCs w:val="20"/>
          <w:rtl/>
        </w:rPr>
        <w:t xml:space="preserve"> (עמ' 462</w:t>
      </w:r>
      <w:r w:rsidRPr="00EB3F46">
        <w:rPr>
          <w:rFonts w:ascii="Georgia" w:hAnsi="Georgia"/>
          <w:sz w:val="18"/>
          <w:szCs w:val="20"/>
          <w:shd w:val="clear" w:color="auto" w:fill="FFFFFF"/>
          <w:rtl/>
        </w:rPr>
        <w:t xml:space="preserve">–479). </w:t>
      </w:r>
      <w:r w:rsidRPr="00EB3F46">
        <w:rPr>
          <w:rFonts w:ascii="Georgia" w:hAnsi="Georgia"/>
          <w:sz w:val="18"/>
          <w:szCs w:val="20"/>
          <w:rtl/>
        </w:rPr>
        <w:t xml:space="preserve">הקיבוץ המאוחד. </w:t>
      </w:r>
    </w:p>
    <w:p w14:paraId="37601562"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הנטמן, ש' וברנשטיין, מ' (2000). </w:t>
      </w:r>
      <w:r w:rsidRPr="00EB3F46">
        <w:rPr>
          <w:rFonts w:ascii="Georgia" w:hAnsi="Georgia"/>
          <w:b/>
          <w:bCs/>
          <w:sz w:val="18"/>
          <w:szCs w:val="20"/>
          <w:rtl/>
        </w:rPr>
        <w:t xml:space="preserve">דור </w:t>
      </w:r>
      <w:proofErr w:type="spellStart"/>
      <w:r w:rsidRPr="00EB3F46">
        <w:rPr>
          <w:rFonts w:ascii="Georgia" w:hAnsi="Georgia"/>
          <w:b/>
          <w:bCs/>
          <w:sz w:val="18"/>
          <w:szCs w:val="20"/>
          <w:rtl/>
        </w:rPr>
        <w:t>הסנדוויץ</w:t>
      </w:r>
      <w:proofErr w:type="spellEnd"/>
      <w:r w:rsidRPr="00EB3F46">
        <w:rPr>
          <w:rFonts w:ascii="Georgia" w:hAnsi="Georgia"/>
          <w:sz w:val="18"/>
          <w:szCs w:val="20"/>
          <w:rtl/>
        </w:rPr>
        <w:t>. מודן ואשל.</w:t>
      </w:r>
    </w:p>
    <w:p w14:paraId="7C211023" w14:textId="77777777" w:rsidR="00EB3F46" w:rsidRPr="00EB3F46" w:rsidRDefault="00EB3F46" w:rsidP="00F56BAD">
      <w:pPr>
        <w:spacing w:after="120"/>
        <w:ind w:left="397" w:hanging="397"/>
        <w:jc w:val="both"/>
        <w:rPr>
          <w:rFonts w:ascii="Georgia" w:hAnsi="Georgia"/>
          <w:sz w:val="18"/>
          <w:szCs w:val="20"/>
          <w:shd w:val="clear" w:color="auto" w:fill="FFFFFF"/>
          <w:rtl/>
        </w:rPr>
      </w:pPr>
      <w:r w:rsidRPr="00EB3F46">
        <w:rPr>
          <w:rFonts w:ascii="Georgia" w:hAnsi="Georgia"/>
          <w:sz w:val="18"/>
          <w:szCs w:val="20"/>
          <w:shd w:val="clear" w:color="auto" w:fill="FFFFFF"/>
          <w:rtl/>
        </w:rPr>
        <w:t xml:space="preserve">הרצוג, א׳ ולב, א׳ (2018). הגיל בעיני המתבונן/ת: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במכוני כושר.</w:t>
      </w:r>
      <w:r w:rsidRPr="00EB3F46">
        <w:rPr>
          <w:rFonts w:ascii="Georgia" w:hAnsi="Georgia"/>
          <w:b/>
          <w:bCs/>
          <w:sz w:val="18"/>
          <w:szCs w:val="20"/>
          <w:shd w:val="clear" w:color="auto" w:fill="FFFFFF"/>
          <w:rtl/>
        </w:rPr>
        <w:t xml:space="preserve"> </w:t>
      </w:r>
      <w:r w:rsidRPr="00EB3F46">
        <w:rPr>
          <w:rFonts w:ascii="Georgia" w:hAnsi="Georgia"/>
          <w:b/>
          <w:bCs/>
          <w:sz w:val="18"/>
          <w:szCs w:val="20"/>
          <w:rtl/>
        </w:rPr>
        <w:t>גרונטולוגיה וגריאטריה</w:t>
      </w:r>
      <w:r w:rsidRPr="00EB3F46">
        <w:rPr>
          <w:rFonts w:ascii="Georgia" w:hAnsi="Georgia"/>
          <w:sz w:val="18"/>
          <w:szCs w:val="20"/>
          <w:rtl/>
        </w:rPr>
        <w:t>,</w:t>
      </w:r>
      <w:r w:rsidRPr="00EB3F46">
        <w:rPr>
          <w:rFonts w:ascii="Georgia" w:hAnsi="Georgia"/>
          <w:sz w:val="18"/>
          <w:szCs w:val="20"/>
          <w:shd w:val="clear" w:color="auto" w:fill="FFFFFF"/>
          <w:rtl/>
        </w:rPr>
        <w:t xml:space="preserve"> </w:t>
      </w:r>
      <w:r w:rsidRPr="00EB3F46">
        <w:rPr>
          <w:rFonts w:ascii="Georgia" w:hAnsi="Georgia"/>
          <w:b/>
          <w:bCs/>
          <w:sz w:val="18"/>
          <w:szCs w:val="20"/>
          <w:shd w:val="clear" w:color="auto" w:fill="FFFFFF"/>
          <w:rtl/>
        </w:rPr>
        <w:t>מה</w:t>
      </w:r>
      <w:r w:rsidRPr="00EB3F46">
        <w:rPr>
          <w:rFonts w:ascii="Georgia" w:hAnsi="Georgia"/>
          <w:sz w:val="18"/>
          <w:szCs w:val="20"/>
          <w:shd w:val="clear" w:color="auto" w:fill="FFFFFF"/>
          <w:rtl/>
        </w:rPr>
        <w:t xml:space="preserve">(1), 11–36. </w:t>
      </w:r>
    </w:p>
    <w:p w14:paraId="1B75101E"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חזן, ח׳ (1984).</w:t>
      </w:r>
      <w:r w:rsidRPr="00EB3F46">
        <w:rPr>
          <w:rFonts w:ascii="Georgia" w:hAnsi="Georgia"/>
          <w:i/>
          <w:iCs/>
          <w:sz w:val="18"/>
          <w:szCs w:val="20"/>
          <w:rtl/>
        </w:rPr>
        <w:t xml:space="preserve"> </w:t>
      </w:r>
      <w:proofErr w:type="spellStart"/>
      <w:r w:rsidRPr="00EB3F46">
        <w:rPr>
          <w:rFonts w:ascii="Georgia" w:hAnsi="Georgia"/>
          <w:b/>
          <w:bCs/>
          <w:sz w:val="18"/>
          <w:szCs w:val="20"/>
          <w:rtl/>
        </w:rPr>
        <w:t>הזיקנה</w:t>
      </w:r>
      <w:proofErr w:type="spellEnd"/>
      <w:r w:rsidRPr="00EB3F46">
        <w:rPr>
          <w:rFonts w:ascii="Georgia" w:hAnsi="Georgia"/>
          <w:b/>
          <w:bCs/>
          <w:sz w:val="18"/>
          <w:szCs w:val="20"/>
          <w:rtl/>
        </w:rPr>
        <w:t xml:space="preserve"> כתופעה חברתית</w:t>
      </w:r>
      <w:r w:rsidRPr="00EB3F46">
        <w:rPr>
          <w:rFonts w:ascii="Georgia" w:hAnsi="Georgia"/>
          <w:sz w:val="18"/>
          <w:szCs w:val="20"/>
          <w:rtl/>
        </w:rPr>
        <w:t>. האוניברסיטה המשודרת, גלי צה"ל.</w:t>
      </w:r>
    </w:p>
    <w:p w14:paraId="74F81D0C"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חזן, ח׳ (2006). גיל. בתוך א' רם ונ' ברקוביץ (עורכים), </w:t>
      </w:r>
      <w:r w:rsidRPr="00EB3F46">
        <w:rPr>
          <w:rFonts w:ascii="Georgia" w:hAnsi="Georgia"/>
          <w:b/>
          <w:bCs/>
          <w:sz w:val="18"/>
          <w:szCs w:val="20"/>
          <w:rtl/>
        </w:rPr>
        <w:t>אי שוויון</w:t>
      </w:r>
      <w:r w:rsidRPr="00EB3F46">
        <w:rPr>
          <w:rFonts w:ascii="Georgia" w:hAnsi="Georgia"/>
          <w:sz w:val="18"/>
          <w:szCs w:val="20"/>
          <w:rtl/>
        </w:rPr>
        <w:t xml:space="preserve"> (עמ' 82</w:t>
      </w:r>
      <w:r w:rsidRPr="00EB3F46">
        <w:rPr>
          <w:rFonts w:ascii="Georgia" w:hAnsi="Georgia"/>
          <w:sz w:val="18"/>
          <w:szCs w:val="20"/>
          <w:shd w:val="clear" w:color="auto" w:fill="FFFFFF"/>
          <w:rtl/>
        </w:rPr>
        <w:t>–89</w:t>
      </w:r>
      <w:r w:rsidRPr="00EB3F46">
        <w:rPr>
          <w:rFonts w:ascii="Georgia" w:hAnsi="Georgia"/>
          <w:sz w:val="18"/>
          <w:szCs w:val="20"/>
          <w:rtl/>
        </w:rPr>
        <w:t xml:space="preserve">). אוניברסיטת בן גוריון בנגב. </w:t>
      </w:r>
    </w:p>
    <w:p w14:paraId="6D7F4081"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חזן, ח׳ (2010). "אנתרופולוג על המאדים": הזמנה למבוי הסתום של חקר </w:t>
      </w:r>
      <w:proofErr w:type="spellStart"/>
      <w:r w:rsidRPr="00EB3F46">
        <w:rPr>
          <w:rFonts w:ascii="Georgia" w:hAnsi="Georgia"/>
          <w:sz w:val="18"/>
          <w:szCs w:val="20"/>
          <w:rtl/>
        </w:rPr>
        <w:t>הזיקנה</w:t>
      </w:r>
      <w:proofErr w:type="spellEnd"/>
      <w:r w:rsidRPr="00EB3F46">
        <w:rPr>
          <w:rFonts w:ascii="Georgia" w:hAnsi="Georgia"/>
          <w:sz w:val="18"/>
          <w:szCs w:val="20"/>
          <w:rtl/>
        </w:rPr>
        <w:t xml:space="preserve">. </w:t>
      </w:r>
      <w:r w:rsidRPr="00EB3F46">
        <w:rPr>
          <w:rFonts w:ascii="Georgia" w:hAnsi="Georgia"/>
          <w:b/>
          <w:bCs/>
          <w:sz w:val="18"/>
          <w:szCs w:val="20"/>
          <w:rtl/>
        </w:rPr>
        <w:t>גרונטולוגיה</w:t>
      </w:r>
      <w:r w:rsidRPr="00EB3F46">
        <w:rPr>
          <w:rFonts w:ascii="Georgia" w:hAnsi="Georgia"/>
          <w:sz w:val="18"/>
          <w:szCs w:val="20"/>
          <w:rtl/>
        </w:rPr>
        <w:t>,</w:t>
      </w:r>
      <w:r w:rsidRPr="00EB3F46">
        <w:rPr>
          <w:rFonts w:ascii="Georgia" w:hAnsi="Georgia"/>
          <w:b/>
          <w:bCs/>
          <w:sz w:val="18"/>
          <w:szCs w:val="20"/>
          <w:rtl/>
        </w:rPr>
        <w:t xml:space="preserve"> 37</w:t>
      </w:r>
      <w:r w:rsidRPr="00EB3F46">
        <w:rPr>
          <w:rFonts w:ascii="Georgia" w:hAnsi="Georgia"/>
          <w:sz w:val="18"/>
          <w:szCs w:val="20"/>
          <w:rtl/>
        </w:rPr>
        <w:t>(1), 23</w:t>
      </w:r>
      <w:r w:rsidRPr="00EB3F46">
        <w:rPr>
          <w:rFonts w:ascii="Georgia" w:hAnsi="Georgia"/>
          <w:sz w:val="18"/>
          <w:szCs w:val="20"/>
          <w:shd w:val="clear" w:color="auto" w:fill="FFFFFF"/>
          <w:rtl/>
        </w:rPr>
        <w:t xml:space="preserve">–35. </w:t>
      </w:r>
    </w:p>
    <w:p w14:paraId="45DA8B7A"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חזן, ח׳ (2013). שבחי </w:t>
      </w:r>
      <w:proofErr w:type="spellStart"/>
      <w:r w:rsidRPr="00EB3F46">
        <w:rPr>
          <w:rFonts w:ascii="Georgia" w:hAnsi="Georgia"/>
          <w:sz w:val="18"/>
          <w:szCs w:val="20"/>
          <w:rtl/>
        </w:rPr>
        <w:t>הגילנות</w:t>
      </w:r>
      <w:proofErr w:type="spellEnd"/>
      <w:r w:rsidRPr="00EB3F46">
        <w:rPr>
          <w:rFonts w:ascii="Georgia" w:hAnsi="Georgia"/>
          <w:sz w:val="18"/>
          <w:szCs w:val="20"/>
          <w:rtl/>
        </w:rPr>
        <w:t xml:space="preserve">: על שורשיו וענפיו של שיח פורח. 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 הבניה חברתית של הזקנה בישראל</w:t>
      </w:r>
      <w:r w:rsidRPr="00EB3F46">
        <w:rPr>
          <w:rFonts w:ascii="Georgia" w:hAnsi="Georgia"/>
          <w:sz w:val="18"/>
          <w:szCs w:val="20"/>
          <w:rtl/>
        </w:rPr>
        <w:t xml:space="preserve"> (עמ' 52</w:t>
      </w:r>
      <w:r w:rsidRPr="00EB3F46">
        <w:rPr>
          <w:rFonts w:ascii="Georgia" w:hAnsi="Georgia"/>
          <w:sz w:val="18"/>
          <w:szCs w:val="20"/>
          <w:shd w:val="clear" w:color="auto" w:fill="FFFFFF"/>
          <w:rtl/>
        </w:rPr>
        <w:t xml:space="preserve">–66). </w:t>
      </w:r>
      <w:r w:rsidRPr="00EB3F46">
        <w:rPr>
          <w:rFonts w:ascii="Georgia" w:hAnsi="Georgia"/>
          <w:sz w:val="18"/>
          <w:szCs w:val="20"/>
          <w:rtl/>
        </w:rPr>
        <w:t xml:space="preserve">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6C258F79"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טופז, מ׳ (2013). </w:t>
      </w:r>
      <w:proofErr w:type="spellStart"/>
      <w:r w:rsidRPr="00EB3F46">
        <w:rPr>
          <w:rFonts w:ascii="Georgia" w:hAnsi="Georgia"/>
          <w:sz w:val="18"/>
          <w:szCs w:val="20"/>
          <w:rtl/>
        </w:rPr>
        <w:t>גילנות</w:t>
      </w:r>
      <w:proofErr w:type="spellEnd"/>
      <w:r w:rsidRPr="00EB3F46">
        <w:rPr>
          <w:rFonts w:ascii="Georgia" w:hAnsi="Georgia"/>
          <w:sz w:val="18"/>
          <w:szCs w:val="20"/>
          <w:rtl/>
        </w:rPr>
        <w:t xml:space="preserve"> בקרב אחיות במחלקות כלליות בבתי חולים. 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 הבניה חברתית של הזקנה בישראל</w:t>
      </w:r>
      <w:r w:rsidRPr="00EB3F46">
        <w:rPr>
          <w:rFonts w:ascii="Georgia" w:hAnsi="Georgia"/>
          <w:sz w:val="18"/>
          <w:szCs w:val="20"/>
          <w:rtl/>
        </w:rPr>
        <w:t xml:space="preserve"> (עמ' 180</w:t>
      </w:r>
      <w:r w:rsidRPr="00EB3F46">
        <w:rPr>
          <w:rFonts w:ascii="Georgia" w:hAnsi="Georgia"/>
          <w:sz w:val="18"/>
          <w:szCs w:val="20"/>
          <w:shd w:val="clear" w:color="auto" w:fill="FFFFFF"/>
          <w:rtl/>
        </w:rPr>
        <w:t xml:space="preserve">–196). </w:t>
      </w:r>
      <w:r w:rsidRPr="00EB3F46">
        <w:rPr>
          <w:rFonts w:ascii="Georgia" w:hAnsi="Georgia"/>
          <w:sz w:val="18"/>
          <w:szCs w:val="20"/>
          <w:rtl/>
        </w:rPr>
        <w:t xml:space="preserve">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77FE1216" w14:textId="77777777" w:rsidR="00EB3F46" w:rsidRPr="00EB3F46" w:rsidRDefault="00EB3F46" w:rsidP="00F56BAD">
      <w:pPr>
        <w:spacing w:after="120"/>
        <w:ind w:left="397" w:hanging="397"/>
        <w:jc w:val="both"/>
        <w:rPr>
          <w:rFonts w:ascii="Georgia" w:hAnsi="Georgia"/>
          <w:sz w:val="18"/>
          <w:szCs w:val="20"/>
        </w:rPr>
      </w:pPr>
      <w:r w:rsidRPr="00EB3F46">
        <w:rPr>
          <w:rFonts w:ascii="Georgia" w:hAnsi="Georgia"/>
          <w:sz w:val="18"/>
          <w:szCs w:val="20"/>
          <w:rtl/>
        </w:rPr>
        <w:lastRenderedPageBreak/>
        <w:t xml:space="preserve">טל, ש' (2020, 17 במאי). רינה מצליח עוררה סערה באולפן: "יש מחלוקת אם הייתה קורונה". </w:t>
      </w:r>
      <w:r w:rsidRPr="00EB3F46">
        <w:rPr>
          <w:rFonts w:ascii="Georgia" w:hAnsi="Georgia"/>
          <w:b/>
          <w:bCs/>
          <w:sz w:val="18"/>
          <w:szCs w:val="20"/>
        </w:rPr>
        <w:t>ice</w:t>
      </w:r>
    </w:p>
    <w:p w14:paraId="6908BD04" w14:textId="77777777" w:rsidR="00EB3F46" w:rsidRPr="00EB3F46" w:rsidRDefault="00EB3F46" w:rsidP="00F56BAD">
      <w:pPr>
        <w:pStyle w:val="Bibliography"/>
        <w:spacing w:after="120" w:line="240" w:lineRule="exact"/>
        <w:ind w:left="397" w:hanging="397"/>
        <w:jc w:val="both"/>
        <w:rPr>
          <w:rFonts w:ascii="Georgia" w:hAnsi="Georgia" w:cs="David"/>
          <w:noProof/>
          <w:sz w:val="18"/>
          <w:szCs w:val="20"/>
          <w:rtl/>
        </w:rPr>
      </w:pPr>
      <w:r w:rsidRPr="00EB3F46">
        <w:rPr>
          <w:rFonts w:ascii="Georgia" w:hAnsi="Georgia" w:cs="David"/>
          <w:noProof/>
          <w:sz w:val="18"/>
          <w:szCs w:val="20"/>
          <w:rtl/>
        </w:rPr>
        <w:t xml:space="preserve">ינקו, א׳ (2020, 7 באוקטובר). אנחנו לבד במלחמה. </w:t>
      </w:r>
      <w:r w:rsidRPr="00EB3F46">
        <w:rPr>
          <w:rFonts w:ascii="Georgia" w:hAnsi="Georgia" w:cs="David"/>
          <w:b/>
          <w:bCs/>
          <w:noProof/>
          <w:sz w:val="18"/>
          <w:szCs w:val="20"/>
          <w:rtl/>
        </w:rPr>
        <w:t>ידיעות אחרונות</w:t>
      </w:r>
      <w:r w:rsidRPr="00EB3F46">
        <w:rPr>
          <w:rFonts w:ascii="Georgia" w:hAnsi="Georgia" w:cs="David"/>
          <w:noProof/>
          <w:sz w:val="18"/>
          <w:szCs w:val="20"/>
          <w:rtl/>
        </w:rPr>
        <w:t>.</w:t>
      </w:r>
    </w:p>
    <w:p w14:paraId="0F48395E"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כורזים</w:t>
      </w:r>
      <w:proofErr w:type="spellEnd"/>
      <w:r w:rsidRPr="00EB3F46">
        <w:rPr>
          <w:rFonts w:ascii="Georgia" w:hAnsi="Georgia"/>
          <w:sz w:val="18"/>
          <w:szCs w:val="20"/>
          <w:rtl/>
        </w:rPr>
        <w:t xml:space="preserve">, מ׳ וניר, ש׳ (2004). </w:t>
      </w:r>
      <w:r w:rsidRPr="00EB3F46">
        <w:rPr>
          <w:rFonts w:ascii="Georgia" w:hAnsi="Georgia"/>
          <w:b/>
          <w:bCs/>
          <w:sz w:val="18"/>
          <w:szCs w:val="20"/>
          <w:rtl/>
        </w:rPr>
        <w:t>ניתוח עיסוק של תפקיד העובד הסוציאלי לזקן במחלקה לשירותים חברתיים</w:t>
      </w:r>
      <w:r w:rsidRPr="00EB3F46">
        <w:rPr>
          <w:rFonts w:ascii="Georgia" w:hAnsi="Georgia"/>
          <w:sz w:val="18"/>
          <w:szCs w:val="20"/>
          <w:rtl/>
        </w:rPr>
        <w:t xml:space="preserve">. </w:t>
      </w:r>
      <w:proofErr w:type="spellStart"/>
      <w:r w:rsidRPr="00EB3F46">
        <w:rPr>
          <w:rFonts w:ascii="Georgia" w:hAnsi="Georgia"/>
          <w:sz w:val="18"/>
          <w:szCs w:val="20"/>
          <w:rtl/>
        </w:rPr>
        <w:t>מאיירס</w:t>
      </w:r>
      <w:proofErr w:type="spellEnd"/>
      <w:r w:rsidRPr="00EB3F46">
        <w:rPr>
          <w:rFonts w:ascii="Georgia" w:hAnsi="Georgia"/>
          <w:sz w:val="18"/>
          <w:szCs w:val="20"/>
          <w:rtl/>
        </w:rPr>
        <w:t>-ג'וינט-</w:t>
      </w:r>
      <w:proofErr w:type="spellStart"/>
      <w:r w:rsidRPr="00EB3F46">
        <w:rPr>
          <w:rFonts w:ascii="Georgia" w:hAnsi="Georgia"/>
          <w:sz w:val="18"/>
          <w:szCs w:val="20"/>
          <w:rtl/>
        </w:rPr>
        <w:t>ברוקדייל</w:t>
      </w:r>
      <w:proofErr w:type="spellEnd"/>
      <w:r w:rsidRPr="00EB3F46">
        <w:rPr>
          <w:rFonts w:ascii="Georgia" w:hAnsi="Georgia"/>
          <w:sz w:val="18"/>
          <w:szCs w:val="20"/>
          <w:rtl/>
        </w:rPr>
        <w:t xml:space="preserve">. </w:t>
      </w:r>
    </w:p>
    <w:p w14:paraId="60CD88BD"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לאור, נ', </w:t>
      </w:r>
      <w:proofErr w:type="spellStart"/>
      <w:r w:rsidRPr="00EB3F46">
        <w:rPr>
          <w:rFonts w:ascii="Georgia" w:hAnsi="Georgia"/>
          <w:sz w:val="18"/>
          <w:szCs w:val="20"/>
          <w:rtl/>
        </w:rPr>
        <w:t>אלפנט</w:t>
      </w:r>
      <w:proofErr w:type="spellEnd"/>
      <w:r w:rsidRPr="00EB3F46">
        <w:rPr>
          <w:rFonts w:ascii="Georgia" w:hAnsi="Georgia"/>
          <w:sz w:val="18"/>
          <w:szCs w:val="20"/>
          <w:rtl/>
        </w:rPr>
        <w:t xml:space="preserve"> </w:t>
      </w:r>
      <w:proofErr w:type="spellStart"/>
      <w:r w:rsidRPr="00EB3F46">
        <w:rPr>
          <w:rFonts w:ascii="Georgia" w:hAnsi="Georgia"/>
          <w:sz w:val="18"/>
          <w:szCs w:val="20"/>
          <w:rtl/>
        </w:rPr>
        <w:t>לפלר</w:t>
      </w:r>
      <w:proofErr w:type="spellEnd"/>
      <w:r w:rsidRPr="00EB3F46">
        <w:rPr>
          <w:rFonts w:ascii="Georgia" w:hAnsi="Georgia"/>
          <w:sz w:val="18"/>
          <w:szCs w:val="20"/>
          <w:rtl/>
        </w:rPr>
        <w:t xml:space="preserve">, נ' וענבר-לנקרי, ח' (2006). </w:t>
      </w:r>
      <w:r w:rsidRPr="00EB3F46">
        <w:rPr>
          <w:rFonts w:ascii="Georgia" w:hAnsi="Georgia"/>
          <w:b/>
          <w:bCs/>
          <w:noProof/>
          <w:sz w:val="18"/>
          <w:szCs w:val="20"/>
          <w:rtl/>
        </w:rPr>
        <w:t xml:space="preserve">הנעדרים והנוכחים בזמן צפיית שיא </w:t>
      </w:r>
      <w:r w:rsidRPr="00EB3F46">
        <w:rPr>
          <w:rFonts w:ascii="Georgia" w:hAnsi="Georgia"/>
          <w:sz w:val="18"/>
          <w:szCs w:val="20"/>
          <w:shd w:val="clear" w:color="auto" w:fill="FFFFFF"/>
          <w:rtl/>
        </w:rPr>
        <w:t>–</w:t>
      </w:r>
      <w:r w:rsidRPr="00EB3F46">
        <w:rPr>
          <w:rFonts w:ascii="Georgia" w:hAnsi="Georgia"/>
          <w:b/>
          <w:bCs/>
          <w:noProof/>
          <w:sz w:val="18"/>
          <w:szCs w:val="20"/>
          <w:rtl/>
        </w:rPr>
        <w:t xml:space="preserve"> מחקר מעקב: מגוון תרבותי בשידורי ערוצי הטלוויזיה המסחריים בישראל</w:t>
      </w:r>
      <w:r w:rsidRPr="00EB3F46">
        <w:rPr>
          <w:rFonts w:ascii="Georgia" w:hAnsi="Georgia"/>
          <w:sz w:val="18"/>
          <w:szCs w:val="20"/>
          <w:rtl/>
        </w:rPr>
        <w:t>. דוח מחקר. הרשות השנייה לטלוויזיה ולרדיו, ומדגם יעוץ ומחקר בע"מ.</w:t>
      </w:r>
    </w:p>
    <w:p w14:paraId="4803A056"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ליבס</w:t>
      </w:r>
      <w:proofErr w:type="spellEnd"/>
      <w:r w:rsidRPr="00EB3F46">
        <w:rPr>
          <w:rFonts w:ascii="Georgia" w:hAnsi="Georgia"/>
          <w:sz w:val="18"/>
          <w:szCs w:val="20"/>
          <w:rtl/>
        </w:rPr>
        <w:t xml:space="preserve">, ת׳ </w:t>
      </w:r>
      <w:proofErr w:type="spellStart"/>
      <w:r w:rsidRPr="00EB3F46">
        <w:rPr>
          <w:rFonts w:ascii="Georgia" w:hAnsi="Georgia"/>
          <w:sz w:val="18"/>
          <w:szCs w:val="20"/>
          <w:rtl/>
        </w:rPr>
        <w:t>וטלמון</w:t>
      </w:r>
      <w:proofErr w:type="spellEnd"/>
      <w:r w:rsidRPr="00EB3F46">
        <w:rPr>
          <w:rFonts w:ascii="Georgia" w:hAnsi="Georgia"/>
          <w:sz w:val="18"/>
          <w:szCs w:val="20"/>
          <w:rtl/>
        </w:rPr>
        <w:t>, מ׳ (עורכות) (2004).</w:t>
      </w:r>
      <w:r w:rsidRPr="00EB3F46">
        <w:rPr>
          <w:rFonts w:ascii="Georgia" w:hAnsi="Georgia"/>
          <w:b/>
          <w:bCs/>
          <w:sz w:val="18"/>
          <w:szCs w:val="20"/>
          <w:rtl/>
        </w:rPr>
        <w:t xml:space="preserve"> תקשורת כתרבות</w:t>
      </w:r>
      <w:r w:rsidRPr="00EB3F46">
        <w:rPr>
          <w:rFonts w:ascii="Georgia" w:hAnsi="Georgia"/>
          <w:sz w:val="18"/>
          <w:szCs w:val="20"/>
          <w:rtl/>
        </w:rPr>
        <w:t xml:space="preserve">. האוניברסיטה הפתוחה. </w:t>
      </w:r>
    </w:p>
    <w:p w14:paraId="4E2AEFBD" w14:textId="2EF9DF4E"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למיש</w:t>
      </w:r>
      <w:proofErr w:type="spellEnd"/>
      <w:r w:rsidRPr="00EB3F46">
        <w:rPr>
          <w:rFonts w:ascii="Georgia" w:hAnsi="Georgia"/>
          <w:sz w:val="18"/>
          <w:szCs w:val="20"/>
          <w:rtl/>
        </w:rPr>
        <w:t xml:space="preserve">, ד׳ (2006). דימויים בתקשורת. בתוך א' רם ונ' ברקוביץ (עורכים), </w:t>
      </w:r>
      <w:r w:rsidRPr="00EB3F46">
        <w:rPr>
          <w:rFonts w:ascii="Georgia" w:hAnsi="Georgia"/>
          <w:b/>
          <w:bCs/>
          <w:sz w:val="18"/>
          <w:szCs w:val="20"/>
          <w:rtl/>
        </w:rPr>
        <w:t>אי שוויון</w:t>
      </w:r>
      <w:r w:rsidRPr="00EB3F46">
        <w:rPr>
          <w:rFonts w:ascii="Georgia" w:hAnsi="Georgia"/>
          <w:sz w:val="18"/>
          <w:szCs w:val="20"/>
          <w:rtl/>
        </w:rPr>
        <w:t xml:space="preserve"> </w:t>
      </w:r>
      <w:r w:rsidR="00CA1460">
        <w:rPr>
          <w:rFonts w:ascii="Georgia" w:hAnsi="Georgia"/>
          <w:sz w:val="18"/>
          <w:szCs w:val="20"/>
          <w:rtl/>
        </w:rPr>
        <w:br/>
      </w:r>
      <w:r w:rsidRPr="00EB3F46">
        <w:rPr>
          <w:rFonts w:ascii="Georgia" w:hAnsi="Georgia"/>
          <w:sz w:val="18"/>
          <w:szCs w:val="20"/>
          <w:rtl/>
        </w:rPr>
        <w:t xml:space="preserve">(עמ' 100–107). אוניברסיטת </w:t>
      </w:r>
      <w:r w:rsidR="004F66EB" w:rsidRPr="00EB3F46">
        <w:rPr>
          <w:rFonts w:ascii="Georgia" w:hAnsi="Georgia"/>
          <w:sz w:val="18"/>
          <w:szCs w:val="20"/>
          <w:rtl/>
        </w:rPr>
        <w:t>בן</w:t>
      </w:r>
      <w:r w:rsidR="004F66EB">
        <w:rPr>
          <w:rFonts w:ascii="Georgia" w:hAnsi="Georgia" w:hint="cs"/>
          <w:sz w:val="18"/>
          <w:szCs w:val="20"/>
          <w:rtl/>
        </w:rPr>
        <w:t>-</w:t>
      </w:r>
      <w:r w:rsidRPr="00EB3F46">
        <w:rPr>
          <w:rFonts w:ascii="Georgia" w:hAnsi="Georgia"/>
          <w:sz w:val="18"/>
          <w:szCs w:val="20"/>
          <w:rtl/>
        </w:rPr>
        <w:t>גוריון</w:t>
      </w:r>
      <w:r w:rsidR="004F66EB">
        <w:rPr>
          <w:rFonts w:ascii="Georgia" w:hAnsi="Georgia" w:hint="cs"/>
          <w:sz w:val="18"/>
          <w:szCs w:val="20"/>
          <w:rtl/>
        </w:rPr>
        <w:t xml:space="preserve"> בנגב</w:t>
      </w:r>
      <w:r w:rsidRPr="00EB3F46">
        <w:rPr>
          <w:rFonts w:ascii="Georgia" w:hAnsi="Georgia"/>
          <w:sz w:val="18"/>
          <w:szCs w:val="20"/>
          <w:rtl/>
        </w:rPr>
        <w:t xml:space="preserve">. </w:t>
      </w:r>
    </w:p>
    <w:p w14:paraId="603C0019"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לצר, י' (2017, ינואר). ראי </w:t>
      </w:r>
      <w:proofErr w:type="spellStart"/>
      <w:r w:rsidRPr="00EB3F46">
        <w:rPr>
          <w:rFonts w:ascii="Georgia" w:hAnsi="Georgia"/>
          <w:sz w:val="18"/>
          <w:szCs w:val="20"/>
          <w:rtl/>
        </w:rPr>
        <w:t>ראי</w:t>
      </w:r>
      <w:proofErr w:type="spellEnd"/>
      <w:r w:rsidRPr="00EB3F46">
        <w:rPr>
          <w:rFonts w:ascii="Georgia" w:hAnsi="Georgia"/>
          <w:sz w:val="18"/>
          <w:szCs w:val="20"/>
          <w:rtl/>
        </w:rPr>
        <w:t xml:space="preserve">, היש יפה ממני? תפקיד המדיה בהתפתחות הפרעות אכילה. </w:t>
      </w:r>
      <w:r w:rsidRPr="00EB3F46">
        <w:rPr>
          <w:rFonts w:ascii="Georgia" w:hAnsi="Georgia"/>
          <w:b/>
          <w:bCs/>
          <w:sz w:val="18"/>
          <w:szCs w:val="20"/>
          <w:rtl/>
        </w:rPr>
        <w:t>דברים: כתב עת אקדמי</w:t>
      </w:r>
      <w:r w:rsidRPr="00EB3F46">
        <w:rPr>
          <w:rFonts w:ascii="Georgia" w:hAnsi="Georgia"/>
          <w:sz w:val="18"/>
          <w:szCs w:val="20"/>
          <w:rtl/>
        </w:rPr>
        <w:t>,</w:t>
      </w:r>
      <w:r w:rsidRPr="00EB3F46">
        <w:rPr>
          <w:rFonts w:ascii="Georgia" w:hAnsi="Georgia"/>
          <w:b/>
          <w:bCs/>
          <w:sz w:val="18"/>
          <w:szCs w:val="20"/>
          <w:rtl/>
        </w:rPr>
        <w:t xml:space="preserve"> </w:t>
      </w:r>
      <w:r w:rsidRPr="00EB3F46">
        <w:rPr>
          <w:rFonts w:ascii="Georgia" w:hAnsi="Georgia"/>
          <w:sz w:val="18"/>
          <w:szCs w:val="20"/>
          <w:rtl/>
        </w:rPr>
        <w:t>115–132.</w:t>
      </w:r>
    </w:p>
    <w:p w14:paraId="78DCA222"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מילס, ש׳ (2005). </w:t>
      </w:r>
      <w:r w:rsidRPr="00EB3F46">
        <w:rPr>
          <w:rFonts w:ascii="Georgia" w:hAnsi="Georgia"/>
          <w:b/>
          <w:bCs/>
          <w:sz w:val="18"/>
          <w:szCs w:val="20"/>
          <w:rtl/>
        </w:rPr>
        <w:t>מישל פוקו</w:t>
      </w:r>
      <w:r w:rsidRPr="00EB3F46">
        <w:rPr>
          <w:rFonts w:ascii="Georgia" w:hAnsi="Georgia"/>
          <w:sz w:val="18"/>
          <w:szCs w:val="20"/>
          <w:rtl/>
        </w:rPr>
        <w:t>. רסלינג.</w:t>
      </w:r>
    </w:p>
    <w:p w14:paraId="4344F780"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ספקטור-מרזל</w:t>
      </w:r>
      <w:proofErr w:type="spellEnd"/>
      <w:r w:rsidRPr="00EB3F46">
        <w:rPr>
          <w:rFonts w:ascii="Georgia" w:hAnsi="Georgia"/>
          <w:sz w:val="18"/>
          <w:szCs w:val="20"/>
          <w:rtl/>
        </w:rPr>
        <w:t xml:space="preserve">, ג׳ (2006). הזקנה הישראלית: שלושה מקורות משמעות. </w:t>
      </w:r>
      <w:r w:rsidRPr="00EB3F46">
        <w:rPr>
          <w:rFonts w:ascii="Georgia" w:hAnsi="Georgia"/>
          <w:b/>
          <w:bCs/>
          <w:sz w:val="18"/>
          <w:szCs w:val="20"/>
          <w:rtl/>
        </w:rPr>
        <w:t>גרונטולוגיה</w:t>
      </w:r>
      <w:r w:rsidRPr="00EB3F46">
        <w:rPr>
          <w:rFonts w:ascii="Georgia" w:hAnsi="Georgia"/>
          <w:sz w:val="18"/>
          <w:szCs w:val="20"/>
          <w:rtl/>
        </w:rPr>
        <w:t>,</w:t>
      </w:r>
      <w:r w:rsidRPr="00EB3F46">
        <w:rPr>
          <w:rFonts w:ascii="Georgia" w:hAnsi="Georgia"/>
          <w:b/>
          <w:bCs/>
          <w:sz w:val="18"/>
          <w:szCs w:val="20"/>
          <w:rtl/>
        </w:rPr>
        <w:t xml:space="preserve"> לג</w:t>
      </w:r>
      <w:r w:rsidRPr="00EB3F46">
        <w:rPr>
          <w:rFonts w:ascii="Georgia" w:hAnsi="Georgia"/>
          <w:sz w:val="18"/>
          <w:szCs w:val="20"/>
          <w:rtl/>
        </w:rPr>
        <w:t xml:space="preserve">(2), 11–34. </w:t>
      </w:r>
    </w:p>
    <w:p w14:paraId="47D7BACC"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ספקטור-מרזל</w:t>
      </w:r>
      <w:proofErr w:type="spellEnd"/>
      <w:r w:rsidRPr="00EB3F46">
        <w:rPr>
          <w:rFonts w:ascii="Georgia" w:hAnsi="Georgia"/>
          <w:sz w:val="18"/>
          <w:szCs w:val="20"/>
          <w:rtl/>
        </w:rPr>
        <w:t xml:space="preserve">, ג׳ (2008). </w:t>
      </w:r>
      <w:r w:rsidRPr="00EB3F46">
        <w:rPr>
          <w:rFonts w:ascii="Georgia" w:hAnsi="Georgia"/>
          <w:b/>
          <w:bCs/>
          <w:sz w:val="18"/>
          <w:szCs w:val="20"/>
          <w:rtl/>
        </w:rPr>
        <w:t>צברים לא מזדקנים</w:t>
      </w:r>
      <w:r w:rsidRPr="00EB3F46">
        <w:rPr>
          <w:rFonts w:ascii="Georgia" w:hAnsi="Georgia"/>
          <w:sz w:val="18"/>
          <w:szCs w:val="20"/>
          <w:rtl/>
        </w:rPr>
        <w:t xml:space="preserve">. מאגנס. </w:t>
      </w:r>
    </w:p>
    <w:p w14:paraId="3A260105"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shd w:val="clear" w:color="auto" w:fill="FFFFFF"/>
          <w:rtl/>
        </w:rPr>
        <w:t xml:space="preserve">ענבר, נ׳ (2013). האם קיימת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בקרב בטיפול בחולים במצב וגטטיבי? בחינת עמדות של פיזיותרפיסטים. </w:t>
      </w:r>
      <w:r w:rsidRPr="00EB3F46">
        <w:rPr>
          <w:rFonts w:ascii="Georgia" w:hAnsi="Georgia"/>
          <w:sz w:val="18"/>
          <w:szCs w:val="20"/>
          <w:rtl/>
        </w:rPr>
        <w:t xml:space="preserve">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 הבניה חברתית של הזקנה בישראל</w:t>
      </w:r>
      <w:r w:rsidRPr="00EB3F46">
        <w:rPr>
          <w:rFonts w:ascii="Georgia" w:hAnsi="Georgia"/>
          <w:sz w:val="18"/>
          <w:szCs w:val="20"/>
          <w:rtl/>
        </w:rPr>
        <w:t xml:space="preserve"> (עמ' 153–179). 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5F01FFA5"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פוקו, מ׳ (1996). </w:t>
      </w:r>
      <w:r w:rsidRPr="00EB3F46">
        <w:rPr>
          <w:rFonts w:ascii="Georgia" w:hAnsi="Georgia"/>
          <w:b/>
          <w:bCs/>
          <w:sz w:val="18"/>
          <w:szCs w:val="20"/>
          <w:rtl/>
        </w:rPr>
        <w:t>תולדות המיניות</w:t>
      </w:r>
      <w:r w:rsidRPr="00EB3F46">
        <w:rPr>
          <w:rFonts w:ascii="Georgia" w:hAnsi="Georgia"/>
          <w:sz w:val="18"/>
          <w:szCs w:val="20"/>
          <w:rtl/>
        </w:rPr>
        <w:t xml:space="preserve"> </w:t>
      </w:r>
      <w:r w:rsidRPr="00EB3F46">
        <w:rPr>
          <w:rFonts w:ascii="Georgia" w:hAnsi="Georgia"/>
          <w:sz w:val="18"/>
          <w:szCs w:val="20"/>
        </w:rPr>
        <w:t>I</w:t>
      </w:r>
      <w:r w:rsidRPr="00EB3F46">
        <w:rPr>
          <w:rFonts w:ascii="Georgia" w:hAnsi="Georgia"/>
          <w:sz w:val="18"/>
          <w:szCs w:val="20"/>
          <w:rtl/>
        </w:rPr>
        <w:t xml:space="preserve"> (תרגום: גבריאל אש). הקיבוץ המאוחד. </w:t>
      </w:r>
    </w:p>
    <w:p w14:paraId="6AB94D2F" w14:textId="77777777" w:rsidR="00EB3F46" w:rsidRPr="00EB3F46" w:rsidRDefault="00EB3F46" w:rsidP="00F56BAD">
      <w:pPr>
        <w:pStyle w:val="NormalWeb"/>
        <w:bidi/>
        <w:spacing w:before="0" w:beforeAutospacing="0" w:after="120" w:afterAutospacing="0" w:line="240" w:lineRule="exact"/>
        <w:ind w:left="397" w:hanging="397"/>
        <w:rPr>
          <w:rFonts w:ascii="Georgia" w:hAnsi="Georgia" w:cs="David"/>
          <w:sz w:val="18"/>
          <w:szCs w:val="20"/>
        </w:rPr>
      </w:pPr>
      <w:proofErr w:type="spellStart"/>
      <w:r w:rsidRPr="00EB3F46">
        <w:rPr>
          <w:rFonts w:ascii="Georgia" w:hAnsi="Georgia" w:cs="David"/>
          <w:sz w:val="18"/>
          <w:szCs w:val="20"/>
          <w:rtl/>
        </w:rPr>
        <w:t>פירסט</w:t>
      </w:r>
      <w:proofErr w:type="spellEnd"/>
      <w:r w:rsidRPr="00EB3F46">
        <w:rPr>
          <w:rFonts w:ascii="Georgia" w:hAnsi="Georgia" w:cs="David"/>
          <w:sz w:val="18"/>
          <w:szCs w:val="20"/>
          <w:rtl/>
        </w:rPr>
        <w:t xml:space="preserve">, ע׳ </w:t>
      </w:r>
      <w:proofErr w:type="spellStart"/>
      <w:r w:rsidRPr="00EB3F46">
        <w:rPr>
          <w:rFonts w:ascii="Georgia" w:hAnsi="Georgia" w:cs="David"/>
          <w:sz w:val="18"/>
          <w:szCs w:val="20"/>
          <w:rtl/>
        </w:rPr>
        <w:t>ורמר-ביאל</w:t>
      </w:r>
      <w:proofErr w:type="spellEnd"/>
      <w:r w:rsidRPr="00EB3F46">
        <w:rPr>
          <w:rFonts w:ascii="Georgia" w:hAnsi="Georgia" w:cs="David"/>
          <w:sz w:val="18"/>
          <w:szCs w:val="20"/>
          <w:rtl/>
        </w:rPr>
        <w:t xml:space="preserve">, ש' (2007). </w:t>
      </w:r>
      <w:proofErr w:type="spellStart"/>
      <w:r w:rsidRPr="00EB3F46">
        <w:rPr>
          <w:rFonts w:ascii="Georgia" w:hAnsi="Georgia" w:cs="David"/>
          <w:sz w:val="18"/>
          <w:szCs w:val="20"/>
          <w:rtl/>
        </w:rPr>
        <w:t>מ"סבאל'ה</w:t>
      </w:r>
      <w:proofErr w:type="spellEnd"/>
      <w:r w:rsidRPr="00EB3F46">
        <w:rPr>
          <w:rFonts w:ascii="Georgia" w:hAnsi="Georgia" w:cs="David"/>
          <w:sz w:val="18"/>
          <w:szCs w:val="20"/>
          <w:rtl/>
        </w:rPr>
        <w:t xml:space="preserve"> ירוק" ועד "להוריד את הזקנים מהכביש": ייצוגי זקנה בתוכנית הסָטירה "ארץ נהדרת" בתקופת הבחירות 2006. </w:t>
      </w:r>
      <w:r w:rsidRPr="00EB3F46">
        <w:rPr>
          <w:rFonts w:ascii="Georgia" w:hAnsi="Georgia" w:cs="David"/>
          <w:b/>
          <w:bCs/>
          <w:sz w:val="18"/>
          <w:szCs w:val="20"/>
          <w:rtl/>
        </w:rPr>
        <w:t>מסגרות מדיה: כתב עת ישראלי לתקשורת</w:t>
      </w:r>
      <w:r w:rsidRPr="00EB3F46">
        <w:rPr>
          <w:rFonts w:ascii="Georgia" w:hAnsi="Georgia" w:cs="David"/>
          <w:sz w:val="18"/>
          <w:szCs w:val="20"/>
          <w:rtl/>
        </w:rPr>
        <w:t xml:space="preserve">, </w:t>
      </w:r>
      <w:r w:rsidRPr="00E45C86">
        <w:rPr>
          <w:rFonts w:ascii="Georgia" w:hAnsi="Georgia" w:cs="David"/>
          <w:b/>
          <w:bCs/>
          <w:sz w:val="18"/>
          <w:szCs w:val="20"/>
          <w:rtl/>
        </w:rPr>
        <w:t>1</w:t>
      </w:r>
      <w:r w:rsidRPr="00EB3F46">
        <w:rPr>
          <w:rFonts w:ascii="Georgia" w:hAnsi="Georgia" w:cs="David"/>
          <w:sz w:val="18"/>
          <w:szCs w:val="20"/>
          <w:rtl/>
        </w:rPr>
        <w:t xml:space="preserve">, 27–60. </w:t>
      </w:r>
    </w:p>
    <w:p w14:paraId="61D2E1A8"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פלג, מ׳ </w:t>
      </w:r>
      <w:proofErr w:type="spellStart"/>
      <w:r w:rsidRPr="00EB3F46">
        <w:rPr>
          <w:rFonts w:ascii="Georgia" w:hAnsi="Georgia"/>
          <w:sz w:val="18"/>
          <w:szCs w:val="20"/>
          <w:rtl/>
        </w:rPr>
        <w:t>ואלימי</w:t>
      </w:r>
      <w:proofErr w:type="spellEnd"/>
      <w:r w:rsidRPr="00EB3F46">
        <w:rPr>
          <w:rFonts w:ascii="Georgia" w:hAnsi="Georgia"/>
          <w:sz w:val="18"/>
          <w:szCs w:val="20"/>
          <w:rtl/>
        </w:rPr>
        <w:t xml:space="preserve">, א׳ (2006). </w:t>
      </w:r>
      <w:r w:rsidRPr="00EB3F46">
        <w:rPr>
          <w:rFonts w:ascii="Georgia" w:hAnsi="Georgia"/>
          <w:b/>
          <w:bCs/>
          <w:sz w:val="18"/>
          <w:szCs w:val="20"/>
          <w:rtl/>
        </w:rPr>
        <w:t>מדינה פלסטינית: כן או לא?</w:t>
      </w:r>
      <w:r w:rsidRPr="00EB3F46">
        <w:rPr>
          <w:rFonts w:ascii="Georgia" w:hAnsi="Georgia"/>
          <w:b/>
          <w:bCs/>
          <w:sz w:val="18"/>
          <w:szCs w:val="20"/>
        </w:rPr>
        <w:t xml:space="preserve"> </w:t>
      </w:r>
      <w:r w:rsidRPr="00EB3F46">
        <w:rPr>
          <w:rFonts w:ascii="Georgia" w:hAnsi="Georgia"/>
          <w:b/>
          <w:bCs/>
          <w:sz w:val="18"/>
          <w:szCs w:val="20"/>
          <w:rtl/>
        </w:rPr>
        <w:t>מודל ניסיוני להבניית שיח ציבורי פוליטי ולקידום עיתונות שלום</w:t>
      </w:r>
      <w:r w:rsidRPr="00EB3F46">
        <w:rPr>
          <w:rFonts w:ascii="Georgia" w:hAnsi="Georgia"/>
          <w:sz w:val="18"/>
          <w:szCs w:val="20"/>
          <w:rtl/>
        </w:rPr>
        <w:t>. מכון חיים הרצוג לתקשורת חברה ופוליטיקה, אוניברסיטת תל-אביב.</w:t>
      </w:r>
    </w:p>
    <w:p w14:paraId="7227E536" w14:textId="77777777" w:rsidR="00EB3F46" w:rsidRPr="00EB3F46" w:rsidRDefault="00EB3F46" w:rsidP="00F56BAD">
      <w:pPr>
        <w:spacing w:after="120"/>
        <w:ind w:left="397" w:hanging="397"/>
        <w:jc w:val="both"/>
        <w:rPr>
          <w:rFonts w:ascii="Georgia" w:hAnsi="Georgia"/>
          <w:sz w:val="18"/>
          <w:szCs w:val="20"/>
          <w:rtl/>
        </w:rPr>
      </w:pPr>
      <w:bookmarkStart w:id="6" w:name="_Hlk63014191"/>
      <w:proofErr w:type="spellStart"/>
      <w:r w:rsidRPr="00EB3F46">
        <w:rPr>
          <w:rFonts w:ascii="Georgia" w:hAnsi="Georgia"/>
          <w:sz w:val="18"/>
          <w:szCs w:val="20"/>
          <w:rtl/>
        </w:rPr>
        <w:t>פרילוצקי</w:t>
      </w:r>
      <w:proofErr w:type="spellEnd"/>
      <w:r w:rsidRPr="00EB3F46">
        <w:rPr>
          <w:rFonts w:ascii="Georgia" w:hAnsi="Georgia"/>
          <w:sz w:val="18"/>
          <w:szCs w:val="20"/>
        </w:rPr>
        <w:t>,</w:t>
      </w:r>
      <w:r w:rsidRPr="00EB3F46">
        <w:rPr>
          <w:rFonts w:ascii="Georgia" w:hAnsi="Georgia"/>
          <w:sz w:val="18"/>
          <w:szCs w:val="20"/>
          <w:rtl/>
        </w:rPr>
        <w:t xml:space="preserve"> ד׳ וכהן</w:t>
      </w:r>
      <w:r w:rsidRPr="00EB3F46">
        <w:rPr>
          <w:rFonts w:ascii="Georgia" w:hAnsi="Georgia"/>
          <w:sz w:val="18"/>
          <w:szCs w:val="20"/>
        </w:rPr>
        <w:t>,</w:t>
      </w:r>
      <w:r w:rsidRPr="00EB3F46">
        <w:rPr>
          <w:rFonts w:ascii="Georgia" w:hAnsi="Georgia"/>
          <w:sz w:val="18"/>
          <w:szCs w:val="20"/>
          <w:rtl/>
        </w:rPr>
        <w:t xml:space="preserve"> </w:t>
      </w:r>
      <w:bookmarkEnd w:id="6"/>
      <w:r w:rsidRPr="00EB3F46">
        <w:rPr>
          <w:rFonts w:ascii="Georgia" w:hAnsi="Georgia"/>
          <w:sz w:val="18"/>
          <w:szCs w:val="20"/>
          <w:rtl/>
        </w:rPr>
        <w:t>מ׳ (2015).</w:t>
      </w:r>
      <w:r w:rsidRPr="00EB3F46">
        <w:rPr>
          <w:rFonts w:ascii="Georgia" w:hAnsi="Georgia"/>
          <w:b/>
          <w:bCs/>
          <w:sz w:val="18"/>
          <w:szCs w:val="20"/>
          <w:rtl/>
        </w:rPr>
        <w:t xml:space="preserve"> גרונטולוגיה מעשית: מבט רב מקצועי לעבודה עם זקנים</w:t>
      </w:r>
      <w:r w:rsidRPr="00EB3F46">
        <w:rPr>
          <w:rFonts w:ascii="Georgia" w:hAnsi="Georgia"/>
          <w:sz w:val="18"/>
          <w:szCs w:val="20"/>
          <w:rtl/>
        </w:rPr>
        <w:t xml:space="preserve">. אשל ג'וינט-ישראל. </w:t>
      </w:r>
    </w:p>
    <w:p w14:paraId="7F913A21" w14:textId="77777777" w:rsidR="00EB3F46" w:rsidRPr="00EB3F46" w:rsidRDefault="00EB3F46" w:rsidP="00F56BAD">
      <w:pPr>
        <w:spacing w:after="120"/>
        <w:ind w:left="397" w:hanging="397"/>
        <w:jc w:val="both"/>
        <w:rPr>
          <w:rFonts w:ascii="Georgia" w:hAnsi="Georgia"/>
          <w:b/>
          <w:bCs/>
          <w:sz w:val="18"/>
          <w:szCs w:val="20"/>
          <w:rtl/>
        </w:rPr>
      </w:pPr>
      <w:proofErr w:type="spellStart"/>
      <w:r w:rsidRPr="00EB3F46">
        <w:rPr>
          <w:rFonts w:ascii="Georgia" w:hAnsi="Georgia"/>
          <w:sz w:val="18"/>
          <w:szCs w:val="20"/>
          <w:rtl/>
        </w:rPr>
        <w:t>פרסיקו</w:t>
      </w:r>
      <w:proofErr w:type="spellEnd"/>
      <w:r w:rsidRPr="00EB3F46">
        <w:rPr>
          <w:rFonts w:ascii="Georgia" w:hAnsi="Georgia"/>
          <w:sz w:val="18"/>
          <w:szCs w:val="20"/>
          <w:rtl/>
        </w:rPr>
        <w:t xml:space="preserve">, א׳ (2020, 7 באוקטובר). כך בנו קשת ורשת את דמותו של פרובוקטור הקורונה. </w:t>
      </w:r>
      <w:r w:rsidRPr="00EB3F46">
        <w:rPr>
          <w:rFonts w:ascii="Georgia" w:hAnsi="Georgia"/>
          <w:b/>
          <w:bCs/>
          <w:sz w:val="18"/>
          <w:szCs w:val="20"/>
          <w:rtl/>
        </w:rPr>
        <w:t>העין השביעית</w:t>
      </w:r>
      <w:r w:rsidRPr="00EB3F46">
        <w:rPr>
          <w:rFonts w:ascii="Georgia" w:hAnsi="Georgia"/>
          <w:sz w:val="18"/>
          <w:szCs w:val="20"/>
          <w:rtl/>
        </w:rPr>
        <w:t xml:space="preserve">. </w:t>
      </w:r>
    </w:p>
    <w:p w14:paraId="01700B63" w14:textId="77777777" w:rsidR="00EB3F46" w:rsidRPr="00EB3F46" w:rsidRDefault="00EB3F46" w:rsidP="00F56BAD">
      <w:pPr>
        <w:spacing w:after="120"/>
        <w:ind w:left="397" w:hanging="397"/>
        <w:jc w:val="both"/>
        <w:rPr>
          <w:rFonts w:ascii="Georgia" w:hAnsi="Georgia"/>
          <w:i/>
          <w:iCs/>
          <w:sz w:val="18"/>
          <w:szCs w:val="20"/>
          <w:rtl/>
        </w:rPr>
      </w:pPr>
      <w:proofErr w:type="spellStart"/>
      <w:r w:rsidRPr="00EB3F46">
        <w:rPr>
          <w:rFonts w:ascii="Georgia" w:hAnsi="Georgia"/>
          <w:sz w:val="18"/>
          <w:szCs w:val="20"/>
          <w:rtl/>
        </w:rPr>
        <w:t>צוובנר</w:t>
      </w:r>
      <w:proofErr w:type="spellEnd"/>
      <w:r w:rsidRPr="00EB3F46">
        <w:rPr>
          <w:rFonts w:ascii="Georgia" w:hAnsi="Georgia"/>
          <w:sz w:val="18"/>
          <w:szCs w:val="20"/>
          <w:rtl/>
        </w:rPr>
        <w:t xml:space="preserve">, ש׳ (2006). </w:t>
      </w:r>
      <w:r w:rsidRPr="00EB3F46">
        <w:rPr>
          <w:rFonts w:ascii="Georgia" w:hAnsi="Georgia"/>
          <w:b/>
          <w:bCs/>
          <w:sz w:val="18"/>
          <w:szCs w:val="20"/>
          <w:rtl/>
        </w:rPr>
        <w:t>האינטרנט והגיל השלישי</w:t>
      </w:r>
      <w:r w:rsidRPr="00EB3F46">
        <w:rPr>
          <w:rFonts w:ascii="Georgia" w:hAnsi="Georgia"/>
          <w:sz w:val="18"/>
          <w:szCs w:val="20"/>
          <w:rtl/>
        </w:rPr>
        <w:t>. הכנסת, מרכז מחקר ומידע.</w:t>
      </w:r>
    </w:p>
    <w:p w14:paraId="42719122"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קוה</w:t>
      </w:r>
      <w:proofErr w:type="spellEnd"/>
      <w:r w:rsidRPr="00EB3F46">
        <w:rPr>
          <w:rFonts w:ascii="Georgia" w:hAnsi="Georgia"/>
          <w:sz w:val="18"/>
          <w:szCs w:val="20"/>
          <w:rtl/>
        </w:rPr>
        <w:t xml:space="preserve">, ג׳ (2014). </w:t>
      </w:r>
      <w:r w:rsidRPr="00EB3F46">
        <w:rPr>
          <w:rFonts w:ascii="Georgia" w:hAnsi="Georgia"/>
          <w:b/>
          <w:bCs/>
          <w:sz w:val="18"/>
          <w:szCs w:val="20"/>
          <w:rtl/>
        </w:rPr>
        <w:t xml:space="preserve">פסיכולוגיה של הזדקנות </w:t>
      </w:r>
      <w:proofErr w:type="spellStart"/>
      <w:r w:rsidRPr="00EB3F46">
        <w:rPr>
          <w:rFonts w:ascii="Georgia" w:hAnsi="Georgia"/>
          <w:b/>
          <w:bCs/>
          <w:sz w:val="18"/>
          <w:szCs w:val="20"/>
          <w:rtl/>
        </w:rPr>
        <w:t>וזיקנה</w:t>
      </w:r>
      <w:proofErr w:type="spellEnd"/>
      <w:r w:rsidRPr="00EB3F46">
        <w:rPr>
          <w:rFonts w:ascii="Georgia" w:hAnsi="Georgia"/>
          <w:sz w:val="18"/>
          <w:szCs w:val="20"/>
          <w:rtl/>
        </w:rPr>
        <w:t>. האוניברסיטה הפתוחה.</w:t>
      </w:r>
    </w:p>
    <w:p w14:paraId="19D999BA"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lastRenderedPageBreak/>
        <w:t xml:space="preserve">קורן, ח׳ (2013). </w:t>
      </w:r>
      <w:proofErr w:type="spellStart"/>
      <w:r w:rsidRPr="00EB3F46">
        <w:rPr>
          <w:rFonts w:ascii="Georgia" w:hAnsi="Georgia"/>
          <w:sz w:val="18"/>
          <w:szCs w:val="20"/>
          <w:rtl/>
        </w:rPr>
        <w:t>גילנות</w:t>
      </w:r>
      <w:proofErr w:type="spellEnd"/>
      <w:r w:rsidRPr="00EB3F46">
        <w:rPr>
          <w:rFonts w:ascii="Georgia" w:hAnsi="Georgia"/>
          <w:sz w:val="18"/>
          <w:szCs w:val="20"/>
          <w:rtl/>
        </w:rPr>
        <w:t xml:space="preserve"> מהי? הבניית המושג והגדרתו. 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 הבניה חברתית של הזקנה בישראל</w:t>
      </w:r>
      <w:r w:rsidRPr="00EB3F46">
        <w:rPr>
          <w:rFonts w:ascii="Georgia" w:hAnsi="Georgia"/>
          <w:sz w:val="18"/>
          <w:szCs w:val="20"/>
          <w:rtl/>
        </w:rPr>
        <w:t xml:space="preserve"> (עמ'</w:t>
      </w:r>
      <w:r w:rsidRPr="00EB3F46">
        <w:rPr>
          <w:rFonts w:ascii="Georgia" w:hAnsi="Georgia"/>
          <w:sz w:val="18"/>
          <w:szCs w:val="20"/>
        </w:rPr>
        <w:t xml:space="preserve"> </w:t>
      </w:r>
      <w:r w:rsidRPr="00EB3F46">
        <w:rPr>
          <w:rFonts w:ascii="Georgia" w:hAnsi="Georgia"/>
          <w:sz w:val="18"/>
          <w:szCs w:val="20"/>
          <w:rtl/>
        </w:rPr>
        <w:t xml:space="preserve">28–51). 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4BEB2161"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קמה, ע׳ (2002). אם שמים אותי על מסך, משמע אני קיים: דרכי התמודדות של הומואים עם הכחדתם הסמלית הנתפסת. </w:t>
      </w:r>
      <w:r w:rsidRPr="00EB3F46">
        <w:rPr>
          <w:rFonts w:ascii="Georgia" w:hAnsi="Georgia"/>
          <w:b/>
          <w:bCs/>
          <w:sz w:val="18"/>
          <w:szCs w:val="20"/>
          <w:rtl/>
        </w:rPr>
        <w:t>סוציולוגיה ישראלית</w:t>
      </w:r>
      <w:r w:rsidRPr="00EB3F46">
        <w:rPr>
          <w:rFonts w:ascii="Georgia" w:hAnsi="Georgia"/>
          <w:sz w:val="18"/>
          <w:szCs w:val="20"/>
          <w:rtl/>
        </w:rPr>
        <w:t xml:space="preserve">, </w:t>
      </w:r>
      <w:r w:rsidRPr="00EB3F46">
        <w:rPr>
          <w:rFonts w:ascii="Georgia" w:hAnsi="Georgia"/>
          <w:b/>
          <w:bCs/>
          <w:sz w:val="18"/>
          <w:szCs w:val="20"/>
          <w:rtl/>
        </w:rPr>
        <w:t>ד</w:t>
      </w:r>
      <w:r w:rsidRPr="00EB3F46">
        <w:rPr>
          <w:rFonts w:ascii="Georgia" w:hAnsi="Georgia"/>
          <w:sz w:val="18"/>
          <w:szCs w:val="20"/>
          <w:rtl/>
        </w:rPr>
        <w:t>(1), 143–192.</w:t>
      </w:r>
    </w:p>
    <w:p w14:paraId="166C518B" w14:textId="77777777" w:rsidR="00EB3F46" w:rsidRPr="00EB3F46" w:rsidRDefault="00EB3F46" w:rsidP="00F56BAD">
      <w:pPr>
        <w:pStyle w:val="NormalWeb"/>
        <w:bidi/>
        <w:spacing w:before="0" w:beforeAutospacing="0" w:after="120" w:afterAutospacing="0" w:line="240" w:lineRule="exact"/>
        <w:ind w:left="397" w:hanging="397"/>
        <w:rPr>
          <w:rFonts w:ascii="Georgia" w:hAnsi="Georgia" w:cs="David"/>
          <w:color w:val="000000"/>
          <w:sz w:val="18"/>
          <w:szCs w:val="20"/>
          <w:rtl/>
        </w:rPr>
      </w:pPr>
      <w:r w:rsidRPr="00EB3F46">
        <w:rPr>
          <w:rFonts w:ascii="Georgia" w:hAnsi="Georgia" w:cs="David"/>
          <w:sz w:val="18"/>
          <w:szCs w:val="20"/>
          <w:rtl/>
        </w:rPr>
        <w:t xml:space="preserve">קמה, ע' (2015). דימויים פוצעים: ייצוגי אנשים עם לקויות בתקשורת. בתוך מ' חובב, א' דובדבני וק' פלדמן (עורכים), </w:t>
      </w:r>
      <w:r w:rsidRPr="00EB3F46">
        <w:rPr>
          <w:rFonts w:ascii="Georgia" w:eastAsia="Calibri" w:hAnsi="Georgia" w:cs="David"/>
          <w:b/>
          <w:bCs/>
          <w:sz w:val="18"/>
          <w:szCs w:val="20"/>
          <w:rtl/>
        </w:rPr>
        <w:t>מהדרה להכלה: החיים בקהילה של אנשים עם מוגבלויות בישראל</w:t>
      </w:r>
      <w:r w:rsidRPr="00EB3F46">
        <w:rPr>
          <w:rFonts w:ascii="Georgia" w:hAnsi="Georgia" w:cs="David"/>
          <w:sz w:val="18"/>
          <w:szCs w:val="20"/>
          <w:rtl/>
        </w:rPr>
        <w:t xml:space="preserve"> (עמ' 181–213). כרמל.</w:t>
      </w:r>
    </w:p>
    <w:p w14:paraId="54810A07" w14:textId="77777777" w:rsidR="00EB3F46" w:rsidRPr="00EB3F46" w:rsidRDefault="00EB3F46" w:rsidP="00F56BAD">
      <w:pPr>
        <w:spacing w:after="120"/>
        <w:ind w:left="397" w:hanging="397"/>
        <w:jc w:val="both"/>
        <w:rPr>
          <w:rFonts w:ascii="Georgia" w:hAnsi="Georgia"/>
          <w:sz w:val="18"/>
          <w:szCs w:val="20"/>
          <w:rtl/>
        </w:rPr>
      </w:pPr>
      <w:r w:rsidRPr="00EB3F46">
        <w:rPr>
          <w:rFonts w:ascii="Georgia" w:hAnsi="Georgia"/>
          <w:sz w:val="18"/>
          <w:szCs w:val="20"/>
          <w:rtl/>
        </w:rPr>
        <w:t xml:space="preserve">קמה, ע' </w:t>
      </w:r>
      <w:proofErr w:type="spellStart"/>
      <w:r w:rsidRPr="00EB3F46">
        <w:rPr>
          <w:rFonts w:ascii="Georgia" w:hAnsi="Georgia"/>
          <w:sz w:val="18"/>
          <w:szCs w:val="20"/>
          <w:rtl/>
        </w:rPr>
        <w:t>ופירסט</w:t>
      </w:r>
      <w:proofErr w:type="spellEnd"/>
      <w:r w:rsidRPr="00EB3F46">
        <w:rPr>
          <w:rFonts w:ascii="Georgia" w:hAnsi="Georgia"/>
          <w:sz w:val="18"/>
          <w:szCs w:val="20"/>
          <w:rtl/>
        </w:rPr>
        <w:t xml:space="preserve">, ע' (2015). </w:t>
      </w:r>
      <w:r w:rsidRPr="00EB3F46">
        <w:rPr>
          <w:rFonts w:ascii="Georgia" w:hAnsi="Georgia"/>
          <w:b/>
          <w:bCs/>
          <w:sz w:val="18"/>
          <w:szCs w:val="20"/>
          <w:rtl/>
        </w:rPr>
        <w:t>על ההדרה: ייצוגים תקשורתיים של 'אחרים'</w:t>
      </w:r>
      <w:r w:rsidRPr="00EB3F46">
        <w:rPr>
          <w:rFonts w:ascii="Georgia" w:hAnsi="Georgia"/>
          <w:sz w:val="18"/>
          <w:szCs w:val="20"/>
          <w:rtl/>
        </w:rPr>
        <w:t>. רסלינג.</w:t>
      </w:r>
    </w:p>
    <w:p w14:paraId="756A81C9"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רבינוביץ</w:t>
      </w:r>
      <w:proofErr w:type="spellEnd"/>
      <w:r w:rsidRPr="00EB3F46">
        <w:rPr>
          <w:rFonts w:ascii="Georgia" w:hAnsi="Georgia"/>
          <w:sz w:val="18"/>
          <w:szCs w:val="20"/>
          <w:rtl/>
        </w:rPr>
        <w:t xml:space="preserve">', מ׳ (2017). </w:t>
      </w:r>
      <w:r w:rsidRPr="00EB3F46">
        <w:rPr>
          <w:rFonts w:ascii="Georgia" w:hAnsi="Georgia"/>
          <w:b/>
          <w:bCs/>
          <w:sz w:val="18"/>
          <w:szCs w:val="20"/>
          <w:rtl/>
        </w:rPr>
        <w:t>מבט אל אוכלוסיית הזקנים בתהליכי התחדשות עירונית</w:t>
      </w:r>
      <w:r w:rsidRPr="00EB3F46">
        <w:rPr>
          <w:rFonts w:ascii="Georgia" w:hAnsi="Georgia"/>
          <w:sz w:val="18"/>
          <w:szCs w:val="20"/>
          <w:rtl/>
        </w:rPr>
        <w:t>. משרד הרווחה והשירותים החברתיים ומרכז הגר, ואוניברסיטת תל-אביב.</w:t>
      </w:r>
    </w:p>
    <w:p w14:paraId="1201F4A8"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רוזין</w:t>
      </w:r>
      <w:proofErr w:type="spellEnd"/>
      <w:r w:rsidRPr="00EB3F46">
        <w:rPr>
          <w:rFonts w:ascii="Georgia" w:hAnsi="Georgia"/>
          <w:sz w:val="18"/>
          <w:szCs w:val="20"/>
          <w:rtl/>
        </w:rPr>
        <w:t>, א׳ (עורך)</w:t>
      </w:r>
      <w:r w:rsidRPr="00EB3F46">
        <w:rPr>
          <w:rFonts w:ascii="Georgia" w:hAnsi="Georgia"/>
          <w:sz w:val="18"/>
          <w:szCs w:val="20"/>
        </w:rPr>
        <w:t xml:space="preserve">(2003) </w:t>
      </w:r>
      <w:r w:rsidRPr="00EB3F46">
        <w:rPr>
          <w:rFonts w:ascii="Georgia" w:hAnsi="Georgia"/>
          <w:sz w:val="18"/>
          <w:szCs w:val="20"/>
          <w:rtl/>
        </w:rPr>
        <w:t>.</w:t>
      </w:r>
      <w:r w:rsidRPr="00EB3F46">
        <w:rPr>
          <w:rFonts w:ascii="Georgia" w:hAnsi="Georgia"/>
          <w:sz w:val="18"/>
          <w:szCs w:val="20"/>
        </w:rPr>
        <w:t xml:space="preserve"> </w:t>
      </w:r>
      <w:r w:rsidRPr="00EB3F46">
        <w:rPr>
          <w:rFonts w:ascii="Georgia" w:hAnsi="Georgia"/>
          <w:b/>
          <w:bCs/>
          <w:sz w:val="18"/>
          <w:szCs w:val="20"/>
          <w:rtl/>
        </w:rPr>
        <w:t>הזדקנות</w:t>
      </w:r>
      <w:r w:rsidRPr="00EB3F46">
        <w:rPr>
          <w:rFonts w:ascii="Georgia" w:hAnsi="Georgia"/>
          <w:b/>
          <w:bCs/>
          <w:sz w:val="18"/>
          <w:szCs w:val="20"/>
        </w:rPr>
        <w:t xml:space="preserve"> </w:t>
      </w:r>
      <w:r w:rsidRPr="00EB3F46">
        <w:rPr>
          <w:rFonts w:ascii="Georgia" w:hAnsi="Georgia"/>
          <w:b/>
          <w:bCs/>
          <w:sz w:val="18"/>
          <w:szCs w:val="20"/>
          <w:rtl/>
        </w:rPr>
        <w:t>וזקנה</w:t>
      </w:r>
      <w:r w:rsidRPr="00EB3F46">
        <w:rPr>
          <w:rFonts w:ascii="Georgia" w:hAnsi="Georgia"/>
          <w:b/>
          <w:bCs/>
          <w:sz w:val="18"/>
          <w:szCs w:val="20"/>
        </w:rPr>
        <w:t xml:space="preserve"> </w:t>
      </w:r>
      <w:r w:rsidRPr="00EB3F46">
        <w:rPr>
          <w:rFonts w:ascii="Georgia" w:hAnsi="Georgia"/>
          <w:b/>
          <w:bCs/>
          <w:sz w:val="18"/>
          <w:szCs w:val="20"/>
          <w:rtl/>
        </w:rPr>
        <w:t>בישראל</w:t>
      </w:r>
      <w:r w:rsidRPr="00EB3F46">
        <w:rPr>
          <w:rFonts w:ascii="Georgia" w:hAnsi="Georgia"/>
          <w:sz w:val="18"/>
          <w:szCs w:val="20"/>
          <w:rtl/>
        </w:rPr>
        <w:t>.</w:t>
      </w:r>
      <w:r w:rsidRPr="00EB3F46">
        <w:rPr>
          <w:rFonts w:ascii="Georgia" w:hAnsi="Georgia"/>
          <w:sz w:val="18"/>
          <w:szCs w:val="20"/>
        </w:rPr>
        <w:t xml:space="preserve"> </w:t>
      </w:r>
      <w:r w:rsidRPr="00EB3F46">
        <w:rPr>
          <w:rFonts w:ascii="Georgia" w:hAnsi="Georgia"/>
          <w:sz w:val="18"/>
          <w:szCs w:val="20"/>
          <w:rtl/>
        </w:rPr>
        <w:t>אשל.</w:t>
      </w:r>
    </w:p>
    <w:p w14:paraId="70139597" w14:textId="77777777" w:rsidR="00EB3F46" w:rsidRPr="00EB3F46" w:rsidRDefault="00EB3F46" w:rsidP="00F56BAD">
      <w:pPr>
        <w:spacing w:after="120"/>
        <w:ind w:left="397" w:hanging="397"/>
        <w:jc w:val="both"/>
        <w:rPr>
          <w:rFonts w:ascii="Georgia" w:hAnsi="Georgia"/>
          <w:sz w:val="18"/>
          <w:szCs w:val="20"/>
          <w:rtl/>
        </w:rPr>
      </w:pPr>
      <w:proofErr w:type="spellStart"/>
      <w:r w:rsidRPr="00EB3F46">
        <w:rPr>
          <w:rFonts w:ascii="Georgia" w:hAnsi="Georgia"/>
          <w:sz w:val="18"/>
          <w:szCs w:val="20"/>
          <w:rtl/>
        </w:rPr>
        <w:t>רמר-ביאל</w:t>
      </w:r>
      <w:proofErr w:type="spellEnd"/>
      <w:r w:rsidRPr="00EB3F46">
        <w:rPr>
          <w:rFonts w:ascii="Georgia" w:hAnsi="Georgia"/>
          <w:sz w:val="18"/>
          <w:szCs w:val="20"/>
          <w:rtl/>
        </w:rPr>
        <w:t xml:space="preserve">, ש׳ </w:t>
      </w:r>
      <w:proofErr w:type="spellStart"/>
      <w:r w:rsidRPr="00EB3F46">
        <w:rPr>
          <w:rFonts w:ascii="Georgia" w:hAnsi="Georgia"/>
          <w:sz w:val="18"/>
          <w:szCs w:val="20"/>
          <w:rtl/>
        </w:rPr>
        <w:t>ופירסט</w:t>
      </w:r>
      <w:proofErr w:type="spellEnd"/>
      <w:r w:rsidRPr="00EB3F46">
        <w:rPr>
          <w:rFonts w:ascii="Georgia" w:hAnsi="Georgia"/>
          <w:sz w:val="18"/>
          <w:szCs w:val="20"/>
          <w:rtl/>
        </w:rPr>
        <w:t xml:space="preserve">, ע׳ (2013). הזקוקים לתעסוקה מול הזקוקים להשגחה: </w:t>
      </w:r>
      <w:proofErr w:type="spellStart"/>
      <w:r w:rsidRPr="00EB3F46">
        <w:rPr>
          <w:rFonts w:ascii="Georgia" w:hAnsi="Georgia"/>
          <w:sz w:val="18"/>
          <w:szCs w:val="20"/>
          <w:rtl/>
        </w:rPr>
        <w:t>גילנות</w:t>
      </w:r>
      <w:proofErr w:type="spellEnd"/>
      <w:r w:rsidRPr="00EB3F46">
        <w:rPr>
          <w:rFonts w:ascii="Georgia" w:hAnsi="Georgia"/>
          <w:sz w:val="18"/>
          <w:szCs w:val="20"/>
          <w:rtl/>
        </w:rPr>
        <w:t xml:space="preserve"> בפרסומות למסגרות מגורים לגיל המבוגר. 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 הבניה חברתית של הזקנה בישראל </w:t>
      </w:r>
      <w:r w:rsidRPr="00EB3F46">
        <w:rPr>
          <w:rFonts w:ascii="Georgia" w:hAnsi="Georgia"/>
          <w:sz w:val="18"/>
          <w:szCs w:val="20"/>
          <w:rtl/>
        </w:rPr>
        <w:t xml:space="preserve">(עמ' 197–217). 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הקיבוץ המאוחד. </w:t>
      </w:r>
    </w:p>
    <w:p w14:paraId="3A5EA36A" w14:textId="77777777" w:rsidR="00EB3F46" w:rsidRPr="00EB3F46" w:rsidRDefault="00EB3F46" w:rsidP="00F56BAD">
      <w:pPr>
        <w:spacing w:after="120"/>
        <w:ind w:left="397" w:hanging="397"/>
        <w:jc w:val="both"/>
        <w:rPr>
          <w:rFonts w:ascii="Georgia" w:hAnsi="Georgia"/>
          <w:sz w:val="18"/>
          <w:szCs w:val="20"/>
          <w:shd w:val="clear" w:color="auto" w:fill="FFFFFF"/>
          <w:rtl/>
        </w:rPr>
      </w:pPr>
      <w:proofErr w:type="spellStart"/>
      <w:r w:rsidRPr="00EB3F46">
        <w:rPr>
          <w:rFonts w:ascii="Georgia" w:hAnsi="Georgia"/>
          <w:sz w:val="18"/>
          <w:szCs w:val="20"/>
          <w:shd w:val="clear" w:color="auto" w:fill="FFFFFF"/>
          <w:rtl/>
        </w:rPr>
        <w:t>שיוביץ</w:t>
      </w:r>
      <w:proofErr w:type="spellEnd"/>
      <w:r w:rsidRPr="00EB3F46">
        <w:rPr>
          <w:rFonts w:ascii="Georgia" w:hAnsi="Georgia"/>
          <w:sz w:val="18"/>
          <w:szCs w:val="20"/>
          <w:shd w:val="clear" w:color="auto" w:fill="FFFFFF"/>
          <w:rtl/>
        </w:rPr>
        <w:t xml:space="preserve">-עזרא, ש׳, איילון, ל׳ </w:t>
      </w:r>
      <w:proofErr w:type="spellStart"/>
      <w:r w:rsidRPr="00EB3F46">
        <w:rPr>
          <w:rFonts w:ascii="Georgia" w:hAnsi="Georgia"/>
          <w:sz w:val="18"/>
          <w:szCs w:val="20"/>
          <w:shd w:val="clear" w:color="auto" w:fill="FFFFFF"/>
          <w:rtl/>
        </w:rPr>
        <w:t>וברודסקי</w:t>
      </w:r>
      <w:proofErr w:type="spellEnd"/>
      <w:r w:rsidRPr="00EB3F46">
        <w:rPr>
          <w:rFonts w:ascii="Georgia" w:hAnsi="Georgia"/>
          <w:sz w:val="18"/>
          <w:szCs w:val="20"/>
          <w:shd w:val="clear" w:color="auto" w:fill="FFFFFF"/>
          <w:rtl/>
        </w:rPr>
        <w:t xml:space="preserve">, ג' (2013). </w:t>
      </w:r>
      <w:proofErr w:type="spellStart"/>
      <w:r w:rsidRPr="00EB3F46">
        <w:rPr>
          <w:rFonts w:ascii="Georgia" w:hAnsi="Georgia"/>
          <w:sz w:val="18"/>
          <w:szCs w:val="20"/>
          <w:shd w:val="clear" w:color="auto" w:fill="FFFFFF"/>
          <w:rtl/>
        </w:rPr>
        <w:t>גילנות</w:t>
      </w:r>
      <w:proofErr w:type="spellEnd"/>
      <w:r w:rsidRPr="00EB3F46">
        <w:rPr>
          <w:rFonts w:ascii="Georgia" w:hAnsi="Georgia"/>
          <w:sz w:val="18"/>
          <w:szCs w:val="20"/>
          <w:shd w:val="clear" w:color="auto" w:fill="FFFFFF"/>
          <w:rtl/>
        </w:rPr>
        <w:t xml:space="preserve"> בראי הערכה ומדידה: ממצאי סקר מקדים</w:t>
      </w:r>
      <w:r w:rsidRPr="00EB3F46">
        <w:rPr>
          <w:rFonts w:ascii="Georgia" w:hAnsi="Georgia"/>
          <w:sz w:val="18"/>
          <w:szCs w:val="20"/>
          <w:rtl/>
        </w:rPr>
        <w:t xml:space="preserve">. בתוך י' דורון (עורך), </w:t>
      </w:r>
      <w:proofErr w:type="spellStart"/>
      <w:r w:rsidRPr="00EB3F46">
        <w:rPr>
          <w:rFonts w:ascii="Georgia" w:hAnsi="Georgia"/>
          <w:b/>
          <w:bCs/>
          <w:sz w:val="18"/>
          <w:szCs w:val="20"/>
          <w:rtl/>
        </w:rPr>
        <w:t>גילנות</w:t>
      </w:r>
      <w:proofErr w:type="spellEnd"/>
      <w:r w:rsidRPr="00EB3F46">
        <w:rPr>
          <w:rFonts w:ascii="Georgia" w:hAnsi="Georgia"/>
          <w:b/>
          <w:bCs/>
          <w:sz w:val="18"/>
          <w:szCs w:val="20"/>
          <w:rtl/>
        </w:rPr>
        <w:t xml:space="preserve"> בחברה הישראלית: הבניה חברתית של הזקנה בישראל</w:t>
      </w:r>
      <w:r w:rsidRPr="00EB3F46">
        <w:rPr>
          <w:rFonts w:ascii="Georgia" w:hAnsi="Georgia"/>
          <w:sz w:val="18"/>
          <w:szCs w:val="20"/>
          <w:rtl/>
        </w:rPr>
        <w:t xml:space="preserve"> (עמ' 97–131). מכון </w:t>
      </w:r>
      <w:proofErr w:type="spellStart"/>
      <w:r w:rsidRPr="00EB3F46">
        <w:rPr>
          <w:rFonts w:ascii="Georgia" w:hAnsi="Georgia"/>
          <w:sz w:val="18"/>
          <w:szCs w:val="20"/>
          <w:rtl/>
        </w:rPr>
        <w:t>ון</w:t>
      </w:r>
      <w:proofErr w:type="spellEnd"/>
      <w:r w:rsidRPr="00EB3F46">
        <w:rPr>
          <w:rFonts w:ascii="Georgia" w:hAnsi="Georgia"/>
          <w:sz w:val="18"/>
          <w:szCs w:val="20"/>
          <w:rtl/>
        </w:rPr>
        <w:t xml:space="preserve"> ליר והקיבוץ המאוחד. </w:t>
      </w:r>
    </w:p>
    <w:p w14:paraId="5BAFE02A" w14:textId="77777777" w:rsidR="00EB3F46" w:rsidRPr="00EB3F46" w:rsidRDefault="00EB3F46" w:rsidP="00F56BAD">
      <w:pPr>
        <w:pStyle w:val="Bibliography"/>
        <w:spacing w:after="120" w:line="240" w:lineRule="exact"/>
        <w:ind w:left="397" w:hanging="397"/>
        <w:jc w:val="both"/>
        <w:rPr>
          <w:rFonts w:ascii="Georgia" w:hAnsi="Georgia" w:cs="David"/>
          <w:b/>
          <w:bCs/>
          <w:noProof/>
          <w:sz w:val="18"/>
          <w:szCs w:val="20"/>
          <w:rtl/>
        </w:rPr>
      </w:pPr>
      <w:r w:rsidRPr="00EB3F46">
        <w:rPr>
          <w:rFonts w:ascii="Georgia" w:hAnsi="Georgia" w:cs="David"/>
          <w:noProof/>
          <w:sz w:val="18"/>
          <w:szCs w:val="20"/>
          <w:rtl/>
        </w:rPr>
        <w:t xml:space="preserve">שלום, ע׳ (2020, 12 ביוני). בודדים ועריריים מבלי שאיש מבחין בהיעדרם. </w:t>
      </w:r>
      <w:r w:rsidRPr="00EB3F46">
        <w:rPr>
          <w:rFonts w:ascii="Georgia" w:hAnsi="Georgia" w:cs="David"/>
          <w:b/>
          <w:bCs/>
          <w:noProof/>
          <w:sz w:val="18"/>
          <w:szCs w:val="20"/>
          <w:rtl/>
        </w:rPr>
        <w:t>ידיעות אחרונות</w:t>
      </w:r>
      <w:r w:rsidRPr="00EB3F46">
        <w:rPr>
          <w:rFonts w:ascii="Georgia" w:hAnsi="Georgia" w:cs="David"/>
          <w:noProof/>
          <w:sz w:val="18"/>
          <w:szCs w:val="20"/>
          <w:rtl/>
        </w:rPr>
        <w:t>.</w:t>
      </w:r>
    </w:p>
    <w:p w14:paraId="0537901D" w14:textId="389A40B5" w:rsidR="00EB3F46" w:rsidRPr="00F56BAD" w:rsidRDefault="00EB3F46" w:rsidP="00F56BAD">
      <w:pPr>
        <w:shd w:val="clear" w:color="auto" w:fill="FFFFFF"/>
        <w:bidi w:val="0"/>
        <w:spacing w:after="120"/>
        <w:ind w:left="397" w:hanging="397"/>
        <w:jc w:val="both"/>
        <w:rPr>
          <w:rStyle w:val="Hyperlink"/>
          <w:rFonts w:ascii="Georgia" w:hAnsi="Georgia"/>
          <w:color w:val="auto"/>
          <w:sz w:val="18"/>
          <w:szCs w:val="18"/>
          <w:shd w:val="clear" w:color="auto" w:fill="FFFFFF"/>
        </w:rPr>
      </w:pPr>
      <w:r w:rsidRPr="00F56BAD">
        <w:rPr>
          <w:rFonts w:ascii="Georgia" w:hAnsi="Georgia"/>
          <w:sz w:val="18"/>
          <w:szCs w:val="18"/>
          <w:shd w:val="clear" w:color="auto" w:fill="FFFFFF"/>
        </w:rPr>
        <w:t>Butler, R. N. (19</w:t>
      </w:r>
      <w:r w:rsidR="004F66EB" w:rsidRPr="00F56BAD">
        <w:rPr>
          <w:rFonts w:ascii="Georgia" w:hAnsi="Georgia"/>
          <w:sz w:val="18"/>
          <w:szCs w:val="18"/>
          <w:shd w:val="clear" w:color="auto" w:fill="FFFFFF"/>
        </w:rPr>
        <w:t>69</w:t>
      </w:r>
      <w:r w:rsidRPr="00F56BAD">
        <w:rPr>
          <w:rFonts w:ascii="Georgia" w:hAnsi="Georgia"/>
          <w:sz w:val="18"/>
          <w:szCs w:val="18"/>
          <w:shd w:val="clear" w:color="auto" w:fill="FFFFFF"/>
        </w:rPr>
        <w:t>). Age-</w:t>
      </w:r>
      <w:r w:rsidRPr="00F56BAD">
        <w:rPr>
          <w:rFonts w:ascii="Georgia" w:hAnsi="Georgia"/>
          <w:spacing w:val="-2"/>
          <w:sz w:val="18"/>
          <w:szCs w:val="18"/>
        </w:rPr>
        <w:t xml:space="preserve">ism: Another form of bigotry. </w:t>
      </w:r>
      <w:r w:rsidRPr="00F56BAD">
        <w:rPr>
          <w:rFonts w:ascii="Georgia" w:hAnsi="Georgia"/>
          <w:i/>
          <w:iCs/>
          <w:spacing w:val="-2"/>
          <w:sz w:val="18"/>
          <w:szCs w:val="18"/>
        </w:rPr>
        <w:t>Gerontologist</w:t>
      </w:r>
      <w:r w:rsidRPr="00F56BAD">
        <w:rPr>
          <w:rFonts w:ascii="Georgia" w:hAnsi="Georgia"/>
          <w:spacing w:val="-2"/>
          <w:sz w:val="18"/>
          <w:szCs w:val="18"/>
          <w:shd w:val="clear" w:color="auto" w:fill="FFFFFF"/>
        </w:rPr>
        <w:t xml:space="preserve">, </w:t>
      </w:r>
      <w:r w:rsidRPr="00F56BAD">
        <w:rPr>
          <w:rFonts w:ascii="Georgia" w:hAnsi="Georgia"/>
          <w:i/>
          <w:iCs/>
          <w:spacing w:val="-2"/>
          <w:sz w:val="18"/>
          <w:szCs w:val="18"/>
          <w:shd w:val="clear" w:color="auto" w:fill="FFFFFF"/>
        </w:rPr>
        <w:t>9</w:t>
      </w:r>
      <w:r w:rsidRPr="00F56BAD">
        <w:rPr>
          <w:rFonts w:ascii="Georgia" w:hAnsi="Georgia"/>
          <w:spacing w:val="-2"/>
          <w:sz w:val="18"/>
          <w:szCs w:val="18"/>
          <w:shd w:val="clear" w:color="auto" w:fill="FFFFFF"/>
        </w:rPr>
        <w:t>(4, part 1),</w:t>
      </w:r>
      <w:r w:rsidRPr="00F56BAD">
        <w:rPr>
          <w:rFonts w:ascii="Georgia" w:hAnsi="Georgia"/>
          <w:sz w:val="18"/>
          <w:szCs w:val="18"/>
          <w:shd w:val="clear" w:color="auto" w:fill="FFFFFF"/>
        </w:rPr>
        <w:t xml:space="preserve"> 243</w:t>
      </w:r>
      <w:r w:rsidRPr="00F56BAD">
        <w:rPr>
          <w:rFonts w:ascii="Georgia" w:hAnsi="Georgia"/>
          <w:sz w:val="18"/>
          <w:szCs w:val="18"/>
        </w:rPr>
        <w:t>–</w:t>
      </w:r>
      <w:r w:rsidRPr="00F56BAD">
        <w:rPr>
          <w:rFonts w:ascii="Georgia" w:hAnsi="Georgia"/>
          <w:sz w:val="18"/>
          <w:szCs w:val="18"/>
          <w:shd w:val="clear" w:color="auto" w:fill="FFFFFF"/>
        </w:rPr>
        <w:t>246.</w:t>
      </w:r>
      <w:r w:rsidRPr="00F56BAD">
        <w:rPr>
          <w:rFonts w:ascii="Georgia" w:hAnsi="Georgia"/>
          <w:sz w:val="18"/>
          <w:szCs w:val="18"/>
        </w:rPr>
        <w:t xml:space="preserve"> </w:t>
      </w:r>
      <w:hyperlink r:id="rId26" w:history="1">
        <w:r w:rsidRPr="00F56BAD">
          <w:rPr>
            <w:rStyle w:val="Hyperlink"/>
            <w:rFonts w:ascii="Georgia" w:hAnsi="Georgia"/>
            <w:color w:val="auto"/>
            <w:sz w:val="18"/>
            <w:szCs w:val="18"/>
            <w:shd w:val="clear" w:color="auto" w:fill="FFFFFF"/>
          </w:rPr>
          <w:t>https://doi.org/10.1093/geront/9.4_Part_1.243</w:t>
        </w:r>
      </w:hyperlink>
    </w:p>
    <w:p w14:paraId="3FA06EBE" w14:textId="3406D0DE" w:rsidR="00EB3F46" w:rsidRPr="00F56BAD" w:rsidRDefault="00EB3F46" w:rsidP="00F56BAD">
      <w:pPr>
        <w:bidi w:val="0"/>
        <w:spacing w:after="120"/>
        <w:ind w:left="397" w:hanging="397"/>
        <w:jc w:val="both"/>
        <w:rPr>
          <w:rFonts w:ascii="Georgia" w:hAnsi="Georgia"/>
          <w:b/>
          <w:bCs/>
          <w:sz w:val="18"/>
          <w:szCs w:val="18"/>
        </w:rPr>
      </w:pPr>
      <w:r w:rsidRPr="00F56BAD">
        <w:rPr>
          <w:rFonts w:ascii="Georgia" w:hAnsi="Georgia"/>
          <w:sz w:val="18"/>
          <w:szCs w:val="18"/>
          <w:shd w:val="clear" w:color="auto" w:fill="FFFFFF"/>
        </w:rPr>
        <w:t>Cooley</w:t>
      </w:r>
      <w:r w:rsidR="00A24786" w:rsidRPr="00F56BAD">
        <w:rPr>
          <w:rFonts w:ascii="Georgia" w:hAnsi="Georgia"/>
          <w:sz w:val="18"/>
          <w:szCs w:val="18"/>
          <w:shd w:val="clear" w:color="auto" w:fill="FFFFFF"/>
        </w:rPr>
        <w:t>,</w:t>
      </w:r>
      <w:r w:rsidRPr="00F56BAD">
        <w:rPr>
          <w:rFonts w:ascii="Georgia" w:hAnsi="Georgia"/>
          <w:sz w:val="18"/>
          <w:szCs w:val="18"/>
          <w:shd w:val="clear" w:color="auto" w:fill="FFFFFF"/>
        </w:rPr>
        <w:t xml:space="preserve"> H. C. (1902). </w:t>
      </w:r>
      <w:r w:rsidRPr="00F56BAD">
        <w:rPr>
          <w:rFonts w:ascii="Georgia" w:hAnsi="Georgia"/>
          <w:i/>
          <w:iCs/>
          <w:sz w:val="18"/>
          <w:szCs w:val="18"/>
        </w:rPr>
        <w:t>Human nature and the social order</w:t>
      </w:r>
      <w:r w:rsidRPr="00F56BAD">
        <w:rPr>
          <w:rFonts w:ascii="Georgia" w:hAnsi="Georgia"/>
          <w:sz w:val="18"/>
          <w:szCs w:val="18"/>
          <w:shd w:val="clear" w:color="auto" w:fill="FFFFFF"/>
        </w:rPr>
        <w:t>. Charles Scribner's Sons.</w:t>
      </w:r>
    </w:p>
    <w:p w14:paraId="08C5506F" w14:textId="18A7DCA4" w:rsidR="00EB3F46" w:rsidRPr="00F56BAD" w:rsidRDefault="00EB3F46" w:rsidP="00F56BAD">
      <w:pPr>
        <w:bidi w:val="0"/>
        <w:spacing w:after="120"/>
        <w:ind w:left="397" w:hanging="397"/>
        <w:jc w:val="both"/>
        <w:rPr>
          <w:rFonts w:ascii="Georgia" w:hAnsi="Georgia"/>
          <w:sz w:val="18"/>
          <w:szCs w:val="18"/>
        </w:rPr>
      </w:pPr>
      <w:proofErr w:type="spellStart"/>
      <w:r w:rsidRPr="00F56BAD">
        <w:rPr>
          <w:rFonts w:ascii="Georgia" w:hAnsi="Georgia"/>
          <w:sz w:val="18"/>
          <w:szCs w:val="18"/>
        </w:rPr>
        <w:t>Gurevitch</w:t>
      </w:r>
      <w:proofErr w:type="spellEnd"/>
      <w:r w:rsidRPr="00F56BAD">
        <w:rPr>
          <w:rFonts w:ascii="Georgia" w:hAnsi="Georgia"/>
          <w:sz w:val="18"/>
          <w:szCs w:val="18"/>
        </w:rPr>
        <w:t>, M.</w:t>
      </w:r>
      <w:r w:rsidR="00A24786" w:rsidRPr="00F56BAD">
        <w:rPr>
          <w:rFonts w:ascii="Georgia" w:hAnsi="Georgia"/>
          <w:sz w:val="18"/>
          <w:szCs w:val="18"/>
        </w:rPr>
        <w:t>,</w:t>
      </w:r>
      <w:r w:rsidR="007B28CA" w:rsidRPr="00F56BAD">
        <w:rPr>
          <w:rFonts w:ascii="Georgia" w:hAnsi="Georgia"/>
          <w:sz w:val="18"/>
          <w:szCs w:val="18"/>
        </w:rPr>
        <w:t xml:space="preserve"> &amp;</w:t>
      </w:r>
      <w:r w:rsidRPr="00F56BAD">
        <w:rPr>
          <w:rFonts w:ascii="Georgia" w:hAnsi="Georgia"/>
          <w:sz w:val="18"/>
          <w:szCs w:val="18"/>
        </w:rPr>
        <w:t xml:space="preserve"> Levy,</w:t>
      </w:r>
      <w:r w:rsidRPr="00F56BAD">
        <w:rPr>
          <w:rFonts w:ascii="Georgia" w:hAnsi="Georgia"/>
          <w:sz w:val="18"/>
          <w:szCs w:val="18"/>
          <w:rtl/>
        </w:rPr>
        <w:t xml:space="preserve"> </w:t>
      </w:r>
      <w:r w:rsidRPr="00F56BAD">
        <w:rPr>
          <w:rFonts w:ascii="Georgia" w:hAnsi="Georgia"/>
          <w:sz w:val="18"/>
          <w:szCs w:val="18"/>
        </w:rPr>
        <w:t xml:space="preserve">M. (1985). </w:t>
      </w:r>
      <w:r w:rsidRPr="00F56BAD">
        <w:rPr>
          <w:rFonts w:ascii="Georgia" w:hAnsi="Georgia"/>
          <w:i/>
          <w:iCs/>
          <w:sz w:val="18"/>
          <w:szCs w:val="18"/>
        </w:rPr>
        <w:t>Mass communication review yearbook 5</w:t>
      </w:r>
      <w:r w:rsidRPr="00F56BAD">
        <w:rPr>
          <w:rFonts w:ascii="Georgia" w:hAnsi="Georgia"/>
          <w:sz w:val="18"/>
          <w:szCs w:val="18"/>
          <w:rtl/>
        </w:rPr>
        <w:t>.</w:t>
      </w:r>
      <w:r w:rsidRPr="00F56BAD">
        <w:rPr>
          <w:rFonts w:ascii="Georgia" w:hAnsi="Georgia"/>
          <w:sz w:val="18"/>
          <w:szCs w:val="18"/>
        </w:rPr>
        <w:t xml:space="preserve"> Sage.</w:t>
      </w:r>
    </w:p>
    <w:p w14:paraId="14AB6AE6" w14:textId="4BFF7F87" w:rsidR="00EB3F46" w:rsidRPr="00F56BAD" w:rsidRDefault="00EB3F46" w:rsidP="00F56BAD">
      <w:pPr>
        <w:bidi w:val="0"/>
        <w:spacing w:after="120"/>
        <w:ind w:left="397" w:hanging="397"/>
        <w:jc w:val="both"/>
        <w:rPr>
          <w:rFonts w:ascii="Georgia" w:hAnsi="Georgia"/>
          <w:sz w:val="18"/>
          <w:szCs w:val="18"/>
        </w:rPr>
      </w:pPr>
      <w:r w:rsidRPr="00F56BAD">
        <w:rPr>
          <w:rFonts w:ascii="Georgia" w:hAnsi="Georgia"/>
          <w:sz w:val="18"/>
          <w:szCs w:val="18"/>
        </w:rPr>
        <w:t>Moody</w:t>
      </w:r>
      <w:r w:rsidR="00A24786" w:rsidRPr="00F56BAD">
        <w:rPr>
          <w:rFonts w:ascii="Georgia" w:hAnsi="Georgia"/>
          <w:sz w:val="18"/>
          <w:szCs w:val="18"/>
        </w:rPr>
        <w:t>,</w:t>
      </w:r>
      <w:r w:rsidRPr="00F56BAD">
        <w:rPr>
          <w:rFonts w:ascii="Georgia" w:hAnsi="Georgia"/>
          <w:sz w:val="18"/>
          <w:szCs w:val="18"/>
        </w:rPr>
        <w:t xml:space="preserve"> H. R. (2001). Who's afraid of life extension? A gerontologist's inner dialogue as advocate and opponent. </w:t>
      </w:r>
      <w:r w:rsidRPr="00F56BAD">
        <w:rPr>
          <w:rFonts w:ascii="Georgia" w:hAnsi="Georgia"/>
          <w:i/>
          <w:iCs/>
          <w:sz w:val="18"/>
          <w:szCs w:val="18"/>
        </w:rPr>
        <w:t xml:space="preserve">Generations: American </w:t>
      </w:r>
      <w:r w:rsidR="00A24786" w:rsidRPr="00F56BAD">
        <w:rPr>
          <w:rFonts w:ascii="Georgia" w:hAnsi="Georgia"/>
          <w:i/>
          <w:iCs/>
          <w:sz w:val="18"/>
          <w:szCs w:val="18"/>
        </w:rPr>
        <w:t>S</w:t>
      </w:r>
      <w:r w:rsidRPr="00F56BAD">
        <w:rPr>
          <w:rFonts w:ascii="Georgia" w:hAnsi="Georgia"/>
          <w:i/>
          <w:iCs/>
          <w:sz w:val="18"/>
          <w:szCs w:val="18"/>
        </w:rPr>
        <w:t xml:space="preserve">ociety on </w:t>
      </w:r>
      <w:r w:rsidR="00A24786" w:rsidRPr="00F56BAD">
        <w:rPr>
          <w:rFonts w:ascii="Georgia" w:hAnsi="Georgia"/>
          <w:i/>
          <w:iCs/>
          <w:sz w:val="18"/>
          <w:szCs w:val="18"/>
        </w:rPr>
        <w:t>A</w:t>
      </w:r>
      <w:r w:rsidRPr="00F56BAD">
        <w:rPr>
          <w:rFonts w:ascii="Georgia" w:hAnsi="Georgia"/>
          <w:i/>
          <w:iCs/>
          <w:sz w:val="18"/>
          <w:szCs w:val="18"/>
        </w:rPr>
        <w:t>ging</w:t>
      </w:r>
      <w:r w:rsidRPr="00F56BAD">
        <w:rPr>
          <w:rFonts w:ascii="Georgia" w:hAnsi="Georgia"/>
          <w:sz w:val="18"/>
          <w:szCs w:val="18"/>
        </w:rPr>
        <w:t>,</w:t>
      </w:r>
      <w:r w:rsidRPr="00F56BAD">
        <w:rPr>
          <w:rFonts w:ascii="Georgia" w:hAnsi="Georgia"/>
          <w:i/>
          <w:iCs/>
          <w:sz w:val="18"/>
          <w:szCs w:val="18"/>
        </w:rPr>
        <w:t xml:space="preserve"> 25</w:t>
      </w:r>
      <w:r w:rsidRPr="00F56BAD">
        <w:rPr>
          <w:rFonts w:ascii="Georgia" w:hAnsi="Georgia"/>
          <w:sz w:val="18"/>
          <w:szCs w:val="18"/>
        </w:rPr>
        <w:t xml:space="preserve">(4), 33–37. </w:t>
      </w:r>
    </w:p>
    <w:p w14:paraId="452A8638" w14:textId="4FB4CCE2" w:rsidR="00673493" w:rsidRPr="00F56BAD" w:rsidRDefault="00EB3F46" w:rsidP="00F56BAD">
      <w:pPr>
        <w:bidi w:val="0"/>
        <w:ind w:left="397" w:hanging="397"/>
        <w:jc w:val="both"/>
        <w:rPr>
          <w:rFonts w:ascii="Georgia" w:hAnsi="Georgia"/>
          <w:sz w:val="18"/>
          <w:szCs w:val="18"/>
          <w:rtl/>
        </w:rPr>
      </w:pPr>
      <w:proofErr w:type="spellStart"/>
      <w:r w:rsidRPr="00F56BAD">
        <w:rPr>
          <w:rStyle w:val="reference-text"/>
          <w:rFonts w:ascii="Georgia" w:hAnsi="Georgia"/>
          <w:sz w:val="18"/>
          <w:szCs w:val="18"/>
          <w:shd w:val="clear" w:color="auto" w:fill="FFFFFF"/>
        </w:rPr>
        <w:t>Shmotkin</w:t>
      </w:r>
      <w:proofErr w:type="spellEnd"/>
      <w:r w:rsidRPr="00F56BAD">
        <w:rPr>
          <w:rStyle w:val="reference-text"/>
          <w:rFonts w:ascii="Georgia" w:hAnsi="Georgia"/>
          <w:sz w:val="18"/>
          <w:szCs w:val="18"/>
          <w:shd w:val="clear" w:color="auto" w:fill="FFFFFF"/>
        </w:rPr>
        <w:t xml:space="preserve">, D., </w:t>
      </w:r>
      <w:proofErr w:type="spellStart"/>
      <w:r w:rsidRPr="00F56BAD">
        <w:rPr>
          <w:rStyle w:val="reference-text"/>
          <w:rFonts w:ascii="Georgia" w:hAnsi="Georgia"/>
          <w:sz w:val="18"/>
          <w:szCs w:val="18"/>
        </w:rPr>
        <w:t>Shrira</w:t>
      </w:r>
      <w:proofErr w:type="spellEnd"/>
      <w:r w:rsidRPr="00F56BAD">
        <w:rPr>
          <w:rStyle w:val="reference-text"/>
          <w:rFonts w:ascii="Georgia" w:hAnsi="Georgia"/>
          <w:sz w:val="18"/>
          <w:szCs w:val="18"/>
        </w:rPr>
        <w:t xml:space="preserve">, A., </w:t>
      </w:r>
      <w:proofErr w:type="spellStart"/>
      <w:r w:rsidRPr="00F56BAD">
        <w:rPr>
          <w:rStyle w:val="reference-text"/>
          <w:rFonts w:ascii="Georgia" w:hAnsi="Georgia"/>
          <w:sz w:val="18"/>
          <w:szCs w:val="18"/>
        </w:rPr>
        <w:t>Eyal</w:t>
      </w:r>
      <w:proofErr w:type="spellEnd"/>
      <w:r w:rsidRPr="00F56BAD">
        <w:rPr>
          <w:rStyle w:val="reference-text"/>
          <w:rFonts w:ascii="Georgia" w:hAnsi="Georgia"/>
          <w:sz w:val="18"/>
          <w:szCs w:val="18"/>
        </w:rPr>
        <w:t xml:space="preserve">, N., Blumstein, T., &amp; </w:t>
      </w:r>
      <w:proofErr w:type="spellStart"/>
      <w:r w:rsidRPr="00F56BAD">
        <w:rPr>
          <w:rStyle w:val="reference-text"/>
          <w:rFonts w:ascii="Georgia" w:hAnsi="Georgia"/>
          <w:sz w:val="18"/>
          <w:szCs w:val="18"/>
        </w:rPr>
        <w:t>Shorek</w:t>
      </w:r>
      <w:proofErr w:type="spellEnd"/>
      <w:r w:rsidRPr="00F56BAD">
        <w:rPr>
          <w:rStyle w:val="reference-text"/>
          <w:rFonts w:ascii="Georgia" w:hAnsi="Georgia"/>
          <w:sz w:val="18"/>
          <w:szCs w:val="18"/>
        </w:rPr>
        <w:t>, A.</w:t>
      </w:r>
      <w:r w:rsidRPr="00F56BAD">
        <w:rPr>
          <w:rStyle w:val="reference-text"/>
          <w:rFonts w:ascii="Georgia" w:hAnsi="Georgia"/>
          <w:sz w:val="18"/>
          <w:szCs w:val="18"/>
          <w:shd w:val="clear" w:color="auto" w:fill="FFFFFF"/>
        </w:rPr>
        <w:t xml:space="preserve"> (2014).</w:t>
      </w:r>
      <w:r w:rsidRPr="00F56BAD">
        <w:rPr>
          <w:rStyle w:val="reference-text"/>
          <w:rFonts w:ascii="Georgia" w:hAnsi="Georgia"/>
          <w:sz w:val="18"/>
          <w:szCs w:val="18"/>
        </w:rPr>
        <w:t xml:space="preserve"> The prediction of</w:t>
      </w:r>
      <w:r w:rsidRPr="00F56BAD">
        <w:rPr>
          <w:rFonts w:ascii="Georgia" w:hAnsi="Georgia"/>
          <w:sz w:val="18"/>
          <w:szCs w:val="18"/>
          <w:shd w:val="clear" w:color="auto" w:fill="FFFFFF"/>
        </w:rPr>
        <w:t xml:space="preserve"> subjective wellness among the old: Implications for the </w:t>
      </w:r>
      <w:r w:rsidR="007B28CA" w:rsidRPr="00F56BAD">
        <w:rPr>
          <w:rFonts w:ascii="Georgia" w:hAnsi="Georgia"/>
          <w:sz w:val="18"/>
          <w:szCs w:val="18"/>
          <w:shd w:val="clear" w:color="auto" w:fill="FFFFFF"/>
        </w:rPr>
        <w:br/>
      </w:r>
      <w:r w:rsidRPr="00F56BAD">
        <w:rPr>
          <w:rFonts w:ascii="Georgia" w:hAnsi="Georgia"/>
          <w:sz w:val="18"/>
          <w:szCs w:val="18"/>
          <w:shd w:val="clear" w:color="auto" w:fill="FFFFFF"/>
        </w:rPr>
        <w:t>“fourth-age” conception</w:t>
      </w:r>
      <w:r w:rsidRPr="00F56BAD">
        <w:rPr>
          <w:rStyle w:val="reference-text"/>
          <w:rFonts w:ascii="Georgia" w:hAnsi="Georgia"/>
          <w:sz w:val="18"/>
          <w:szCs w:val="18"/>
          <w:shd w:val="clear" w:color="auto" w:fill="FFFFFF"/>
        </w:rPr>
        <w:t>.</w:t>
      </w:r>
      <w:r w:rsidR="00A15C6E" w:rsidRPr="00F56BAD">
        <w:rPr>
          <w:rStyle w:val="reference-text"/>
          <w:rFonts w:ascii="Georgia" w:hAnsi="Georgia"/>
          <w:sz w:val="18"/>
          <w:szCs w:val="18"/>
          <w:shd w:val="clear" w:color="auto" w:fill="FFFFFF"/>
        </w:rPr>
        <w:t xml:space="preserve"> </w:t>
      </w:r>
      <w:r w:rsidRPr="00F56BAD">
        <w:rPr>
          <w:rFonts w:ascii="Georgia" w:hAnsi="Georgia"/>
          <w:i/>
          <w:iCs/>
          <w:sz w:val="18"/>
          <w:szCs w:val="18"/>
        </w:rPr>
        <w:t>The Journals of Gerontology Series B: Psychological Sciences and Social Sciences</w:t>
      </w:r>
      <w:r w:rsidRPr="00F56BAD">
        <w:rPr>
          <w:rStyle w:val="reference-text"/>
          <w:rFonts w:ascii="Georgia" w:hAnsi="Georgia"/>
          <w:sz w:val="18"/>
          <w:szCs w:val="18"/>
          <w:shd w:val="clear" w:color="auto" w:fill="FFFFFF"/>
        </w:rPr>
        <w:t>,</w:t>
      </w:r>
      <w:r w:rsidRPr="00F56BAD">
        <w:rPr>
          <w:rFonts w:ascii="Georgia" w:hAnsi="Georgia"/>
          <w:sz w:val="18"/>
          <w:szCs w:val="18"/>
          <w:shd w:val="clear" w:color="auto" w:fill="FFFFFF"/>
        </w:rPr>
        <w:t xml:space="preserve"> </w:t>
      </w:r>
      <w:r w:rsidRPr="00F56BAD">
        <w:rPr>
          <w:rFonts w:ascii="Georgia" w:hAnsi="Georgia"/>
          <w:i/>
          <w:iCs/>
          <w:sz w:val="18"/>
          <w:szCs w:val="18"/>
          <w:shd w:val="clear" w:color="auto" w:fill="FFFFFF"/>
        </w:rPr>
        <w:t>69</w:t>
      </w:r>
      <w:r w:rsidRPr="00F56BAD">
        <w:rPr>
          <w:rFonts w:ascii="Georgia" w:hAnsi="Georgia"/>
          <w:sz w:val="18"/>
          <w:szCs w:val="18"/>
          <w:shd w:val="clear" w:color="auto" w:fill="FFFFFF"/>
        </w:rPr>
        <w:t>(5), 719–729.</w:t>
      </w:r>
      <w:r w:rsidRPr="00F56BAD">
        <w:rPr>
          <w:rFonts w:ascii="Georgia" w:hAnsi="Georgia"/>
          <w:sz w:val="18"/>
          <w:szCs w:val="18"/>
        </w:rPr>
        <w:t xml:space="preserve"> </w:t>
      </w:r>
    </w:p>
    <w:p w14:paraId="0F30B25B" w14:textId="2C44792C" w:rsidR="00EB3F46" w:rsidRPr="00F56BAD" w:rsidRDefault="00000000" w:rsidP="00F56BAD">
      <w:pPr>
        <w:bidi w:val="0"/>
        <w:spacing w:after="120"/>
        <w:ind w:left="397"/>
        <w:jc w:val="both"/>
        <w:rPr>
          <w:rFonts w:ascii="Georgia" w:hAnsi="Georgia"/>
          <w:sz w:val="18"/>
          <w:szCs w:val="18"/>
          <w:shd w:val="clear" w:color="auto" w:fill="FFFFFF"/>
        </w:rPr>
      </w:pPr>
      <w:hyperlink r:id="rId27" w:history="1">
        <w:r w:rsidR="00673493" w:rsidRPr="00F56BAD">
          <w:rPr>
            <w:rStyle w:val="Hyperlink"/>
            <w:rFonts w:ascii="Georgia" w:hAnsi="Georgia"/>
            <w:color w:val="auto"/>
            <w:sz w:val="18"/>
            <w:szCs w:val="18"/>
            <w:shd w:val="clear" w:color="auto" w:fill="FFFFFF"/>
          </w:rPr>
          <w:t>https://doi.org/10.1093/geronb/gbt052</w:t>
        </w:r>
      </w:hyperlink>
    </w:p>
    <w:p w14:paraId="5A36F465" w14:textId="77777777" w:rsidR="00EB3F46" w:rsidRPr="00F56BAD" w:rsidRDefault="00EB3F46" w:rsidP="00F56BAD">
      <w:pPr>
        <w:bidi w:val="0"/>
        <w:spacing w:after="120"/>
        <w:ind w:left="397" w:hanging="397"/>
        <w:jc w:val="both"/>
        <w:rPr>
          <w:rFonts w:ascii="Georgia" w:hAnsi="Georgia"/>
          <w:sz w:val="18"/>
          <w:szCs w:val="18"/>
        </w:rPr>
      </w:pPr>
      <w:proofErr w:type="spellStart"/>
      <w:r w:rsidRPr="00F56BAD">
        <w:rPr>
          <w:rFonts w:ascii="Georgia" w:hAnsi="Georgia"/>
          <w:sz w:val="18"/>
          <w:szCs w:val="18"/>
        </w:rPr>
        <w:t>Trojanowski</w:t>
      </w:r>
      <w:proofErr w:type="spellEnd"/>
      <w:r w:rsidRPr="00F56BAD">
        <w:rPr>
          <w:rFonts w:ascii="Georgia" w:hAnsi="Georgia"/>
          <w:sz w:val="18"/>
          <w:szCs w:val="18"/>
        </w:rPr>
        <w:t xml:space="preserve"> Q., </w:t>
      </w:r>
      <w:proofErr w:type="spellStart"/>
      <w:r w:rsidRPr="00F56BAD">
        <w:rPr>
          <w:rFonts w:ascii="Georgia" w:hAnsi="Georgia"/>
          <w:sz w:val="18"/>
          <w:szCs w:val="18"/>
        </w:rPr>
        <w:t>Jedrziewskibrad</w:t>
      </w:r>
      <w:proofErr w:type="spellEnd"/>
      <w:r w:rsidRPr="00F56BAD">
        <w:rPr>
          <w:rFonts w:ascii="Georgia" w:hAnsi="Georgia"/>
          <w:sz w:val="18"/>
          <w:szCs w:val="18"/>
        </w:rPr>
        <w:t>, M. K., Johnson, B., &amp; Whitaker, L. A. (2005). The art and science of anti-aging therapies.</w:t>
      </w:r>
      <w:r w:rsidRPr="00F56BAD">
        <w:rPr>
          <w:rFonts w:ascii="Georgia" w:hAnsi="Georgia"/>
          <w:i/>
          <w:iCs/>
          <w:sz w:val="18"/>
          <w:szCs w:val="18"/>
        </w:rPr>
        <w:t xml:space="preserve"> Science of Aging Knowledge Environment</w:t>
      </w:r>
      <w:r w:rsidRPr="00F56BAD">
        <w:rPr>
          <w:rFonts w:ascii="Georgia" w:hAnsi="Georgia"/>
          <w:sz w:val="18"/>
          <w:szCs w:val="18"/>
        </w:rPr>
        <w:t xml:space="preserve">, </w:t>
      </w:r>
      <w:r w:rsidRPr="00F56BAD">
        <w:rPr>
          <w:rStyle w:val="50"/>
          <w:rFonts w:ascii="Georgia" w:hAnsi="Georgia"/>
          <w:b w:val="0"/>
          <w:bCs w:val="0"/>
          <w:i/>
          <w:iCs/>
          <w:sz w:val="18"/>
          <w:szCs w:val="18"/>
        </w:rPr>
        <w:t>2005</w:t>
      </w:r>
      <w:r w:rsidRPr="00F56BAD">
        <w:rPr>
          <w:rStyle w:val="50"/>
          <w:rFonts w:ascii="Georgia" w:hAnsi="Georgia"/>
          <w:b w:val="0"/>
          <w:bCs w:val="0"/>
          <w:sz w:val="18"/>
          <w:szCs w:val="18"/>
        </w:rPr>
        <w:t>(</w:t>
      </w:r>
      <w:r w:rsidRPr="00F56BAD">
        <w:rPr>
          <w:rFonts w:ascii="Georgia" w:hAnsi="Georgia"/>
          <w:sz w:val="18"/>
          <w:szCs w:val="18"/>
        </w:rPr>
        <w:t>17), 11.</w:t>
      </w:r>
    </w:p>
    <w:p w14:paraId="66350B33" w14:textId="77777777" w:rsidR="00673493" w:rsidRPr="00F56BAD" w:rsidRDefault="00EB3F46" w:rsidP="00F56BAD">
      <w:pPr>
        <w:bidi w:val="0"/>
        <w:ind w:left="397" w:hanging="397"/>
        <w:jc w:val="both"/>
        <w:rPr>
          <w:rFonts w:ascii="Georgia" w:hAnsi="Georgia"/>
          <w:sz w:val="18"/>
          <w:szCs w:val="18"/>
          <w:rtl/>
        </w:rPr>
      </w:pPr>
      <w:r w:rsidRPr="00F56BAD">
        <w:rPr>
          <w:rFonts w:ascii="Georgia" w:hAnsi="Georgia"/>
          <w:sz w:val="18"/>
          <w:szCs w:val="18"/>
        </w:rPr>
        <w:lastRenderedPageBreak/>
        <w:t>Tulle, E., &amp;</w:t>
      </w:r>
      <w:r w:rsidRPr="00F56BAD">
        <w:rPr>
          <w:rFonts w:ascii="Georgia" w:hAnsi="Georgia"/>
          <w:sz w:val="18"/>
          <w:szCs w:val="18"/>
          <w:rtl/>
        </w:rPr>
        <w:t xml:space="preserve"> </w:t>
      </w:r>
      <w:proofErr w:type="spellStart"/>
      <w:r w:rsidRPr="00F56BAD">
        <w:rPr>
          <w:rFonts w:ascii="Georgia" w:hAnsi="Georgia"/>
          <w:sz w:val="18"/>
          <w:szCs w:val="18"/>
        </w:rPr>
        <w:t>Dorrer</w:t>
      </w:r>
      <w:proofErr w:type="spellEnd"/>
      <w:r w:rsidRPr="00F56BAD">
        <w:rPr>
          <w:rFonts w:ascii="Georgia" w:hAnsi="Georgia"/>
          <w:sz w:val="18"/>
          <w:szCs w:val="18"/>
        </w:rPr>
        <w:t>, N. (2012).</w:t>
      </w:r>
      <w:r w:rsidRPr="00F56BAD">
        <w:rPr>
          <w:rFonts w:ascii="Georgia" w:hAnsi="Georgia"/>
          <w:sz w:val="18"/>
          <w:szCs w:val="18"/>
          <w:rtl/>
        </w:rPr>
        <w:t xml:space="preserve"> </w:t>
      </w:r>
      <w:r w:rsidRPr="00F56BAD">
        <w:rPr>
          <w:rFonts w:ascii="Georgia" w:hAnsi="Georgia"/>
          <w:sz w:val="18"/>
          <w:szCs w:val="18"/>
        </w:rPr>
        <w:t xml:space="preserve">Back from the brink: Ageing, exercise and health in a small gym. </w:t>
      </w:r>
      <w:r w:rsidRPr="00F56BAD">
        <w:rPr>
          <w:rFonts w:ascii="Georgia" w:hAnsi="Georgia"/>
          <w:i/>
          <w:iCs/>
          <w:sz w:val="18"/>
          <w:szCs w:val="18"/>
        </w:rPr>
        <w:t>Ageing &amp; Society</w:t>
      </w:r>
      <w:r w:rsidRPr="00F56BAD">
        <w:rPr>
          <w:rFonts w:ascii="Georgia" w:hAnsi="Georgia"/>
          <w:sz w:val="18"/>
          <w:szCs w:val="18"/>
        </w:rPr>
        <w:t xml:space="preserve">, </w:t>
      </w:r>
      <w:r w:rsidRPr="00F56BAD">
        <w:rPr>
          <w:rFonts w:ascii="Georgia" w:hAnsi="Georgia"/>
          <w:i/>
          <w:iCs/>
          <w:sz w:val="18"/>
          <w:szCs w:val="18"/>
        </w:rPr>
        <w:t>32</w:t>
      </w:r>
      <w:r w:rsidRPr="00F56BAD">
        <w:rPr>
          <w:rFonts w:ascii="Georgia" w:hAnsi="Georgia"/>
          <w:sz w:val="18"/>
          <w:szCs w:val="18"/>
        </w:rPr>
        <w:t xml:space="preserve">(7), 1106–1127. </w:t>
      </w:r>
    </w:p>
    <w:p w14:paraId="094AAE65" w14:textId="115BBE3A" w:rsidR="00EB3F46" w:rsidRPr="00F56BAD" w:rsidRDefault="00000000" w:rsidP="00F56BAD">
      <w:pPr>
        <w:bidi w:val="0"/>
        <w:spacing w:after="120"/>
        <w:ind w:left="397"/>
        <w:jc w:val="both"/>
        <w:rPr>
          <w:rStyle w:val="Hyperlink"/>
          <w:rFonts w:ascii="Georgia" w:hAnsi="Georgia"/>
          <w:color w:val="auto"/>
          <w:sz w:val="18"/>
          <w:szCs w:val="18"/>
          <w:shd w:val="clear" w:color="auto" w:fill="FFFFFF"/>
          <w:rtl/>
        </w:rPr>
      </w:pPr>
      <w:hyperlink r:id="rId28" w:history="1">
        <w:r w:rsidR="00673493" w:rsidRPr="00F56BAD">
          <w:rPr>
            <w:rStyle w:val="Hyperlink"/>
            <w:rFonts w:ascii="Georgia" w:hAnsi="Georgia"/>
            <w:color w:val="auto"/>
            <w:sz w:val="18"/>
            <w:szCs w:val="18"/>
            <w:shd w:val="clear" w:color="auto" w:fill="FFFFFF"/>
          </w:rPr>
          <w:t>https://doi.org/10.1017/S0144686X11000742</w:t>
        </w:r>
      </w:hyperlink>
    </w:p>
    <w:p w14:paraId="6F91A109" w14:textId="33921259" w:rsidR="00EB3F46" w:rsidRPr="00F56BAD" w:rsidRDefault="00EB3F46" w:rsidP="00F56BAD">
      <w:pPr>
        <w:autoSpaceDE w:val="0"/>
        <w:autoSpaceDN w:val="0"/>
        <w:bidi w:val="0"/>
        <w:adjustRightInd w:val="0"/>
        <w:spacing w:after="120"/>
        <w:ind w:left="397" w:hanging="397"/>
        <w:jc w:val="both"/>
        <w:rPr>
          <w:rFonts w:ascii="Georgia" w:hAnsi="Georgia"/>
          <w:sz w:val="18"/>
          <w:szCs w:val="20"/>
          <w:rtl/>
        </w:rPr>
      </w:pPr>
    </w:p>
    <w:sectPr w:rsidR="00EB3F46" w:rsidRPr="00F56BAD" w:rsidSect="00603664">
      <w:headerReference w:type="even" r:id="rId29"/>
      <w:headerReference w:type="default" r:id="rId30"/>
      <w:footerReference w:type="first" r:id="rId31"/>
      <w:pgSz w:w="11906" w:h="16838" w:code="9"/>
      <w:pgMar w:top="3515" w:right="2722" w:bottom="2948" w:left="2722" w:header="2665" w:footer="2665" w:gutter="0"/>
      <w:pgNumType w:start="9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E2B5D" w14:textId="77777777" w:rsidR="006336AE" w:rsidRDefault="006336AE">
      <w:pPr>
        <w:spacing w:line="240" w:lineRule="auto"/>
      </w:pPr>
      <w:r>
        <w:separator/>
      </w:r>
    </w:p>
  </w:endnote>
  <w:endnote w:type="continuationSeparator" w:id="0">
    <w:p w14:paraId="4CF360E0" w14:textId="77777777" w:rsidR="006336AE" w:rsidRDefault="00633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Hodes">
    <w:altName w:val="Arial"/>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Guttman Aharoni">
    <w:panose1 w:val="02010401010101010101"/>
    <w:charset w:val="B1"/>
    <w:family w:val="auto"/>
    <w:pitch w:val="variable"/>
    <w:sig w:usb0="00000801" w:usb1="4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1B0B" w14:textId="0435F9BB" w:rsidR="00317D2D" w:rsidRDefault="00317D2D" w:rsidP="006515FA">
    <w:pPr>
      <w:pStyle w:val="Header"/>
      <w:tabs>
        <w:tab w:val="clear" w:pos="4153"/>
        <w:tab w:val="clear" w:pos="8306"/>
        <w:tab w:val="right" w:pos="6462"/>
      </w:tabs>
      <w:spacing w:after="200" w:line="200" w:lineRule="exact"/>
      <w:rPr>
        <w:sz w:val="16"/>
        <w:szCs w:val="16"/>
      </w:rPr>
    </w:pPr>
    <w:r w:rsidRPr="0090645A">
      <w:rPr>
        <w:rFonts w:hint="cs"/>
        <w:sz w:val="16"/>
        <w:szCs w:val="16"/>
        <w:rtl/>
      </w:rPr>
      <w:t>ביטחון סוציאלי</w:t>
    </w:r>
    <w:r w:rsidRPr="0090645A">
      <w:rPr>
        <w:sz w:val="16"/>
        <w:szCs w:val="16"/>
        <w:rtl/>
      </w:rPr>
      <w:t xml:space="preserve"> </w:t>
    </w:r>
    <w:r>
      <w:rPr>
        <w:rFonts w:hint="cs"/>
        <w:sz w:val="16"/>
        <w:szCs w:val="16"/>
        <w:rtl/>
      </w:rPr>
      <w:t>118</w:t>
    </w:r>
    <w:r w:rsidRPr="0090645A">
      <w:rPr>
        <w:rFonts w:hint="cs"/>
        <w:sz w:val="16"/>
        <w:szCs w:val="16"/>
        <w:rtl/>
      </w:rPr>
      <w:t xml:space="preserve">, </w:t>
    </w:r>
    <w:r>
      <w:rPr>
        <w:rFonts w:hint="cs"/>
        <w:sz w:val="16"/>
        <w:szCs w:val="16"/>
        <w:rtl/>
      </w:rPr>
      <w:t xml:space="preserve">נובמבר </w:t>
    </w:r>
    <w:r w:rsidRPr="0090645A">
      <w:rPr>
        <w:rFonts w:hint="cs"/>
        <w:sz w:val="16"/>
        <w:szCs w:val="16"/>
        <w:rtl/>
      </w:rPr>
      <w:t>20</w:t>
    </w:r>
    <w:r>
      <w:rPr>
        <w:rFonts w:hint="cs"/>
        <w:sz w:val="16"/>
        <w:szCs w:val="16"/>
        <w:rtl/>
      </w:rPr>
      <w:t>22: 12</w:t>
    </w:r>
    <w:r w:rsidR="00DF6684">
      <w:rPr>
        <w:rFonts w:hint="cs"/>
        <w:sz w:val="16"/>
        <w:szCs w:val="16"/>
        <w:rtl/>
      </w:rPr>
      <w:t>2</w:t>
    </w:r>
    <w:r>
      <w:rPr>
        <w:rFonts w:hint="cs"/>
        <w:sz w:val="16"/>
        <w:szCs w:val="16"/>
        <w:rtl/>
      </w:rPr>
      <w:t>-91</w:t>
    </w:r>
  </w:p>
  <w:p w14:paraId="43194279" w14:textId="77777777" w:rsidR="00317D2D" w:rsidRPr="00A17DA2" w:rsidRDefault="00317D2D" w:rsidP="0090645A">
    <w:pPr>
      <w:pStyle w:val="Header"/>
      <w:tabs>
        <w:tab w:val="clear" w:pos="4153"/>
        <w:tab w:val="clear" w:pos="8306"/>
        <w:tab w:val="center" w:pos="3345"/>
        <w:tab w:val="right" w:pos="6691"/>
      </w:tabs>
      <w:spacing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3EC6C" w14:textId="77777777" w:rsidR="006336AE" w:rsidRDefault="006336AE" w:rsidP="00A04D35">
      <w:pPr>
        <w:spacing w:before="120" w:after="80"/>
        <w:rPr>
          <w:rFonts w:cs="FrankRuehl"/>
          <w:sz w:val="18"/>
          <w:szCs w:val="18"/>
        </w:rPr>
      </w:pPr>
      <w:r>
        <w:rPr>
          <w:rFonts w:cs="FrankRuehl" w:hint="cs"/>
          <w:sz w:val="18"/>
          <w:szCs w:val="18"/>
          <w:rtl/>
        </w:rPr>
        <w:t>_____________</w:t>
      </w:r>
    </w:p>
  </w:footnote>
  <w:footnote w:type="continuationSeparator" w:id="0">
    <w:p w14:paraId="293F4F67" w14:textId="77777777" w:rsidR="006336AE" w:rsidRDefault="006336AE">
      <w:r>
        <w:continuationSeparator/>
      </w:r>
    </w:p>
  </w:footnote>
  <w:footnote w:type="continuationNotice" w:id="1">
    <w:p w14:paraId="369A7467" w14:textId="77777777" w:rsidR="006336AE" w:rsidRDefault="006336AE">
      <w:pPr>
        <w:rPr>
          <w:rtl/>
        </w:rPr>
      </w:pPr>
    </w:p>
  </w:footnote>
  <w:footnote w:id="2">
    <w:p w14:paraId="0D1C8D9C" w14:textId="77777777" w:rsidR="00A21DC3" w:rsidRPr="00EB3F46" w:rsidRDefault="00A21DC3" w:rsidP="00EB3F46">
      <w:pPr>
        <w:pStyle w:val="FootnoteText"/>
        <w:spacing w:line="200" w:lineRule="exact"/>
        <w:ind w:left="397" w:hanging="397"/>
        <w:jc w:val="both"/>
        <w:rPr>
          <w:rFonts w:ascii="Georgia" w:hAnsi="Georgia" w:cs="David"/>
          <w:sz w:val="14"/>
          <w:szCs w:val="16"/>
        </w:rPr>
      </w:pPr>
      <w:r w:rsidRPr="00EB3F46">
        <w:rPr>
          <w:rStyle w:val="FootnoteReference"/>
          <w:rFonts w:ascii="David" w:hAnsi="David" w:cs="David"/>
          <w:sz w:val="16"/>
          <w:szCs w:val="16"/>
          <w:vertAlign w:val="baseline"/>
        </w:rPr>
        <w:footnoteRef/>
      </w:r>
      <w:r w:rsidRPr="00EB3F46">
        <w:rPr>
          <w:rFonts w:ascii="Georgia" w:hAnsi="Georgia" w:cs="David"/>
          <w:sz w:val="14"/>
          <w:szCs w:val="16"/>
          <w:rtl/>
        </w:rPr>
        <w:t xml:space="preserve"> </w:t>
      </w:r>
      <w:r w:rsidRPr="00EB3F46">
        <w:rPr>
          <w:rFonts w:ascii="Georgia" w:hAnsi="Georgia" w:cs="David"/>
          <w:sz w:val="14"/>
          <w:szCs w:val="16"/>
          <w:rtl/>
        </w:rPr>
        <w:tab/>
        <w:t>דוקטור, ראשת התואר השני בחינוך וסגנית דיקן, הפקולטה למדעי הרוח והחברה, הקריה האקדמית אונו</w:t>
      </w:r>
    </w:p>
  </w:footnote>
  <w:footnote w:id="3">
    <w:p w14:paraId="65D3299F" w14:textId="77777777" w:rsidR="00A21DC3" w:rsidRPr="00EB3F46" w:rsidRDefault="00A21DC3" w:rsidP="00A21DC3">
      <w:pPr>
        <w:pStyle w:val="FootnoteText"/>
        <w:spacing w:after="120" w:line="200" w:lineRule="exact"/>
        <w:ind w:left="397" w:hanging="397"/>
        <w:jc w:val="both"/>
        <w:rPr>
          <w:rFonts w:ascii="Georgia" w:hAnsi="Georgia" w:cs="David"/>
          <w:sz w:val="14"/>
          <w:szCs w:val="16"/>
        </w:rPr>
      </w:pPr>
      <w:r w:rsidRPr="00EB3F46">
        <w:rPr>
          <w:rStyle w:val="FootnoteReference"/>
          <w:rFonts w:ascii="David" w:hAnsi="David" w:cs="David"/>
          <w:sz w:val="16"/>
          <w:szCs w:val="16"/>
          <w:vertAlign w:val="baseline"/>
        </w:rPr>
        <w:footnoteRef/>
      </w:r>
      <w:r w:rsidRPr="00EB3F46">
        <w:rPr>
          <w:rFonts w:ascii="Georgia" w:hAnsi="Georgia" w:cs="David"/>
          <w:sz w:val="14"/>
          <w:szCs w:val="16"/>
          <w:rtl/>
        </w:rPr>
        <w:t xml:space="preserve"> </w:t>
      </w:r>
      <w:r w:rsidRPr="00EB3F46">
        <w:rPr>
          <w:rFonts w:ascii="Georgia" w:hAnsi="Georgia" w:cs="David"/>
          <w:sz w:val="14"/>
          <w:szCs w:val="16"/>
          <w:rtl/>
        </w:rPr>
        <w:tab/>
        <w:t>מרצה בפקולטה למדעי הרוח והחברה, הקריה האקדמית אונו</w:t>
      </w:r>
    </w:p>
  </w:footnote>
  <w:footnote w:id="4">
    <w:p w14:paraId="1C13B8FF" w14:textId="45AC9D27" w:rsidR="00EB3F46" w:rsidRPr="00F56BAD" w:rsidRDefault="00EB3F46" w:rsidP="00EB3F46">
      <w:pPr>
        <w:pStyle w:val="FootnoteText"/>
        <w:spacing w:line="200" w:lineRule="exact"/>
        <w:ind w:left="397" w:hanging="397"/>
        <w:jc w:val="both"/>
        <w:rPr>
          <w:rFonts w:ascii="Georgia" w:hAnsi="Georgia" w:cs="David"/>
          <w:sz w:val="14"/>
          <w:szCs w:val="16"/>
        </w:rPr>
      </w:pPr>
      <w:r w:rsidRPr="00F56BAD">
        <w:rPr>
          <w:rStyle w:val="FootnoteReference"/>
          <w:rFonts w:ascii="David" w:hAnsi="David" w:cs="David"/>
          <w:sz w:val="16"/>
          <w:szCs w:val="16"/>
          <w:vertAlign w:val="baseline"/>
        </w:rPr>
        <w:footnoteRef/>
      </w:r>
      <w:r w:rsidRPr="00F56BAD">
        <w:rPr>
          <w:rFonts w:ascii="Georgia" w:hAnsi="Georgia" w:cs="David"/>
          <w:sz w:val="14"/>
          <w:szCs w:val="16"/>
          <w:rtl/>
        </w:rPr>
        <w:t xml:space="preserve"> </w:t>
      </w:r>
      <w:r w:rsidRPr="00F56BAD">
        <w:rPr>
          <w:rFonts w:ascii="Georgia" w:hAnsi="Georgia" w:cs="David"/>
          <w:sz w:val="14"/>
          <w:szCs w:val="16"/>
          <w:rtl/>
        </w:rPr>
        <w:tab/>
        <w:t xml:space="preserve">היחידה הממשלתית לחופש המידע, משרד המשפטים. </w:t>
      </w:r>
      <w:hyperlink r:id="rId1" w:history="1">
        <w:r w:rsidRPr="00F56BAD">
          <w:rPr>
            <w:rStyle w:val="Hyperlink"/>
            <w:rFonts w:ascii="Georgia" w:hAnsi="Georgia" w:cs="David"/>
            <w:color w:val="auto"/>
            <w:sz w:val="14"/>
            <w:szCs w:val="16"/>
          </w:rPr>
          <w:t>https://foi.gov.il/he/node/6890</w:t>
        </w:r>
      </w:hyperlink>
    </w:p>
  </w:footnote>
  <w:footnote w:id="5">
    <w:p w14:paraId="3BACCC9A" w14:textId="1D188584" w:rsidR="00EB3F46" w:rsidRPr="00EB3F46" w:rsidRDefault="00EB3F46" w:rsidP="00EB3F46">
      <w:pPr>
        <w:pStyle w:val="FootnoteText"/>
        <w:spacing w:line="200" w:lineRule="exact"/>
        <w:ind w:left="397" w:hanging="397"/>
        <w:jc w:val="both"/>
        <w:rPr>
          <w:rFonts w:ascii="Georgia" w:hAnsi="Georgia" w:cs="David"/>
          <w:sz w:val="14"/>
          <w:szCs w:val="16"/>
        </w:rPr>
      </w:pPr>
      <w:r w:rsidRPr="00EB3F46">
        <w:rPr>
          <w:rStyle w:val="FootnoteReference"/>
          <w:rFonts w:ascii="David" w:hAnsi="David" w:cs="David"/>
          <w:sz w:val="16"/>
          <w:szCs w:val="16"/>
          <w:vertAlign w:val="baseline"/>
        </w:rPr>
        <w:footnoteRef/>
      </w:r>
      <w:r w:rsidRPr="00EB3F46">
        <w:rPr>
          <w:rFonts w:ascii="Georgia" w:hAnsi="Georgia" w:cs="David"/>
          <w:sz w:val="14"/>
          <w:szCs w:val="16"/>
          <w:rtl/>
        </w:rPr>
        <w:t xml:space="preserve"> </w:t>
      </w:r>
      <w:r w:rsidRPr="00EB3F46">
        <w:rPr>
          <w:rFonts w:ascii="Georgia" w:hAnsi="Georgia" w:cs="David"/>
          <w:sz w:val="14"/>
          <w:szCs w:val="16"/>
          <w:rtl/>
        </w:rPr>
        <w:tab/>
        <w:t xml:space="preserve">דוגמאות לסרטים אלה הן: </w:t>
      </w:r>
      <w:r w:rsidR="000A7897" w:rsidRPr="00EB3F46">
        <w:rPr>
          <w:rFonts w:ascii="Georgia" w:hAnsi="Georgia" w:cs="David"/>
          <w:sz w:val="14"/>
          <w:szCs w:val="16"/>
          <w:rtl/>
        </w:rPr>
        <w:t xml:space="preserve">הורה 79 (ישראל, 2013); </w:t>
      </w:r>
      <w:r w:rsidRPr="00EB3F46">
        <w:rPr>
          <w:rFonts w:ascii="Georgia" w:hAnsi="Georgia" w:cs="David"/>
          <w:sz w:val="14"/>
          <w:szCs w:val="16"/>
          <w:rtl/>
        </w:rPr>
        <w:t xml:space="preserve">לצוד פילים (ישראל, 2013); מיתה טובה (ישראל, 2014); עד קצה הזריחה (ישראל, 2015); ציפורי חול (ישראל, 2015); הולכת שבעה (ישראל, 2016); </w:t>
      </w:r>
      <w:r w:rsidR="000A7897" w:rsidRPr="00EB3F46">
        <w:rPr>
          <w:rFonts w:ascii="Georgia" w:hAnsi="Georgia" w:cs="David"/>
          <w:sz w:val="14"/>
          <w:szCs w:val="16"/>
          <w:rtl/>
        </w:rPr>
        <w:t xml:space="preserve">פטר השלישי (ישראל, 2016); </w:t>
      </w:r>
      <w:r w:rsidRPr="00EB3F46">
        <w:rPr>
          <w:rFonts w:ascii="Georgia" w:hAnsi="Georgia" w:cs="David"/>
          <w:sz w:val="14"/>
          <w:szCs w:val="16"/>
          <w:rtl/>
        </w:rPr>
        <w:t xml:space="preserve">המזכרות (צרפת, 2014); איילים (איסלנד, 2015); זהירות זקנים חוצים (ארצות הברית, 2015); נעורים (איטליה, 2015); שלום קוראים לי </w:t>
      </w:r>
      <w:proofErr w:type="spellStart"/>
      <w:r w:rsidRPr="00EB3F46">
        <w:rPr>
          <w:rFonts w:ascii="Georgia" w:hAnsi="Georgia" w:cs="David"/>
          <w:sz w:val="14"/>
          <w:szCs w:val="16"/>
          <w:rtl/>
        </w:rPr>
        <w:t>דוריס</w:t>
      </w:r>
      <w:proofErr w:type="spellEnd"/>
      <w:r w:rsidRPr="00EB3F46">
        <w:rPr>
          <w:rFonts w:ascii="Georgia" w:hAnsi="Georgia" w:cs="David"/>
          <w:sz w:val="14"/>
          <w:szCs w:val="16"/>
          <w:rtl/>
        </w:rPr>
        <w:t xml:space="preserve"> (ארצות הברית, 2015); פלורנס פוסטר </w:t>
      </w:r>
      <w:proofErr w:type="spellStart"/>
      <w:r w:rsidRPr="00EB3F46">
        <w:rPr>
          <w:rFonts w:ascii="Georgia" w:hAnsi="Georgia" w:cs="David"/>
          <w:sz w:val="14"/>
          <w:szCs w:val="16"/>
          <w:rtl/>
        </w:rPr>
        <w:t>ג'נקיס</w:t>
      </w:r>
      <w:proofErr w:type="spellEnd"/>
      <w:r w:rsidRPr="00EB3F46">
        <w:rPr>
          <w:rFonts w:ascii="Georgia" w:hAnsi="Georgia" w:cs="David"/>
          <w:sz w:val="14"/>
          <w:szCs w:val="16"/>
          <w:rtl/>
        </w:rPr>
        <w:t xml:space="preserve"> (אנגליה, 2016); פורשים בסטייל (ארצות הברית, 2017); אהבה בדרכים (גרמניה, 2018). </w:t>
      </w:r>
    </w:p>
  </w:footnote>
  <w:footnote w:id="6">
    <w:p w14:paraId="200C6E03" w14:textId="286D2F9E" w:rsidR="00854951" w:rsidRPr="00854951" w:rsidRDefault="00854951" w:rsidP="00854951">
      <w:pPr>
        <w:pStyle w:val="FootnoteText"/>
        <w:spacing w:line="200" w:lineRule="exact"/>
        <w:ind w:left="397" w:hanging="397"/>
        <w:jc w:val="both"/>
        <w:rPr>
          <w:rStyle w:val="FootnoteReference"/>
          <w:rFonts w:ascii="David" w:hAnsi="David" w:cs="David"/>
          <w:sz w:val="16"/>
          <w:szCs w:val="16"/>
          <w:vertAlign w:val="baseline"/>
        </w:rPr>
      </w:pPr>
      <w:r w:rsidRPr="00854951">
        <w:rPr>
          <w:rStyle w:val="FootnoteReference"/>
          <w:rFonts w:ascii="David" w:hAnsi="David" w:cs="David"/>
          <w:sz w:val="16"/>
          <w:szCs w:val="16"/>
          <w:vertAlign w:val="baseline"/>
        </w:rPr>
        <w:footnoteRef/>
      </w:r>
      <w:r w:rsidRPr="00854951">
        <w:rPr>
          <w:rStyle w:val="FootnoteReference"/>
          <w:rFonts w:ascii="David" w:hAnsi="David" w:cs="David"/>
          <w:sz w:val="16"/>
          <w:szCs w:val="16"/>
          <w:vertAlign w:val="baseline"/>
          <w:rtl/>
        </w:rPr>
        <w:t xml:space="preserve"> </w:t>
      </w:r>
      <w:r w:rsidRPr="00854951">
        <w:rPr>
          <w:rStyle w:val="FootnoteReference"/>
          <w:rFonts w:ascii="David" w:hAnsi="David" w:cs="David"/>
          <w:sz w:val="16"/>
          <w:szCs w:val="16"/>
          <w:vertAlign w:val="baseline"/>
          <w:rtl/>
        </w:rPr>
        <w:tab/>
        <w:t>השימוש נעשה בהתאם לסעיף 27א לחוק זכויות יוצרים</w:t>
      </w:r>
      <w:r w:rsidR="00BE7969">
        <w:rPr>
          <w:rFonts w:ascii="David" w:hAnsi="David" w:cs="David" w:hint="cs"/>
          <w:sz w:val="16"/>
          <w:szCs w:val="16"/>
          <w:rtl/>
        </w:rPr>
        <w:t>.</w:t>
      </w:r>
    </w:p>
  </w:footnote>
  <w:footnote w:id="7">
    <w:p w14:paraId="6F321219" w14:textId="62F5F37B" w:rsidR="00EB3F46" w:rsidRPr="00EB3F46" w:rsidRDefault="00EB3F46" w:rsidP="00EB3F46">
      <w:pPr>
        <w:spacing w:line="200" w:lineRule="exact"/>
        <w:ind w:left="397" w:hanging="397"/>
        <w:jc w:val="both"/>
        <w:rPr>
          <w:rFonts w:ascii="Georgia" w:hAnsi="Georgia"/>
          <w:sz w:val="14"/>
          <w:szCs w:val="16"/>
        </w:rPr>
      </w:pPr>
      <w:r w:rsidRPr="00EB3F46">
        <w:rPr>
          <w:rFonts w:ascii="David" w:hAnsi="David"/>
          <w:sz w:val="16"/>
          <w:szCs w:val="16"/>
        </w:rPr>
        <w:footnoteRef/>
      </w:r>
      <w:r w:rsidRPr="00EB3F46">
        <w:rPr>
          <w:rFonts w:ascii="Georgia" w:hAnsi="Georgia"/>
          <w:sz w:val="14"/>
          <w:szCs w:val="16"/>
          <w:rtl/>
        </w:rPr>
        <w:t xml:space="preserve"> </w:t>
      </w:r>
      <w:r w:rsidRPr="00EB3F46">
        <w:rPr>
          <w:rFonts w:ascii="Georgia" w:hAnsi="Georgia"/>
          <w:sz w:val="14"/>
          <w:szCs w:val="16"/>
          <w:rtl/>
        </w:rPr>
        <w:tab/>
        <w:t>ריאיון עם אחד מכותבי המאמר. מרץ 2020, תל-אביב.</w:t>
      </w:r>
    </w:p>
  </w:footnote>
  <w:footnote w:id="8">
    <w:p w14:paraId="6EED4755" w14:textId="2E8DA42B" w:rsidR="00EB3F46" w:rsidRPr="00EB3F46" w:rsidRDefault="00EB3F46" w:rsidP="00EB3F46">
      <w:pPr>
        <w:spacing w:line="200" w:lineRule="exact"/>
        <w:ind w:left="397" w:hanging="397"/>
        <w:jc w:val="both"/>
        <w:rPr>
          <w:rFonts w:ascii="Georgia" w:hAnsi="Georgia"/>
          <w:sz w:val="14"/>
          <w:szCs w:val="16"/>
          <w:rtl/>
        </w:rPr>
      </w:pPr>
      <w:r w:rsidRPr="00EB3F46">
        <w:rPr>
          <w:rStyle w:val="FootnoteReference"/>
          <w:rFonts w:ascii="David" w:hAnsi="David"/>
          <w:sz w:val="16"/>
          <w:szCs w:val="16"/>
          <w:vertAlign w:val="baseline"/>
        </w:rPr>
        <w:footnoteRef/>
      </w:r>
      <w:r w:rsidRPr="00EB3F46">
        <w:rPr>
          <w:rFonts w:ascii="Georgia" w:hAnsi="Georgia"/>
          <w:sz w:val="14"/>
          <w:szCs w:val="16"/>
          <w:rtl/>
        </w:rPr>
        <w:t xml:space="preserve"> </w:t>
      </w:r>
      <w:r w:rsidRPr="00EB3F46">
        <w:rPr>
          <w:rFonts w:ascii="Georgia" w:hAnsi="Georgia"/>
          <w:sz w:val="14"/>
          <w:szCs w:val="16"/>
          <w:rtl/>
        </w:rPr>
        <w:tab/>
        <w:t xml:space="preserve">ריאיון עם אחד מכותבי המאמר. אפריל 2020, תל-אביב. </w:t>
      </w:r>
    </w:p>
  </w:footnote>
  <w:footnote w:id="9">
    <w:p w14:paraId="1FD68AA2" w14:textId="05E6C740" w:rsidR="00EB3F46" w:rsidRPr="00EB3F46" w:rsidRDefault="00EB3F46" w:rsidP="00EB3F46">
      <w:pPr>
        <w:pStyle w:val="FootnoteText"/>
        <w:spacing w:line="200" w:lineRule="exact"/>
        <w:ind w:left="397" w:hanging="397"/>
        <w:jc w:val="both"/>
        <w:rPr>
          <w:rFonts w:ascii="Georgia" w:hAnsi="Georgia" w:cs="David"/>
          <w:sz w:val="14"/>
          <w:szCs w:val="16"/>
        </w:rPr>
      </w:pPr>
      <w:r w:rsidRPr="00EB3F46">
        <w:rPr>
          <w:rStyle w:val="FootnoteReference"/>
          <w:rFonts w:ascii="David" w:hAnsi="David" w:cs="David"/>
          <w:sz w:val="16"/>
          <w:szCs w:val="16"/>
          <w:vertAlign w:val="baseline"/>
        </w:rPr>
        <w:footnoteRef/>
      </w:r>
      <w:r w:rsidRPr="00EB3F46">
        <w:rPr>
          <w:rFonts w:ascii="Georgia" w:hAnsi="Georgia" w:cs="David"/>
          <w:sz w:val="14"/>
          <w:szCs w:val="16"/>
          <w:rtl/>
        </w:rPr>
        <w:t xml:space="preserve"> </w:t>
      </w:r>
      <w:r w:rsidRPr="00EB3F46">
        <w:rPr>
          <w:rFonts w:ascii="Georgia" w:hAnsi="Georgia" w:cs="David"/>
          <w:sz w:val="14"/>
          <w:szCs w:val="16"/>
          <w:rtl/>
        </w:rPr>
        <w:tab/>
        <w:t>ריאיון עם אחד מכותבי המאמר. 2021.</w:t>
      </w:r>
    </w:p>
  </w:footnote>
  <w:footnote w:id="10">
    <w:p w14:paraId="04911AFC" w14:textId="4918D650" w:rsidR="00EB3F46" w:rsidRPr="00F56BAD" w:rsidRDefault="00EB3F46" w:rsidP="00EB3F46">
      <w:pPr>
        <w:pStyle w:val="FootnoteText"/>
        <w:spacing w:line="200" w:lineRule="exact"/>
        <w:ind w:left="397" w:hanging="397"/>
        <w:jc w:val="both"/>
        <w:rPr>
          <w:rFonts w:ascii="Georgia" w:hAnsi="Georgia" w:cs="David"/>
          <w:sz w:val="14"/>
          <w:szCs w:val="16"/>
          <w:rtl/>
        </w:rPr>
      </w:pPr>
      <w:r w:rsidRPr="00F56BAD">
        <w:rPr>
          <w:rStyle w:val="FootnoteReference"/>
          <w:rFonts w:ascii="David" w:hAnsi="David" w:cs="David"/>
          <w:sz w:val="16"/>
          <w:szCs w:val="16"/>
          <w:vertAlign w:val="baseline"/>
        </w:rPr>
        <w:footnoteRef/>
      </w:r>
      <w:r w:rsidRPr="00F56BAD">
        <w:rPr>
          <w:rFonts w:ascii="Georgia" w:hAnsi="Georgia" w:cs="David"/>
          <w:sz w:val="14"/>
          <w:szCs w:val="16"/>
          <w:rtl/>
        </w:rPr>
        <w:t xml:space="preserve"> </w:t>
      </w:r>
      <w:r w:rsidRPr="00F56BAD">
        <w:rPr>
          <w:rFonts w:ascii="Georgia" w:hAnsi="Georgia" w:cs="David"/>
          <w:sz w:val="14"/>
          <w:szCs w:val="16"/>
          <w:rtl/>
        </w:rPr>
        <w:tab/>
        <w:t xml:space="preserve">למשל, סרטון שבו סב מחבק את נכדיו ואומר: "אני גדול מספיק וחכם מספיק גם כדי להגן על עצמי וגם כדי לשמור עליהם". הסבא תובע בחזרה את האחריות שלו לעצמו ולנכדיו, ובועט במסרים </w:t>
      </w:r>
      <w:proofErr w:type="spellStart"/>
      <w:r w:rsidRPr="00F56BAD">
        <w:rPr>
          <w:rFonts w:ascii="Georgia" w:hAnsi="Georgia" w:cs="David"/>
          <w:sz w:val="14"/>
          <w:szCs w:val="16"/>
          <w:rtl/>
        </w:rPr>
        <w:t>הגילניים</w:t>
      </w:r>
      <w:proofErr w:type="spellEnd"/>
      <w:r w:rsidRPr="00F56BAD">
        <w:rPr>
          <w:rFonts w:ascii="Georgia" w:hAnsi="Georgia" w:cs="David"/>
          <w:sz w:val="14"/>
          <w:szCs w:val="16"/>
          <w:rtl/>
        </w:rPr>
        <w:t xml:space="preserve"> ולפיהם הוא אינו מסוגל לכך. </w:t>
      </w:r>
      <w:hyperlink r:id="rId2" w:history="1">
        <w:r w:rsidRPr="00F56BAD">
          <w:rPr>
            <w:rStyle w:val="Hyperlink"/>
            <w:rFonts w:ascii="Georgia" w:hAnsi="Georgia" w:cs="David"/>
            <w:color w:val="auto"/>
            <w:sz w:val="14"/>
            <w:szCs w:val="16"/>
          </w:rPr>
          <w:t>https://beactive.co.il/project/61778</w:t>
        </w:r>
      </w:hyperlink>
      <w:r w:rsidRPr="00F56BAD">
        <w:rPr>
          <w:rFonts w:ascii="Georgia" w:hAnsi="Georgia" w:cs="David"/>
          <w:sz w:val="14"/>
          <w:szCs w:val="16"/>
          <w:rtl/>
        </w:rPr>
        <w:t xml:space="preserve"> </w:t>
      </w:r>
    </w:p>
  </w:footnote>
  <w:footnote w:id="11">
    <w:p w14:paraId="4DC4D684" w14:textId="57414E66" w:rsidR="00EB3F46" w:rsidRPr="00EB3F46" w:rsidRDefault="00EB3F46" w:rsidP="00EB3F46">
      <w:pPr>
        <w:spacing w:line="200" w:lineRule="exact"/>
        <w:ind w:left="397" w:hanging="397"/>
        <w:jc w:val="both"/>
        <w:rPr>
          <w:rFonts w:ascii="Georgia" w:hAnsi="Georgia"/>
          <w:sz w:val="14"/>
          <w:szCs w:val="16"/>
        </w:rPr>
      </w:pPr>
      <w:r w:rsidRPr="00EB3F46">
        <w:rPr>
          <w:rStyle w:val="FootnoteReference"/>
          <w:rFonts w:ascii="David" w:hAnsi="David"/>
          <w:sz w:val="16"/>
          <w:szCs w:val="16"/>
          <w:vertAlign w:val="baseline"/>
        </w:rPr>
        <w:footnoteRef/>
      </w:r>
      <w:r w:rsidRPr="00EB3F46">
        <w:rPr>
          <w:rFonts w:ascii="Georgia" w:hAnsi="Georgia"/>
          <w:sz w:val="14"/>
          <w:szCs w:val="16"/>
          <w:rtl/>
        </w:rPr>
        <w:t xml:space="preserve"> </w:t>
      </w:r>
      <w:r w:rsidRPr="00EB3F46">
        <w:rPr>
          <w:rFonts w:ascii="Georgia" w:hAnsi="Georgia"/>
          <w:sz w:val="14"/>
          <w:szCs w:val="16"/>
          <w:rtl/>
        </w:rPr>
        <w:tab/>
        <w:t xml:space="preserve">ריאיון עם אחד מכותבי המאמר. אפריל 2020, ירושלים. </w:t>
      </w:r>
    </w:p>
  </w:footnote>
  <w:footnote w:id="12">
    <w:p w14:paraId="4E0A6FCA" w14:textId="77777777" w:rsidR="00673493" w:rsidRDefault="00EB3F46" w:rsidP="00EB3F46">
      <w:pPr>
        <w:pStyle w:val="FootnoteText"/>
        <w:spacing w:line="200" w:lineRule="exact"/>
        <w:ind w:left="397" w:hanging="397"/>
        <w:jc w:val="both"/>
        <w:rPr>
          <w:rFonts w:ascii="Georgia" w:hAnsi="Georgia" w:cs="David"/>
          <w:sz w:val="14"/>
          <w:szCs w:val="16"/>
          <w:rtl/>
        </w:rPr>
      </w:pPr>
      <w:r w:rsidRPr="00EB3F46">
        <w:rPr>
          <w:rStyle w:val="FootnoteReference"/>
          <w:rFonts w:ascii="David" w:hAnsi="David" w:cs="David"/>
          <w:sz w:val="16"/>
          <w:szCs w:val="16"/>
          <w:vertAlign w:val="baseline"/>
        </w:rPr>
        <w:footnoteRef/>
      </w:r>
      <w:r w:rsidRPr="00EB3F46">
        <w:rPr>
          <w:rFonts w:ascii="Georgia" w:hAnsi="Georgia" w:cs="David"/>
          <w:sz w:val="14"/>
          <w:szCs w:val="16"/>
          <w:rtl/>
        </w:rPr>
        <w:t xml:space="preserve"> </w:t>
      </w:r>
      <w:r w:rsidRPr="00EB3F46">
        <w:rPr>
          <w:rFonts w:ascii="Georgia" w:hAnsi="Georgia" w:cs="David"/>
          <w:sz w:val="14"/>
          <w:szCs w:val="16"/>
          <w:rtl/>
        </w:rPr>
        <w:tab/>
        <w:t xml:space="preserve">ריאיון מיוחד עם שרת החוץ השבדית. כאן 11, 5 במאי 2020. </w:t>
      </w:r>
    </w:p>
    <w:p w14:paraId="13665CCC" w14:textId="259337CD" w:rsidR="00EB3F46" w:rsidRPr="00F56BAD" w:rsidRDefault="00000000" w:rsidP="004243DE">
      <w:pPr>
        <w:pStyle w:val="FootnoteText"/>
        <w:bidi w:val="0"/>
        <w:spacing w:line="200" w:lineRule="exact"/>
        <w:ind w:left="397" w:hanging="397"/>
        <w:rPr>
          <w:rFonts w:ascii="Georgia" w:hAnsi="Georgia" w:cs="David"/>
          <w:sz w:val="14"/>
          <w:szCs w:val="16"/>
        </w:rPr>
      </w:pPr>
      <w:hyperlink r:id="rId3" w:history="1">
        <w:r w:rsidR="00EB3F46" w:rsidRPr="00F56BAD">
          <w:rPr>
            <w:rStyle w:val="Hyperlink"/>
            <w:rFonts w:ascii="Georgia" w:hAnsi="Georgia" w:cs="David"/>
            <w:color w:val="auto"/>
            <w:sz w:val="14"/>
            <w:szCs w:val="16"/>
          </w:rPr>
          <w:t>https://www.youtube.com/watch?v=UTjMvbF4dcQ</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DB88" w14:textId="0C42C819" w:rsidR="00143D27" w:rsidRPr="00A6479A" w:rsidRDefault="00143D27" w:rsidP="00DA1730">
    <w:pPr>
      <w:pStyle w:val="Heading1"/>
      <w:tabs>
        <w:tab w:val="center" w:pos="4536"/>
        <w:tab w:val="right" w:pos="9072"/>
      </w:tabs>
      <w:rPr>
        <w:rFonts w:ascii="Calibri" w:hAnsi="Calibri" w:cs="David"/>
        <w:b w:val="0"/>
        <w:bCs w:val="0"/>
        <w:color w:val="A6A6A6"/>
        <w:sz w:val="20"/>
        <w:szCs w:val="20"/>
        <w:rtl/>
      </w:rPr>
    </w:pPr>
    <w:r w:rsidRPr="00A17DA2">
      <w:rPr>
        <w:rFonts w:ascii="David" w:hAnsi="David" w:cs="David"/>
        <w:noProof/>
        <w:sz w:val="24"/>
        <w:szCs w:val="24"/>
      </w:rPr>
      <w:fldChar w:fldCharType="begin"/>
    </w:r>
    <w:r w:rsidRPr="00A17DA2">
      <w:rPr>
        <w:rFonts w:ascii="David" w:hAnsi="David" w:cs="David"/>
        <w:noProof/>
        <w:sz w:val="24"/>
        <w:szCs w:val="24"/>
      </w:rPr>
      <w:instrText xml:space="preserve"> PAGE   \* MERGEFORMAT </w:instrText>
    </w:r>
    <w:r w:rsidRPr="00A17DA2">
      <w:rPr>
        <w:rFonts w:ascii="David" w:hAnsi="David" w:cs="David"/>
        <w:noProof/>
        <w:sz w:val="24"/>
        <w:szCs w:val="24"/>
      </w:rPr>
      <w:fldChar w:fldCharType="separate"/>
    </w:r>
    <w:r w:rsidR="009427C0">
      <w:rPr>
        <w:rFonts w:ascii="David" w:hAnsi="David" w:cs="David"/>
        <w:noProof/>
        <w:sz w:val="24"/>
        <w:szCs w:val="24"/>
        <w:rtl/>
      </w:rPr>
      <w:t>30</w:t>
    </w:r>
    <w:r w:rsidRPr="00A17DA2">
      <w:rPr>
        <w:rFonts w:ascii="David" w:hAnsi="David" w:cs="David"/>
        <w:noProof/>
        <w:sz w:val="24"/>
        <w:szCs w:val="24"/>
      </w:rPr>
      <w:fldChar w:fldCharType="end"/>
    </w:r>
    <w:r w:rsidRPr="001403E5">
      <w:rPr>
        <w:rFonts w:ascii="David" w:hAnsi="David" w:cs="David"/>
        <w:b w:val="0"/>
        <w:bCs w:val="0"/>
        <w:sz w:val="18"/>
        <w:szCs w:val="18"/>
        <w:rtl/>
      </w:rPr>
      <w:t xml:space="preserve">  |  ביטחון סוציאלי </w:t>
    </w:r>
    <w:r w:rsidRPr="001403E5">
      <w:rPr>
        <w:rFonts w:ascii="David" w:hAnsi="David" w:cs="David" w:hint="cs"/>
        <w:b w:val="0"/>
        <w:bCs w:val="0"/>
        <w:sz w:val="18"/>
        <w:szCs w:val="18"/>
        <w:rtl/>
      </w:rPr>
      <w:t>11</w:t>
    </w:r>
    <w:r>
      <w:rPr>
        <w:rFonts w:ascii="David" w:hAnsi="David" w:cs="David" w:hint="cs"/>
        <w:b w:val="0"/>
        <w:bCs w:val="0"/>
        <w:sz w:val="18"/>
        <w:szCs w:val="18"/>
        <w:rtl/>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5355" w14:textId="79030D24" w:rsidR="00143D27" w:rsidRPr="00CA633F" w:rsidRDefault="00143D27" w:rsidP="00446E1E">
    <w:pPr>
      <w:pStyle w:val="Heading1"/>
      <w:tabs>
        <w:tab w:val="center" w:pos="4536"/>
        <w:tab w:val="right" w:pos="9072"/>
      </w:tabs>
      <w:jc w:val="right"/>
      <w:rPr>
        <w:rFonts w:ascii="David" w:hAnsi="David" w:cs="David"/>
        <w:b w:val="0"/>
        <w:bCs w:val="0"/>
        <w:noProof/>
        <w:color w:val="A6A6A6"/>
        <w:sz w:val="20"/>
        <w:szCs w:val="20"/>
      </w:rPr>
    </w:pPr>
    <w:r w:rsidRPr="00E578D0">
      <w:rPr>
        <w:rFonts w:ascii="David" w:hAnsi="David" w:cs="David"/>
        <w:b w:val="0"/>
        <w:bCs w:val="0"/>
        <w:noProof/>
        <w:sz w:val="18"/>
        <w:szCs w:val="18"/>
        <w:rtl/>
        <w:lang w:val="he-IL"/>
      </w:rPr>
      <w:t>הנכחה, הדרה והזרה: על גילנות בתקשורת בתקופת הקורונה</w:t>
    </w:r>
    <w:r w:rsidRPr="001403E5">
      <w:rPr>
        <w:rFonts w:ascii="David" w:hAnsi="David" w:cs="David"/>
        <w:b w:val="0"/>
        <w:bCs w:val="0"/>
        <w:noProof/>
        <w:sz w:val="18"/>
        <w:szCs w:val="18"/>
        <w:rtl/>
      </w:rPr>
      <w:t xml:space="preserve"> |  </w:t>
    </w:r>
    <w:r w:rsidRPr="00A17DA2">
      <w:rPr>
        <w:rFonts w:ascii="David" w:hAnsi="David" w:cs="David"/>
        <w:noProof/>
        <w:sz w:val="24"/>
        <w:szCs w:val="24"/>
      </w:rPr>
      <w:fldChar w:fldCharType="begin"/>
    </w:r>
    <w:r w:rsidRPr="00A17DA2">
      <w:rPr>
        <w:rFonts w:ascii="David" w:hAnsi="David" w:cs="David"/>
        <w:noProof/>
        <w:sz w:val="24"/>
        <w:szCs w:val="24"/>
      </w:rPr>
      <w:instrText xml:space="preserve"> PAGE   \* MERGEFORMAT </w:instrText>
    </w:r>
    <w:r w:rsidRPr="00A17DA2">
      <w:rPr>
        <w:rFonts w:ascii="David" w:hAnsi="David" w:cs="David"/>
        <w:noProof/>
        <w:sz w:val="24"/>
        <w:szCs w:val="24"/>
      </w:rPr>
      <w:fldChar w:fldCharType="separate"/>
    </w:r>
    <w:r w:rsidR="009427C0">
      <w:rPr>
        <w:rFonts w:ascii="David" w:hAnsi="David" w:cs="David"/>
        <w:noProof/>
        <w:sz w:val="24"/>
        <w:szCs w:val="24"/>
        <w:rtl/>
      </w:rPr>
      <w:t>31</w:t>
    </w:r>
    <w:r w:rsidRPr="00A17DA2">
      <w:rPr>
        <w:rFonts w:ascii="David" w:hAnsi="David" w:cs="David"/>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B20"/>
    <w:multiLevelType w:val="hybridMultilevel"/>
    <w:tmpl w:val="799CB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04603"/>
    <w:multiLevelType w:val="hybridMultilevel"/>
    <w:tmpl w:val="2436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70944"/>
    <w:multiLevelType w:val="hybridMultilevel"/>
    <w:tmpl w:val="F642E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666B4"/>
    <w:multiLevelType w:val="hybridMultilevel"/>
    <w:tmpl w:val="0D18B8A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4553D5"/>
    <w:multiLevelType w:val="hybridMultilevel"/>
    <w:tmpl w:val="9BF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B0BC2"/>
    <w:multiLevelType w:val="hybridMultilevel"/>
    <w:tmpl w:val="9EB4CF0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 w15:restartNumberingAfterBreak="0">
    <w:nsid w:val="118F57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F647B5"/>
    <w:multiLevelType w:val="multilevel"/>
    <w:tmpl w:val="638C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9C62C5"/>
    <w:multiLevelType w:val="hybridMultilevel"/>
    <w:tmpl w:val="BE622AA4"/>
    <w:lvl w:ilvl="0" w:tplc="0409000F">
      <w:start w:val="1"/>
      <w:numFmt w:val="decimal"/>
      <w:lvlText w:val="%1."/>
      <w:lvlJc w:val="left"/>
      <w:pPr>
        <w:ind w:left="360" w:hanging="360"/>
      </w:pPr>
    </w:lvl>
    <w:lvl w:ilvl="1" w:tplc="0AC6C61A">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147072"/>
    <w:multiLevelType w:val="hybridMultilevel"/>
    <w:tmpl w:val="33909494"/>
    <w:lvl w:ilvl="0" w:tplc="5C20D1E0">
      <w:start w:val="1"/>
      <w:numFmt w:val="decimal"/>
      <w:lvlText w:val="%1."/>
      <w:lvlJc w:val="left"/>
      <w:pPr>
        <w:ind w:left="360" w:hanging="360"/>
      </w:pPr>
      <w:rPr>
        <w:rFonts w:hint="default"/>
        <w:i w:val="0"/>
        <w:iCs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15:restartNumberingAfterBreak="0">
    <w:nsid w:val="19271D06"/>
    <w:multiLevelType w:val="hybridMultilevel"/>
    <w:tmpl w:val="34D08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744E6"/>
    <w:multiLevelType w:val="hybridMultilevel"/>
    <w:tmpl w:val="2764904E"/>
    <w:lvl w:ilvl="0" w:tplc="244E26C2">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2" w15:restartNumberingAfterBreak="0">
    <w:nsid w:val="1AE9252F"/>
    <w:multiLevelType w:val="hybridMultilevel"/>
    <w:tmpl w:val="7A3A9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847B5"/>
    <w:multiLevelType w:val="multilevel"/>
    <w:tmpl w:val="6792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9476E"/>
    <w:multiLevelType w:val="hybridMultilevel"/>
    <w:tmpl w:val="10447390"/>
    <w:lvl w:ilvl="0" w:tplc="4370AF3C">
      <w:start w:val="1"/>
      <w:numFmt w:val="hebrew1"/>
      <w:lvlText w:val="%1."/>
      <w:lvlJc w:val="left"/>
      <w:pPr>
        <w:ind w:left="363" w:hanging="360"/>
      </w:pPr>
      <w:rPr>
        <w:rFonts w:hint="default"/>
        <w:i/>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5" w15:restartNumberingAfterBreak="0">
    <w:nsid w:val="1FC0464A"/>
    <w:multiLevelType w:val="multilevel"/>
    <w:tmpl w:val="78FE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1D5020"/>
    <w:multiLevelType w:val="hybridMultilevel"/>
    <w:tmpl w:val="271C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963FB"/>
    <w:multiLevelType w:val="hybridMultilevel"/>
    <w:tmpl w:val="E5A68E62"/>
    <w:lvl w:ilvl="0" w:tplc="0409000F">
      <w:start w:val="1"/>
      <w:numFmt w:val="decimal"/>
      <w:lvlText w:val="%1."/>
      <w:lvlJc w:val="left"/>
      <w:pPr>
        <w:ind w:left="360" w:hanging="360"/>
      </w:pPr>
    </w:lvl>
    <w:lvl w:ilvl="1" w:tplc="0AC6C61A">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8329A4"/>
    <w:multiLevelType w:val="hybridMultilevel"/>
    <w:tmpl w:val="A1CA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405EB"/>
    <w:multiLevelType w:val="hybridMultilevel"/>
    <w:tmpl w:val="7F0C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132212"/>
    <w:multiLevelType w:val="hybridMultilevel"/>
    <w:tmpl w:val="A62C60EC"/>
    <w:lvl w:ilvl="0" w:tplc="28EAF390">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93F02"/>
    <w:multiLevelType w:val="hybridMultilevel"/>
    <w:tmpl w:val="2C6223E8"/>
    <w:lvl w:ilvl="0" w:tplc="69C8A5A4">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D468CB"/>
    <w:multiLevelType w:val="hybridMultilevel"/>
    <w:tmpl w:val="122439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A92863"/>
    <w:multiLevelType w:val="multilevel"/>
    <w:tmpl w:val="33408D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324AFB"/>
    <w:multiLevelType w:val="hybridMultilevel"/>
    <w:tmpl w:val="D4E6F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74DD2"/>
    <w:multiLevelType w:val="multilevel"/>
    <w:tmpl w:val="7F80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D1673C"/>
    <w:multiLevelType w:val="hybridMultilevel"/>
    <w:tmpl w:val="B7001FA2"/>
    <w:lvl w:ilvl="0" w:tplc="12DE4A02">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34D63"/>
    <w:multiLevelType w:val="hybridMultilevel"/>
    <w:tmpl w:val="C7409D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0C0198"/>
    <w:multiLevelType w:val="multilevel"/>
    <w:tmpl w:val="8608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DE5665"/>
    <w:multiLevelType w:val="multilevel"/>
    <w:tmpl w:val="45C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5B2BCA"/>
    <w:multiLevelType w:val="multilevel"/>
    <w:tmpl w:val="2D20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12D1B"/>
    <w:multiLevelType w:val="hybridMultilevel"/>
    <w:tmpl w:val="9A38F666"/>
    <w:lvl w:ilvl="0" w:tplc="0409000F">
      <w:start w:val="1"/>
      <w:numFmt w:val="decimal"/>
      <w:lvlText w:val="%1."/>
      <w:lvlJc w:val="left"/>
      <w:pPr>
        <w:tabs>
          <w:tab w:val="num" w:pos="720"/>
        </w:tabs>
        <w:ind w:left="720" w:hanging="360"/>
      </w:pPr>
      <w:rPr>
        <w:rFonts w:hint="default"/>
      </w:rPr>
    </w:lvl>
    <w:lvl w:ilvl="1" w:tplc="6F06BC9A">
      <w:start w:val="3"/>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5BC7D18"/>
    <w:multiLevelType w:val="hybridMultilevel"/>
    <w:tmpl w:val="30F6A48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3B0E78"/>
    <w:multiLevelType w:val="hybridMultilevel"/>
    <w:tmpl w:val="C652B95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7C87141B"/>
    <w:multiLevelType w:val="hybridMultilevel"/>
    <w:tmpl w:val="581C8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8932643">
    <w:abstractNumId w:val="18"/>
  </w:num>
  <w:num w:numId="2" w16cid:durableId="2142576069">
    <w:abstractNumId w:val="22"/>
  </w:num>
  <w:num w:numId="3" w16cid:durableId="1146971473">
    <w:abstractNumId w:val="31"/>
  </w:num>
  <w:num w:numId="4" w16cid:durableId="1819766670">
    <w:abstractNumId w:val="27"/>
  </w:num>
  <w:num w:numId="5" w16cid:durableId="1619675971">
    <w:abstractNumId w:val="11"/>
  </w:num>
  <w:num w:numId="6" w16cid:durableId="506360946">
    <w:abstractNumId w:val="26"/>
  </w:num>
  <w:num w:numId="7" w16cid:durableId="694306094">
    <w:abstractNumId w:val="19"/>
  </w:num>
  <w:num w:numId="8" w16cid:durableId="568032151">
    <w:abstractNumId w:val="0"/>
  </w:num>
  <w:num w:numId="9" w16cid:durableId="1926304596">
    <w:abstractNumId w:val="9"/>
  </w:num>
  <w:num w:numId="10" w16cid:durableId="67121625">
    <w:abstractNumId w:val="30"/>
  </w:num>
  <w:num w:numId="11" w16cid:durableId="188838452">
    <w:abstractNumId w:val="28"/>
  </w:num>
  <w:num w:numId="12" w16cid:durableId="2036614761">
    <w:abstractNumId w:val="23"/>
  </w:num>
  <w:num w:numId="13" w16cid:durableId="846557018">
    <w:abstractNumId w:val="14"/>
  </w:num>
  <w:num w:numId="14" w16cid:durableId="465507872">
    <w:abstractNumId w:val="7"/>
  </w:num>
  <w:num w:numId="15" w16cid:durableId="1289554903">
    <w:abstractNumId w:val="13"/>
  </w:num>
  <w:num w:numId="16" w16cid:durableId="826673125">
    <w:abstractNumId w:val="4"/>
  </w:num>
  <w:num w:numId="17" w16cid:durableId="172381523">
    <w:abstractNumId w:val="32"/>
  </w:num>
  <w:num w:numId="18" w16cid:durableId="1941331022">
    <w:abstractNumId w:val="25"/>
  </w:num>
  <w:num w:numId="19" w16cid:durableId="1252393541">
    <w:abstractNumId w:val="12"/>
  </w:num>
  <w:num w:numId="20" w16cid:durableId="370375917">
    <w:abstractNumId w:val="2"/>
  </w:num>
  <w:num w:numId="21" w16cid:durableId="1208570200">
    <w:abstractNumId w:val="1"/>
  </w:num>
  <w:num w:numId="22" w16cid:durableId="584263072">
    <w:abstractNumId w:val="6"/>
  </w:num>
  <w:num w:numId="23" w16cid:durableId="1327636434">
    <w:abstractNumId w:val="21"/>
  </w:num>
  <w:num w:numId="24" w16cid:durableId="1560243526">
    <w:abstractNumId w:val="16"/>
  </w:num>
  <w:num w:numId="25" w16cid:durableId="520509250">
    <w:abstractNumId w:val="20"/>
  </w:num>
  <w:num w:numId="26" w16cid:durableId="1502508119">
    <w:abstractNumId w:val="5"/>
  </w:num>
  <w:num w:numId="27" w16cid:durableId="61291070">
    <w:abstractNumId w:val="15"/>
  </w:num>
  <w:num w:numId="28" w16cid:durableId="2132088582">
    <w:abstractNumId w:val="24"/>
  </w:num>
  <w:num w:numId="29" w16cid:durableId="1188956097">
    <w:abstractNumId w:val="33"/>
  </w:num>
  <w:num w:numId="30" w16cid:durableId="201358555">
    <w:abstractNumId w:val="34"/>
  </w:num>
  <w:num w:numId="31" w16cid:durableId="398864075">
    <w:abstractNumId w:val="10"/>
  </w:num>
  <w:num w:numId="32" w16cid:durableId="1041170970">
    <w:abstractNumId w:val="29"/>
  </w:num>
  <w:num w:numId="33" w16cid:durableId="728116015">
    <w:abstractNumId w:val="8"/>
  </w:num>
  <w:num w:numId="34" w16cid:durableId="176578299">
    <w:abstractNumId w:val="3"/>
  </w:num>
  <w:num w:numId="35" w16cid:durableId="3466389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397"/>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399"/>
    <w:rsid w:val="0000281B"/>
    <w:rsid w:val="0000349E"/>
    <w:rsid w:val="00010EE7"/>
    <w:rsid w:val="00023993"/>
    <w:rsid w:val="00042A45"/>
    <w:rsid w:val="00053C6F"/>
    <w:rsid w:val="00053FEE"/>
    <w:rsid w:val="000552ED"/>
    <w:rsid w:val="0006358E"/>
    <w:rsid w:val="000655BC"/>
    <w:rsid w:val="000660A4"/>
    <w:rsid w:val="00071D03"/>
    <w:rsid w:val="000878B3"/>
    <w:rsid w:val="000879EC"/>
    <w:rsid w:val="0009099F"/>
    <w:rsid w:val="000A3731"/>
    <w:rsid w:val="000A7897"/>
    <w:rsid w:val="000A7BCF"/>
    <w:rsid w:val="000C13C4"/>
    <w:rsid w:val="000C236E"/>
    <w:rsid w:val="000C3082"/>
    <w:rsid w:val="000C32F6"/>
    <w:rsid w:val="000D41F8"/>
    <w:rsid w:val="000D5E06"/>
    <w:rsid w:val="000E38FA"/>
    <w:rsid w:val="000E730A"/>
    <w:rsid w:val="000F1382"/>
    <w:rsid w:val="000F7FCC"/>
    <w:rsid w:val="00110404"/>
    <w:rsid w:val="00111FEC"/>
    <w:rsid w:val="00126BBB"/>
    <w:rsid w:val="001403E5"/>
    <w:rsid w:val="001405FC"/>
    <w:rsid w:val="00143D27"/>
    <w:rsid w:val="00152DDF"/>
    <w:rsid w:val="00160BCD"/>
    <w:rsid w:val="0016319A"/>
    <w:rsid w:val="00164AB3"/>
    <w:rsid w:val="00167C83"/>
    <w:rsid w:val="0018721E"/>
    <w:rsid w:val="00192386"/>
    <w:rsid w:val="001A0002"/>
    <w:rsid w:val="001A3ED8"/>
    <w:rsid w:val="001A72DB"/>
    <w:rsid w:val="001B018D"/>
    <w:rsid w:val="001B37FC"/>
    <w:rsid w:val="001C56DC"/>
    <w:rsid w:val="001D2C96"/>
    <w:rsid w:val="001F2763"/>
    <w:rsid w:val="001F60C4"/>
    <w:rsid w:val="00202086"/>
    <w:rsid w:val="002044C6"/>
    <w:rsid w:val="00215E46"/>
    <w:rsid w:val="00224C6A"/>
    <w:rsid w:val="00224DAD"/>
    <w:rsid w:val="00227591"/>
    <w:rsid w:val="00233CB2"/>
    <w:rsid w:val="00234C6B"/>
    <w:rsid w:val="002374D0"/>
    <w:rsid w:val="00243FD7"/>
    <w:rsid w:val="002519BC"/>
    <w:rsid w:val="002539D8"/>
    <w:rsid w:val="002574BB"/>
    <w:rsid w:val="00272B00"/>
    <w:rsid w:val="00297BAD"/>
    <w:rsid w:val="002A1FB7"/>
    <w:rsid w:val="002A37FD"/>
    <w:rsid w:val="002B00EC"/>
    <w:rsid w:val="002B401D"/>
    <w:rsid w:val="002C45DF"/>
    <w:rsid w:val="002C4FB7"/>
    <w:rsid w:val="002D1E69"/>
    <w:rsid w:val="002E5B60"/>
    <w:rsid w:val="002E7282"/>
    <w:rsid w:val="002F0EE3"/>
    <w:rsid w:val="002F2A32"/>
    <w:rsid w:val="00303665"/>
    <w:rsid w:val="00305B76"/>
    <w:rsid w:val="00307EFC"/>
    <w:rsid w:val="00313AC3"/>
    <w:rsid w:val="003151B1"/>
    <w:rsid w:val="00317D2D"/>
    <w:rsid w:val="00317DCD"/>
    <w:rsid w:val="0032119F"/>
    <w:rsid w:val="00321EF9"/>
    <w:rsid w:val="003337CA"/>
    <w:rsid w:val="00336C7C"/>
    <w:rsid w:val="00336EF9"/>
    <w:rsid w:val="00346252"/>
    <w:rsid w:val="00360F01"/>
    <w:rsid w:val="003617BF"/>
    <w:rsid w:val="0037058D"/>
    <w:rsid w:val="00372E40"/>
    <w:rsid w:val="00374196"/>
    <w:rsid w:val="00386FF0"/>
    <w:rsid w:val="00395EC5"/>
    <w:rsid w:val="003A30BE"/>
    <w:rsid w:val="003A465D"/>
    <w:rsid w:val="003B537C"/>
    <w:rsid w:val="003B5A79"/>
    <w:rsid w:val="003B617A"/>
    <w:rsid w:val="003C255E"/>
    <w:rsid w:val="003C3C55"/>
    <w:rsid w:val="003C4EAD"/>
    <w:rsid w:val="003D1152"/>
    <w:rsid w:val="003D16D1"/>
    <w:rsid w:val="003D4AF9"/>
    <w:rsid w:val="00401641"/>
    <w:rsid w:val="0040182C"/>
    <w:rsid w:val="0040429B"/>
    <w:rsid w:val="00405788"/>
    <w:rsid w:val="004100FE"/>
    <w:rsid w:val="004112B2"/>
    <w:rsid w:val="00416142"/>
    <w:rsid w:val="004172AC"/>
    <w:rsid w:val="004216E4"/>
    <w:rsid w:val="004243DE"/>
    <w:rsid w:val="00424C06"/>
    <w:rsid w:val="00433DFB"/>
    <w:rsid w:val="00443DA7"/>
    <w:rsid w:val="00446E1E"/>
    <w:rsid w:val="004543DB"/>
    <w:rsid w:val="0045651F"/>
    <w:rsid w:val="00460742"/>
    <w:rsid w:val="004607FE"/>
    <w:rsid w:val="00463E35"/>
    <w:rsid w:val="0046547D"/>
    <w:rsid w:val="00466666"/>
    <w:rsid w:val="004675BD"/>
    <w:rsid w:val="00471658"/>
    <w:rsid w:val="00471FA3"/>
    <w:rsid w:val="004735F5"/>
    <w:rsid w:val="00476462"/>
    <w:rsid w:val="00486951"/>
    <w:rsid w:val="00495779"/>
    <w:rsid w:val="004A6AA8"/>
    <w:rsid w:val="004A71EC"/>
    <w:rsid w:val="004C399D"/>
    <w:rsid w:val="004C47F0"/>
    <w:rsid w:val="004F66EB"/>
    <w:rsid w:val="004F723F"/>
    <w:rsid w:val="00512B59"/>
    <w:rsid w:val="00514F6D"/>
    <w:rsid w:val="00514FD7"/>
    <w:rsid w:val="00526243"/>
    <w:rsid w:val="00527001"/>
    <w:rsid w:val="005368B8"/>
    <w:rsid w:val="00537276"/>
    <w:rsid w:val="005416E9"/>
    <w:rsid w:val="00550BEE"/>
    <w:rsid w:val="00555EA0"/>
    <w:rsid w:val="005579CB"/>
    <w:rsid w:val="005619D8"/>
    <w:rsid w:val="00573FBB"/>
    <w:rsid w:val="00576127"/>
    <w:rsid w:val="00577141"/>
    <w:rsid w:val="00590AF2"/>
    <w:rsid w:val="005918B3"/>
    <w:rsid w:val="0059386B"/>
    <w:rsid w:val="005B2E85"/>
    <w:rsid w:val="005B6002"/>
    <w:rsid w:val="005C02D4"/>
    <w:rsid w:val="005C09E1"/>
    <w:rsid w:val="005C28F7"/>
    <w:rsid w:val="005D5F14"/>
    <w:rsid w:val="005D66AF"/>
    <w:rsid w:val="005F29BD"/>
    <w:rsid w:val="005F385C"/>
    <w:rsid w:val="005F635C"/>
    <w:rsid w:val="00602FED"/>
    <w:rsid w:val="00603664"/>
    <w:rsid w:val="00606992"/>
    <w:rsid w:val="006131D1"/>
    <w:rsid w:val="006154FA"/>
    <w:rsid w:val="0062321C"/>
    <w:rsid w:val="006250AD"/>
    <w:rsid w:val="00625C22"/>
    <w:rsid w:val="006336AE"/>
    <w:rsid w:val="006358E3"/>
    <w:rsid w:val="00647292"/>
    <w:rsid w:val="006515FA"/>
    <w:rsid w:val="0065160D"/>
    <w:rsid w:val="00652D7C"/>
    <w:rsid w:val="0065797B"/>
    <w:rsid w:val="00657997"/>
    <w:rsid w:val="00671EDF"/>
    <w:rsid w:val="00673493"/>
    <w:rsid w:val="006824DB"/>
    <w:rsid w:val="00683B19"/>
    <w:rsid w:val="00686920"/>
    <w:rsid w:val="006906CB"/>
    <w:rsid w:val="00694414"/>
    <w:rsid w:val="006A07E8"/>
    <w:rsid w:val="006A5C0E"/>
    <w:rsid w:val="006B39AB"/>
    <w:rsid w:val="006B63C3"/>
    <w:rsid w:val="006C5BE6"/>
    <w:rsid w:val="006D0F89"/>
    <w:rsid w:val="006D270A"/>
    <w:rsid w:val="006E0F39"/>
    <w:rsid w:val="006E3185"/>
    <w:rsid w:val="006F062C"/>
    <w:rsid w:val="00703617"/>
    <w:rsid w:val="00707EC7"/>
    <w:rsid w:val="007178F3"/>
    <w:rsid w:val="00721527"/>
    <w:rsid w:val="00723A4F"/>
    <w:rsid w:val="007240DD"/>
    <w:rsid w:val="00733272"/>
    <w:rsid w:val="007377A3"/>
    <w:rsid w:val="0075363F"/>
    <w:rsid w:val="007547EB"/>
    <w:rsid w:val="00761780"/>
    <w:rsid w:val="00764F92"/>
    <w:rsid w:val="0076585B"/>
    <w:rsid w:val="007667D8"/>
    <w:rsid w:val="007747C6"/>
    <w:rsid w:val="00776EE2"/>
    <w:rsid w:val="00781208"/>
    <w:rsid w:val="00782D6E"/>
    <w:rsid w:val="00782E0D"/>
    <w:rsid w:val="007924C2"/>
    <w:rsid w:val="00796021"/>
    <w:rsid w:val="007A6CDA"/>
    <w:rsid w:val="007B28CA"/>
    <w:rsid w:val="007B5724"/>
    <w:rsid w:val="007B7399"/>
    <w:rsid w:val="007C1AD4"/>
    <w:rsid w:val="007C7168"/>
    <w:rsid w:val="007C726C"/>
    <w:rsid w:val="007D59DF"/>
    <w:rsid w:val="007E4FB7"/>
    <w:rsid w:val="007F12E9"/>
    <w:rsid w:val="007F146F"/>
    <w:rsid w:val="007F29C9"/>
    <w:rsid w:val="007F47F6"/>
    <w:rsid w:val="0082112D"/>
    <w:rsid w:val="008243A6"/>
    <w:rsid w:val="00827A5F"/>
    <w:rsid w:val="00831730"/>
    <w:rsid w:val="00837F2F"/>
    <w:rsid w:val="00840D01"/>
    <w:rsid w:val="0084161C"/>
    <w:rsid w:val="00854951"/>
    <w:rsid w:val="00855CCC"/>
    <w:rsid w:val="008666ED"/>
    <w:rsid w:val="00867031"/>
    <w:rsid w:val="00881FDE"/>
    <w:rsid w:val="008A3897"/>
    <w:rsid w:val="008A4FAD"/>
    <w:rsid w:val="008A539F"/>
    <w:rsid w:val="008A725B"/>
    <w:rsid w:val="008C1E74"/>
    <w:rsid w:val="008D141E"/>
    <w:rsid w:val="008D3F13"/>
    <w:rsid w:val="008D401A"/>
    <w:rsid w:val="008F7821"/>
    <w:rsid w:val="009023FC"/>
    <w:rsid w:val="009041F4"/>
    <w:rsid w:val="0090527F"/>
    <w:rsid w:val="0090645A"/>
    <w:rsid w:val="009079FB"/>
    <w:rsid w:val="00913099"/>
    <w:rsid w:val="00916371"/>
    <w:rsid w:val="00921795"/>
    <w:rsid w:val="009427C0"/>
    <w:rsid w:val="009465AD"/>
    <w:rsid w:val="009522CA"/>
    <w:rsid w:val="009533A1"/>
    <w:rsid w:val="00956C10"/>
    <w:rsid w:val="00971019"/>
    <w:rsid w:val="00983B9B"/>
    <w:rsid w:val="009951D5"/>
    <w:rsid w:val="009964B7"/>
    <w:rsid w:val="009B0512"/>
    <w:rsid w:val="009B3FA8"/>
    <w:rsid w:val="009B53E8"/>
    <w:rsid w:val="009C032D"/>
    <w:rsid w:val="009C42E2"/>
    <w:rsid w:val="009C4800"/>
    <w:rsid w:val="009C5E89"/>
    <w:rsid w:val="009D7325"/>
    <w:rsid w:val="009E30A1"/>
    <w:rsid w:val="009E3930"/>
    <w:rsid w:val="00A01251"/>
    <w:rsid w:val="00A04D35"/>
    <w:rsid w:val="00A12654"/>
    <w:rsid w:val="00A15C6E"/>
    <w:rsid w:val="00A17DA2"/>
    <w:rsid w:val="00A20B01"/>
    <w:rsid w:val="00A21DC3"/>
    <w:rsid w:val="00A24786"/>
    <w:rsid w:val="00A27C04"/>
    <w:rsid w:val="00A36D7F"/>
    <w:rsid w:val="00A41FB6"/>
    <w:rsid w:val="00A617BE"/>
    <w:rsid w:val="00A63C08"/>
    <w:rsid w:val="00A6479A"/>
    <w:rsid w:val="00A73CF4"/>
    <w:rsid w:val="00A910EE"/>
    <w:rsid w:val="00A953FC"/>
    <w:rsid w:val="00A95F73"/>
    <w:rsid w:val="00AB0E31"/>
    <w:rsid w:val="00AC3F0C"/>
    <w:rsid w:val="00AE03A0"/>
    <w:rsid w:val="00AE0A3D"/>
    <w:rsid w:val="00AE31E1"/>
    <w:rsid w:val="00AF1FDD"/>
    <w:rsid w:val="00AF39D0"/>
    <w:rsid w:val="00AF7379"/>
    <w:rsid w:val="00B045C9"/>
    <w:rsid w:val="00B14E13"/>
    <w:rsid w:val="00B23956"/>
    <w:rsid w:val="00B2682F"/>
    <w:rsid w:val="00B30F85"/>
    <w:rsid w:val="00B468E5"/>
    <w:rsid w:val="00B51168"/>
    <w:rsid w:val="00B56F6D"/>
    <w:rsid w:val="00B65652"/>
    <w:rsid w:val="00B81818"/>
    <w:rsid w:val="00B82024"/>
    <w:rsid w:val="00B86148"/>
    <w:rsid w:val="00BC1FB3"/>
    <w:rsid w:val="00BE0BCA"/>
    <w:rsid w:val="00BE7969"/>
    <w:rsid w:val="00BF5C14"/>
    <w:rsid w:val="00C13406"/>
    <w:rsid w:val="00C15C4D"/>
    <w:rsid w:val="00C2342E"/>
    <w:rsid w:val="00C2404F"/>
    <w:rsid w:val="00C2470F"/>
    <w:rsid w:val="00C36CE5"/>
    <w:rsid w:val="00C401EE"/>
    <w:rsid w:val="00C44CE1"/>
    <w:rsid w:val="00C456EB"/>
    <w:rsid w:val="00C517A2"/>
    <w:rsid w:val="00C54801"/>
    <w:rsid w:val="00C65584"/>
    <w:rsid w:val="00C7501F"/>
    <w:rsid w:val="00C80617"/>
    <w:rsid w:val="00C838F3"/>
    <w:rsid w:val="00C93533"/>
    <w:rsid w:val="00CA0B25"/>
    <w:rsid w:val="00CA1460"/>
    <w:rsid w:val="00CA56D2"/>
    <w:rsid w:val="00CA5B5A"/>
    <w:rsid w:val="00CA633F"/>
    <w:rsid w:val="00CA7399"/>
    <w:rsid w:val="00CA7495"/>
    <w:rsid w:val="00CB3F11"/>
    <w:rsid w:val="00CD4F4D"/>
    <w:rsid w:val="00CD593B"/>
    <w:rsid w:val="00CF5FCA"/>
    <w:rsid w:val="00CF7A4A"/>
    <w:rsid w:val="00D07128"/>
    <w:rsid w:val="00D20154"/>
    <w:rsid w:val="00D20DE5"/>
    <w:rsid w:val="00D21D40"/>
    <w:rsid w:val="00D35622"/>
    <w:rsid w:val="00D47B9D"/>
    <w:rsid w:val="00D614D3"/>
    <w:rsid w:val="00D623F9"/>
    <w:rsid w:val="00D72BB2"/>
    <w:rsid w:val="00D73C8D"/>
    <w:rsid w:val="00D92080"/>
    <w:rsid w:val="00D9338F"/>
    <w:rsid w:val="00D94E6C"/>
    <w:rsid w:val="00D96993"/>
    <w:rsid w:val="00DA1730"/>
    <w:rsid w:val="00DA26AC"/>
    <w:rsid w:val="00DB2F51"/>
    <w:rsid w:val="00DB3EF0"/>
    <w:rsid w:val="00DD08CB"/>
    <w:rsid w:val="00DD2767"/>
    <w:rsid w:val="00DD36D3"/>
    <w:rsid w:val="00DD5EAA"/>
    <w:rsid w:val="00DF06C8"/>
    <w:rsid w:val="00DF1DCF"/>
    <w:rsid w:val="00DF30C9"/>
    <w:rsid w:val="00DF330D"/>
    <w:rsid w:val="00DF34C9"/>
    <w:rsid w:val="00DF6684"/>
    <w:rsid w:val="00E06515"/>
    <w:rsid w:val="00E0657D"/>
    <w:rsid w:val="00E14069"/>
    <w:rsid w:val="00E14513"/>
    <w:rsid w:val="00E1683B"/>
    <w:rsid w:val="00E2512E"/>
    <w:rsid w:val="00E2538D"/>
    <w:rsid w:val="00E25F97"/>
    <w:rsid w:val="00E45C86"/>
    <w:rsid w:val="00E464CA"/>
    <w:rsid w:val="00E538E6"/>
    <w:rsid w:val="00E578D0"/>
    <w:rsid w:val="00E61BD7"/>
    <w:rsid w:val="00E61D38"/>
    <w:rsid w:val="00E63B78"/>
    <w:rsid w:val="00E94167"/>
    <w:rsid w:val="00E95DB4"/>
    <w:rsid w:val="00EA39BC"/>
    <w:rsid w:val="00EA411C"/>
    <w:rsid w:val="00EB3284"/>
    <w:rsid w:val="00EB3F46"/>
    <w:rsid w:val="00EB524C"/>
    <w:rsid w:val="00ED3C01"/>
    <w:rsid w:val="00ED6F02"/>
    <w:rsid w:val="00EF07B4"/>
    <w:rsid w:val="00EF0A42"/>
    <w:rsid w:val="00F0418C"/>
    <w:rsid w:val="00F1446C"/>
    <w:rsid w:val="00F20863"/>
    <w:rsid w:val="00F20E96"/>
    <w:rsid w:val="00F216E0"/>
    <w:rsid w:val="00F22E88"/>
    <w:rsid w:val="00F243ED"/>
    <w:rsid w:val="00F3107D"/>
    <w:rsid w:val="00F32B2F"/>
    <w:rsid w:val="00F56BAD"/>
    <w:rsid w:val="00F65D85"/>
    <w:rsid w:val="00F70364"/>
    <w:rsid w:val="00F76E57"/>
    <w:rsid w:val="00F82B5C"/>
    <w:rsid w:val="00F84B24"/>
    <w:rsid w:val="00F9525F"/>
    <w:rsid w:val="00F966A8"/>
    <w:rsid w:val="00FA0917"/>
    <w:rsid w:val="00FA3412"/>
    <w:rsid w:val="00FB0748"/>
    <w:rsid w:val="00FB371C"/>
    <w:rsid w:val="00FB439C"/>
    <w:rsid w:val="00FB4B8A"/>
    <w:rsid w:val="00FD1A0B"/>
    <w:rsid w:val="00FD63B0"/>
    <w:rsid w:val="00FE23FD"/>
    <w:rsid w:val="00FE2CBF"/>
    <w:rsid w:val="00FE7079"/>
    <w:rsid w:val="00FF009D"/>
    <w:rsid w:val="00FF2934"/>
    <w:rsid w:val="00FF61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2F4B4"/>
  <w15:docId w15:val="{19E6E478-BB55-45F3-9803-225B0D98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link w:val="Heading1Char"/>
    <w:uiPriority w:val="9"/>
    <w:qFormat/>
    <w:pPr>
      <w:keepNext/>
      <w:spacing w:after="120" w:line="300" w:lineRule="exact"/>
      <w:jc w:val="both"/>
      <w:outlineLvl w:val="0"/>
    </w:pPr>
    <w:rPr>
      <w:rFonts w:cs="FrankRuehl"/>
      <w:b/>
      <w:bCs/>
      <w:sz w:val="28"/>
      <w:szCs w:val="28"/>
    </w:rPr>
  </w:style>
  <w:style w:type="paragraph" w:styleId="Heading2">
    <w:name w:val="heading 2"/>
    <w:basedOn w:val="Normal"/>
    <w:next w:val="Normal"/>
    <w:link w:val="Heading2Char"/>
    <w:uiPriority w:val="9"/>
    <w:qFormat/>
    <w:pPr>
      <w:keepNext/>
      <w:spacing w:line="140" w:lineRule="exact"/>
      <w:outlineLvl w:val="1"/>
    </w:pPr>
    <w:rPr>
      <w:rFonts w:cs="FrankRuehl"/>
      <w:sz w:val="18"/>
      <w:szCs w:val="20"/>
      <w:u w:val="single"/>
    </w:rPr>
  </w:style>
  <w:style w:type="paragraph" w:styleId="Heading3">
    <w:name w:val="heading 3"/>
    <w:basedOn w:val="Normal"/>
    <w:next w:val="Normal"/>
    <w:link w:val="Heading3Char"/>
    <w:uiPriority w:val="9"/>
    <w:qFormat/>
    <w:pPr>
      <w:keepNext/>
      <w:spacing w:before="40" w:after="40" w:line="220" w:lineRule="exact"/>
      <w:jc w:val="center"/>
      <w:outlineLvl w:val="2"/>
    </w:pPr>
    <w:rPr>
      <w:rFonts w:cs="FrankRuehl"/>
      <w:b/>
      <w:bCs/>
      <w:sz w:val="20"/>
      <w:szCs w:val="20"/>
    </w:rPr>
  </w:style>
  <w:style w:type="paragraph" w:styleId="Heading4">
    <w:name w:val="heading 4"/>
    <w:basedOn w:val="Normal"/>
    <w:next w:val="Normal"/>
    <w:link w:val="Heading4Char"/>
    <w:uiPriority w:val="9"/>
    <w:qFormat/>
    <w:pPr>
      <w:keepNext/>
      <w:spacing w:line="360" w:lineRule="auto"/>
      <w:outlineLvl w:val="3"/>
    </w:pPr>
    <w:rPr>
      <w:rFonts w:ascii="Arial" w:hAnsi="Arial"/>
      <w:b/>
      <w:bCs/>
    </w:rPr>
  </w:style>
  <w:style w:type="paragraph" w:styleId="Heading5">
    <w:name w:val="heading 5"/>
    <w:basedOn w:val="Normal"/>
    <w:next w:val="Normal"/>
    <w:link w:val="Heading5Char"/>
    <w:uiPriority w:val="9"/>
    <w:qFormat/>
    <w:pPr>
      <w:keepNext/>
      <w:spacing w:after="120" w:line="280" w:lineRule="exact"/>
      <w:outlineLvl w:val="4"/>
    </w:pPr>
    <w:rPr>
      <w:b/>
      <w:bCs/>
      <w:sz w:val="22"/>
    </w:rPr>
  </w:style>
  <w:style w:type="paragraph" w:styleId="Heading6">
    <w:name w:val="heading 6"/>
    <w:basedOn w:val="Normal"/>
    <w:next w:val="Normal"/>
    <w:link w:val="Heading6Char"/>
    <w:uiPriority w:val="9"/>
    <w:qFormat/>
    <w:pPr>
      <w:keepNext/>
      <w:spacing w:before="40" w:after="40" w:line="220" w:lineRule="exact"/>
      <w:ind w:left="113" w:right="57"/>
      <w:jc w:val="right"/>
      <w:outlineLvl w:val="5"/>
    </w:pPr>
    <w:rPr>
      <w:rFonts w:cs="FrankRuehl"/>
      <w:b/>
      <w:bCs/>
      <w:sz w:val="20"/>
      <w:szCs w:val="20"/>
    </w:rPr>
  </w:style>
  <w:style w:type="paragraph" w:styleId="Heading7">
    <w:name w:val="heading 7"/>
    <w:basedOn w:val="Normal"/>
    <w:next w:val="Normal"/>
    <w:link w:val="Heading7Char"/>
    <w:uiPriority w:val="9"/>
    <w:qFormat/>
    <w:pPr>
      <w:keepNext/>
      <w:spacing w:before="40" w:after="40" w:line="220" w:lineRule="exact"/>
      <w:jc w:val="right"/>
      <w:outlineLvl w:val="6"/>
    </w:pPr>
    <w:rPr>
      <w:rFonts w:ascii="FrankRuehl" w:hAnsi="FrankRuehl" w:cs="FrankRuehl"/>
      <w:b/>
      <w:bCs/>
      <w:sz w:val="20"/>
      <w:szCs w:val="20"/>
    </w:rPr>
  </w:style>
  <w:style w:type="paragraph" w:styleId="Heading8">
    <w:name w:val="heading 8"/>
    <w:basedOn w:val="Normal"/>
    <w:next w:val="Normal"/>
    <w:link w:val="Heading8Char"/>
    <w:uiPriority w:val="9"/>
    <w:qFormat/>
    <w:pPr>
      <w:keepNext/>
      <w:spacing w:line="360" w:lineRule="auto"/>
      <w:ind w:right="57"/>
      <w:jc w:val="center"/>
      <w:outlineLvl w:val="7"/>
    </w:pPr>
    <w:rPr>
      <w:rFonts w:cs="FrankRuehl"/>
      <w:b/>
      <w:bCs/>
      <w:sz w:val="20"/>
      <w:szCs w:val="20"/>
    </w:rPr>
  </w:style>
  <w:style w:type="paragraph" w:styleId="Heading9">
    <w:name w:val="heading 9"/>
    <w:basedOn w:val="Normal"/>
    <w:next w:val="Normal"/>
    <w:link w:val="Heading9Char"/>
    <w:uiPriority w:val="9"/>
    <w:unhideWhenUsed/>
    <w:qFormat/>
    <w:rsid w:val="00471658"/>
    <w:pPr>
      <w:keepNext/>
      <w:spacing w:after="120" w:line="340" w:lineRule="exact"/>
      <w:jc w:val="center"/>
      <w:outlineLvl w:val="8"/>
    </w:pPr>
    <w:rPr>
      <w:rFonts w:cs="FrankRueh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rsid w:val="00D92080"/>
    <w:pPr>
      <w:spacing w:after="120" w:line="240" w:lineRule="atLeast"/>
      <w:ind w:right="2268"/>
      <w:jc w:val="left"/>
      <w:outlineLvl w:val="1"/>
    </w:pPr>
    <w:rPr>
      <w:rFonts w:ascii="Tahoma" w:hAnsi="Tahoma" w:cs="Tahoma"/>
      <w:color w:val="2A2AA6"/>
      <w:sz w:val="36"/>
      <w:szCs w:val="36"/>
    </w:rPr>
  </w:style>
  <w:style w:type="paragraph" w:customStyle="1" w:styleId="KOT5">
    <w:name w:val="KOT5"/>
    <w:basedOn w:val="KOT4"/>
    <w:rsid w:val="00D92080"/>
    <w:rPr>
      <w:color w:val="387026"/>
      <w:sz w:val="24"/>
      <w:szCs w:val="24"/>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BNAME">
    <w:name w:val="B_NAME"/>
    <w:basedOn w:val="Normal"/>
    <w:pPr>
      <w:spacing w:before="720" w:line="480" w:lineRule="exact"/>
      <w:jc w:val="center"/>
    </w:pPr>
    <w:rPr>
      <w:rFonts w:ascii="Arial" w:hAnsi="Arial" w:cs="Guttman Hodes"/>
      <w:b/>
      <w:bCs/>
      <w:sz w:val="40"/>
      <w:szCs w:val="40"/>
    </w:rPr>
  </w:style>
  <w:style w:type="paragraph" w:customStyle="1" w:styleId="Bauther">
    <w:name w:val="B_auther"/>
    <w:basedOn w:val="Normal"/>
    <w:pPr>
      <w:spacing w:before="240" w:after="480" w:line="360" w:lineRule="exact"/>
      <w:jc w:val="center"/>
    </w:pPr>
    <w:rPr>
      <w:rFonts w:ascii="Arial" w:hAnsi="Arial" w:cs="Guttman Hodes"/>
      <w:sz w:val="22"/>
      <w:szCs w:val="22"/>
    </w:rPr>
  </w:style>
  <w:style w:type="paragraph" w:customStyle="1" w:styleId="BKOT1">
    <w:name w:val="B_KOT1"/>
    <w:basedOn w:val="Normal"/>
    <w:pPr>
      <w:keepNext/>
      <w:keepLines/>
      <w:pBdr>
        <w:top w:val="single" w:sz="4" w:space="4" w:color="auto"/>
        <w:bottom w:val="single" w:sz="4" w:space="6" w:color="auto"/>
      </w:pBdr>
      <w:spacing w:before="360" w:after="240" w:line="300" w:lineRule="exact"/>
    </w:pPr>
    <w:rPr>
      <w:rFonts w:ascii="Arial" w:hAnsi="Arial" w:cs="Guttman Hodes"/>
      <w:b/>
      <w:bCs/>
      <w:sz w:val="26"/>
      <w:szCs w:val="26"/>
    </w:rPr>
  </w:style>
  <w:style w:type="character" w:styleId="FootnoteReference">
    <w:name w:val="footnote reference"/>
    <w:uiPriority w:val="99"/>
    <w:rPr>
      <w:vertAlign w:val="superscript"/>
    </w:rPr>
  </w:style>
  <w:style w:type="paragraph" w:styleId="FootnoteText">
    <w:name w:val="footnote text"/>
    <w:aliases w:val="טקסט הערות שוליים2,Footnote Text תו2,Footnote Text תו תו2,טקסט הערות שוליים1 תו2,Footnote Text תו תו תו תו2,Footnote Text תו תו תו תו תו תו,טקסט הערות שוליים תו1,טקסט הערות שוליים תו תו2,טקסט הערות שוליים תו1 תו תו,Footnote Text ת, Char"/>
    <w:basedOn w:val="Normal"/>
    <w:link w:val="FootnoteTextChar"/>
    <w:uiPriority w:val="99"/>
    <w:pPr>
      <w:spacing w:line="240" w:lineRule="auto"/>
    </w:pPr>
    <w:rPr>
      <w:rFonts w:cs="Times New Roman"/>
      <w:sz w:val="20"/>
      <w:szCs w:val="20"/>
    </w:rPr>
  </w:style>
  <w:style w:type="paragraph" w:styleId="BalloonText">
    <w:name w:val="Balloon Text"/>
    <w:basedOn w:val="Normal"/>
    <w:link w:val="BalloonTextChar"/>
    <w:uiPriority w:val="99"/>
    <w:semiHidden/>
    <w:pPr>
      <w:spacing w:line="240" w:lineRule="auto"/>
    </w:pPr>
    <w:rPr>
      <w:rFonts w:ascii="Tahoma" w:hAnsi="Tahoma" w:cs="Tahoma"/>
      <w:sz w:val="16"/>
      <w:szCs w:val="16"/>
    </w:rPr>
  </w:style>
  <w:style w:type="paragraph" w:customStyle="1" w:styleId="Bkot2">
    <w:name w:val="B_kot2"/>
    <w:basedOn w:val="Heading1"/>
  </w:style>
  <w:style w:type="paragraph" w:customStyle="1" w:styleId="Bpatiah">
    <w:name w:val="B_patiah"/>
    <w:basedOn w:val="Normal"/>
    <w:pPr>
      <w:spacing w:after="120"/>
      <w:ind w:left="567" w:right="567"/>
      <w:jc w:val="both"/>
    </w:pPr>
    <w:rPr>
      <w:rFonts w:cs="FrankRuehl"/>
      <w:sz w:val="20"/>
      <w:szCs w:val="22"/>
    </w:rPr>
  </w:style>
  <w:style w:type="paragraph" w:styleId="CommentSubject">
    <w:name w:val="annotation subject"/>
    <w:basedOn w:val="CommentText"/>
    <w:next w:val="CommentText"/>
    <w:link w:val="CommentSubjectChar"/>
    <w:uiPriority w:val="99"/>
    <w:semiHidden/>
    <w:rPr>
      <w:b/>
      <w:bCs/>
    </w:rPr>
  </w:style>
  <w:style w:type="paragraph" w:styleId="CommentText">
    <w:name w:val="annotation text"/>
    <w:basedOn w:val="Normal"/>
    <w:link w:val="CommentTextChar"/>
    <w:uiPriority w:val="99"/>
    <w:pPr>
      <w:spacing w:line="240" w:lineRule="auto"/>
    </w:pPr>
    <w:rPr>
      <w:rFonts w:cs="Times New Roman"/>
      <w:sz w:val="20"/>
      <w:szCs w:val="20"/>
    </w:rPr>
  </w:style>
  <w:style w:type="character" w:customStyle="1" w:styleId="1">
    <w:name w:val="תו תו1"/>
    <w:rPr>
      <w:rFonts w:ascii="Arial" w:hAnsi="Arial" w:cs="Arial"/>
      <w:b/>
      <w:bCs/>
      <w:kern w:val="32"/>
      <w:sz w:val="32"/>
      <w:szCs w:val="32"/>
      <w:lang w:val="en-US" w:eastAsia="he-IL" w:bidi="he-IL"/>
    </w:rPr>
  </w:style>
  <w:style w:type="character" w:customStyle="1" w:styleId="a">
    <w:name w:val="תו תו"/>
    <w:rPr>
      <w:snapToGrid w:val="0"/>
      <w:color w:val="000000"/>
      <w:sz w:val="24"/>
      <w:szCs w:val="24"/>
      <w:lang w:val="en-US" w:eastAsia="en-US" w:bidi="he-IL"/>
    </w:rPr>
  </w:style>
  <w:style w:type="paragraph" w:styleId="BodyText">
    <w:name w:val="Body Text"/>
    <w:basedOn w:val="Normal"/>
    <w:semiHidden/>
    <w:pPr>
      <w:spacing w:after="120" w:line="340" w:lineRule="exact"/>
      <w:jc w:val="center"/>
    </w:pPr>
    <w:rPr>
      <w:rFonts w:cs="FrankRuehl"/>
      <w:b/>
      <w:bCs/>
      <w:sz w:val="26"/>
      <w:szCs w:val="26"/>
    </w:rPr>
  </w:style>
  <w:style w:type="character" w:styleId="Strong">
    <w:name w:val="Strong"/>
    <w:uiPriority w:val="22"/>
    <w:qFormat/>
    <w:rPr>
      <w:b/>
      <w:bCs/>
    </w:rPr>
  </w:style>
  <w:style w:type="paragraph" w:customStyle="1" w:styleId="B-kot-3">
    <w:name w:val="B-kot-3"/>
    <w:basedOn w:val="Heading5"/>
    <w:rPr>
      <w:rFonts w:cs="FrankRuehl"/>
    </w:rPr>
  </w:style>
  <w:style w:type="character" w:customStyle="1" w:styleId="default">
    <w:name w:val="default"/>
    <w:rPr>
      <w:rFonts w:ascii="Times New Roman" w:hAnsi="Times New Roman" w:cs="Times New Roman" w:hint="default"/>
      <w:sz w:val="26"/>
      <w:szCs w:val="26"/>
    </w:rPr>
  </w:style>
  <w:style w:type="paragraph" w:styleId="ListParagraph">
    <w:name w:val="List Paragraph"/>
    <w:basedOn w:val="Normal"/>
    <w:uiPriority w:val="34"/>
    <w:qFormat/>
    <w:pPr>
      <w:spacing w:after="200" w:line="276" w:lineRule="auto"/>
      <w:ind w:left="720"/>
    </w:pPr>
    <w:rPr>
      <w:rFonts w:ascii="Calibri" w:eastAsia="Calibri" w:hAnsi="Calibri" w:cs="Arial"/>
      <w:sz w:val="22"/>
      <w:szCs w:val="22"/>
    </w:rPr>
  </w:style>
  <w:style w:type="paragraph" w:styleId="Title">
    <w:name w:val="Title"/>
    <w:basedOn w:val="Normal"/>
    <w:link w:val="TitleChar"/>
    <w:uiPriority w:val="10"/>
    <w:qFormat/>
    <w:pPr>
      <w:spacing w:line="240" w:lineRule="auto"/>
      <w:jc w:val="center"/>
    </w:pPr>
    <w:rPr>
      <w:u w:val="single"/>
    </w:rPr>
  </w:style>
  <w:style w:type="paragraph" w:styleId="BlockText">
    <w:name w:val="Block Text"/>
    <w:basedOn w:val="Normal"/>
    <w:semiHidden/>
    <w:pPr>
      <w:spacing w:line="360" w:lineRule="auto"/>
      <w:ind w:left="-567" w:right="-567"/>
    </w:pPr>
    <w:rPr>
      <w:lang w:eastAsia="he-IL"/>
    </w:rPr>
  </w:style>
  <w:style w:type="character" w:styleId="Hyperlink">
    <w:name w:val="Hyperlink"/>
    <w:uiPriority w:val="99"/>
    <w:rPr>
      <w:color w:val="0000FF"/>
      <w:u w:val="single"/>
    </w:rPr>
  </w:style>
  <w:style w:type="character" w:customStyle="1" w:styleId="medium-font">
    <w:name w:val="medium-font"/>
    <w:basedOn w:val="DefaultParagraphFont"/>
  </w:style>
  <w:style w:type="character" w:customStyle="1" w:styleId="ptbrand">
    <w:name w:val="ptbrand"/>
    <w:basedOn w:val="DefaultParagraphFont"/>
  </w:style>
  <w:style w:type="character" w:customStyle="1" w:styleId="binding">
    <w:name w:val="binding"/>
    <w:basedOn w:val="DefaultParagraphFont"/>
  </w:style>
  <w:style w:type="character" w:customStyle="1" w:styleId="2">
    <w:name w:val="טקסט הערות שוליים2 תו"/>
    <w:aliases w:val="Footnote Text תו2 תו,Footnote Text תו תו2 תו,טקסט הערות שוליים1 תו2 תו,Footnote Text תו תו תו תו2 תו,Footnote Text תו תו תו תו תו תו תו,טקסט הערות שוליים תו1 תו,טקסט הערות שוליים תו תו2 תו,טקסט הערות שוליים תו1 תו תו תו"/>
    <w:rPr>
      <w:rFonts w:ascii="Times New Roman" w:hAnsi="Times New Roman" w:cs="Times New Roman"/>
    </w:rPr>
  </w:style>
  <w:style w:type="paragraph" w:styleId="NormalWeb">
    <w:name w:val="Normal (Web)"/>
    <w:basedOn w:val="Normal"/>
    <w:uiPriority w:val="99"/>
    <w:unhideWhenUsed/>
    <w:pPr>
      <w:bidi w:val="0"/>
      <w:spacing w:before="100" w:beforeAutospacing="1" w:after="100" w:afterAutospacing="1" w:line="276" w:lineRule="auto"/>
      <w:jc w:val="both"/>
    </w:pPr>
    <w:rPr>
      <w:rFonts w:cs="Times New Roman"/>
    </w:rPr>
  </w:style>
  <w:style w:type="paragraph" w:customStyle="1" w:styleId="a0">
    <w:name w:val="הערת שוליים"/>
    <w:qFormat/>
    <w:pPr>
      <w:bidi/>
      <w:ind w:left="340" w:hanging="340"/>
    </w:pPr>
    <w:rPr>
      <w:rFonts w:eastAsia="Calibri"/>
    </w:rPr>
  </w:style>
  <w:style w:type="character" w:customStyle="1" w:styleId="title-link-wrapper">
    <w:name w:val="title-link-wrapper"/>
    <w:basedOn w:val="DefaultParagraphFont"/>
  </w:style>
  <w:style w:type="character" w:customStyle="1" w:styleId="updated-short-citation">
    <w:name w:val="updated-short-citation"/>
    <w:basedOn w:val="DefaultParagraphFont"/>
  </w:style>
  <w:style w:type="character" w:customStyle="1" w:styleId="headingupsizecap">
    <w:name w:val="heading_upsizecap"/>
    <w:basedOn w:val="DefaultParagraphFont"/>
  </w:style>
  <w:style w:type="paragraph" w:styleId="BodyTextIndent">
    <w:name w:val="Body Text Indent"/>
    <w:basedOn w:val="Normal"/>
    <w:semiHidden/>
    <w:pPr>
      <w:bidi w:val="0"/>
      <w:spacing w:line="280" w:lineRule="exact"/>
      <w:ind w:left="397" w:hanging="397"/>
      <w:jc w:val="both"/>
    </w:pPr>
    <w:rPr>
      <w:rFonts w:cs="Times New Roman"/>
      <w:sz w:val="22"/>
      <w:szCs w:val="22"/>
    </w:rPr>
  </w:style>
  <w:style w:type="paragraph" w:styleId="EndnoteText">
    <w:name w:val="endnote text"/>
    <w:basedOn w:val="Normal"/>
    <w:semiHidden/>
    <w:unhideWhenUsed/>
    <w:pPr>
      <w:bidi w:val="0"/>
      <w:spacing w:line="240" w:lineRule="auto"/>
    </w:pPr>
    <w:rPr>
      <w:rFonts w:ascii="Calibri" w:eastAsia="Calibri" w:hAnsi="Calibri" w:cs="Arial"/>
      <w:sz w:val="20"/>
      <w:szCs w:val="20"/>
      <w:lang w:val="en-GB"/>
    </w:rPr>
  </w:style>
  <w:style w:type="character" w:customStyle="1" w:styleId="Heading9Char">
    <w:name w:val="Heading 9 Char"/>
    <w:link w:val="Heading9"/>
    <w:uiPriority w:val="9"/>
    <w:rsid w:val="00471658"/>
    <w:rPr>
      <w:rFonts w:cs="FrankRuehl"/>
      <w:b/>
      <w:bCs/>
      <w:sz w:val="26"/>
      <w:szCs w:val="26"/>
    </w:rPr>
  </w:style>
  <w:style w:type="character" w:styleId="CommentReference">
    <w:name w:val="annotation reference"/>
    <w:uiPriority w:val="99"/>
    <w:semiHidden/>
    <w:unhideWhenUsed/>
    <w:rsid w:val="00E95DB4"/>
    <w:rPr>
      <w:sz w:val="16"/>
      <w:szCs w:val="16"/>
    </w:rPr>
  </w:style>
  <w:style w:type="character" w:customStyle="1" w:styleId="CommentTextChar">
    <w:name w:val="Comment Text Char"/>
    <w:link w:val="CommentText"/>
    <w:uiPriority w:val="99"/>
    <w:rsid w:val="00E95DB4"/>
  </w:style>
  <w:style w:type="table" w:styleId="LightShading-Accent5">
    <w:name w:val="Light Shading Accent 5"/>
    <w:basedOn w:val="TableNormal"/>
    <w:uiPriority w:val="60"/>
    <w:rsid w:val="00E95DB4"/>
    <w:rPr>
      <w:rFonts w:ascii="Calibri" w:eastAsia="Calibri" w:hAnsi="Calibri" w:cs="Arial"/>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alloonTextChar">
    <w:name w:val="Balloon Text Char"/>
    <w:link w:val="BalloonText"/>
    <w:uiPriority w:val="99"/>
    <w:semiHidden/>
    <w:rsid w:val="00E95DB4"/>
    <w:rPr>
      <w:rFonts w:ascii="Tahoma" w:hAnsi="Tahoma" w:cs="Tahoma"/>
      <w:sz w:val="16"/>
      <w:szCs w:val="16"/>
    </w:rPr>
  </w:style>
  <w:style w:type="character" w:customStyle="1" w:styleId="Heading1Char">
    <w:name w:val="Heading 1 Char"/>
    <w:link w:val="Heading1"/>
    <w:uiPriority w:val="9"/>
    <w:rsid w:val="00E95DB4"/>
    <w:rPr>
      <w:rFonts w:cs="FrankRuehl"/>
      <w:b/>
      <w:bCs/>
      <w:sz w:val="28"/>
      <w:szCs w:val="28"/>
    </w:rPr>
  </w:style>
  <w:style w:type="character" w:customStyle="1" w:styleId="Heading2Char">
    <w:name w:val="Heading 2 Char"/>
    <w:link w:val="Heading2"/>
    <w:uiPriority w:val="9"/>
    <w:rsid w:val="00E95DB4"/>
    <w:rPr>
      <w:rFonts w:cs="FrankRuehl"/>
      <w:sz w:val="18"/>
      <w:u w:val="single"/>
    </w:rPr>
  </w:style>
  <w:style w:type="character" w:customStyle="1" w:styleId="apple-converted-space">
    <w:name w:val="apple-converted-space"/>
    <w:rsid w:val="00E95DB4"/>
  </w:style>
  <w:style w:type="character" w:customStyle="1" w:styleId="personname">
    <w:name w:val="person_name"/>
    <w:rsid w:val="00E95DB4"/>
  </w:style>
  <w:style w:type="character" w:customStyle="1" w:styleId="HeaderChar">
    <w:name w:val="Header Char"/>
    <w:link w:val="Header"/>
    <w:uiPriority w:val="99"/>
    <w:rsid w:val="00E95DB4"/>
    <w:rPr>
      <w:rFonts w:cs="David"/>
      <w:sz w:val="24"/>
      <w:szCs w:val="24"/>
    </w:rPr>
  </w:style>
  <w:style w:type="character" w:customStyle="1" w:styleId="FooterChar">
    <w:name w:val="Footer Char"/>
    <w:link w:val="Footer"/>
    <w:uiPriority w:val="99"/>
    <w:rsid w:val="00E95DB4"/>
    <w:rPr>
      <w:rFonts w:cs="David"/>
      <w:sz w:val="24"/>
      <w:szCs w:val="24"/>
    </w:rPr>
  </w:style>
  <w:style w:type="character" w:customStyle="1" w:styleId="CommentSubjectChar">
    <w:name w:val="Comment Subject Char"/>
    <w:link w:val="CommentSubject"/>
    <w:uiPriority w:val="99"/>
    <w:semiHidden/>
    <w:rsid w:val="00E95DB4"/>
    <w:rPr>
      <w:b/>
      <w:bCs/>
    </w:rPr>
  </w:style>
  <w:style w:type="paragraph" w:styleId="NoSpacing">
    <w:name w:val="No Spacing"/>
    <w:uiPriority w:val="1"/>
    <w:qFormat/>
    <w:rsid w:val="00E95DB4"/>
    <w:pPr>
      <w:bidi/>
    </w:pPr>
    <w:rPr>
      <w:rFonts w:ascii="Arial" w:eastAsia="Calibri" w:hAnsi="Arial" w:cs="Arial"/>
      <w:sz w:val="22"/>
      <w:szCs w:val="22"/>
    </w:rPr>
  </w:style>
  <w:style w:type="character" w:styleId="Emphasis">
    <w:name w:val="Emphasis"/>
    <w:uiPriority w:val="20"/>
    <w:qFormat/>
    <w:rsid w:val="00E95DB4"/>
    <w:rPr>
      <w:i/>
      <w:iCs/>
    </w:rPr>
  </w:style>
  <w:style w:type="character" w:customStyle="1" w:styleId="Heading3Char">
    <w:name w:val="Heading 3 Char"/>
    <w:link w:val="Heading3"/>
    <w:uiPriority w:val="9"/>
    <w:rsid w:val="00E95DB4"/>
    <w:rPr>
      <w:rFonts w:cs="FrankRuehl"/>
      <w:b/>
      <w:bCs/>
    </w:rPr>
  </w:style>
  <w:style w:type="character" w:customStyle="1" w:styleId="FootnoteTextChar">
    <w:name w:val="Footnote Text Char"/>
    <w:aliases w:val="טקסט הערות שוליים2 Char,Footnote Text תו2 Char,Footnote Text תו תו2 Char,טקסט הערות שוליים1 תו2 Char,Footnote Text תו תו תו תו2 Char,Footnote Text תו תו תו תו תו תו Char,טקסט הערות שוליים תו1 Char,טקסט הערות שוליים תו תו2 Char"/>
    <w:link w:val="FootnoteText"/>
    <w:uiPriority w:val="99"/>
    <w:rsid w:val="00E95DB4"/>
  </w:style>
  <w:style w:type="table" w:customStyle="1" w:styleId="10">
    <w:name w:val="רשת טבלה בהירה1"/>
    <w:basedOn w:val="TableNormal"/>
    <w:uiPriority w:val="40"/>
    <w:rsid w:val="00E95DB4"/>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Char">
    <w:name w:val="Title Char"/>
    <w:link w:val="Title"/>
    <w:uiPriority w:val="10"/>
    <w:rsid w:val="00E95DB4"/>
    <w:rPr>
      <w:rFonts w:cs="David"/>
      <w:sz w:val="24"/>
      <w:szCs w:val="24"/>
      <w:u w:val="single"/>
    </w:rPr>
  </w:style>
  <w:style w:type="table" w:styleId="TableGrid">
    <w:name w:val="Table Grid"/>
    <w:basedOn w:val="TableNormal"/>
    <w:uiPriority w:val="39"/>
    <w:rsid w:val="00E95D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vol">
    <w:name w:val="slug-vol"/>
    <w:rsid w:val="00E95DB4"/>
  </w:style>
  <w:style w:type="character" w:customStyle="1" w:styleId="slug-issue">
    <w:name w:val="slug-issue"/>
    <w:rsid w:val="00E95DB4"/>
  </w:style>
  <w:style w:type="character" w:customStyle="1" w:styleId="slug-pages">
    <w:name w:val="slug-pages"/>
    <w:rsid w:val="00E95DB4"/>
  </w:style>
  <w:style w:type="paragraph" w:customStyle="1" w:styleId="takzir-text">
    <w:name w:val="takzir-text"/>
    <w:qFormat/>
    <w:rsid w:val="00FD1A0B"/>
    <w:pPr>
      <w:pBdr>
        <w:top w:val="single" w:sz="8" w:space="4" w:color="2A2AA6"/>
        <w:left w:val="single" w:sz="8" w:space="4" w:color="2A2AA6"/>
        <w:bottom w:val="single" w:sz="8" w:space="6" w:color="2A2AA6"/>
        <w:right w:val="single" w:sz="8" w:space="4" w:color="2A2AA6"/>
      </w:pBdr>
      <w:spacing w:after="120" w:line="240" w:lineRule="exact"/>
      <w:ind w:left="170" w:right="2268"/>
      <w:jc w:val="both"/>
    </w:pPr>
    <w:rPr>
      <w:rFonts w:ascii="Tahoma" w:hAnsi="Tahoma" w:cs="Tahoma"/>
      <w:sz w:val="17"/>
      <w:szCs w:val="17"/>
    </w:rPr>
  </w:style>
  <w:style w:type="paragraph" w:customStyle="1" w:styleId="KOT5T">
    <w:name w:val="KOT5T"/>
    <w:basedOn w:val="KOT5"/>
    <w:qFormat/>
    <w:rsid w:val="00FD1A0B"/>
    <w:pPr>
      <w:spacing w:before="120" w:line="320" w:lineRule="exact"/>
      <w:jc w:val="center"/>
      <w:outlineLvl w:val="2"/>
    </w:pPr>
    <w:rPr>
      <w:u w:color="FF0000"/>
    </w:rPr>
  </w:style>
  <w:style w:type="paragraph" w:customStyle="1" w:styleId="KOT6">
    <w:name w:val="KOT6"/>
    <w:basedOn w:val="KOT5"/>
    <w:locked/>
    <w:rsid w:val="00D92080"/>
    <w:pPr>
      <w:outlineLvl w:val="3"/>
    </w:pPr>
    <w:rPr>
      <w:b w:val="0"/>
      <w:bCs w:val="0"/>
      <w:sz w:val="20"/>
      <w:szCs w:val="20"/>
    </w:rPr>
  </w:style>
  <w:style w:type="paragraph" w:customStyle="1" w:styleId="KOT7">
    <w:name w:val="KOT7"/>
    <w:basedOn w:val="KOT6"/>
    <w:locked/>
    <w:rsid w:val="00D92080"/>
    <w:pPr>
      <w:outlineLvl w:val="4"/>
    </w:pPr>
    <w:rPr>
      <w:color w:val="auto"/>
    </w:rPr>
  </w:style>
  <w:style w:type="paragraph" w:customStyle="1" w:styleId="tab-name">
    <w:name w:val="tab-name"/>
    <w:basedOn w:val="KOT5"/>
    <w:qFormat/>
    <w:rsid w:val="003D1152"/>
    <w:pPr>
      <w:spacing w:before="120" w:line="320" w:lineRule="exact"/>
    </w:pPr>
    <w:rPr>
      <w:b w:val="0"/>
      <w:bCs w:val="0"/>
      <w:color w:val="0B5294"/>
      <w:sz w:val="18"/>
      <w:szCs w:val="18"/>
    </w:rPr>
  </w:style>
  <w:style w:type="paragraph" w:customStyle="1" w:styleId="text-source">
    <w:name w:val="text-source"/>
    <w:basedOn w:val="Normal"/>
    <w:next w:val="takzir-text"/>
    <w:qFormat/>
    <w:rsid w:val="003D1152"/>
    <w:pPr>
      <w:shd w:val="clear" w:color="auto" w:fill="FFFFFF"/>
      <w:spacing w:before="120" w:after="240" w:line="200" w:lineRule="exact"/>
      <w:ind w:right="2268"/>
    </w:pPr>
    <w:rPr>
      <w:rFonts w:ascii="Tahoma" w:hAnsi="Tahoma" w:cs="Tahoma"/>
      <w:color w:val="222222"/>
      <w:sz w:val="14"/>
      <w:szCs w:val="14"/>
    </w:rPr>
  </w:style>
  <w:style w:type="character" w:customStyle="1" w:styleId="11">
    <w:name w:val="אזכור לא מזוהה1"/>
    <w:uiPriority w:val="99"/>
    <w:semiHidden/>
    <w:unhideWhenUsed/>
    <w:rsid w:val="00C838F3"/>
    <w:rPr>
      <w:color w:val="605E5C"/>
      <w:shd w:val="clear" w:color="auto" w:fill="E1DFDD"/>
    </w:rPr>
  </w:style>
  <w:style w:type="table" w:customStyle="1" w:styleId="12">
    <w:name w:val="רשת טבלה1"/>
    <w:basedOn w:val="TableNormal"/>
    <w:next w:val="TableGrid"/>
    <w:uiPriority w:val="59"/>
    <w:rsid w:val="00C838F3"/>
    <w:pPr>
      <w:bidi/>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רשת טבלה2"/>
    <w:basedOn w:val="TableNormal"/>
    <w:next w:val="TableGrid"/>
    <w:uiPriority w:val="59"/>
    <w:rsid w:val="00C838F3"/>
    <w:pPr>
      <w:bidi/>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C838F3"/>
    <w:rPr>
      <w:rFonts w:ascii="Arial" w:hAnsi="Arial" w:cs="David"/>
      <w:b/>
      <w:bCs/>
      <w:sz w:val="24"/>
      <w:szCs w:val="24"/>
      <w:lang w:val="en-US" w:eastAsia="en-US"/>
    </w:rPr>
  </w:style>
  <w:style w:type="character" w:customStyle="1" w:styleId="Heading5Char">
    <w:name w:val="Heading 5 Char"/>
    <w:link w:val="Heading5"/>
    <w:uiPriority w:val="9"/>
    <w:rsid w:val="00C838F3"/>
    <w:rPr>
      <w:rFonts w:cs="David"/>
      <w:b/>
      <w:bCs/>
      <w:sz w:val="22"/>
      <w:szCs w:val="24"/>
      <w:lang w:val="en-US" w:eastAsia="en-US"/>
    </w:rPr>
  </w:style>
  <w:style w:type="character" w:customStyle="1" w:styleId="Heading6Char">
    <w:name w:val="Heading 6 Char"/>
    <w:link w:val="Heading6"/>
    <w:uiPriority w:val="9"/>
    <w:rsid w:val="00C838F3"/>
    <w:rPr>
      <w:rFonts w:cs="FrankRuehl"/>
      <w:b/>
      <w:bCs/>
      <w:lang w:val="en-US" w:eastAsia="en-US"/>
    </w:rPr>
  </w:style>
  <w:style w:type="character" w:customStyle="1" w:styleId="Heading7Char">
    <w:name w:val="Heading 7 Char"/>
    <w:link w:val="Heading7"/>
    <w:uiPriority w:val="9"/>
    <w:rsid w:val="00C838F3"/>
    <w:rPr>
      <w:rFonts w:ascii="FrankRuehl" w:hAnsi="FrankRuehl" w:cs="FrankRuehl"/>
      <w:b/>
      <w:bCs/>
      <w:lang w:val="en-US" w:eastAsia="en-US"/>
    </w:rPr>
  </w:style>
  <w:style w:type="character" w:customStyle="1" w:styleId="Heading8Char">
    <w:name w:val="Heading 8 Char"/>
    <w:link w:val="Heading8"/>
    <w:uiPriority w:val="9"/>
    <w:rsid w:val="00C838F3"/>
    <w:rPr>
      <w:rFonts w:cs="FrankRuehl"/>
      <w:b/>
      <w:bCs/>
      <w:lang w:val="en-US" w:eastAsia="en-US"/>
    </w:rPr>
  </w:style>
  <w:style w:type="paragraph" w:styleId="Caption">
    <w:name w:val="caption"/>
    <w:basedOn w:val="Normal"/>
    <w:next w:val="Normal"/>
    <w:uiPriority w:val="35"/>
    <w:semiHidden/>
    <w:unhideWhenUsed/>
    <w:qFormat/>
    <w:rsid w:val="00C838F3"/>
    <w:pPr>
      <w:spacing w:after="200" w:line="240" w:lineRule="auto"/>
    </w:pPr>
    <w:rPr>
      <w:rFonts w:ascii="Calibri" w:hAnsi="Calibri" w:cs="Arial"/>
      <w:i/>
      <w:iCs/>
      <w:color w:val="44546A"/>
      <w:sz w:val="18"/>
      <w:szCs w:val="18"/>
    </w:rPr>
  </w:style>
  <w:style w:type="paragraph" w:styleId="Subtitle">
    <w:name w:val="Subtitle"/>
    <w:basedOn w:val="Normal"/>
    <w:next w:val="Normal"/>
    <w:link w:val="SubtitleChar"/>
    <w:uiPriority w:val="11"/>
    <w:qFormat/>
    <w:rsid w:val="00C838F3"/>
    <w:pPr>
      <w:numPr>
        <w:ilvl w:val="1"/>
      </w:numPr>
      <w:spacing w:after="160" w:line="259" w:lineRule="auto"/>
    </w:pPr>
    <w:rPr>
      <w:rFonts w:ascii="Calibri" w:hAnsi="Calibri" w:cs="Arial"/>
      <w:color w:val="5A5A5A"/>
      <w:spacing w:val="15"/>
      <w:sz w:val="22"/>
      <w:szCs w:val="22"/>
    </w:rPr>
  </w:style>
  <w:style w:type="character" w:customStyle="1" w:styleId="SubtitleChar">
    <w:name w:val="Subtitle Char"/>
    <w:link w:val="Subtitle"/>
    <w:uiPriority w:val="11"/>
    <w:rsid w:val="00C838F3"/>
    <w:rPr>
      <w:rFonts w:ascii="Calibri" w:hAnsi="Calibri" w:cs="Arial"/>
      <w:color w:val="5A5A5A"/>
      <w:spacing w:val="15"/>
      <w:sz w:val="22"/>
      <w:szCs w:val="22"/>
      <w:lang w:val="en-US" w:eastAsia="en-US"/>
    </w:rPr>
  </w:style>
  <w:style w:type="paragraph" w:styleId="Quote">
    <w:name w:val="Quote"/>
    <w:basedOn w:val="Normal"/>
    <w:next w:val="Normal"/>
    <w:link w:val="QuoteChar"/>
    <w:uiPriority w:val="29"/>
    <w:qFormat/>
    <w:rsid w:val="00C838F3"/>
    <w:pPr>
      <w:spacing w:before="200" w:after="160" w:line="259" w:lineRule="auto"/>
      <w:ind w:left="864" w:right="864"/>
    </w:pPr>
    <w:rPr>
      <w:rFonts w:ascii="Calibri" w:hAnsi="Calibri" w:cs="Arial"/>
      <w:i/>
      <w:iCs/>
      <w:color w:val="404040"/>
      <w:sz w:val="22"/>
      <w:szCs w:val="22"/>
    </w:rPr>
  </w:style>
  <w:style w:type="character" w:customStyle="1" w:styleId="QuoteChar">
    <w:name w:val="Quote Char"/>
    <w:link w:val="Quote"/>
    <w:uiPriority w:val="29"/>
    <w:rsid w:val="00C838F3"/>
    <w:rPr>
      <w:rFonts w:ascii="Calibri" w:hAnsi="Calibri" w:cs="Arial"/>
      <w:i/>
      <w:iCs/>
      <w:color w:val="404040"/>
      <w:sz w:val="22"/>
      <w:szCs w:val="22"/>
      <w:lang w:val="en-US" w:eastAsia="en-US"/>
    </w:rPr>
  </w:style>
  <w:style w:type="paragraph" w:styleId="IntenseQuote">
    <w:name w:val="Intense Quote"/>
    <w:basedOn w:val="Normal"/>
    <w:next w:val="Normal"/>
    <w:link w:val="IntenseQuoteChar"/>
    <w:uiPriority w:val="30"/>
    <w:qFormat/>
    <w:rsid w:val="00C838F3"/>
    <w:pPr>
      <w:pBdr>
        <w:top w:val="single" w:sz="4" w:space="10" w:color="4472C4"/>
        <w:bottom w:val="single" w:sz="4" w:space="10" w:color="4472C4"/>
      </w:pBdr>
      <w:spacing w:before="360" w:after="360" w:line="259" w:lineRule="auto"/>
      <w:ind w:left="864" w:right="864"/>
      <w:jc w:val="center"/>
    </w:pPr>
    <w:rPr>
      <w:rFonts w:ascii="Calibri" w:hAnsi="Calibri" w:cs="Arial"/>
      <w:i/>
      <w:iCs/>
      <w:color w:val="4472C4"/>
      <w:sz w:val="22"/>
      <w:szCs w:val="22"/>
    </w:rPr>
  </w:style>
  <w:style w:type="character" w:customStyle="1" w:styleId="IntenseQuoteChar">
    <w:name w:val="Intense Quote Char"/>
    <w:link w:val="IntenseQuote"/>
    <w:uiPriority w:val="30"/>
    <w:rsid w:val="00C838F3"/>
    <w:rPr>
      <w:rFonts w:ascii="Calibri" w:hAnsi="Calibri" w:cs="Arial"/>
      <w:i/>
      <w:iCs/>
      <w:color w:val="4472C4"/>
      <w:sz w:val="22"/>
      <w:szCs w:val="22"/>
      <w:lang w:val="en-US" w:eastAsia="en-US"/>
    </w:rPr>
  </w:style>
  <w:style w:type="character" w:styleId="SubtleEmphasis">
    <w:name w:val="Subtle Emphasis"/>
    <w:uiPriority w:val="19"/>
    <w:qFormat/>
    <w:rsid w:val="00C838F3"/>
    <w:rPr>
      <w:i/>
      <w:iCs/>
      <w:color w:val="404040"/>
    </w:rPr>
  </w:style>
  <w:style w:type="character" w:styleId="IntenseEmphasis">
    <w:name w:val="Intense Emphasis"/>
    <w:uiPriority w:val="21"/>
    <w:qFormat/>
    <w:rsid w:val="00C838F3"/>
    <w:rPr>
      <w:i/>
      <w:iCs/>
      <w:color w:val="4472C4"/>
    </w:rPr>
  </w:style>
  <w:style w:type="character" w:styleId="SubtleReference">
    <w:name w:val="Subtle Reference"/>
    <w:uiPriority w:val="31"/>
    <w:qFormat/>
    <w:rsid w:val="00C838F3"/>
    <w:rPr>
      <w:smallCaps/>
      <w:color w:val="404040"/>
    </w:rPr>
  </w:style>
  <w:style w:type="character" w:styleId="IntenseReference">
    <w:name w:val="Intense Reference"/>
    <w:uiPriority w:val="32"/>
    <w:qFormat/>
    <w:rsid w:val="00C838F3"/>
    <w:rPr>
      <w:b/>
      <w:bCs/>
      <w:smallCaps/>
      <w:color w:val="4472C4"/>
      <w:spacing w:val="5"/>
    </w:rPr>
  </w:style>
  <w:style w:type="character" w:styleId="BookTitle">
    <w:name w:val="Book Title"/>
    <w:uiPriority w:val="33"/>
    <w:qFormat/>
    <w:rsid w:val="00C838F3"/>
    <w:rPr>
      <w:b/>
      <w:bCs/>
      <w:i/>
      <w:iCs/>
      <w:spacing w:val="5"/>
    </w:rPr>
  </w:style>
  <w:style w:type="paragraph" w:styleId="TOCHeading">
    <w:name w:val="TOC Heading"/>
    <w:basedOn w:val="Heading1"/>
    <w:next w:val="Normal"/>
    <w:uiPriority w:val="39"/>
    <w:semiHidden/>
    <w:unhideWhenUsed/>
    <w:qFormat/>
    <w:rsid w:val="00C838F3"/>
    <w:pPr>
      <w:keepLines/>
      <w:spacing w:before="240" w:after="0" w:line="259" w:lineRule="auto"/>
      <w:jc w:val="left"/>
      <w:outlineLvl w:val="9"/>
    </w:pPr>
    <w:rPr>
      <w:rFonts w:ascii="Calibri Light" w:hAnsi="Calibri Light" w:cs="Times New Roman"/>
      <w:b w:val="0"/>
      <w:bCs w:val="0"/>
      <w:color w:val="2F5496"/>
      <w:sz w:val="32"/>
      <w:szCs w:val="32"/>
    </w:rPr>
  </w:style>
  <w:style w:type="character" w:customStyle="1" w:styleId="nlmyear">
    <w:name w:val="nlm_year"/>
    <w:basedOn w:val="DefaultParagraphFont"/>
    <w:rsid w:val="00C838F3"/>
  </w:style>
  <w:style w:type="character" w:customStyle="1" w:styleId="nlmarticle-title">
    <w:name w:val="nlm_article-title"/>
    <w:basedOn w:val="DefaultParagraphFont"/>
    <w:rsid w:val="00C838F3"/>
  </w:style>
  <w:style w:type="character" w:customStyle="1" w:styleId="nlmfpage">
    <w:name w:val="nlm_fpage"/>
    <w:basedOn w:val="DefaultParagraphFont"/>
    <w:rsid w:val="00C838F3"/>
  </w:style>
  <w:style w:type="character" w:customStyle="1" w:styleId="nlmlpage">
    <w:name w:val="nlm_lpage"/>
    <w:basedOn w:val="DefaultParagraphFont"/>
    <w:rsid w:val="00C838F3"/>
  </w:style>
  <w:style w:type="paragraph" w:customStyle="1" w:styleId="ReferenceListEntry">
    <w:name w:val="Reference List Entry"/>
    <w:basedOn w:val="Normal"/>
    <w:qFormat/>
    <w:rsid w:val="00C838F3"/>
    <w:pPr>
      <w:bidi w:val="0"/>
      <w:spacing w:line="480" w:lineRule="auto"/>
      <w:ind w:left="720" w:hanging="720"/>
    </w:pPr>
    <w:rPr>
      <w:rFonts w:eastAsia="Calibri" w:cs="Times New Roman"/>
      <w:lang w:bidi="ar-SA"/>
    </w:rPr>
  </w:style>
  <w:style w:type="character" w:customStyle="1" w:styleId="21">
    <w:name w:val="אזכור לא מזוהה2"/>
    <w:uiPriority w:val="99"/>
    <w:semiHidden/>
    <w:unhideWhenUsed/>
    <w:rsid w:val="00C838F3"/>
    <w:rPr>
      <w:color w:val="605E5C"/>
      <w:shd w:val="clear" w:color="auto" w:fill="E1DFDD"/>
    </w:rPr>
  </w:style>
  <w:style w:type="character" w:styleId="FollowedHyperlink">
    <w:name w:val="FollowedHyperlink"/>
    <w:uiPriority w:val="99"/>
    <w:semiHidden/>
    <w:unhideWhenUsed/>
    <w:rsid w:val="00C838F3"/>
    <w:rPr>
      <w:color w:val="954F72"/>
      <w:u w:val="single"/>
    </w:rPr>
  </w:style>
  <w:style w:type="character" w:customStyle="1" w:styleId="3">
    <w:name w:val="אזכור לא מזוהה3"/>
    <w:uiPriority w:val="99"/>
    <w:semiHidden/>
    <w:unhideWhenUsed/>
    <w:rsid w:val="00C838F3"/>
    <w:rPr>
      <w:color w:val="605E5C"/>
      <w:shd w:val="clear" w:color="auto" w:fill="E1DFDD"/>
    </w:rPr>
  </w:style>
  <w:style w:type="character" w:customStyle="1" w:styleId="4">
    <w:name w:val="אזכור לא מזוהה4"/>
    <w:uiPriority w:val="99"/>
    <w:semiHidden/>
    <w:unhideWhenUsed/>
    <w:rsid w:val="00C838F3"/>
    <w:rPr>
      <w:color w:val="605E5C"/>
      <w:shd w:val="clear" w:color="auto" w:fill="E1DFDD"/>
    </w:rPr>
  </w:style>
  <w:style w:type="character" w:customStyle="1" w:styleId="5">
    <w:name w:val="אזכור לא מזוהה5"/>
    <w:uiPriority w:val="99"/>
    <w:semiHidden/>
    <w:unhideWhenUsed/>
    <w:rsid w:val="00C838F3"/>
    <w:rPr>
      <w:color w:val="605E5C"/>
      <w:shd w:val="clear" w:color="auto" w:fill="E1DFDD"/>
    </w:rPr>
  </w:style>
  <w:style w:type="character" w:customStyle="1" w:styleId="6">
    <w:name w:val="אזכור לא מזוהה6"/>
    <w:uiPriority w:val="99"/>
    <w:semiHidden/>
    <w:unhideWhenUsed/>
    <w:rsid w:val="002B401D"/>
    <w:rPr>
      <w:color w:val="605E5C"/>
      <w:shd w:val="clear" w:color="auto" w:fill="E1DFDD"/>
    </w:rPr>
  </w:style>
  <w:style w:type="character" w:customStyle="1" w:styleId="m4861948232463560812msofootnotereference">
    <w:name w:val="m_4861948232463560812msofootnotereference"/>
    <w:basedOn w:val="DefaultParagraphFont"/>
    <w:rsid w:val="00EB3F46"/>
  </w:style>
  <w:style w:type="paragraph" w:customStyle="1" w:styleId="m4861948232463560812msofootnotetext">
    <w:name w:val="m_4861948232463560812msofootnotetext"/>
    <w:basedOn w:val="Normal"/>
    <w:rsid w:val="00EB3F46"/>
    <w:pPr>
      <w:bidi w:val="0"/>
      <w:spacing w:before="100" w:beforeAutospacing="1" w:after="100" w:afterAutospacing="1" w:line="240" w:lineRule="auto"/>
    </w:pPr>
    <w:rPr>
      <w:rFonts w:cs="Times New Roman"/>
    </w:rPr>
  </w:style>
  <w:style w:type="paragraph" w:styleId="Revision">
    <w:name w:val="Revision"/>
    <w:hidden/>
    <w:uiPriority w:val="99"/>
    <w:semiHidden/>
    <w:rsid w:val="00EB3F46"/>
    <w:rPr>
      <w:rFonts w:ascii="Calibri" w:eastAsia="Calibri" w:hAnsi="Calibri" w:cs="Arial"/>
      <w:sz w:val="24"/>
      <w:szCs w:val="24"/>
    </w:rPr>
  </w:style>
  <w:style w:type="character" w:customStyle="1" w:styleId="m-516756695425814364msofootnotereference">
    <w:name w:val="m_-516756695425814364msofootnotereference"/>
    <w:basedOn w:val="DefaultParagraphFont"/>
    <w:rsid w:val="00EB3F46"/>
  </w:style>
  <w:style w:type="character" w:customStyle="1" w:styleId="content">
    <w:name w:val="content"/>
    <w:basedOn w:val="DefaultParagraphFont"/>
    <w:rsid w:val="00EB3F46"/>
  </w:style>
  <w:style w:type="character" w:customStyle="1" w:styleId="reference-text">
    <w:name w:val="reference-text"/>
    <w:basedOn w:val="DefaultParagraphFont"/>
    <w:rsid w:val="00EB3F46"/>
  </w:style>
  <w:style w:type="character" w:customStyle="1" w:styleId="u-visually-hidden">
    <w:name w:val="u-visually-hidden"/>
    <w:basedOn w:val="DefaultParagraphFont"/>
    <w:rsid w:val="00EB3F46"/>
  </w:style>
  <w:style w:type="character" w:customStyle="1" w:styleId="50">
    <w:name w:val="סגנון5"/>
    <w:rsid w:val="00EB3F46"/>
    <w:rPr>
      <w:b/>
      <w:bCs/>
    </w:rPr>
  </w:style>
  <w:style w:type="paragraph" w:styleId="Bibliography">
    <w:name w:val="Bibliography"/>
    <w:basedOn w:val="Normal"/>
    <w:next w:val="Normal"/>
    <w:uiPriority w:val="37"/>
    <w:unhideWhenUsed/>
    <w:rsid w:val="00EB3F46"/>
    <w:pPr>
      <w:spacing w:line="240" w:lineRule="auto"/>
    </w:pPr>
    <w:rPr>
      <w:rFonts w:ascii="Calibri" w:eastAsia="Calibri" w:hAnsi="Calibri" w:cs="Arial"/>
    </w:rPr>
  </w:style>
  <w:style w:type="character" w:customStyle="1" w:styleId="text">
    <w:name w:val="text"/>
    <w:rsid w:val="00EB3F46"/>
  </w:style>
  <w:style w:type="character" w:customStyle="1" w:styleId="UnresolvedMention1">
    <w:name w:val="Unresolved Mention1"/>
    <w:basedOn w:val="DefaultParagraphFont"/>
    <w:uiPriority w:val="99"/>
    <w:semiHidden/>
    <w:unhideWhenUsed/>
    <w:rsid w:val="00424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7.pn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png" /><Relationship Id="rId29" Type="http://schemas.openxmlformats.org/officeDocument/2006/relationships/header" Target="header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6.jpe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5.jpeg" /><Relationship Id="rId28" Type="http://schemas.openxmlformats.org/officeDocument/2006/relationships/hyperlink" Target="#" TargetMode="External"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header" Target="header2.xml" /> </Relationships>
</file>

<file path=word/_rels/footnotes.xml.rels>&#65279;<?xml version="1.0" encoding="utf-8" standalone="yes"?>
<Relationships xmlns="http://schemas.openxmlformats.org/package/2006/relationships"><Relationship Id="rId3" Type="http://schemas.openxmlformats.org/officeDocument/2006/relationships/hyperlink" Target="#" TargetMode="External" /><Relationship Id="rId2" Type="http://schemas.openxmlformats.org/officeDocument/2006/relationships/hyperlink" Target="#" TargetMode="External" /><Relationship Id="rId1" Type="http://schemas.openxmlformats.org/officeDocument/2006/relationships/hyperlink"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3A0345EC-4F01-4C41-B081-6C9395465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32</Pages>
  <Words>8191</Words>
  <Characters>46695</Characters>
  <Application>Microsoft Office Word</Application>
  <DocSecurity>0</DocSecurity>
  <Lines>389</Lines>
  <Paragraphs>109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הנכחה, הדרה והזרה</vt:lpstr>
      <vt:lpstr>הנכחה, הדרה והזרה</vt:lpstr>
    </vt:vector>
  </TitlesOfParts>
  <Company>Onit Computer Services Ltd</Company>
  <LinksUpToDate>false</LinksUpToDate>
  <CharactersWithSpaces>54777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הנכחה, הדרה והזרה</dc:title>
  <dc:creator>Mordechai Frankel</dc:creator>
  <cp:lastModifiedBy>Mordechai Frankel</cp:lastModifiedBy>
  <cp:revision>16</cp:revision>
  <cp:lastPrinted>2022-12-11T12:58:00Z</cp:lastPrinted>
  <dcterms:created xsi:type="dcterms:W3CDTF">2022-10-26T15:42:00Z</dcterms:created>
  <dcterms:modified xsi:type="dcterms:W3CDTF">2022-12-18T07:57:00Z</dcterms:modified>
</cp:coreProperties>
</file>