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DC6E" w14:textId="77777777" w:rsidR="0012580C" w:rsidRPr="004D5A4A" w:rsidRDefault="0012580C" w:rsidP="004D5A4A">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D5A4A">
        <w:rPr>
          <w:rFonts w:ascii="Tahoma" w:hAnsi="Tahoma" w:cs="Guttman Aharoni"/>
          <w:b/>
          <w:bCs/>
          <w:color w:val="2A8E8C"/>
          <w:sz w:val="36"/>
          <w:szCs w:val="36"/>
          <w:rtl/>
        </w:rPr>
        <w:t xml:space="preserve">כשרות משפטית ומדינת הרווחה הישראלית: </w:t>
      </w:r>
      <w:r w:rsidRPr="004D5A4A">
        <w:rPr>
          <w:rFonts w:ascii="Tahoma" w:hAnsi="Tahoma" w:cs="Guttman Aharoni" w:hint="cs"/>
          <w:b/>
          <w:bCs/>
          <w:color w:val="2A8E8C"/>
          <w:sz w:val="36"/>
          <w:szCs w:val="36"/>
          <w:rtl/>
        </w:rPr>
        <w:t>דברי פתיחה</w:t>
      </w:r>
    </w:p>
    <w:p w14:paraId="7EED6516" w14:textId="079D6099" w:rsidR="0012580C" w:rsidRPr="004D5A4A" w:rsidRDefault="00A61C7B" w:rsidP="004D5A4A">
      <w:pPr>
        <w:pStyle w:val="KOT5T"/>
        <w:spacing w:after="540" w:line="360" w:lineRule="exact"/>
        <w:ind w:right="0"/>
        <w:jc w:val="left"/>
        <w:rPr>
          <w:rFonts w:cs="Guttman Aharoni"/>
          <w:color w:val="2A8E8C"/>
          <w:rtl/>
        </w:rPr>
      </w:pPr>
      <w:r w:rsidRPr="004D5A4A">
        <w:rPr>
          <w:rFonts w:cs="Guttman Aharoni" w:hint="cs"/>
          <w:color w:val="2A8E8C"/>
          <w:rtl/>
        </w:rPr>
        <w:t xml:space="preserve">רוני </w:t>
      </w:r>
      <w:proofErr w:type="spellStart"/>
      <w:r w:rsidRPr="004D5A4A">
        <w:rPr>
          <w:rFonts w:cs="Guttman Aharoni" w:hint="cs"/>
          <w:color w:val="2A8E8C"/>
          <w:rtl/>
        </w:rPr>
        <w:t>הולר</w:t>
      </w:r>
      <w:proofErr w:type="spellEnd"/>
      <w:r w:rsidRPr="004D5A4A">
        <w:rPr>
          <w:rFonts w:cs="Guttman Aharoni"/>
          <w:color w:val="2A8E8C"/>
          <w:vertAlign w:val="superscript"/>
          <w:rtl/>
        </w:rPr>
        <w:footnoteReference w:id="2"/>
      </w:r>
      <w:r w:rsidRPr="004D5A4A">
        <w:rPr>
          <w:rFonts w:cs="Guttman Aharoni" w:hint="cs"/>
          <w:color w:val="2A8E8C"/>
          <w:rtl/>
        </w:rPr>
        <w:t xml:space="preserve"> </w:t>
      </w:r>
      <w:r>
        <w:rPr>
          <w:rFonts w:cs="Guttman Aharoni" w:hint="cs"/>
          <w:color w:val="2A8E8C"/>
          <w:rtl/>
        </w:rPr>
        <w:t>ו</w:t>
      </w:r>
      <w:r w:rsidR="0012580C" w:rsidRPr="004D5A4A">
        <w:rPr>
          <w:rFonts w:cs="Guttman Aharoni" w:hint="cs"/>
          <w:color w:val="2A8E8C"/>
          <w:rtl/>
        </w:rPr>
        <w:t>הילה רימון</w:t>
      </w:r>
      <w:r w:rsidR="0012580C" w:rsidRPr="004D5A4A">
        <w:rPr>
          <w:rFonts w:ascii="David" w:hAnsi="David" w:cs="David"/>
          <w:color w:val="2A8E8C"/>
          <w:rtl/>
        </w:rPr>
        <w:t>-</w:t>
      </w:r>
      <w:proofErr w:type="spellStart"/>
      <w:r w:rsidR="0012580C" w:rsidRPr="004D5A4A">
        <w:rPr>
          <w:rFonts w:cs="Guttman Aharoni" w:hint="cs"/>
          <w:color w:val="2A8E8C"/>
          <w:rtl/>
        </w:rPr>
        <w:t>גרינשפן</w:t>
      </w:r>
      <w:proofErr w:type="spellEnd"/>
      <w:r w:rsidR="0012580C" w:rsidRPr="004D5A4A">
        <w:rPr>
          <w:rFonts w:cs="Guttman Aharoni"/>
          <w:color w:val="2A8E8C"/>
          <w:vertAlign w:val="superscript"/>
          <w:rtl/>
        </w:rPr>
        <w:footnoteReference w:id="3"/>
      </w:r>
      <w:r w:rsidR="0012580C" w:rsidRPr="004D5A4A">
        <w:rPr>
          <w:rFonts w:cs="Guttman Aharoni" w:hint="cs"/>
          <w:color w:val="2A8E8C"/>
          <w:rtl/>
        </w:rPr>
        <w:t xml:space="preserve"> </w:t>
      </w:r>
    </w:p>
    <w:p w14:paraId="744C0A61"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היותנו אנשים אוטונומיים משמעו כי יש לנו היכולת</w:t>
      </w:r>
      <w:r w:rsidRPr="004D5A4A">
        <w:rPr>
          <w:rFonts w:ascii="Georgia" w:hAnsi="Georgia"/>
          <w:sz w:val="18"/>
          <w:szCs w:val="20"/>
        </w:rPr>
        <w:t xml:space="preserve"> </w:t>
      </w:r>
      <w:r w:rsidRPr="004D5A4A">
        <w:rPr>
          <w:rFonts w:ascii="Georgia" w:hAnsi="Georgia"/>
          <w:sz w:val="18"/>
          <w:szCs w:val="20"/>
          <w:rtl/>
        </w:rPr>
        <w:t>והחופש לקבל החלטות בדבר היבטים שונים בחיינו. בחברה ליברלית הזכות לאוטונומיה היא זכות יסוד, ובמובנים רבים אף מגדירה במידה לא מבוטלת את מי שאנחנו. ביטוי מרכזי לאוטונומיה בחברה דמוקרטית הוא הזכות לכשרות משפטית, המקנה את הזכות להיות נשאים של זכויות וחובות ולבצע פעולות משפטיות</w:t>
      </w:r>
      <w:r w:rsidRPr="004D5A4A">
        <w:rPr>
          <w:rFonts w:ascii="Georgia" w:hAnsi="Georgia"/>
          <w:sz w:val="18"/>
          <w:szCs w:val="20"/>
        </w:rPr>
        <w:t xml:space="preserve"> </w:t>
      </w:r>
      <w:r w:rsidRPr="004D5A4A">
        <w:rPr>
          <w:rFonts w:ascii="Georgia" w:hAnsi="Georgia"/>
          <w:sz w:val="18"/>
          <w:szCs w:val="20"/>
          <w:rtl/>
        </w:rPr>
        <w:t>(</w:t>
      </w:r>
      <w:proofErr w:type="spellStart"/>
      <w:r w:rsidRPr="004D5A4A">
        <w:rPr>
          <w:rFonts w:ascii="Georgia" w:hAnsi="Georgia"/>
          <w:sz w:val="18"/>
          <w:szCs w:val="20"/>
        </w:rPr>
        <w:t>Arstein</w:t>
      </w:r>
      <w:proofErr w:type="spellEnd"/>
      <w:r w:rsidRPr="004D5A4A">
        <w:rPr>
          <w:rFonts w:ascii="Georgia" w:hAnsi="Georgia"/>
          <w:sz w:val="18"/>
          <w:szCs w:val="20"/>
        </w:rPr>
        <w:t>-Kerslake, 2017</w:t>
      </w:r>
      <w:r w:rsidRPr="004D5A4A">
        <w:rPr>
          <w:rFonts w:ascii="Georgia" w:hAnsi="Georgia"/>
          <w:sz w:val="18"/>
          <w:szCs w:val="20"/>
          <w:rtl/>
        </w:rPr>
        <w:t>). הגיליון שלפנינו מוקדש לאותם מקרים שבהם הזכות של אנשים שונים לכשרות משפטית מושעית, באופן זמני או קבוע. במקרים שכאלו מדינת הרווחה ממלאת תפקיד מרכזי, והביטוי הבולט ביותר לכך הוא השימוש במינויי אפוטרופוס. הכוונה היא להסדר משפטי אשר במסגרתו ממונה מקבל החלטות חלופי לאותם אנשים הנתפסים כמתקשים במיוחד לקבל החלטות ולדאוג לענייניהם. קבוצות בולטות בהקשר זה הן אנשים עם מוגבלויות ואנשים זקנים, והן שיעמדו במוקד גיליון מיוחד זה.</w:t>
      </w:r>
    </w:p>
    <w:p w14:paraId="24372227"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sz w:val="18"/>
          <w:szCs w:val="20"/>
          <w:rtl/>
        </w:rPr>
        <w:t xml:space="preserve">לאור המרכזיות של הזכות לכשרות משפטית בחיינו, ובשל הממשק ההדוק שבינה לבין עולם הרווחה, גיליון מיוחד זה יוקדש להיבטים שונים של כשרות משפטית, ויתמקד באפוטרופסות ובחלופותיה: ייפוי כוח מתמשך וקבלת החלטות נתמכת. </w:t>
      </w:r>
      <w:r w:rsidRPr="004D5A4A">
        <w:rPr>
          <w:rFonts w:ascii="Georgia" w:hAnsi="Georgia"/>
          <w:color w:val="000000"/>
          <w:sz w:val="18"/>
          <w:szCs w:val="20"/>
          <w:rtl/>
        </w:rPr>
        <w:t xml:space="preserve">כפי שידגישו המאמרים השונים, </w:t>
      </w:r>
      <w:r w:rsidRPr="004D5A4A">
        <w:rPr>
          <w:rFonts w:ascii="Georgia" w:hAnsi="Georgia"/>
          <w:color w:val="212121"/>
          <w:sz w:val="18"/>
          <w:szCs w:val="20"/>
          <w:shd w:val="clear" w:color="auto" w:fill="FFFFFF"/>
          <w:rtl/>
        </w:rPr>
        <w:t xml:space="preserve">למרות השימוש הנרחב שנעשה בעבר ובהווה בכלי המשפטי של אפוטרופסות, ולמרות השפעתו הגדולה על חיי אנשים עם מוגבלות, על אנשים זקנים ועל בני משפחתם, גוף הידע המחקרי שהתגבש במהלך השנים בישראל בתחום זה של כשרות משפטית הוא מצומצם מאוד, ורוב רובו של המחקר הוא נורמטיבי או </w:t>
      </w:r>
      <w:proofErr w:type="spellStart"/>
      <w:r w:rsidRPr="004D5A4A">
        <w:rPr>
          <w:rFonts w:ascii="Georgia" w:hAnsi="Georgia"/>
          <w:color w:val="212121"/>
          <w:sz w:val="18"/>
          <w:szCs w:val="20"/>
          <w:shd w:val="clear" w:color="auto" w:fill="FFFFFF"/>
          <w:rtl/>
        </w:rPr>
        <w:t>דוקטריני</w:t>
      </w:r>
      <w:proofErr w:type="spellEnd"/>
      <w:r w:rsidRPr="004D5A4A">
        <w:rPr>
          <w:rFonts w:ascii="Georgia" w:hAnsi="Georgia"/>
          <w:color w:val="212121"/>
          <w:sz w:val="18"/>
          <w:szCs w:val="20"/>
          <w:shd w:val="clear" w:color="auto" w:fill="FFFFFF"/>
          <w:rtl/>
        </w:rPr>
        <w:t xml:space="preserve"> באופיו. כך למשל, למעט מקרים ספורים ביותר (למשל </w:t>
      </w:r>
      <w:proofErr w:type="spellStart"/>
      <w:r w:rsidRPr="004D5A4A">
        <w:rPr>
          <w:rFonts w:ascii="Georgia" w:hAnsi="Georgia"/>
          <w:sz w:val="18"/>
          <w:szCs w:val="20"/>
          <w:rtl/>
        </w:rPr>
        <w:t>בראל</w:t>
      </w:r>
      <w:proofErr w:type="spellEnd"/>
      <w:r w:rsidRPr="004D5A4A">
        <w:rPr>
          <w:rFonts w:ascii="Georgia" w:hAnsi="Georgia"/>
          <w:sz w:val="18"/>
          <w:szCs w:val="20"/>
          <w:rtl/>
        </w:rPr>
        <w:t xml:space="preserve"> ואח', 2015, </w:t>
      </w:r>
      <w:r w:rsidRPr="004D5A4A">
        <w:rPr>
          <w:rFonts w:ascii="Georgia" w:hAnsi="Georgia"/>
          <w:color w:val="212121"/>
          <w:sz w:val="18"/>
          <w:szCs w:val="20"/>
          <w:shd w:val="clear" w:color="auto" w:fill="FFFFFF"/>
          <w:rtl/>
        </w:rPr>
        <w:t xml:space="preserve">2021; דורון, 2008), לא </w:t>
      </w:r>
      <w:r w:rsidRPr="004D5A4A">
        <w:rPr>
          <w:rFonts w:ascii="Georgia" w:hAnsi="Georgia"/>
          <w:color w:val="212121"/>
          <w:sz w:val="18"/>
          <w:szCs w:val="20"/>
          <w:shd w:val="clear" w:color="auto" w:fill="FFFFFF"/>
          <w:rtl/>
        </w:rPr>
        <w:lastRenderedPageBreak/>
        <w:t xml:space="preserve">נערכו בישראל מחקרים אמפיריים על תהליכי המינוי של אפוטרופסות ועל אודות הביטוי היום-יומי של אפוטרופסות בחיי אנשים ומשפחותיהם. בשנים האחרונות, ובין השאר לאור הביקורות והשינויים בתפיסה ובחקיקה שנציג בהמשך, מצב זה החל להשתנות; חוקרים וחוקרות שונים </w:t>
      </w:r>
      <w:r w:rsidRPr="004D5A4A">
        <w:rPr>
          <w:rFonts w:ascii="Georgia" w:hAnsi="Georgia"/>
          <w:sz w:val="18"/>
          <w:szCs w:val="20"/>
          <w:rtl/>
        </w:rPr>
        <w:t>–</w:t>
      </w:r>
      <w:r w:rsidRPr="004D5A4A">
        <w:rPr>
          <w:rFonts w:ascii="Georgia" w:hAnsi="Georgia"/>
          <w:color w:val="212121"/>
          <w:sz w:val="18"/>
          <w:szCs w:val="20"/>
          <w:shd w:val="clear" w:color="auto" w:fill="FFFFFF"/>
          <w:rtl/>
        </w:rPr>
        <w:t xml:space="preserve"> מהאקדמיה, מגופי מחקר יישומי ואף מהחברה האזרחית </w:t>
      </w:r>
      <w:r w:rsidRPr="004D5A4A">
        <w:rPr>
          <w:rFonts w:ascii="Georgia" w:hAnsi="Georgia"/>
          <w:sz w:val="18"/>
          <w:szCs w:val="20"/>
          <w:rtl/>
        </w:rPr>
        <w:t>–</w:t>
      </w:r>
      <w:r w:rsidRPr="004D5A4A">
        <w:rPr>
          <w:rFonts w:ascii="Georgia" w:hAnsi="Georgia"/>
          <w:color w:val="212121"/>
          <w:sz w:val="18"/>
          <w:szCs w:val="20"/>
          <w:shd w:val="clear" w:color="auto" w:fill="FFFFFF"/>
          <w:rtl/>
        </w:rPr>
        <w:t xml:space="preserve"> החלו להפנות את זרקור המחקר אל נושא הכשרות המשפטית, ובתוך כך גם אל החלופות החדשות המתגבשות. כאמור, </w:t>
      </w:r>
      <w:r w:rsidRPr="004D5A4A">
        <w:rPr>
          <w:rFonts w:ascii="Georgia" w:hAnsi="Georgia"/>
          <w:color w:val="000000"/>
          <w:sz w:val="18"/>
          <w:szCs w:val="20"/>
          <w:rtl/>
        </w:rPr>
        <w:t>מטרת הגיליון היא להביא לידיעת הקוראים והקוראות חלק מגוף ידע מתפתח זה, ולשרטט את הידוע, ואולי אף את הלא ידוע, על הזכות לכשרות למשפטית, על אפוטרופסות ועל החלופות המתגבשות לה: קבלת החלטות נתמכת וייפוי כוח מתמשך.</w:t>
      </w:r>
    </w:p>
    <w:p w14:paraId="3462682D" w14:textId="77777777" w:rsidR="004D5A4A" w:rsidRDefault="004D5A4A" w:rsidP="004D5A4A">
      <w:pPr>
        <w:spacing w:line="280" w:lineRule="exact"/>
        <w:jc w:val="both"/>
        <w:rPr>
          <w:rFonts w:ascii="Georgia" w:hAnsi="Georgia"/>
          <w:b/>
          <w:bCs/>
          <w:sz w:val="18"/>
          <w:szCs w:val="20"/>
        </w:rPr>
      </w:pPr>
    </w:p>
    <w:p w14:paraId="3E434A62" w14:textId="77777777" w:rsidR="004D5A4A" w:rsidRPr="00C838F3" w:rsidRDefault="004D5A4A" w:rsidP="004D5A4A">
      <w:pPr>
        <w:spacing w:line="280" w:lineRule="exact"/>
        <w:jc w:val="both"/>
        <w:rPr>
          <w:rFonts w:ascii="Georgia" w:hAnsi="Georgia"/>
          <w:b/>
          <w:bCs/>
          <w:sz w:val="18"/>
          <w:szCs w:val="20"/>
          <w:rtl/>
        </w:rPr>
      </w:pPr>
    </w:p>
    <w:p w14:paraId="346EAB07" w14:textId="5C414CAE" w:rsidR="0012580C" w:rsidRPr="004D5A4A" w:rsidRDefault="0012580C" w:rsidP="004D5A4A">
      <w:pPr>
        <w:pStyle w:val="KOT4"/>
        <w:spacing w:after="0"/>
        <w:ind w:left="397" w:right="0" w:hanging="397"/>
        <w:rPr>
          <w:rFonts w:cs="Guttman Aharoni"/>
          <w:color w:val="2A8E8C"/>
          <w:sz w:val="32"/>
          <w:szCs w:val="32"/>
          <w:rtl/>
        </w:rPr>
      </w:pPr>
      <w:r w:rsidRPr="004D5A4A">
        <w:rPr>
          <w:rFonts w:cs="Guttman Aharoni"/>
          <w:color w:val="2A8E8C"/>
          <w:sz w:val="32"/>
          <w:szCs w:val="32"/>
          <w:rtl/>
        </w:rPr>
        <w:t xml:space="preserve">אפוטרופסות והביקורת כלפיה </w:t>
      </w:r>
    </w:p>
    <w:p w14:paraId="14A3EDB5" w14:textId="3DE168BE" w:rsidR="0012580C" w:rsidRPr="004D5A4A" w:rsidRDefault="0012580C" w:rsidP="002C4FA5">
      <w:pPr>
        <w:spacing w:after="180" w:line="280" w:lineRule="exact"/>
        <w:jc w:val="both"/>
        <w:rPr>
          <w:rFonts w:ascii="Georgia" w:hAnsi="Georgia"/>
          <w:sz w:val="18"/>
          <w:szCs w:val="20"/>
          <w:rtl/>
        </w:rPr>
      </w:pPr>
      <w:r w:rsidRPr="004D5A4A">
        <w:rPr>
          <w:rFonts w:ascii="Georgia" w:hAnsi="Georgia"/>
          <w:sz w:val="18"/>
          <w:szCs w:val="20"/>
          <w:rtl/>
        </w:rPr>
        <w:t>במוסד האפוטרופסות יש, לכאורה, היגיון רב. מטרתו היא להגן על מי שנתפסים כלא מסוגלים לדאוג לעצמם מפני קבלת החלטות מוטעות, הזנחה, ניצול, התעללות וסיכונים נוספים. להסדר משפטי זה יש שורשים היסטוריים ארוכים, כולל במערכת המשפט היהודית, הרומית, היוונית והמצרית (</w:t>
      </w:r>
      <w:r w:rsidRPr="004D5A4A">
        <w:rPr>
          <w:rFonts w:ascii="Georgia" w:hAnsi="Georgia"/>
          <w:sz w:val="18"/>
          <w:szCs w:val="20"/>
        </w:rPr>
        <w:t>Cohen, 2017</w:t>
      </w:r>
      <w:r w:rsidRPr="004D5A4A">
        <w:rPr>
          <w:rFonts w:ascii="Georgia" w:hAnsi="Georgia"/>
          <w:sz w:val="18"/>
          <w:szCs w:val="20"/>
          <w:rtl/>
        </w:rPr>
        <w:t>). את שורשיו המודרניים הישירים של מוסד האפוטרופס</w:t>
      </w:r>
      <w:r w:rsidR="002C4FA5">
        <w:rPr>
          <w:rFonts w:ascii="Georgia" w:hAnsi="Georgia" w:hint="cs"/>
          <w:sz w:val="18"/>
          <w:szCs w:val="20"/>
          <w:rtl/>
        </w:rPr>
        <w:t>ות</w:t>
      </w:r>
      <w:r w:rsidRPr="004D5A4A">
        <w:rPr>
          <w:rFonts w:ascii="Georgia" w:hAnsi="Georgia"/>
          <w:sz w:val="18"/>
          <w:szCs w:val="20"/>
          <w:rtl/>
        </w:rPr>
        <w:t xml:space="preserve"> לאנשים בגירים ואת הרציונל ההגנתי הטמון בו אפשר לזהות במשפט האנגלי של ימי הביניים המוקדמים, אשר במסגרתו הוענקו לחבר מושבעים מקומי סמכויות להכריז על אדם כמשוגע (</w:t>
      </w:r>
      <w:r w:rsidRPr="004D5A4A">
        <w:rPr>
          <w:rFonts w:ascii="Georgia" w:hAnsi="Georgia"/>
          <w:sz w:val="18"/>
          <w:szCs w:val="20"/>
        </w:rPr>
        <w:t>lunatic</w:t>
      </w:r>
      <w:r w:rsidRPr="004D5A4A">
        <w:rPr>
          <w:rFonts w:ascii="Georgia" w:hAnsi="Georgia"/>
          <w:sz w:val="18"/>
          <w:szCs w:val="20"/>
          <w:rtl/>
        </w:rPr>
        <w:t>) או מפגר (</w:t>
      </w:r>
      <w:r w:rsidRPr="004D5A4A">
        <w:rPr>
          <w:rFonts w:ascii="Georgia" w:hAnsi="Georgia"/>
          <w:sz w:val="18"/>
          <w:szCs w:val="20"/>
        </w:rPr>
        <w:t>idiot</w:t>
      </w:r>
      <w:r w:rsidRPr="004D5A4A">
        <w:rPr>
          <w:rFonts w:ascii="Georgia" w:hAnsi="Georgia"/>
          <w:sz w:val="18"/>
          <w:szCs w:val="20"/>
          <w:rtl/>
        </w:rPr>
        <w:t>), מתוך מטרה, מוצהרת לפחות, להגן על נכסיו. במהלך הזמן הורחב והתמסד השימוש במוסד האפוטרופסות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Glen, 2012</w:t>
      </w:r>
      <w:r w:rsidRPr="004D5A4A">
        <w:rPr>
          <w:rFonts w:ascii="Georgia" w:hAnsi="Georgia"/>
          <w:sz w:val="18"/>
          <w:szCs w:val="20"/>
          <w:rtl/>
        </w:rPr>
        <w:t>). בישראל, נכון למועד כתיבת שורות אלו, כ-51,000 אנשים עם מוגבלות או אנשים זקנים</w:t>
      </w:r>
      <w:r w:rsidRPr="004D5A4A">
        <w:rPr>
          <w:rFonts w:ascii="Georgia" w:hAnsi="Georgia"/>
          <w:sz w:val="18"/>
          <w:szCs w:val="20"/>
        </w:rPr>
        <w:t xml:space="preserve"> </w:t>
      </w:r>
      <w:r w:rsidRPr="004D5A4A">
        <w:rPr>
          <w:rFonts w:ascii="Georgia" w:hAnsi="Georgia"/>
          <w:sz w:val="18"/>
          <w:szCs w:val="20"/>
          <w:rtl/>
        </w:rPr>
        <w:t>נמצאים תחת מינוי אפוטרופוס (האפוטרופוס הכללי, 2023). עבור רובם הגדול המינוי הוא כללי, וחולש על הן על עניני רכוש הן על עניינים אישיים (גולדברג ורייך, 2019).</w:t>
      </w:r>
    </w:p>
    <w:p w14:paraId="6FE2FB23"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אף כי מוסד האפוטרופסות מונע משיקולים של טובת האדם ונתפס על ידי אנשי מקצוע, בני משפחה והציבור הרחב כפתרון חיוני ואף כביטוי לאחריות חברתית ולחובה המוסרית של המדינה כלפי קבוצות פגיעות בה, אנו עדים בעשורים האחרונים לביקורות הולכות וגוברות כלפיו. בין השאר נטען כי מינוי שכזה הוא פגיעה אנושה בזכות לאוטונומיה, לחירות, לפרטיות, לכבוד ולקניין, וכי הוא מבוסס על תפיסות </w:t>
      </w:r>
      <w:proofErr w:type="spellStart"/>
      <w:r w:rsidRPr="004D5A4A">
        <w:rPr>
          <w:rFonts w:ascii="Georgia" w:hAnsi="Georgia"/>
          <w:sz w:val="18"/>
          <w:szCs w:val="20"/>
          <w:rtl/>
        </w:rPr>
        <w:t>סטיגמתיות</w:t>
      </w:r>
      <w:proofErr w:type="spellEnd"/>
      <w:r w:rsidRPr="004D5A4A">
        <w:rPr>
          <w:rFonts w:ascii="Georgia" w:hAnsi="Georgia"/>
          <w:sz w:val="18"/>
          <w:szCs w:val="20"/>
          <w:rtl/>
        </w:rPr>
        <w:t xml:space="preserve"> </w:t>
      </w:r>
      <w:proofErr w:type="spellStart"/>
      <w:r w:rsidRPr="004D5A4A">
        <w:rPr>
          <w:rFonts w:ascii="Georgia" w:hAnsi="Georgia"/>
          <w:sz w:val="18"/>
          <w:szCs w:val="20"/>
          <w:rtl/>
        </w:rPr>
        <w:t>וגילניות</w:t>
      </w:r>
      <w:proofErr w:type="spellEnd"/>
      <w:r w:rsidRPr="004D5A4A">
        <w:rPr>
          <w:rFonts w:ascii="Georgia" w:hAnsi="Georgia"/>
          <w:sz w:val="18"/>
          <w:szCs w:val="20"/>
          <w:rtl/>
        </w:rPr>
        <w:t xml:space="preserve"> המזהות אנשים עם מוגבלויות ואנשים זקנים כנחותים וכחסרי מסוגלות, ומשעתק אותן (דורון, 2008; </w:t>
      </w:r>
      <w:r w:rsidRPr="004D5A4A">
        <w:rPr>
          <w:rFonts w:ascii="Georgia" w:hAnsi="Georgia"/>
          <w:sz w:val="18"/>
          <w:szCs w:val="20"/>
        </w:rPr>
        <w:t>Fiala-Butora &amp; Stein, 2016</w:t>
      </w:r>
      <w:r w:rsidRPr="004D5A4A">
        <w:rPr>
          <w:rFonts w:ascii="Georgia" w:hAnsi="Georgia"/>
          <w:sz w:val="18"/>
          <w:szCs w:val="20"/>
          <w:rtl/>
        </w:rPr>
        <w:t>). עוד נטען כי באופן פרדוקסלי אפוטרופסות עלולה דווקא להציב אנשים במצבי סיכון וניצול, בין השאר בשל פערי הכוח הטמונים בה (</w:t>
      </w:r>
      <w:r w:rsidRPr="004D5A4A">
        <w:rPr>
          <w:rFonts w:ascii="Georgia" w:hAnsi="Georgia"/>
          <w:sz w:val="18"/>
          <w:szCs w:val="20"/>
        </w:rPr>
        <w:t>Holler &amp; Werner, 2022</w:t>
      </w:r>
      <w:r w:rsidRPr="004D5A4A">
        <w:rPr>
          <w:rFonts w:ascii="Georgia" w:hAnsi="Georgia"/>
          <w:sz w:val="18"/>
          <w:szCs w:val="20"/>
          <w:rtl/>
        </w:rPr>
        <w:t>).</w:t>
      </w:r>
    </w:p>
    <w:p w14:paraId="71C96B5E"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sz w:val="18"/>
          <w:szCs w:val="20"/>
          <w:rtl/>
        </w:rPr>
        <w:t xml:space="preserve">ביסוד הביקורות הללו עומד המושג </w:t>
      </w:r>
      <w:r w:rsidRPr="004D5A4A">
        <w:rPr>
          <w:rFonts w:ascii="Georgia" w:hAnsi="Georgia"/>
          <w:b/>
          <w:bCs/>
          <w:sz w:val="18"/>
          <w:szCs w:val="20"/>
          <w:rtl/>
        </w:rPr>
        <w:t>כשרות משפטית</w:t>
      </w:r>
      <w:r w:rsidRPr="004D5A4A">
        <w:rPr>
          <w:rFonts w:ascii="Georgia" w:hAnsi="Georgia"/>
          <w:sz w:val="18"/>
          <w:szCs w:val="20"/>
          <w:rtl/>
        </w:rPr>
        <w:t xml:space="preserve">, שהיא זכות יסוד בחברה דמוקרטית. כשרות משפטית משמעותה היא כי האזרחים הם נשאים של זכויות וחובות ובעלי סמכות </w:t>
      </w:r>
      <w:r w:rsidRPr="004D5A4A">
        <w:rPr>
          <w:rFonts w:ascii="Georgia" w:hAnsi="Georgia"/>
          <w:sz w:val="18"/>
          <w:szCs w:val="20"/>
          <w:rtl/>
        </w:rPr>
        <w:lastRenderedPageBreak/>
        <w:t>לבצע פעולות משפטיות</w:t>
      </w:r>
      <w:r w:rsidRPr="004D5A4A">
        <w:rPr>
          <w:rFonts w:ascii="Georgia" w:hAnsi="Georgia"/>
          <w:sz w:val="18"/>
          <w:szCs w:val="20"/>
        </w:rPr>
        <w:t xml:space="preserve"> </w:t>
      </w:r>
      <w:r w:rsidRPr="004D5A4A">
        <w:rPr>
          <w:rFonts w:ascii="Georgia" w:hAnsi="Georgia"/>
          <w:sz w:val="18"/>
          <w:szCs w:val="20"/>
          <w:rtl/>
        </w:rPr>
        <w:t>(</w:t>
      </w:r>
      <w:proofErr w:type="spellStart"/>
      <w:r w:rsidRPr="004D5A4A">
        <w:rPr>
          <w:rFonts w:ascii="Georgia" w:hAnsi="Georgia"/>
          <w:sz w:val="18"/>
          <w:szCs w:val="20"/>
        </w:rPr>
        <w:t>Arstein</w:t>
      </w:r>
      <w:proofErr w:type="spellEnd"/>
      <w:r w:rsidRPr="004D5A4A">
        <w:rPr>
          <w:rFonts w:ascii="Georgia" w:hAnsi="Georgia"/>
          <w:sz w:val="18"/>
          <w:szCs w:val="20"/>
        </w:rPr>
        <w:t>-Kerslake, 2017</w:t>
      </w:r>
      <w:r w:rsidRPr="004D5A4A">
        <w:rPr>
          <w:rFonts w:ascii="Georgia" w:hAnsi="Georgia"/>
          <w:sz w:val="18"/>
          <w:szCs w:val="20"/>
          <w:rtl/>
        </w:rPr>
        <w:t xml:space="preserve">). במובנים רבים, כשרות משפטית היא מה שמאפשר לנו להיות סובייקטים משפטיים, </w:t>
      </w:r>
      <w:proofErr w:type="spellStart"/>
      <w:r w:rsidRPr="004D5A4A">
        <w:rPr>
          <w:rFonts w:ascii="Georgia" w:hAnsi="Georgia"/>
          <w:sz w:val="18"/>
          <w:szCs w:val="20"/>
          <w:rtl/>
        </w:rPr>
        <w:t>וככזו</w:t>
      </w:r>
      <w:proofErr w:type="spellEnd"/>
      <w:r w:rsidRPr="004D5A4A">
        <w:rPr>
          <w:rFonts w:ascii="Georgia" w:hAnsi="Georgia"/>
          <w:sz w:val="18"/>
          <w:szCs w:val="20"/>
          <w:rtl/>
        </w:rPr>
        <w:t xml:space="preserve"> היא מהווה למעשה שער לעולם הזכויות (</w:t>
      </w:r>
      <w:r w:rsidRPr="004D5A4A">
        <w:rPr>
          <w:rFonts w:ascii="Georgia" w:hAnsi="Georgia"/>
          <w:sz w:val="18"/>
          <w:szCs w:val="20"/>
        </w:rPr>
        <w:t>Bach, 2017</w:t>
      </w:r>
      <w:r w:rsidRPr="004D5A4A">
        <w:rPr>
          <w:rFonts w:ascii="Georgia" w:hAnsi="Georgia"/>
          <w:sz w:val="18"/>
          <w:szCs w:val="20"/>
          <w:rtl/>
        </w:rPr>
        <w:t xml:space="preserve">). מכאן אפשר גם להבין את הביקורות כלפי מוסד האפוטרופסות, אשר מהווה דה פקטו צמצום ניכר בכשרותם המשפטית של אנשים בעלי מינוי שכזה. לביקורות אלו גם הקשר היסטורי, והטענה היא כי לאורך </w:t>
      </w:r>
      <w:r w:rsidRPr="004D5A4A">
        <w:rPr>
          <w:rFonts w:ascii="Georgia" w:hAnsi="Georgia"/>
          <w:color w:val="1C1E19"/>
          <w:sz w:val="18"/>
          <w:szCs w:val="20"/>
          <w:rtl/>
        </w:rPr>
        <w:t xml:space="preserve">ההיסטוריה האנושית היו קבוצות שונות אשר הוגדרו חסרות מסוגלות </w:t>
      </w:r>
      <w:r w:rsidRPr="004D5A4A">
        <w:rPr>
          <w:rFonts w:ascii="Georgia" w:hAnsi="Georgia"/>
          <w:sz w:val="18"/>
          <w:szCs w:val="20"/>
          <w:rtl/>
        </w:rPr>
        <w:t>–</w:t>
      </w:r>
      <w:r w:rsidRPr="004D5A4A">
        <w:rPr>
          <w:rFonts w:ascii="Georgia" w:hAnsi="Georgia"/>
          <w:color w:val="1C1E19"/>
          <w:sz w:val="18"/>
          <w:szCs w:val="20"/>
          <w:rtl/>
        </w:rPr>
        <w:t xml:space="preserve"> הגדרה אשר תורגמה לסטטוס משפטי נפרד ונחות ולצמצום זכותן לכשרות משפטית (</w:t>
      </w:r>
      <w:proofErr w:type="spellStart"/>
      <w:r w:rsidRPr="004D5A4A">
        <w:rPr>
          <w:rFonts w:ascii="Georgia" w:hAnsi="Georgia"/>
          <w:color w:val="1C1E19"/>
          <w:sz w:val="18"/>
          <w:szCs w:val="20"/>
          <w:rtl/>
        </w:rPr>
        <w:t>טולוב</w:t>
      </w:r>
      <w:proofErr w:type="spellEnd"/>
      <w:r w:rsidRPr="004D5A4A">
        <w:rPr>
          <w:rFonts w:ascii="Georgia" w:hAnsi="Georgia"/>
          <w:color w:val="1C1E19"/>
          <w:sz w:val="18"/>
          <w:szCs w:val="20"/>
          <w:rtl/>
        </w:rPr>
        <w:t xml:space="preserve"> </w:t>
      </w:r>
      <w:proofErr w:type="spellStart"/>
      <w:r w:rsidRPr="004D5A4A">
        <w:rPr>
          <w:rFonts w:ascii="Georgia" w:hAnsi="Georgia"/>
          <w:color w:val="1C1E19"/>
          <w:sz w:val="18"/>
          <w:szCs w:val="20"/>
          <w:rtl/>
        </w:rPr>
        <w:t>ושלומאי</w:t>
      </w:r>
      <w:proofErr w:type="spellEnd"/>
      <w:r w:rsidRPr="004D5A4A">
        <w:rPr>
          <w:rFonts w:ascii="Georgia" w:hAnsi="Georgia"/>
          <w:color w:val="1C1E19"/>
          <w:sz w:val="18"/>
          <w:szCs w:val="20"/>
          <w:rtl/>
        </w:rPr>
        <w:t>, 2020). בעבר בקרב בגירים מדובר היה גם על נשים ומיעוטים גזעיים, ואילו כיום פגיעה זו מתרחשת ביתר שאת כלפי אנשים עם מוגבלויות ואנשים זקנים (דורון, 2008).</w:t>
      </w:r>
      <w:r w:rsidRPr="004D5A4A">
        <w:rPr>
          <w:rFonts w:ascii="Georgia" w:hAnsi="Georgia"/>
          <w:color w:val="1C1E19"/>
          <w:sz w:val="18"/>
          <w:szCs w:val="20"/>
        </w:rPr>
        <w:t xml:space="preserve"> </w:t>
      </w:r>
    </w:p>
    <w:p w14:paraId="40C133AB" w14:textId="77777777" w:rsidR="004D5A4A" w:rsidRDefault="004D5A4A" w:rsidP="004D5A4A">
      <w:pPr>
        <w:spacing w:line="280" w:lineRule="exact"/>
        <w:jc w:val="both"/>
        <w:rPr>
          <w:rFonts w:ascii="Georgia" w:hAnsi="Georgia"/>
          <w:b/>
          <w:bCs/>
          <w:sz w:val="18"/>
          <w:szCs w:val="20"/>
        </w:rPr>
      </w:pPr>
    </w:p>
    <w:p w14:paraId="4EE7FFFC" w14:textId="77777777" w:rsidR="004D5A4A" w:rsidRPr="00C838F3" w:rsidRDefault="004D5A4A" w:rsidP="004D5A4A">
      <w:pPr>
        <w:spacing w:line="280" w:lineRule="exact"/>
        <w:jc w:val="both"/>
        <w:rPr>
          <w:rFonts w:ascii="Georgia" w:hAnsi="Georgia"/>
          <w:b/>
          <w:bCs/>
          <w:sz w:val="18"/>
          <w:szCs w:val="20"/>
          <w:rtl/>
        </w:rPr>
      </w:pPr>
    </w:p>
    <w:p w14:paraId="5720290C" w14:textId="50278EBE"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אמנת האו"ם בדבר זכויותיהם של אנשים עם מוגבלות והגישה החברתית</w:t>
      </w:r>
      <w:r w:rsidRPr="004D5A4A">
        <w:rPr>
          <w:rFonts w:ascii="David" w:hAnsi="David" w:cs="David"/>
          <w:color w:val="2A8E8C"/>
          <w:sz w:val="32"/>
          <w:szCs w:val="32"/>
          <w:rtl/>
        </w:rPr>
        <w:t>-</w:t>
      </w:r>
      <w:r w:rsidRPr="004D5A4A">
        <w:rPr>
          <w:rFonts w:cs="Guttman Aharoni"/>
          <w:color w:val="2A8E8C"/>
          <w:sz w:val="32"/>
          <w:szCs w:val="32"/>
          <w:rtl/>
        </w:rPr>
        <w:t xml:space="preserve">ביקורתית של המוגבלות </w:t>
      </w:r>
    </w:p>
    <w:p w14:paraId="07D39C10" w14:textId="4F7087AC"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ביקורות חריפות כלפי מוסד האפוטרופסות הועלו ראשית ידי חוקרים, פעילים ונציגי ציבור העוסקים בזכויות של אנשים זקנים. הללו טענו כי השימוש באפוטרופוס מניע ומונע מתפיסות פטרוניות כלפי חוסר מסוגלותם של אנשים זקנים, כי הוא הופך אותם ל"בלתי נראים" (דורון, 2008), ושולל מהם זכויות חוקיות בסיסיות ללא ניסיון מקדים לבחון חלופות מגבילות פחות. עוד נטען כי תהליך "העלמתם" של הזקנים מתרחש כבר בשלבים הראשונים של הליך המינוי, אשר אינו מביא בחשבון את רצונם ותפיסת עולמם. לביקורות אלו היו גם השפעות פוליטיות. כך</w:t>
      </w:r>
      <w:r w:rsidR="00385E13">
        <w:rPr>
          <w:rFonts w:ascii="Georgia" w:hAnsi="Georgia" w:hint="cs"/>
          <w:sz w:val="18"/>
          <w:szCs w:val="20"/>
          <w:rtl/>
        </w:rPr>
        <w:t>,</w:t>
      </w:r>
      <w:r w:rsidRPr="004D5A4A">
        <w:rPr>
          <w:rFonts w:ascii="Georgia" w:hAnsi="Georgia"/>
          <w:sz w:val="18"/>
          <w:szCs w:val="20"/>
          <w:rtl/>
        </w:rPr>
        <w:t xml:space="preserve"> למשל, בעקבות פרסום תקשורתי נרחב בנושא בשנות השמונים, הקשר בין אפוטרופסות לבין פגיעה בזכויות זקנים עלה לסדר היום הציבורי והמחקרי בארצות הברית, ובהמשך גם בוצעו בה כמה רפורמות מרכזיות. מגמות דומות נצפו במדינות אחרות, ובהן קנדה ואנגליה (דורון, 2008). </w:t>
      </w:r>
    </w:p>
    <w:p w14:paraId="5C16B819"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בשנים האחרונות, בין השאר לנוכח מאבק נרחב של פעילים, חוקרים וארגוני זכויות של אנשים עם מוגבלויות, הביטוי המשמעותי, הרדיקלי והפוליטי ביותר של ביקורות אלו מופיע באמנת האו"ם בדבר זכויותיהם של אנשים עם מוגבלות, אשר אומצה בשנת 2006. סעיף 12 לאמנה מדגיש את הזכות האוניברסלית של אנשים עם מוגבלויות לכשרות משפטית, ודורש מהמדינות החתומות על האמנה לנקוט את הצעדים הנדרשים כדי להגן על זכות זאת, לשמר אותה, לאפשר ולממש אותה (</w:t>
      </w:r>
      <w:proofErr w:type="spellStart"/>
      <w:r w:rsidRPr="004D5A4A">
        <w:rPr>
          <w:rFonts w:ascii="Georgia" w:hAnsi="Georgia"/>
          <w:sz w:val="18"/>
          <w:szCs w:val="20"/>
        </w:rPr>
        <w:t>Arstein</w:t>
      </w:r>
      <w:proofErr w:type="spellEnd"/>
      <w:r w:rsidRPr="004D5A4A">
        <w:rPr>
          <w:rFonts w:ascii="Georgia" w:hAnsi="Georgia"/>
          <w:sz w:val="18"/>
          <w:szCs w:val="20"/>
        </w:rPr>
        <w:t xml:space="preserve">-Kerslake, 2017; Kanter &amp; </w:t>
      </w:r>
      <w:proofErr w:type="spellStart"/>
      <w:r w:rsidRPr="004D5A4A">
        <w:rPr>
          <w:rFonts w:ascii="Georgia" w:hAnsi="Georgia"/>
          <w:sz w:val="18"/>
          <w:szCs w:val="20"/>
        </w:rPr>
        <w:t>Tolub</w:t>
      </w:r>
      <w:proofErr w:type="spellEnd"/>
      <w:r w:rsidRPr="004D5A4A">
        <w:rPr>
          <w:rFonts w:ascii="Georgia" w:hAnsi="Georgia"/>
          <w:sz w:val="18"/>
          <w:szCs w:val="20"/>
        </w:rPr>
        <w:t>, 2017</w:t>
      </w:r>
      <w:r w:rsidRPr="004D5A4A">
        <w:rPr>
          <w:rFonts w:ascii="Georgia" w:hAnsi="Georgia"/>
          <w:sz w:val="18"/>
          <w:szCs w:val="20"/>
          <w:rtl/>
        </w:rPr>
        <w:t>)</w:t>
      </w:r>
    </w:p>
    <w:p w14:paraId="6EA19050"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מגמות אלו בעולם הזכויות של אנשים זקנים וזכויות של אנשים עם מוגבלות הובילו לניסיונות שונים לפתח הסדרים משפטיים חלופיים לאפוטרופסות, כאלה המשמרים את </w:t>
      </w:r>
      <w:r w:rsidRPr="004D5A4A">
        <w:rPr>
          <w:rFonts w:ascii="Georgia" w:hAnsi="Georgia"/>
          <w:sz w:val="18"/>
          <w:szCs w:val="20"/>
          <w:rtl/>
        </w:rPr>
        <w:lastRenderedPageBreak/>
        <w:t xml:space="preserve">האוטונומיה של האדם ואת זכותו לקבלת החלטות עצמאית גם במצבים שבהם הוא זקוק לסיוע בכך. שני הסדרים משפטיים מרכזיים שכאלו הם ייפוי כוח מתמשך וקבלת החלטות נתמכת, והם העומדים במוקד גיליון מיוחד זה. </w:t>
      </w:r>
    </w:p>
    <w:p w14:paraId="355450B9" w14:textId="77777777" w:rsidR="004D5A4A" w:rsidRDefault="004D5A4A" w:rsidP="004D5A4A">
      <w:pPr>
        <w:spacing w:line="280" w:lineRule="exact"/>
        <w:jc w:val="both"/>
        <w:rPr>
          <w:rFonts w:ascii="Georgia" w:hAnsi="Georgia"/>
          <w:b/>
          <w:bCs/>
          <w:sz w:val="18"/>
          <w:szCs w:val="20"/>
        </w:rPr>
      </w:pPr>
    </w:p>
    <w:p w14:paraId="7EA98B71" w14:textId="77777777" w:rsidR="004D5A4A" w:rsidRPr="00C838F3" w:rsidRDefault="004D5A4A" w:rsidP="004D5A4A">
      <w:pPr>
        <w:spacing w:line="280" w:lineRule="exact"/>
        <w:jc w:val="both"/>
        <w:rPr>
          <w:rFonts w:ascii="Georgia" w:hAnsi="Georgia"/>
          <w:b/>
          <w:bCs/>
          <w:sz w:val="18"/>
          <w:szCs w:val="20"/>
          <w:rtl/>
        </w:rPr>
      </w:pPr>
    </w:p>
    <w:p w14:paraId="3C47C26F" w14:textId="189BFF92"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הגישה החברתית</w:t>
      </w:r>
      <w:r w:rsidRPr="004D5A4A">
        <w:rPr>
          <w:rFonts w:ascii="David" w:hAnsi="David" w:cs="David"/>
          <w:color w:val="2A8E8C"/>
          <w:sz w:val="32"/>
          <w:szCs w:val="32"/>
          <w:rtl/>
        </w:rPr>
        <w:t>-</w:t>
      </w:r>
      <w:r w:rsidRPr="004D5A4A">
        <w:rPr>
          <w:rFonts w:cs="Guttman Aharoni"/>
          <w:color w:val="2A8E8C"/>
          <w:sz w:val="32"/>
          <w:szCs w:val="32"/>
          <w:rtl/>
        </w:rPr>
        <w:t xml:space="preserve">ביקורתית של המוגבלות וכשרות משפטית </w:t>
      </w:r>
    </w:p>
    <w:p w14:paraId="27FAF50B"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אמנת האו"ם והביקורת שלה על אפוטרופסות מעוגנות ברמה התאורטית והערכית בגישה החברתית של המוגבלות ובאופן שבו היא מאתגרת את </w:t>
      </w:r>
      <w:r w:rsidRPr="004D5A4A">
        <w:rPr>
          <w:rFonts w:ascii="Georgia" w:hAnsi="Georgia"/>
          <w:b/>
          <w:bCs/>
          <w:sz w:val="18"/>
          <w:szCs w:val="20"/>
          <w:rtl/>
        </w:rPr>
        <w:t>הגישה הפרטנית-רפואית</w:t>
      </w:r>
      <w:r w:rsidRPr="004D5A4A">
        <w:rPr>
          <w:rFonts w:ascii="Georgia" w:hAnsi="Georgia"/>
          <w:sz w:val="18"/>
          <w:szCs w:val="20"/>
        </w:rPr>
        <w:t xml:space="preserve"> </w:t>
      </w:r>
      <w:r w:rsidRPr="004D5A4A">
        <w:rPr>
          <w:rFonts w:ascii="Georgia" w:hAnsi="Georgia"/>
          <w:sz w:val="18"/>
          <w:szCs w:val="20"/>
          <w:rtl/>
        </w:rPr>
        <w:t>(</w:t>
      </w:r>
      <w:r w:rsidRPr="004D5A4A">
        <w:rPr>
          <w:rFonts w:ascii="Georgia" w:hAnsi="Georgia"/>
          <w:sz w:val="18"/>
          <w:szCs w:val="20"/>
        </w:rPr>
        <w:t>Mor, 2017</w:t>
      </w:r>
      <w:r w:rsidRPr="004D5A4A">
        <w:rPr>
          <w:rFonts w:ascii="Georgia" w:hAnsi="Georgia"/>
          <w:sz w:val="18"/>
          <w:szCs w:val="20"/>
          <w:rtl/>
        </w:rPr>
        <w:t>).</w:t>
      </w:r>
      <w:r w:rsidRPr="004D5A4A">
        <w:rPr>
          <w:rFonts w:ascii="Georgia" w:hAnsi="Georgia"/>
          <w:sz w:val="18"/>
          <w:szCs w:val="20"/>
        </w:rPr>
        <w:t xml:space="preserve"> </w:t>
      </w:r>
      <w:r w:rsidRPr="004D5A4A">
        <w:rPr>
          <w:rFonts w:ascii="Georgia" w:hAnsi="Georgia"/>
          <w:sz w:val="18"/>
          <w:szCs w:val="20"/>
          <w:rtl/>
        </w:rPr>
        <w:t xml:space="preserve">זו האחרונה נוטה לראות במוגבלות מצב של חסר ושל טרגדיה אישית הנעוצים בלקות הרפואית, בתפקוד האדם וביכולת ההסתגלות שלו. לשיטתה של הגישה הפרטנית-רפואית, התמודדות עם האתגרים הניצבים בפני אנשים עם מוגבלות צריכה להתמקד בתיקון הלקות ובשיפור התפקוד. במקרים שבהם לקותו ותפקודו של אדם אינם מאפשרים לו להשתלב כהלכה בחברה, מציעה הגישה מנעד של מענים </w:t>
      </w:r>
      <w:proofErr w:type="spellStart"/>
      <w:r w:rsidRPr="004D5A4A">
        <w:rPr>
          <w:rFonts w:ascii="Georgia" w:hAnsi="Georgia"/>
          <w:sz w:val="18"/>
          <w:szCs w:val="20"/>
          <w:rtl/>
        </w:rPr>
        <w:t>סגרגטיביים</w:t>
      </w:r>
      <w:proofErr w:type="spellEnd"/>
      <w:r w:rsidRPr="004D5A4A">
        <w:rPr>
          <w:rFonts w:ascii="Georgia" w:hAnsi="Georgia"/>
          <w:sz w:val="18"/>
          <w:szCs w:val="20"/>
          <w:rtl/>
        </w:rPr>
        <w:t>, החל בחינוך מיוחד וכלה בחיים במוסדות, בהנחה שמענים אלו יאפשרו לספק לאדם הגנה ומענה מרבי לצרכיו הייחודיים (</w:t>
      </w:r>
      <w:r w:rsidRPr="004D5A4A">
        <w:rPr>
          <w:rFonts w:ascii="Georgia" w:hAnsi="Georgia"/>
          <w:sz w:val="18"/>
          <w:szCs w:val="20"/>
        </w:rPr>
        <w:t>Shakespeare, 2006</w:t>
      </w:r>
      <w:r w:rsidRPr="004D5A4A">
        <w:rPr>
          <w:rFonts w:ascii="Georgia" w:hAnsi="Georgia"/>
          <w:sz w:val="18"/>
          <w:szCs w:val="20"/>
          <w:rtl/>
        </w:rPr>
        <w:t xml:space="preserve">). השימוש בהסדר המשפטי של אפוטרופסות הוא במובנים רבים חלק מאותו מנעד של מענים </w:t>
      </w:r>
      <w:proofErr w:type="spellStart"/>
      <w:r w:rsidRPr="004D5A4A">
        <w:rPr>
          <w:rFonts w:ascii="Georgia" w:hAnsi="Georgia"/>
          <w:sz w:val="18"/>
          <w:szCs w:val="20"/>
          <w:rtl/>
        </w:rPr>
        <w:t>סגרגטיביים</w:t>
      </w:r>
      <w:proofErr w:type="spellEnd"/>
      <w:r w:rsidRPr="004D5A4A">
        <w:rPr>
          <w:rFonts w:ascii="Georgia" w:hAnsi="Georgia"/>
          <w:sz w:val="18"/>
          <w:szCs w:val="20"/>
          <w:rtl/>
        </w:rPr>
        <w:t xml:space="preserve"> המנוגדים להכלה בחברה. </w:t>
      </w:r>
    </w:p>
    <w:p w14:paraId="61975CDE"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להבדיל, </w:t>
      </w:r>
      <w:r w:rsidRPr="004D5A4A">
        <w:rPr>
          <w:rFonts w:ascii="Georgia" w:hAnsi="Georgia"/>
          <w:b/>
          <w:bCs/>
          <w:sz w:val="18"/>
          <w:szCs w:val="20"/>
          <w:rtl/>
        </w:rPr>
        <w:t>הגישה החברתית של מוגבלות</w:t>
      </w:r>
      <w:r w:rsidRPr="004D5A4A">
        <w:rPr>
          <w:rFonts w:ascii="Georgia" w:hAnsi="Georgia"/>
          <w:sz w:val="18"/>
          <w:szCs w:val="20"/>
          <w:rtl/>
        </w:rPr>
        <w:t xml:space="preserve"> מבקשת לשים את הדגש על ההקשר החברתי שבו פועלים אנשים עם מוגבלות. לדידה, הגורם המרכזי לשוליותם החברתית של אנשים עם מוגבלות הוא ההקשר החברתי וחסמים כלכליים, טכנולוגיים, פוליטיים ואידאולוגיים (</w:t>
      </w:r>
      <w:r w:rsidRPr="004D5A4A">
        <w:rPr>
          <w:rFonts w:ascii="Georgia" w:hAnsi="Georgia"/>
          <w:sz w:val="18"/>
          <w:szCs w:val="20"/>
        </w:rPr>
        <w:t>Barnes, 2018; Shakespeare, 2006</w:t>
      </w:r>
      <w:r w:rsidRPr="004D5A4A">
        <w:rPr>
          <w:rFonts w:ascii="Georgia" w:hAnsi="Georgia"/>
          <w:sz w:val="18"/>
          <w:szCs w:val="20"/>
          <w:rtl/>
        </w:rPr>
        <w:t xml:space="preserve">). חסמים אלו הם, לעיתים קרובות, עקיפים, סמויים מן העין, ונעוצים עמוק בהיגיון של המבנה החברתי, המעוצב באופן התואם את הצרכים ואת אמות המידה של אנשים ללא מוגבלות, מה שמכונה בלימודי מוגבלות </w:t>
      </w:r>
      <w:proofErr w:type="spellStart"/>
      <w:r w:rsidRPr="004D5A4A">
        <w:rPr>
          <w:rFonts w:ascii="Georgia" w:hAnsi="Georgia"/>
          <w:b/>
          <w:bCs/>
          <w:sz w:val="18"/>
          <w:szCs w:val="20"/>
          <w:rtl/>
        </w:rPr>
        <w:t>אייבליזם</w:t>
      </w:r>
      <w:proofErr w:type="spellEnd"/>
      <w:r w:rsidRPr="004D5A4A">
        <w:rPr>
          <w:rFonts w:ascii="Georgia" w:hAnsi="Georgia"/>
          <w:sz w:val="18"/>
          <w:szCs w:val="20"/>
          <w:rtl/>
        </w:rPr>
        <w:t xml:space="preserve"> (</w:t>
      </w:r>
      <w:r w:rsidRPr="004D5A4A">
        <w:rPr>
          <w:rFonts w:ascii="Georgia" w:hAnsi="Georgia"/>
          <w:sz w:val="18"/>
          <w:szCs w:val="20"/>
        </w:rPr>
        <w:t>Campbell, 2009</w:t>
      </w:r>
      <w:r w:rsidRPr="004D5A4A">
        <w:rPr>
          <w:rFonts w:ascii="Georgia" w:hAnsi="Georgia"/>
          <w:sz w:val="18"/>
          <w:szCs w:val="20"/>
          <w:rtl/>
        </w:rPr>
        <w:t xml:space="preserve">). במסגרת מבנה </w:t>
      </w:r>
      <w:proofErr w:type="spellStart"/>
      <w:r w:rsidRPr="004D5A4A">
        <w:rPr>
          <w:rFonts w:ascii="Georgia" w:hAnsi="Georgia"/>
          <w:sz w:val="18"/>
          <w:szCs w:val="20"/>
          <w:rtl/>
        </w:rPr>
        <w:t>אייבליסטי</w:t>
      </w:r>
      <w:proofErr w:type="spellEnd"/>
      <w:r w:rsidRPr="004D5A4A">
        <w:rPr>
          <w:rFonts w:ascii="Georgia" w:hAnsi="Georgia"/>
          <w:sz w:val="18"/>
          <w:szCs w:val="20"/>
          <w:rtl/>
        </w:rPr>
        <w:t xml:space="preserve"> שכזה אנשים עם מוגבלות, אלו שאינם מקבלים מענה לצורכיהם או אינם עומדים באותן אמות מידה, נאלצים לחיות בשוליים החברתיים או להשקיע מאמצים רבים מאוד כדי להשתלב בחברה ולקחת חלק במרחביה השונים. על כן, שלא כמו המענה שנותנת הגישה הרפואית-פרטנית, הגישה החברתית-ביקורתית של המוגבלות מבקשת להסיט את הדגש מהיחיד אל עבר ההקשר החברתי שהוא פועל בו, תוך התמקדות בצורך בשינויי עומק במבנה החברתי. </w:t>
      </w:r>
    </w:p>
    <w:p w14:paraId="06D2A17F" w14:textId="3B50A32C" w:rsidR="0012580C" w:rsidRPr="004D5A4A" w:rsidRDefault="0012580C" w:rsidP="00063CC1">
      <w:pPr>
        <w:spacing w:after="180" w:line="280" w:lineRule="exact"/>
        <w:jc w:val="both"/>
        <w:rPr>
          <w:rFonts w:ascii="Georgia" w:hAnsi="Georgia"/>
          <w:sz w:val="18"/>
          <w:szCs w:val="20"/>
          <w:rtl/>
        </w:rPr>
      </w:pPr>
      <w:r w:rsidRPr="004D5A4A">
        <w:rPr>
          <w:rFonts w:ascii="Georgia" w:hAnsi="Georgia"/>
          <w:sz w:val="18"/>
          <w:szCs w:val="20"/>
          <w:rtl/>
        </w:rPr>
        <w:t xml:space="preserve">במוקד הביקורת של המצדדים בגישה החברתית-ביקורתית עומד גם היחס הפטרנליסטי. לשיטתם, יחס זה נעוץ בגישה הפרטנית-רפואית, והוא מאפיין לעיתים קרובות את אופן הפעילות של מערכות הרווחה ושל אנשי מקצועות הטיפול. הטענה היא כי מסגור המוגבלות כעניין רפואי-שיקומי הוביל גם להעברת הסמכות והכוח אל עבר אנשי המקצוע. אלו האחרונים הם הקובעים, בין השאר, את הצרכים של האדם ואת המענה הראוי, לשיטתם, </w:t>
      </w:r>
      <w:r w:rsidRPr="004D5A4A">
        <w:rPr>
          <w:rFonts w:ascii="Georgia" w:hAnsi="Georgia"/>
          <w:sz w:val="18"/>
          <w:szCs w:val="20"/>
          <w:rtl/>
        </w:rPr>
        <w:lastRenderedPageBreak/>
        <w:t>לצרכים אלו. יתרה מכך, הטענה היא כי במקרים רבים החלטותיהם המקצועיות מדגישות יתר על המידה היבטים של הגנה ומעדיפות אותם על פני היבטים של אוטונומיה ואיכות חיים, וכי החלטות אלו נוטות להישען על</w:t>
      </w:r>
      <w:r w:rsidR="00AD5579">
        <w:rPr>
          <w:rFonts w:ascii="Georgia" w:hAnsi="Georgia" w:hint="cs"/>
          <w:sz w:val="18"/>
          <w:szCs w:val="20"/>
          <w:rtl/>
        </w:rPr>
        <w:t xml:space="preserve"> </w:t>
      </w:r>
      <w:r w:rsidR="00AD5579">
        <w:rPr>
          <w:rFonts w:ascii="Georgia" w:hAnsi="Georgia"/>
          <w:sz w:val="18"/>
          <w:szCs w:val="20"/>
          <w:rtl/>
        </w:rPr>
        <w:t>–</w:t>
      </w:r>
      <w:r w:rsidRPr="004D5A4A">
        <w:rPr>
          <w:rFonts w:ascii="Georgia" w:hAnsi="Georgia"/>
          <w:sz w:val="18"/>
          <w:szCs w:val="20"/>
          <w:rtl/>
        </w:rPr>
        <w:t xml:space="preserve"> ולשעתק</w:t>
      </w:r>
      <w:r w:rsidR="00AD5579">
        <w:rPr>
          <w:rFonts w:ascii="Georgia" w:hAnsi="Georgia" w:hint="cs"/>
          <w:sz w:val="18"/>
          <w:szCs w:val="20"/>
          <w:rtl/>
        </w:rPr>
        <w:t xml:space="preserve"> </w:t>
      </w:r>
      <w:r w:rsidR="00AD5579">
        <w:rPr>
          <w:rFonts w:ascii="Georgia" w:hAnsi="Georgia"/>
          <w:sz w:val="18"/>
          <w:szCs w:val="20"/>
          <w:rtl/>
        </w:rPr>
        <w:t>–</w:t>
      </w:r>
      <w:r w:rsidRPr="004D5A4A">
        <w:rPr>
          <w:rFonts w:ascii="Georgia" w:hAnsi="Georgia"/>
          <w:sz w:val="18"/>
          <w:szCs w:val="20"/>
          <w:rtl/>
        </w:rPr>
        <w:t xml:space="preserve"> הנחות יסוד </w:t>
      </w:r>
      <w:proofErr w:type="spellStart"/>
      <w:r w:rsidRPr="004D5A4A">
        <w:rPr>
          <w:rFonts w:ascii="Georgia" w:hAnsi="Georgia"/>
          <w:sz w:val="18"/>
          <w:szCs w:val="20"/>
          <w:rtl/>
        </w:rPr>
        <w:t>אייביליסטיות</w:t>
      </w:r>
      <w:proofErr w:type="spellEnd"/>
      <w:r w:rsidRPr="004D5A4A">
        <w:rPr>
          <w:rFonts w:ascii="Georgia" w:hAnsi="Georgia"/>
          <w:sz w:val="18"/>
          <w:szCs w:val="20"/>
          <w:rtl/>
        </w:rPr>
        <w:t xml:space="preserve"> </w:t>
      </w:r>
      <w:proofErr w:type="spellStart"/>
      <w:r w:rsidRPr="004D5A4A">
        <w:rPr>
          <w:rFonts w:ascii="Georgia" w:hAnsi="Georgia"/>
          <w:sz w:val="18"/>
          <w:szCs w:val="20"/>
          <w:rtl/>
        </w:rPr>
        <w:t>וסטיגמתיות</w:t>
      </w:r>
      <w:proofErr w:type="spellEnd"/>
      <w:r w:rsidRPr="004D5A4A">
        <w:rPr>
          <w:rFonts w:ascii="Georgia" w:hAnsi="Georgia"/>
          <w:sz w:val="18"/>
          <w:szCs w:val="20"/>
          <w:rtl/>
        </w:rPr>
        <w:t xml:space="preserve"> על אודות אנשים עם מוגבלויות, ובהן הנחות בדבר חוסר כשירותם לקבל החלטות. לעומת זאת, הגישה החברתית-ביקורתית, ברוח העיקרון "שום דבר עלינו – בלעדינו", מבקשת להדגיש את הזכות של אנשים לאוטונומיה ולקבלת החלטות, ורואה באנשים עם מוגבלות גורם סמכות מרכזי ואף בלעדי בכל הקשור להחלטות הנוגעות לחייהם (</w:t>
      </w:r>
      <w:r w:rsidRPr="004D5A4A">
        <w:rPr>
          <w:rFonts w:ascii="Georgia" w:hAnsi="Georgia"/>
          <w:sz w:val="18"/>
          <w:szCs w:val="20"/>
        </w:rPr>
        <w:t>Charlton, 1998</w:t>
      </w:r>
      <w:r w:rsidRPr="004D5A4A">
        <w:rPr>
          <w:rFonts w:ascii="Georgia" w:hAnsi="Georgia"/>
          <w:sz w:val="18"/>
          <w:szCs w:val="20"/>
          <w:rtl/>
        </w:rPr>
        <w:t>). עבור המצדדים בגישה זו, העובדה שבקרב אנשים עם מוגבלות יש כאלה הזקוקים לתמיכה ניכרת כדי להתנהל בחיי היום-יום אין משמעותה כי אנשים עם מוגבלות אינם זכאים להיות אוטונומיים ולהחליט על חייהם (</w:t>
      </w:r>
      <w:r w:rsidRPr="004D5A4A">
        <w:rPr>
          <w:rFonts w:ascii="Georgia" w:hAnsi="Georgia"/>
          <w:sz w:val="18"/>
          <w:szCs w:val="20"/>
        </w:rPr>
        <w:t>Holler et al., 2020</w:t>
      </w:r>
      <w:r w:rsidRPr="004D5A4A">
        <w:rPr>
          <w:rFonts w:ascii="Georgia" w:hAnsi="Georgia"/>
          <w:sz w:val="18"/>
          <w:szCs w:val="20"/>
          <w:rtl/>
        </w:rPr>
        <w:t>).</w:t>
      </w:r>
    </w:p>
    <w:p w14:paraId="49575DC5" w14:textId="77777777" w:rsidR="004D5A4A" w:rsidRDefault="004D5A4A" w:rsidP="004D5A4A">
      <w:pPr>
        <w:spacing w:line="280" w:lineRule="exact"/>
        <w:jc w:val="both"/>
        <w:rPr>
          <w:rFonts w:ascii="Georgia" w:hAnsi="Georgia"/>
          <w:b/>
          <w:bCs/>
          <w:sz w:val="18"/>
          <w:szCs w:val="20"/>
        </w:rPr>
      </w:pPr>
    </w:p>
    <w:p w14:paraId="37B521D0" w14:textId="77777777" w:rsidR="004D5A4A" w:rsidRPr="00C838F3" w:rsidRDefault="004D5A4A" w:rsidP="004D5A4A">
      <w:pPr>
        <w:spacing w:line="280" w:lineRule="exact"/>
        <w:jc w:val="both"/>
        <w:rPr>
          <w:rFonts w:ascii="Georgia" w:hAnsi="Georgia"/>
          <w:b/>
          <w:bCs/>
          <w:sz w:val="18"/>
          <w:szCs w:val="20"/>
          <w:rtl/>
        </w:rPr>
      </w:pPr>
    </w:p>
    <w:p w14:paraId="24158E74" w14:textId="33A830C6"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תיקון 18 לחוק הכשרות המשפטית והאפוטרופסות </w:t>
      </w:r>
    </w:p>
    <w:p w14:paraId="6A06C64A"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בעקבות אשרור האמנה על ידי מדינת ישראל בשנת 2012, ולאור יוזמה של משרד המשפטים לצד מאבק ציבורי שהובילו ארגוני חברה אזרחית העוסקים בזכויות אנשים עם מוגבלות ואנשים זקנים, תוקן בשנת 2016 חוק הכשרות המשפטית והאפוטרופסות, התשכ"ב-1962, המסדיר בישראל את הזכות לכשרות משפטית (</w:t>
      </w:r>
      <w:proofErr w:type="spellStart"/>
      <w:r w:rsidRPr="004D5A4A">
        <w:rPr>
          <w:rFonts w:ascii="Georgia" w:hAnsi="Georgia"/>
          <w:color w:val="000000"/>
          <w:sz w:val="18"/>
          <w:szCs w:val="20"/>
          <w:rtl/>
        </w:rPr>
        <w:t>טולוב</w:t>
      </w:r>
      <w:proofErr w:type="spellEnd"/>
      <w:r w:rsidRPr="004D5A4A">
        <w:rPr>
          <w:rFonts w:ascii="Georgia" w:hAnsi="Georgia"/>
          <w:color w:val="000000"/>
          <w:sz w:val="18"/>
          <w:szCs w:val="20"/>
          <w:rtl/>
        </w:rPr>
        <w:t xml:space="preserve"> </w:t>
      </w:r>
      <w:proofErr w:type="spellStart"/>
      <w:r w:rsidRPr="004D5A4A">
        <w:rPr>
          <w:rFonts w:ascii="Georgia" w:hAnsi="Georgia"/>
          <w:color w:val="000000"/>
          <w:sz w:val="18"/>
          <w:szCs w:val="20"/>
          <w:rtl/>
        </w:rPr>
        <w:t>ושלומאי</w:t>
      </w:r>
      <w:proofErr w:type="spellEnd"/>
      <w:r w:rsidRPr="004D5A4A">
        <w:rPr>
          <w:rFonts w:ascii="Georgia" w:hAnsi="Georgia"/>
          <w:color w:val="000000"/>
          <w:sz w:val="18"/>
          <w:szCs w:val="20"/>
          <w:rtl/>
        </w:rPr>
        <w:t xml:space="preserve">, 2020). התיקון לחוק, המכונה גם "תיקון 18", מבטא רפורמה משמעותית אשר אמורה, ככל שתוטמע כהלכה, להוות שינוי פרדיגמטי בכל הקשור ליכולת של אנשים זקנים לשמר ולאנשים עם מוגבלות לממש את זכותם לכשרות משפטית. באופן קונקרטי יותר, רפורמה זו, הגדולה בהיקפה מאז נחקק החוק, כוללת כמה הוראות חשובות: </w:t>
      </w:r>
    </w:p>
    <w:p w14:paraId="20F1F008" w14:textId="394C3830" w:rsidR="0012580C" w:rsidRPr="004D5A4A" w:rsidRDefault="0012580C" w:rsidP="004D5A4A">
      <w:pPr>
        <w:spacing w:after="180" w:line="280" w:lineRule="exact"/>
        <w:jc w:val="both"/>
        <w:rPr>
          <w:rFonts w:ascii="Georgia" w:hAnsi="Georgia"/>
          <w:spacing w:val="-2"/>
          <w:sz w:val="18"/>
          <w:szCs w:val="20"/>
        </w:rPr>
      </w:pPr>
      <w:r w:rsidRPr="004D5A4A">
        <w:rPr>
          <w:rFonts w:ascii="Georgia" w:hAnsi="Georgia"/>
          <w:color w:val="000000"/>
          <w:sz w:val="18"/>
          <w:szCs w:val="20"/>
          <w:rtl/>
        </w:rPr>
        <w:t xml:space="preserve">ראשית, נקבע כי יש למנות לאדם אפוטרופוס רק במקרים שבהם נמצא כי יש בכך צורך מבחינת שמירה על טובתו וזכויותיו וקידומן, ואין חלופות מגבילות פחות הנותנות מענה לצורך זה. שימוש זה בעקרון המידתיות נועד לצמצמם את השימוש הנרחב כיום במינויי אפוטרופוס. שנית, התיקון ביקש להטמיע את רעיון זכויות האדם גם בתוך ההסדר של </w:t>
      </w:r>
      <w:r w:rsidRPr="004D5A4A">
        <w:rPr>
          <w:rFonts w:ascii="Georgia" w:hAnsi="Georgia"/>
          <w:color w:val="000000"/>
          <w:spacing w:val="-2"/>
          <w:sz w:val="18"/>
          <w:szCs w:val="20"/>
          <w:rtl/>
        </w:rPr>
        <w:t>מינויי אפוטרופוס, ועל כן קבע כי רצונו של האדם יהווה עיקרון מנחה מרכזי בשיקול הדעת של האפוטרופוס שלו, כי לאדם בתוך הסדר שכזה יש זכות לקבל מידע מהאפוטרופוס וכן זכות לעצמאות ו</w:t>
      </w:r>
      <w:r w:rsidR="00A22B96">
        <w:rPr>
          <w:rFonts w:ascii="Georgia" w:hAnsi="Georgia" w:hint="cs"/>
          <w:color w:val="000000"/>
          <w:spacing w:val="-2"/>
          <w:sz w:val="18"/>
          <w:szCs w:val="20"/>
          <w:rtl/>
        </w:rPr>
        <w:t>ל</w:t>
      </w:r>
      <w:r w:rsidRPr="004D5A4A">
        <w:rPr>
          <w:rFonts w:ascii="Georgia" w:hAnsi="Georgia"/>
          <w:color w:val="000000"/>
          <w:spacing w:val="-2"/>
          <w:sz w:val="18"/>
          <w:szCs w:val="20"/>
          <w:rtl/>
        </w:rPr>
        <w:t>פרטיות, ו</w:t>
      </w:r>
      <w:r w:rsidRPr="004D5A4A">
        <w:rPr>
          <w:rFonts w:ascii="Georgia" w:hAnsi="Georgia"/>
          <w:spacing w:val="-2"/>
          <w:sz w:val="18"/>
          <w:szCs w:val="20"/>
          <w:rtl/>
        </w:rPr>
        <w:t>כי סמכות האפוטרופוס לכפות החלטה בנושאים מהותיים היא מוגבלת.</w:t>
      </w:r>
      <w:r w:rsidRPr="004D5A4A">
        <w:rPr>
          <w:rFonts w:ascii="Georgia" w:hAnsi="Georgia"/>
          <w:color w:val="000000"/>
          <w:spacing w:val="-2"/>
          <w:sz w:val="18"/>
          <w:szCs w:val="20"/>
          <w:rtl/>
        </w:rPr>
        <w:t xml:space="preserve"> שלישית, לצד הצמצום במינויי האפוטרופוס, התיקון מעגן לראשונה את ההסדרים החלופיים של קבלת החלטות נתמכת ושל ייפוי כוח מתמשך </w:t>
      </w:r>
      <w:r w:rsidRPr="004D5A4A">
        <w:rPr>
          <w:rFonts w:ascii="Georgia" w:hAnsi="Georgia"/>
          <w:spacing w:val="-2"/>
          <w:sz w:val="18"/>
          <w:szCs w:val="20"/>
          <w:rtl/>
        </w:rPr>
        <w:t>(</w:t>
      </w:r>
      <w:proofErr w:type="spellStart"/>
      <w:r w:rsidRPr="004D5A4A">
        <w:rPr>
          <w:rFonts w:ascii="Georgia" w:hAnsi="Georgia"/>
          <w:spacing w:val="-2"/>
          <w:sz w:val="18"/>
          <w:szCs w:val="20"/>
          <w:rtl/>
        </w:rPr>
        <w:t>טולוב</w:t>
      </w:r>
      <w:proofErr w:type="spellEnd"/>
      <w:r w:rsidRPr="004D5A4A">
        <w:rPr>
          <w:rFonts w:ascii="Georgia" w:hAnsi="Georgia"/>
          <w:spacing w:val="-2"/>
          <w:sz w:val="18"/>
          <w:szCs w:val="20"/>
          <w:rtl/>
        </w:rPr>
        <w:t xml:space="preserve"> </w:t>
      </w:r>
      <w:proofErr w:type="spellStart"/>
      <w:r w:rsidRPr="004D5A4A">
        <w:rPr>
          <w:rFonts w:ascii="Georgia" w:hAnsi="Georgia"/>
          <w:spacing w:val="-2"/>
          <w:sz w:val="18"/>
          <w:szCs w:val="20"/>
          <w:rtl/>
        </w:rPr>
        <w:t>ושלומאי</w:t>
      </w:r>
      <w:proofErr w:type="spellEnd"/>
      <w:r w:rsidRPr="004D5A4A">
        <w:rPr>
          <w:rFonts w:ascii="Georgia" w:hAnsi="Georgia"/>
          <w:spacing w:val="-2"/>
          <w:sz w:val="18"/>
          <w:szCs w:val="20"/>
          <w:rtl/>
        </w:rPr>
        <w:t xml:space="preserve">, 2020). </w:t>
      </w:r>
    </w:p>
    <w:p w14:paraId="7C923300"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b/>
          <w:bCs/>
          <w:sz w:val="18"/>
          <w:szCs w:val="20"/>
          <w:rtl/>
        </w:rPr>
        <w:t>ייפוי כוח מתמשך</w:t>
      </w:r>
      <w:r w:rsidRPr="004D5A4A">
        <w:rPr>
          <w:rFonts w:ascii="Georgia" w:hAnsi="Georgia"/>
          <w:sz w:val="18"/>
          <w:szCs w:val="20"/>
          <w:rtl/>
        </w:rPr>
        <w:t xml:space="preserve"> הוא מסמך משפטי שאדם יכול לחתום עליו כאשר הוא נתפס כבעל כשירות לקבל החלטות. במסגרת מסמך זה, שהוא כלי תכנון משפטי (לרוב </w:t>
      </w:r>
      <w:proofErr w:type="spellStart"/>
      <w:r w:rsidRPr="004D5A4A">
        <w:rPr>
          <w:rFonts w:ascii="Georgia" w:hAnsi="Georgia"/>
          <w:sz w:val="18"/>
          <w:szCs w:val="20"/>
          <w:rtl/>
        </w:rPr>
        <w:t>בזיקנה</w:t>
      </w:r>
      <w:proofErr w:type="spellEnd"/>
      <w:r w:rsidRPr="004D5A4A">
        <w:rPr>
          <w:rFonts w:ascii="Georgia" w:hAnsi="Georgia"/>
          <w:sz w:val="18"/>
          <w:szCs w:val="20"/>
          <w:rtl/>
        </w:rPr>
        <w:t xml:space="preserve">), האדם יכול להחליט מי יהיה מוסמך לפעול ולהחליט בענייניו במקרה שיאבד את כשירותו בעתיד, </w:t>
      </w:r>
      <w:r w:rsidRPr="004D5A4A">
        <w:rPr>
          <w:rFonts w:ascii="Georgia" w:hAnsi="Georgia"/>
          <w:sz w:val="18"/>
          <w:szCs w:val="20"/>
          <w:rtl/>
        </w:rPr>
        <w:lastRenderedPageBreak/>
        <w:t>וכן לתת הנחיות מקדימות בדבר האופן שבו אותו נציג ינהג בענייניו. הסדר זה, אף שאינו שולל את הרעיון של קבלת החלטות חלופית, מעמיד את רצון האדם במרכז ומוביל לייתור הצורך במינוי אפוטרופוס (</w:t>
      </w:r>
      <w:proofErr w:type="spellStart"/>
      <w:r w:rsidRPr="004D5A4A">
        <w:rPr>
          <w:rFonts w:ascii="Georgia" w:hAnsi="Georgia"/>
          <w:sz w:val="18"/>
          <w:szCs w:val="20"/>
          <w:rtl/>
        </w:rPr>
        <w:t>טולוב</w:t>
      </w:r>
      <w:proofErr w:type="spellEnd"/>
      <w:r w:rsidRPr="004D5A4A">
        <w:rPr>
          <w:rFonts w:ascii="Georgia" w:hAnsi="Georgia"/>
          <w:sz w:val="18"/>
          <w:szCs w:val="20"/>
          <w:rtl/>
        </w:rPr>
        <w:t xml:space="preserve"> </w:t>
      </w:r>
      <w:proofErr w:type="spellStart"/>
      <w:r w:rsidRPr="004D5A4A">
        <w:rPr>
          <w:rFonts w:ascii="Georgia" w:hAnsi="Georgia"/>
          <w:sz w:val="18"/>
          <w:szCs w:val="20"/>
          <w:rtl/>
        </w:rPr>
        <w:t>ושלומאי</w:t>
      </w:r>
      <w:proofErr w:type="spellEnd"/>
      <w:r w:rsidRPr="004D5A4A">
        <w:rPr>
          <w:rFonts w:ascii="Georgia" w:hAnsi="Georgia"/>
          <w:sz w:val="18"/>
          <w:szCs w:val="20"/>
          <w:rtl/>
        </w:rPr>
        <w:t xml:space="preserve">, 2020). </w:t>
      </w:r>
    </w:p>
    <w:p w14:paraId="0FBB8DE0" w14:textId="2ECC90D1" w:rsidR="0012580C" w:rsidRPr="004D5A4A" w:rsidRDefault="0012580C" w:rsidP="00063CC1">
      <w:pPr>
        <w:spacing w:after="180" w:line="280" w:lineRule="exact"/>
        <w:jc w:val="both"/>
        <w:rPr>
          <w:rFonts w:ascii="Georgia" w:hAnsi="Georgia"/>
          <w:sz w:val="18"/>
          <w:szCs w:val="20"/>
          <w:rtl/>
        </w:rPr>
      </w:pPr>
      <w:r w:rsidRPr="004D5A4A">
        <w:rPr>
          <w:rFonts w:ascii="Georgia" w:hAnsi="Georgia"/>
          <w:b/>
          <w:bCs/>
          <w:sz w:val="18"/>
          <w:szCs w:val="20"/>
          <w:rtl/>
        </w:rPr>
        <w:t>קבלת החלטות נתמכת</w:t>
      </w:r>
      <w:r w:rsidRPr="004D5A4A">
        <w:rPr>
          <w:rFonts w:ascii="Georgia" w:hAnsi="Georgia"/>
          <w:sz w:val="18"/>
          <w:szCs w:val="20"/>
          <w:rtl/>
        </w:rPr>
        <w:t xml:space="preserve"> היא הסדר שבו מוענקת תמיכה לאנשים המתקשים בתהליכי קבלת החלטות. להבדיל מאפוטרופסות, קבלת החלטות נתמכת מבוססת על רעיון </w:t>
      </w:r>
      <w:r w:rsidRPr="004D5A4A">
        <w:rPr>
          <w:rFonts w:ascii="Georgia" w:hAnsi="Georgia"/>
          <w:b/>
          <w:bCs/>
          <w:sz w:val="18"/>
          <w:szCs w:val="20"/>
          <w:rtl/>
        </w:rPr>
        <w:t xml:space="preserve">האוטונומיה </w:t>
      </w:r>
      <w:proofErr w:type="spellStart"/>
      <w:r w:rsidRPr="004D5A4A">
        <w:rPr>
          <w:rFonts w:ascii="Georgia" w:hAnsi="Georgia"/>
          <w:b/>
          <w:bCs/>
          <w:sz w:val="18"/>
          <w:szCs w:val="20"/>
          <w:rtl/>
        </w:rPr>
        <w:t>ההתייחסותית</w:t>
      </w:r>
      <w:proofErr w:type="spellEnd"/>
      <w:r w:rsidR="00A22B96">
        <w:rPr>
          <w:rFonts w:ascii="Georgia" w:hAnsi="Georgia" w:hint="cs"/>
          <w:sz w:val="18"/>
          <w:szCs w:val="20"/>
          <w:rtl/>
        </w:rPr>
        <w:t>, ו</w:t>
      </w:r>
      <w:r w:rsidRPr="004D5A4A">
        <w:rPr>
          <w:rFonts w:ascii="Georgia" w:hAnsi="Georgia"/>
          <w:sz w:val="18"/>
          <w:szCs w:val="20"/>
          <w:rtl/>
        </w:rPr>
        <w:t>במסגרתה הזכות לקבל החלטות נשארת בידיים של האדם, ואילו תפקידו של מי שמוגדר (או מוגדרים) כתומך (או תומכים) בקבלת החלטות הוא לעזור לאדם בשלבים שונים של התהליך</w:t>
      </w:r>
      <w:r w:rsidR="00A22B96">
        <w:rPr>
          <w:rFonts w:ascii="Georgia" w:hAnsi="Georgia" w:hint="cs"/>
          <w:sz w:val="18"/>
          <w:szCs w:val="20"/>
          <w:rtl/>
        </w:rPr>
        <w:t>:</w:t>
      </w:r>
      <w:r w:rsidRPr="004D5A4A">
        <w:rPr>
          <w:rFonts w:ascii="Georgia" w:hAnsi="Georgia"/>
          <w:sz w:val="18"/>
          <w:szCs w:val="20"/>
          <w:rtl/>
        </w:rPr>
        <w:t xml:space="preserve"> החל באיסוף המידע, </w:t>
      </w:r>
      <w:proofErr w:type="spellStart"/>
      <w:r w:rsidRPr="004D5A4A">
        <w:rPr>
          <w:rFonts w:ascii="Georgia" w:hAnsi="Georgia"/>
          <w:sz w:val="18"/>
          <w:szCs w:val="20"/>
          <w:rtl/>
        </w:rPr>
        <w:t>הנגשתו</w:t>
      </w:r>
      <w:proofErr w:type="spellEnd"/>
      <w:r w:rsidRPr="004D5A4A">
        <w:rPr>
          <w:rFonts w:ascii="Georgia" w:hAnsi="Georgia"/>
          <w:sz w:val="18"/>
          <w:szCs w:val="20"/>
          <w:rtl/>
        </w:rPr>
        <w:t xml:space="preserve"> ועיבודו, עבור דרך הצגת החלופות השונות ומשמעויותיהן, וכלה ביישום ההחלטה. במהלך השנים האחרונות, מדינות שונות פיתחו הגדרות ומודלים שונים של קבלת החלטות נתמכת (רימון-</w:t>
      </w:r>
      <w:proofErr w:type="spellStart"/>
      <w:r w:rsidRPr="004D5A4A">
        <w:rPr>
          <w:rFonts w:ascii="Georgia" w:hAnsi="Georgia"/>
          <w:sz w:val="18"/>
          <w:szCs w:val="20"/>
          <w:rtl/>
        </w:rPr>
        <w:t>גרינשפן</w:t>
      </w:r>
      <w:proofErr w:type="spellEnd"/>
      <w:r w:rsidRPr="004D5A4A">
        <w:rPr>
          <w:rFonts w:ascii="Georgia" w:hAnsi="Georgia"/>
          <w:sz w:val="18"/>
          <w:szCs w:val="20"/>
          <w:rtl/>
        </w:rPr>
        <w:t xml:space="preserve"> ואח', 2020), והמשותף לכולם הוא הניסיון לייצר מסלולי תמיכה לאנשים הזקוקים לכך, ולאפשר להם לממש את זכותם לכשרות משפטית (</w:t>
      </w:r>
      <w:r w:rsidRPr="004D5A4A">
        <w:rPr>
          <w:rFonts w:ascii="Georgia" w:hAnsi="Georgia"/>
          <w:sz w:val="18"/>
          <w:szCs w:val="20"/>
        </w:rPr>
        <w:t>Browning et al., 2014</w:t>
      </w:r>
      <w:r w:rsidRPr="004D5A4A">
        <w:rPr>
          <w:rFonts w:ascii="Georgia" w:hAnsi="Georgia"/>
          <w:sz w:val="18"/>
          <w:szCs w:val="20"/>
          <w:rtl/>
        </w:rPr>
        <w:t xml:space="preserve">). </w:t>
      </w:r>
    </w:p>
    <w:p w14:paraId="3ADEFAD6" w14:textId="77777777" w:rsidR="004D5A4A" w:rsidRDefault="004D5A4A" w:rsidP="004D5A4A">
      <w:pPr>
        <w:spacing w:line="280" w:lineRule="exact"/>
        <w:jc w:val="both"/>
        <w:rPr>
          <w:rFonts w:ascii="Georgia" w:hAnsi="Georgia"/>
          <w:b/>
          <w:bCs/>
          <w:sz w:val="18"/>
          <w:szCs w:val="20"/>
        </w:rPr>
      </w:pPr>
    </w:p>
    <w:p w14:paraId="1749A828" w14:textId="77777777" w:rsidR="004D5A4A" w:rsidRPr="00C838F3" w:rsidRDefault="004D5A4A" w:rsidP="004D5A4A">
      <w:pPr>
        <w:spacing w:line="280" w:lineRule="exact"/>
        <w:jc w:val="both"/>
        <w:rPr>
          <w:rFonts w:ascii="Georgia" w:hAnsi="Georgia"/>
          <w:b/>
          <w:bCs/>
          <w:sz w:val="18"/>
          <w:szCs w:val="20"/>
          <w:rtl/>
        </w:rPr>
      </w:pPr>
    </w:p>
    <w:p w14:paraId="5D29E8F8" w14:textId="5663E043"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מאמרי הגיליון </w:t>
      </w:r>
    </w:p>
    <w:p w14:paraId="2BDB61AA"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גיליון מיוחד זה מבקש לבחון את תהליכי יישומו של תיקון 18 ולעקוב אחר ההצלחות, האתגרים והחסמים המלווים תהליכים אלו. למעשה, השינוי התפיסתי והחקיקתי בתחום מעלה שאלות מעשיות, עקרוניות ומחקריות רבות, ואליהן נדרשים מאמרי הגיליון. למשל, האופן והמידה שבהם עקרונות של אוטונומיה ובחירה מיושמים בפועל ואינם נשארים רק בגדר הצהרה; מקומם של סוכני מדינת הרווחה בהקשר של תהליכי המינוי, והמידה שבה הם מאפשרים את מימוש האוטונומיה של אנשים עם מוגבלות ואנשים זקנים או מהווים חסם עבורם; הגורמים המעודדים יישום ושימוש בכלים משפטיים חדשים אלו והגורמים החוסמים אותם; ולבסוף, המידה והאופן שבהם המציאות החדשה המתגבשת מאפשרת לאנשים עם מוגבלות ולאנשים זקנים לשמר (או להשיב) את האוטונומיה שלהם.</w:t>
      </w:r>
    </w:p>
    <w:p w14:paraId="1A3E7BFF"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לפני שנציג את מאמרי הגיליון, העוסקים בשאלות אלה ואחרות, נדגיש כי הדיון בהן במסגרת כתב העת </w:t>
      </w:r>
      <w:r w:rsidRPr="004D5A4A">
        <w:rPr>
          <w:rFonts w:ascii="Georgia" w:hAnsi="Georgia"/>
          <w:b/>
          <w:bCs/>
          <w:color w:val="000000"/>
          <w:sz w:val="18"/>
          <w:szCs w:val="20"/>
          <w:rtl/>
        </w:rPr>
        <w:t>ביטחון סוציאלי</w:t>
      </w:r>
      <w:r w:rsidRPr="004D5A4A">
        <w:rPr>
          <w:rFonts w:ascii="Georgia" w:hAnsi="Georgia"/>
          <w:color w:val="000000"/>
          <w:sz w:val="18"/>
          <w:szCs w:val="20"/>
          <w:rtl/>
        </w:rPr>
        <w:t xml:space="preserve"> מבטא את הממשק ההדוק מאוד, אך המטושטש לרוב, שבין תחום הכשרות המשפטית לבין מדיניות חברתית. </w:t>
      </w:r>
    </w:p>
    <w:p w14:paraId="6A2792D1" w14:textId="77777777" w:rsidR="0012580C" w:rsidRPr="004D5A4A" w:rsidRDefault="0012580C" w:rsidP="004D5A4A">
      <w:pPr>
        <w:spacing w:after="180" w:line="280" w:lineRule="exact"/>
        <w:jc w:val="both"/>
        <w:rPr>
          <w:rFonts w:ascii="Georgia" w:hAnsi="Georgia"/>
          <w:sz w:val="18"/>
          <w:szCs w:val="20"/>
          <w:rtl/>
        </w:rPr>
      </w:pPr>
      <w:r w:rsidRPr="00F06146">
        <w:rPr>
          <w:rFonts w:ascii="Georgia" w:hAnsi="Georgia"/>
          <w:color w:val="000000"/>
          <w:spacing w:val="-2"/>
          <w:sz w:val="18"/>
          <w:szCs w:val="20"/>
          <w:rtl/>
        </w:rPr>
        <w:t>ראשית, כשרות משפטית מהווה, כאמור, זכות יסוד בחברה דמוקרטית. יתרה מכך, כפי שצוין לעיל, הזכות לכשרות משפטית היא שער כניסה לזכויות יסוד אחרות, ובכלל זה זכויות חברתיות</w:t>
      </w:r>
      <w:r w:rsidRPr="004D5A4A">
        <w:rPr>
          <w:rFonts w:ascii="Georgia" w:hAnsi="Georgia"/>
          <w:color w:val="000000"/>
          <w:sz w:val="18"/>
          <w:szCs w:val="20"/>
          <w:rtl/>
        </w:rPr>
        <w:t xml:space="preserve">. באופן משלים, כפי שמראים רוני </w:t>
      </w:r>
      <w:proofErr w:type="spellStart"/>
      <w:r w:rsidRPr="004D5A4A">
        <w:rPr>
          <w:rFonts w:ascii="Georgia" w:hAnsi="Georgia"/>
          <w:color w:val="000000"/>
          <w:sz w:val="18"/>
          <w:szCs w:val="20"/>
          <w:rtl/>
        </w:rPr>
        <w:t>הולר</w:t>
      </w:r>
      <w:proofErr w:type="spellEnd"/>
      <w:r w:rsidRPr="004D5A4A">
        <w:rPr>
          <w:rFonts w:ascii="Georgia" w:hAnsi="Georgia"/>
          <w:color w:val="000000"/>
          <w:sz w:val="18"/>
          <w:szCs w:val="20"/>
          <w:rtl/>
        </w:rPr>
        <w:t xml:space="preserve"> ושירלי ורנר (בגיליון זה), יש קשר הדוק בין חוסר במענים חברתיים לבין החלטה על מינוי </w:t>
      </w:r>
      <w:r w:rsidRPr="004D5A4A">
        <w:rPr>
          <w:rFonts w:ascii="Georgia" w:hAnsi="Georgia"/>
          <w:sz w:val="18"/>
          <w:szCs w:val="20"/>
          <w:rtl/>
        </w:rPr>
        <w:t xml:space="preserve">אפוטרופסות. מינוי שכזה נתפס, גם אם באופן לא מודע, כפתרון זמין וקל יותר מפיתוח של מענים ייעודיים, דוגמת מענים אישיים בקהילה. יתרה מכך, במקרים רבים יש קשר ישיר בין מינוי אפוטרופוס לבין דיור מוסדי ומאפיינים חברתיים-כלכליים דוגמת עוני (דורון, 2008). לא בכדי טענו </w:t>
      </w:r>
      <w:proofErr w:type="spellStart"/>
      <w:r w:rsidRPr="004D5A4A">
        <w:rPr>
          <w:rFonts w:ascii="Georgia" w:hAnsi="Georgia"/>
          <w:sz w:val="18"/>
          <w:szCs w:val="20"/>
          <w:rtl/>
        </w:rPr>
        <w:t>טולוב</w:t>
      </w:r>
      <w:proofErr w:type="spellEnd"/>
      <w:r w:rsidRPr="004D5A4A">
        <w:rPr>
          <w:rFonts w:ascii="Georgia" w:hAnsi="Georgia"/>
          <w:sz w:val="18"/>
          <w:szCs w:val="20"/>
          <w:rtl/>
        </w:rPr>
        <w:t xml:space="preserve"> וקנטר (2014) </w:t>
      </w:r>
      <w:r w:rsidRPr="004D5A4A">
        <w:rPr>
          <w:rFonts w:ascii="Georgia" w:hAnsi="Georgia"/>
          <w:sz w:val="18"/>
          <w:szCs w:val="20"/>
          <w:rtl/>
        </w:rPr>
        <w:lastRenderedPageBreak/>
        <w:t>כי אפוטרופסות "היא ביטוי להתנערות המדינה מחובותיה כלפי אוכלוסיות מוחלשות" (</w:t>
      </w:r>
      <w:proofErr w:type="spellStart"/>
      <w:r w:rsidRPr="004D5A4A">
        <w:rPr>
          <w:rFonts w:ascii="Georgia" w:hAnsi="Georgia"/>
          <w:sz w:val="18"/>
          <w:szCs w:val="20"/>
          <w:rtl/>
        </w:rPr>
        <w:t>טולוב</w:t>
      </w:r>
      <w:proofErr w:type="spellEnd"/>
      <w:r w:rsidRPr="004D5A4A">
        <w:rPr>
          <w:rFonts w:ascii="Georgia" w:hAnsi="Georgia"/>
          <w:sz w:val="18"/>
          <w:szCs w:val="20"/>
          <w:rtl/>
        </w:rPr>
        <w:t xml:space="preserve"> וקנטר, 2014, 47). </w:t>
      </w:r>
    </w:p>
    <w:p w14:paraId="0B384A13" w14:textId="77777777" w:rsidR="0012580C" w:rsidRPr="004D5A4A" w:rsidRDefault="0012580C" w:rsidP="004D5A4A">
      <w:pPr>
        <w:spacing w:after="180" w:line="280" w:lineRule="exact"/>
        <w:jc w:val="both"/>
        <w:rPr>
          <w:rFonts w:ascii="Georgia" w:hAnsi="Georgia"/>
          <w:sz w:val="18"/>
          <w:szCs w:val="20"/>
          <w:rtl/>
        </w:rPr>
      </w:pPr>
      <w:r w:rsidRPr="004D5A4A">
        <w:rPr>
          <w:rFonts w:ascii="Georgia" w:hAnsi="Georgia"/>
          <w:sz w:val="18"/>
          <w:szCs w:val="20"/>
          <w:rtl/>
        </w:rPr>
        <w:t xml:space="preserve">שנית, סוכני מדינת הרווחה, ובראשם עובדות סוציאליות, ממלאים תפקיד מרכזי ביותר בתחום זה. כך למשל, ברוב המקרים החלטת בתי המשפט בנוגע למינוי נשענת על מסקנות תסקיר שמגישות עובדות סוציאליות לסדרי דין. זאת ועוד, במקרים רבים האנשים עצמם </w:t>
      </w:r>
      <w:r w:rsidRPr="004D5A4A">
        <w:rPr>
          <w:rFonts w:ascii="Georgia" w:hAnsi="Georgia"/>
          <w:spacing w:val="-2"/>
          <w:sz w:val="18"/>
          <w:szCs w:val="20"/>
          <w:rtl/>
        </w:rPr>
        <w:t xml:space="preserve">או המשפחות פונים אל עובדות סוציאליות הממונות על תחום המשפחה, </w:t>
      </w:r>
      <w:proofErr w:type="spellStart"/>
      <w:r w:rsidRPr="004D5A4A">
        <w:rPr>
          <w:rFonts w:ascii="Georgia" w:hAnsi="Georgia"/>
          <w:spacing w:val="-2"/>
          <w:sz w:val="18"/>
          <w:szCs w:val="20"/>
          <w:rtl/>
        </w:rPr>
        <w:t>הזיקנה</w:t>
      </w:r>
      <w:proofErr w:type="spellEnd"/>
      <w:r w:rsidRPr="004D5A4A">
        <w:rPr>
          <w:rFonts w:ascii="Georgia" w:hAnsi="Georgia"/>
          <w:spacing w:val="-2"/>
          <w:sz w:val="18"/>
          <w:szCs w:val="20"/>
          <w:rtl/>
        </w:rPr>
        <w:t xml:space="preserve"> או המוגבלות ברשות המקומית כדי להתייעץ בנושא, ובמקרים אחרים הן עצמן מניעות את הליכי המינוי בבית המשפט, ומנחות את האדם ומשפחתו בהליכים אלה (</w:t>
      </w:r>
      <w:proofErr w:type="spellStart"/>
      <w:r w:rsidRPr="004D5A4A">
        <w:rPr>
          <w:rFonts w:ascii="Georgia" w:hAnsi="Georgia"/>
          <w:spacing w:val="-2"/>
          <w:sz w:val="18"/>
          <w:szCs w:val="20"/>
          <w:rtl/>
        </w:rPr>
        <w:t>בראל</w:t>
      </w:r>
      <w:proofErr w:type="spellEnd"/>
      <w:r w:rsidRPr="004D5A4A">
        <w:rPr>
          <w:rFonts w:ascii="Georgia" w:hAnsi="Georgia"/>
          <w:spacing w:val="-2"/>
          <w:sz w:val="18"/>
          <w:szCs w:val="20"/>
          <w:rtl/>
        </w:rPr>
        <w:t xml:space="preserve"> ואח', 2015).</w:t>
      </w:r>
      <w:r w:rsidRPr="004D5A4A">
        <w:rPr>
          <w:rFonts w:ascii="Georgia" w:hAnsi="Georgia"/>
          <w:sz w:val="18"/>
          <w:szCs w:val="20"/>
          <w:rtl/>
        </w:rPr>
        <w:t xml:space="preserve"> בתוך כך, למשרד הרווחה יש תפקיד משמעותי </w:t>
      </w:r>
      <w:proofErr w:type="spellStart"/>
      <w:r w:rsidRPr="004D5A4A">
        <w:rPr>
          <w:rFonts w:ascii="Georgia" w:hAnsi="Georgia"/>
          <w:sz w:val="18"/>
          <w:szCs w:val="20"/>
          <w:rtl/>
        </w:rPr>
        <w:t>באסדרת</w:t>
      </w:r>
      <w:proofErr w:type="spellEnd"/>
      <w:r w:rsidRPr="004D5A4A">
        <w:rPr>
          <w:rFonts w:ascii="Georgia" w:hAnsi="Georgia"/>
          <w:sz w:val="18"/>
          <w:szCs w:val="20"/>
          <w:rtl/>
        </w:rPr>
        <w:t xml:space="preserve"> תהליכי המינוי ובפיקוח עליהם. </w:t>
      </w:r>
    </w:p>
    <w:p w14:paraId="097E6ED5" w14:textId="77777777" w:rsidR="0012580C" w:rsidRPr="004D5A4A" w:rsidRDefault="0012580C" w:rsidP="004D5A4A">
      <w:pPr>
        <w:spacing w:after="180" w:line="280" w:lineRule="exact"/>
        <w:jc w:val="both"/>
        <w:rPr>
          <w:rFonts w:ascii="Georgia" w:hAnsi="Georgia"/>
          <w:b/>
          <w:bCs/>
          <w:sz w:val="18"/>
          <w:szCs w:val="20"/>
          <w:rtl/>
        </w:rPr>
      </w:pPr>
      <w:r w:rsidRPr="004D5A4A">
        <w:rPr>
          <w:rFonts w:ascii="Georgia" w:hAnsi="Georgia"/>
          <w:sz w:val="18"/>
          <w:szCs w:val="20"/>
          <w:rtl/>
        </w:rPr>
        <w:t>שלישית, ה</w:t>
      </w:r>
      <w:r w:rsidRPr="004D5A4A">
        <w:rPr>
          <w:rFonts w:ascii="Georgia" w:hAnsi="Georgia"/>
          <w:color w:val="000000"/>
          <w:sz w:val="18"/>
          <w:szCs w:val="20"/>
          <w:rtl/>
        </w:rPr>
        <w:t>דילמות השונות המלוות את תהליכי המינוי והיישום של אפוטרופסות או ההסדרים המשפטיים החדשים הן דילמות מרכזיות בעולם הרווחה. דוגמה בולטת לדילמה שכזו היא המתח שבין הרצון להגן על אנשים זקנים ואנשים עם מוגבלות ולמנוע סיכון וניצול שלהם לבין הזכות לאוטונומיה ולקבלת החלטו</w:t>
      </w:r>
      <w:r w:rsidRPr="004D5A4A">
        <w:rPr>
          <w:rFonts w:ascii="Georgia" w:hAnsi="Georgia"/>
          <w:sz w:val="18"/>
          <w:szCs w:val="20"/>
          <w:rtl/>
        </w:rPr>
        <w:t>ת.</w:t>
      </w:r>
    </w:p>
    <w:p w14:paraId="526E9022" w14:textId="79B6B244" w:rsidR="0012580C" w:rsidRPr="004D5A4A" w:rsidRDefault="0012580C" w:rsidP="00063CC1">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כמה מהמאמרים בגיליון זה דנים בהליך המינוי של מיופי כוח או תומכי קבלת החלטות. מאמרן של </w:t>
      </w:r>
      <w:proofErr w:type="spellStart"/>
      <w:r w:rsidRPr="004D5A4A">
        <w:rPr>
          <w:rFonts w:ascii="Georgia" w:hAnsi="Georgia"/>
          <w:color w:val="000000"/>
          <w:sz w:val="18"/>
          <w:szCs w:val="20"/>
          <w:rtl/>
        </w:rPr>
        <w:t>אילא</w:t>
      </w:r>
      <w:proofErr w:type="spellEnd"/>
      <w:r w:rsidRPr="004D5A4A">
        <w:rPr>
          <w:rFonts w:ascii="Georgia" w:hAnsi="Georgia"/>
          <w:color w:val="000000"/>
          <w:sz w:val="18"/>
          <w:szCs w:val="20"/>
          <w:rtl/>
        </w:rPr>
        <w:t xml:space="preserve"> קרמל-</w:t>
      </w:r>
      <w:proofErr w:type="spellStart"/>
      <w:r w:rsidRPr="004D5A4A">
        <w:rPr>
          <w:rFonts w:ascii="Georgia" w:hAnsi="Georgia"/>
          <w:color w:val="000000"/>
          <w:sz w:val="18"/>
          <w:szCs w:val="20"/>
          <w:rtl/>
        </w:rPr>
        <w:t>שיפמן</w:t>
      </w:r>
      <w:proofErr w:type="spellEnd"/>
      <w:r w:rsidRPr="004D5A4A">
        <w:rPr>
          <w:rFonts w:ascii="Georgia" w:hAnsi="Georgia"/>
          <w:color w:val="000000"/>
          <w:sz w:val="18"/>
          <w:szCs w:val="20"/>
          <w:rtl/>
        </w:rPr>
        <w:t xml:space="preserve"> ושירלי </w:t>
      </w:r>
      <w:proofErr w:type="spellStart"/>
      <w:r w:rsidRPr="004D5A4A">
        <w:rPr>
          <w:rFonts w:ascii="Georgia" w:hAnsi="Georgia"/>
          <w:color w:val="000000"/>
          <w:sz w:val="18"/>
          <w:szCs w:val="20"/>
          <w:rtl/>
        </w:rPr>
        <w:t>רזניצקי</w:t>
      </w:r>
      <w:proofErr w:type="spellEnd"/>
      <w:r w:rsidRPr="004D5A4A">
        <w:rPr>
          <w:rFonts w:ascii="Georgia" w:hAnsi="Georgia"/>
          <w:color w:val="000000"/>
          <w:sz w:val="18"/>
          <w:szCs w:val="20"/>
          <w:rtl/>
        </w:rPr>
        <w:t xml:space="preserve">, </w:t>
      </w:r>
      <w:r w:rsidRPr="004D5A4A">
        <w:rPr>
          <w:rFonts w:ascii="Georgia" w:hAnsi="Georgia"/>
          <w:b/>
          <w:bCs/>
          <w:sz w:val="18"/>
          <w:szCs w:val="20"/>
          <w:rtl/>
        </w:rPr>
        <w:t>ייפוי כוח מתמשך לזקנים: בחינת יישו</w:t>
      </w:r>
      <w:r w:rsidR="00063CC1">
        <w:rPr>
          <w:rFonts w:ascii="Georgia" w:hAnsi="Georgia" w:hint="cs"/>
          <w:b/>
          <w:bCs/>
          <w:sz w:val="18"/>
          <w:szCs w:val="20"/>
          <w:rtl/>
        </w:rPr>
        <w:t xml:space="preserve">מו של </w:t>
      </w:r>
      <w:r w:rsidRPr="004D5A4A">
        <w:rPr>
          <w:rFonts w:ascii="Georgia" w:hAnsi="Georgia"/>
          <w:b/>
          <w:bCs/>
          <w:sz w:val="18"/>
          <w:szCs w:val="20"/>
          <w:rtl/>
        </w:rPr>
        <w:t>תיקון 18 לחוק הכשרות המשפטית והאפוטרופסות</w:t>
      </w:r>
      <w:r w:rsidRPr="004D5A4A">
        <w:rPr>
          <w:rFonts w:ascii="Georgia" w:hAnsi="Georgia"/>
          <w:sz w:val="18"/>
          <w:szCs w:val="20"/>
          <w:rtl/>
        </w:rPr>
        <w:t>,</w:t>
      </w:r>
      <w:r w:rsidRPr="004D5A4A">
        <w:rPr>
          <w:rFonts w:ascii="Georgia" w:hAnsi="Georgia"/>
          <w:b/>
          <w:bCs/>
          <w:sz w:val="18"/>
          <w:szCs w:val="20"/>
          <w:rtl/>
        </w:rPr>
        <w:t xml:space="preserve"> </w:t>
      </w:r>
      <w:r w:rsidRPr="004D5A4A">
        <w:rPr>
          <w:rFonts w:ascii="Georgia" w:hAnsi="Georgia"/>
          <w:color w:val="000000"/>
          <w:sz w:val="18"/>
          <w:szCs w:val="20"/>
          <w:rtl/>
        </w:rPr>
        <w:t xml:space="preserve">בוחן את יישום המדיניות של הכלי התכנוני של ייפוי כוח מתמשך, את מידת השימוש בכלי לאחר אימוץ תיקון 18, ואת החסמים לכך הן בקרב האנשים עצמם הן בקרב עורכי דין האמורים לבצע זאת. גם מאמרה של מלכה דורון, </w:t>
      </w:r>
      <w:r w:rsidRPr="004D5A4A">
        <w:rPr>
          <w:rFonts w:ascii="Georgia" w:hAnsi="Georgia"/>
          <w:b/>
          <w:bCs/>
          <w:color w:val="000000"/>
          <w:sz w:val="18"/>
          <w:szCs w:val="20"/>
          <w:rtl/>
        </w:rPr>
        <w:t>"את מי אני אמנה אם לא את הילדים?" היבטים של בחירת מיופה כוח במסגרת ביצוע ייפוי כוח מתמשך על ידי אזרחים ותיקים</w:t>
      </w:r>
      <w:r w:rsidRPr="004D5A4A">
        <w:rPr>
          <w:rFonts w:ascii="Georgia" w:hAnsi="Georgia"/>
          <w:color w:val="000000"/>
          <w:sz w:val="18"/>
          <w:szCs w:val="20"/>
          <w:rtl/>
        </w:rPr>
        <w:t xml:space="preserve">, עוסק בהליך המינוי של ייפוי כוח מתמשך, אך מתמקד בשיקולים השונים של אנשים זקנים בבחירת מיופה כוח כזה או אחר. ממצאי מחקרה מצביעים על הדמיון בין תהליך הבחירה של מיופה הכוח לבין האופן שבו אנשים זקנים מבקשים סיוע ותמיכה אחרים. גם מאמר זה מוצא כי עורכי הדין העורכים את הליך המינוי ממלאים בו תפקיד מרכזי. </w:t>
      </w:r>
    </w:p>
    <w:p w14:paraId="769C4F60"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מאמרם של רוני </w:t>
      </w:r>
      <w:proofErr w:type="spellStart"/>
      <w:r w:rsidRPr="004D5A4A">
        <w:rPr>
          <w:rFonts w:ascii="Georgia" w:hAnsi="Georgia"/>
          <w:color w:val="000000"/>
          <w:sz w:val="18"/>
          <w:szCs w:val="20"/>
          <w:rtl/>
        </w:rPr>
        <w:t>הולר</w:t>
      </w:r>
      <w:proofErr w:type="spellEnd"/>
      <w:r w:rsidRPr="004D5A4A">
        <w:rPr>
          <w:rFonts w:ascii="Georgia" w:hAnsi="Georgia"/>
          <w:color w:val="000000"/>
          <w:sz w:val="18"/>
          <w:szCs w:val="20"/>
          <w:rtl/>
        </w:rPr>
        <w:t xml:space="preserve"> ושירלי ורנר, </w:t>
      </w:r>
      <w:r w:rsidRPr="004D5A4A">
        <w:rPr>
          <w:rFonts w:ascii="Georgia" w:hAnsi="Georgia"/>
          <w:b/>
          <w:bCs/>
          <w:sz w:val="18"/>
          <w:szCs w:val="20"/>
          <w:rtl/>
        </w:rPr>
        <w:t>תפיסות ושיקולים של עובדות סוציאליות בתהליכי מינוי של אפוטרופסות וקבלת החלטות</w:t>
      </w:r>
      <w:r w:rsidRPr="004D5A4A">
        <w:rPr>
          <w:rFonts w:ascii="Georgia" w:hAnsi="Georgia"/>
          <w:b/>
          <w:bCs/>
          <w:sz w:val="18"/>
          <w:szCs w:val="20"/>
        </w:rPr>
        <w:t xml:space="preserve"> </w:t>
      </w:r>
      <w:r w:rsidRPr="004D5A4A">
        <w:rPr>
          <w:rFonts w:ascii="Georgia" w:hAnsi="Georgia"/>
          <w:b/>
          <w:bCs/>
          <w:sz w:val="18"/>
          <w:szCs w:val="20"/>
          <w:rtl/>
        </w:rPr>
        <w:t>נתמכת</w:t>
      </w:r>
      <w:r w:rsidRPr="004D5A4A">
        <w:rPr>
          <w:rFonts w:ascii="Georgia" w:hAnsi="Georgia"/>
          <w:b/>
          <w:bCs/>
          <w:sz w:val="18"/>
          <w:szCs w:val="20"/>
        </w:rPr>
        <w:t xml:space="preserve"> </w:t>
      </w:r>
      <w:r w:rsidRPr="004D5A4A">
        <w:rPr>
          <w:rFonts w:ascii="Georgia" w:hAnsi="Georgia"/>
          <w:b/>
          <w:bCs/>
          <w:sz w:val="18"/>
          <w:szCs w:val="20"/>
          <w:rtl/>
        </w:rPr>
        <w:t>בקרב אנשים עם מוגבלויות: המלצות להכשרה ולמדיניות</w:t>
      </w:r>
      <w:r w:rsidRPr="004D5A4A">
        <w:rPr>
          <w:rFonts w:ascii="Georgia" w:hAnsi="Georgia"/>
          <w:sz w:val="18"/>
          <w:szCs w:val="20"/>
          <w:rtl/>
        </w:rPr>
        <w:t>,</w:t>
      </w:r>
      <w:r w:rsidRPr="004D5A4A">
        <w:rPr>
          <w:rFonts w:ascii="Georgia" w:hAnsi="Georgia"/>
          <w:color w:val="000000"/>
          <w:sz w:val="18"/>
          <w:szCs w:val="20"/>
          <w:rtl/>
        </w:rPr>
        <w:t xml:space="preserve"> עוסק בתפיסות ובשיקולים של עובדות סוציאליות, שהן שחקן מרכזי בהליכי מינוי של אפוטרופסות וקבלת החלטות נתמכת עבור אנשים עם מוגבלויות ואנשים זקנים. המאמר מציג המלצות להכשרה ולמדיניות אשר יקדמו את יישום הרפורמה המבוטאת בתיקון 18. </w:t>
      </w:r>
    </w:p>
    <w:p w14:paraId="659E0CB6" w14:textId="77777777" w:rsidR="0012580C" w:rsidRPr="00F06146" w:rsidRDefault="0012580C" w:rsidP="00063CC1">
      <w:pPr>
        <w:spacing w:after="180" w:line="280" w:lineRule="exact"/>
        <w:jc w:val="both"/>
        <w:rPr>
          <w:rFonts w:ascii="Georgia" w:hAnsi="Georgia"/>
          <w:color w:val="000000"/>
          <w:sz w:val="20"/>
          <w:szCs w:val="20"/>
          <w:rtl/>
        </w:rPr>
      </w:pPr>
      <w:r w:rsidRPr="004D5A4A">
        <w:rPr>
          <w:rFonts w:ascii="Georgia" w:hAnsi="Georgia"/>
          <w:color w:val="000000"/>
          <w:sz w:val="18"/>
          <w:szCs w:val="20"/>
          <w:rtl/>
        </w:rPr>
        <w:t xml:space="preserve">מאמרה של רוני </w:t>
      </w:r>
      <w:proofErr w:type="spellStart"/>
      <w:r w:rsidRPr="004D5A4A">
        <w:rPr>
          <w:rFonts w:ascii="Georgia" w:hAnsi="Georgia"/>
          <w:color w:val="000000"/>
          <w:sz w:val="18"/>
          <w:szCs w:val="20"/>
          <w:rtl/>
        </w:rPr>
        <w:t>רוטלר</w:t>
      </w:r>
      <w:proofErr w:type="spellEnd"/>
      <w:r w:rsidRPr="004D5A4A">
        <w:rPr>
          <w:rFonts w:ascii="Georgia" w:hAnsi="Georgia"/>
          <w:color w:val="000000"/>
          <w:sz w:val="18"/>
          <w:szCs w:val="20"/>
          <w:rtl/>
        </w:rPr>
        <w:t xml:space="preserve">, </w:t>
      </w:r>
      <w:r w:rsidRPr="004D5A4A">
        <w:rPr>
          <w:rFonts w:ascii="Georgia" w:hAnsi="Georgia"/>
          <w:b/>
          <w:bCs/>
          <w:color w:val="000000"/>
          <w:sz w:val="18"/>
          <w:szCs w:val="20"/>
          <w:rtl/>
        </w:rPr>
        <w:t xml:space="preserve">כיצד לעצב מדיניות, חקיקה וטריבונל של </w:t>
      </w:r>
      <w:r w:rsidRPr="00F06146">
        <w:rPr>
          <w:rFonts w:ascii="David" w:hAnsi="David" w:hint="eastAsia"/>
          <w:b/>
          <w:bCs/>
          <w:color w:val="000000"/>
          <w:sz w:val="20"/>
          <w:szCs w:val="20"/>
          <w:rtl/>
        </w:rPr>
        <w:t>כשרות</w:t>
      </w:r>
      <w:r w:rsidRPr="00F06146">
        <w:rPr>
          <w:rFonts w:ascii="David" w:hAnsi="David"/>
          <w:b/>
          <w:bCs/>
          <w:color w:val="000000"/>
          <w:sz w:val="20"/>
          <w:szCs w:val="20"/>
          <w:rtl/>
        </w:rPr>
        <w:t xml:space="preserve"> </w:t>
      </w:r>
      <w:r w:rsidRPr="00F06146">
        <w:rPr>
          <w:rFonts w:ascii="David" w:hAnsi="David" w:hint="eastAsia"/>
          <w:b/>
          <w:bCs/>
          <w:color w:val="000000"/>
          <w:sz w:val="20"/>
          <w:szCs w:val="20"/>
          <w:rtl/>
        </w:rPr>
        <w:t>משפטית</w:t>
      </w:r>
      <w:r w:rsidRPr="00F06146">
        <w:rPr>
          <w:rFonts w:ascii="David" w:hAnsi="David"/>
          <w:b/>
          <w:bCs/>
          <w:color w:val="000000"/>
          <w:sz w:val="20"/>
          <w:szCs w:val="20"/>
        </w:rPr>
        <w:t>?</w:t>
      </w:r>
      <w:r w:rsidRPr="004D5A4A">
        <w:rPr>
          <w:rFonts w:ascii="Georgia" w:hAnsi="Georgia"/>
          <w:b/>
          <w:bCs/>
          <w:color w:val="000000"/>
          <w:sz w:val="18"/>
          <w:szCs w:val="20"/>
          <w:rtl/>
        </w:rPr>
        <w:t xml:space="preserve"> שימוש בגישת "עיצוב מערכת הסכסוך" </w:t>
      </w:r>
      <w:proofErr w:type="spellStart"/>
      <w:r w:rsidRPr="004D5A4A">
        <w:rPr>
          <w:rFonts w:ascii="Georgia" w:hAnsi="Georgia"/>
          <w:b/>
          <w:bCs/>
          <w:color w:val="000000"/>
          <w:sz w:val="18"/>
          <w:szCs w:val="20"/>
          <w:rtl/>
        </w:rPr>
        <w:t>להנגשת</w:t>
      </w:r>
      <w:proofErr w:type="spellEnd"/>
      <w:r w:rsidRPr="004D5A4A">
        <w:rPr>
          <w:rFonts w:ascii="Georgia" w:hAnsi="Georgia"/>
          <w:b/>
          <w:bCs/>
          <w:color w:val="000000"/>
          <w:sz w:val="18"/>
          <w:szCs w:val="20"/>
          <w:rtl/>
        </w:rPr>
        <w:t xml:space="preserve"> זכויותיהם של אנשים עם מוגבלויות</w:t>
      </w:r>
      <w:r w:rsidRPr="004D5A4A">
        <w:rPr>
          <w:rFonts w:ascii="Georgia" w:hAnsi="Georgia"/>
          <w:color w:val="000000"/>
          <w:sz w:val="18"/>
          <w:szCs w:val="20"/>
          <w:rtl/>
        </w:rPr>
        <w:t xml:space="preserve">, מציע לאמץ גישה של "עיצוב מערכות סכסוך" המתבססת על זכויות של אנשים עם </w:t>
      </w:r>
      <w:r w:rsidRPr="00F06146">
        <w:rPr>
          <w:rFonts w:ascii="Georgia" w:hAnsi="Georgia" w:hint="eastAsia"/>
          <w:color w:val="000000"/>
          <w:sz w:val="20"/>
          <w:szCs w:val="20"/>
          <w:rtl/>
        </w:rPr>
        <w:lastRenderedPageBreak/>
        <w:t>מוגבלויות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ועל</w:t>
      </w:r>
      <w:r w:rsidRPr="00F06146">
        <w:rPr>
          <w:rFonts w:ascii="Georgia" w:hAnsi="Georgia"/>
          <w:color w:val="000000"/>
          <w:sz w:val="20"/>
          <w:szCs w:val="20"/>
          <w:rtl/>
        </w:rPr>
        <w:t xml:space="preserve"> </w:t>
      </w:r>
      <w:r w:rsidRPr="00F06146">
        <w:rPr>
          <w:rFonts w:ascii="Georgia" w:hAnsi="Georgia" w:hint="eastAsia"/>
          <w:color w:val="000000"/>
          <w:sz w:val="20"/>
          <w:szCs w:val="20"/>
          <w:rtl/>
        </w:rPr>
        <w:t>בסיס</w:t>
      </w:r>
      <w:r w:rsidRPr="00F06146">
        <w:rPr>
          <w:rFonts w:ascii="Georgia" w:hAnsi="Georgia"/>
          <w:color w:val="000000"/>
          <w:sz w:val="20"/>
          <w:szCs w:val="20"/>
          <w:rtl/>
        </w:rPr>
        <w:t xml:space="preserve"> </w:t>
      </w:r>
      <w:r w:rsidRPr="00F06146">
        <w:rPr>
          <w:rFonts w:ascii="Georgia" w:hAnsi="Georgia" w:hint="eastAsia"/>
          <w:color w:val="000000"/>
          <w:sz w:val="20"/>
          <w:szCs w:val="20"/>
          <w:rtl/>
        </w:rPr>
        <w:t>גישה</w:t>
      </w:r>
      <w:r w:rsidRPr="00F06146">
        <w:rPr>
          <w:rFonts w:ascii="Georgia" w:hAnsi="Georgia"/>
          <w:color w:val="000000"/>
          <w:sz w:val="20"/>
          <w:szCs w:val="20"/>
          <w:rtl/>
        </w:rPr>
        <w:t xml:space="preserve"> </w:t>
      </w:r>
      <w:r w:rsidRPr="00F06146">
        <w:rPr>
          <w:rFonts w:ascii="Georgia" w:hAnsi="Georgia" w:hint="eastAsia"/>
          <w:color w:val="000000"/>
          <w:sz w:val="20"/>
          <w:szCs w:val="20"/>
          <w:rtl/>
        </w:rPr>
        <w:t>זו</w:t>
      </w:r>
      <w:r w:rsidRPr="00F06146">
        <w:rPr>
          <w:rFonts w:ascii="Georgia" w:hAnsi="Georgia"/>
          <w:color w:val="000000"/>
          <w:sz w:val="20"/>
          <w:szCs w:val="20"/>
          <w:rtl/>
        </w:rPr>
        <w:t xml:space="preserve"> </w:t>
      </w:r>
      <w:r w:rsidRPr="00F06146">
        <w:rPr>
          <w:rFonts w:ascii="Georgia" w:hAnsi="Georgia" w:hint="eastAsia"/>
          <w:color w:val="000000"/>
          <w:sz w:val="20"/>
          <w:szCs w:val="20"/>
          <w:rtl/>
        </w:rPr>
        <w:t>לעצב</w:t>
      </w:r>
      <w:r w:rsidRPr="00F06146">
        <w:rPr>
          <w:rFonts w:ascii="Georgia" w:hAnsi="Georgia"/>
          <w:color w:val="000000"/>
          <w:sz w:val="20"/>
          <w:szCs w:val="20"/>
          <w:rtl/>
        </w:rPr>
        <w:t xml:space="preserve"> </w:t>
      </w:r>
      <w:r w:rsidRPr="00F06146">
        <w:rPr>
          <w:rFonts w:ascii="Georgia" w:hAnsi="Georgia" w:hint="eastAsia"/>
          <w:color w:val="000000"/>
          <w:sz w:val="20"/>
          <w:szCs w:val="20"/>
          <w:rtl/>
        </w:rPr>
        <w:t>מדיניות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חקיקה</w:t>
      </w:r>
      <w:r w:rsidRPr="00F06146">
        <w:rPr>
          <w:rFonts w:ascii="Georgia" w:hAnsi="Georgia"/>
          <w:color w:val="000000"/>
          <w:sz w:val="20"/>
          <w:szCs w:val="20"/>
          <w:rtl/>
        </w:rPr>
        <w:t xml:space="preserve">, </w:t>
      </w:r>
      <w:r w:rsidRPr="00F06146">
        <w:rPr>
          <w:rFonts w:ascii="Georgia" w:hAnsi="Georgia" w:hint="eastAsia"/>
          <w:color w:val="000000"/>
          <w:sz w:val="20"/>
          <w:szCs w:val="20"/>
          <w:rtl/>
        </w:rPr>
        <w:t>בתי</w:t>
      </w:r>
      <w:r w:rsidRPr="00F06146">
        <w:rPr>
          <w:rFonts w:ascii="Georgia" w:hAnsi="Georgia"/>
          <w:color w:val="000000"/>
          <w:sz w:val="20"/>
          <w:szCs w:val="20"/>
          <w:rtl/>
        </w:rPr>
        <w:t xml:space="preserve"> </w:t>
      </w:r>
      <w:r w:rsidRPr="00F06146">
        <w:rPr>
          <w:rFonts w:ascii="Georgia" w:hAnsi="Georgia" w:hint="eastAsia"/>
          <w:color w:val="000000"/>
          <w:sz w:val="20"/>
          <w:szCs w:val="20"/>
          <w:rtl/>
        </w:rPr>
        <w:t>משפט</w:t>
      </w:r>
      <w:r w:rsidRPr="00F06146">
        <w:rPr>
          <w:rFonts w:ascii="Georgia" w:hAnsi="Georgia"/>
          <w:color w:val="000000"/>
          <w:sz w:val="20"/>
          <w:szCs w:val="20"/>
          <w:rtl/>
        </w:rPr>
        <w:t xml:space="preserve"> </w:t>
      </w:r>
      <w:proofErr w:type="spellStart"/>
      <w:r w:rsidRPr="00F06146">
        <w:rPr>
          <w:rFonts w:ascii="Georgia" w:hAnsi="Georgia" w:hint="eastAsia"/>
          <w:color w:val="000000"/>
          <w:sz w:val="20"/>
          <w:szCs w:val="20"/>
          <w:rtl/>
        </w:rPr>
        <w:t>וטריבונלים</w:t>
      </w:r>
      <w:proofErr w:type="spellEnd"/>
      <w:r w:rsidRPr="00F06146">
        <w:rPr>
          <w:rFonts w:ascii="Georgia" w:hAnsi="Georgia"/>
          <w:color w:val="000000"/>
          <w:sz w:val="20"/>
          <w:szCs w:val="20"/>
          <w:rtl/>
        </w:rPr>
        <w:t xml:space="preserve"> </w:t>
      </w:r>
      <w:r w:rsidRPr="00F06146">
        <w:rPr>
          <w:rFonts w:ascii="Georgia" w:hAnsi="Georgia" w:hint="eastAsia"/>
          <w:color w:val="000000"/>
          <w:sz w:val="20"/>
          <w:szCs w:val="20"/>
          <w:rtl/>
        </w:rPr>
        <w:t>בתחום</w:t>
      </w:r>
      <w:r w:rsidRPr="00F06146">
        <w:rPr>
          <w:rFonts w:ascii="Georgia" w:hAnsi="Georgia"/>
          <w:color w:val="000000"/>
          <w:sz w:val="20"/>
          <w:szCs w:val="20"/>
          <w:rtl/>
        </w:rPr>
        <w:t xml:space="preserve"> </w:t>
      </w:r>
      <w:r w:rsidRPr="00F06146">
        <w:rPr>
          <w:rFonts w:ascii="Georgia" w:hAnsi="Georgia" w:hint="eastAsia"/>
          <w:color w:val="000000"/>
          <w:sz w:val="20"/>
          <w:szCs w:val="20"/>
          <w:rtl/>
        </w:rPr>
        <w:t>של</w:t>
      </w:r>
      <w:r w:rsidRPr="00F06146">
        <w:rPr>
          <w:rFonts w:ascii="Georgia" w:hAnsi="Georgia"/>
          <w:color w:val="000000"/>
          <w:sz w:val="20"/>
          <w:szCs w:val="20"/>
          <w:rtl/>
        </w:rPr>
        <w:t xml:space="preserve"> </w:t>
      </w:r>
      <w:r w:rsidRPr="00F06146">
        <w:rPr>
          <w:rFonts w:ascii="Georgia" w:hAnsi="Georgia" w:hint="eastAsia"/>
          <w:color w:val="000000"/>
          <w:sz w:val="20"/>
          <w:szCs w:val="20"/>
          <w:rtl/>
        </w:rPr>
        <w:t>כשרות</w:t>
      </w:r>
      <w:r w:rsidRPr="00F06146">
        <w:rPr>
          <w:rFonts w:ascii="Georgia" w:hAnsi="Georgia"/>
          <w:color w:val="000000"/>
          <w:sz w:val="20"/>
          <w:szCs w:val="20"/>
          <w:rtl/>
        </w:rPr>
        <w:t xml:space="preserve"> </w:t>
      </w:r>
      <w:r w:rsidRPr="00F06146">
        <w:rPr>
          <w:rFonts w:ascii="Georgia" w:hAnsi="Georgia" w:hint="eastAsia"/>
          <w:color w:val="000000"/>
          <w:sz w:val="20"/>
          <w:szCs w:val="20"/>
          <w:rtl/>
        </w:rPr>
        <w:t>משפטית</w:t>
      </w:r>
      <w:r w:rsidRPr="00F06146">
        <w:rPr>
          <w:rFonts w:ascii="Georgia" w:hAnsi="Georgia"/>
          <w:color w:val="000000"/>
          <w:sz w:val="20"/>
          <w:szCs w:val="20"/>
          <w:rtl/>
        </w:rPr>
        <w:t xml:space="preserve">, </w:t>
      </w:r>
      <w:r w:rsidRPr="00F06146">
        <w:rPr>
          <w:rFonts w:ascii="Georgia" w:hAnsi="Georgia" w:hint="eastAsia"/>
          <w:color w:val="000000"/>
          <w:sz w:val="20"/>
          <w:szCs w:val="20"/>
          <w:rtl/>
        </w:rPr>
        <w:t>אשר</w:t>
      </w:r>
      <w:r w:rsidRPr="00F06146">
        <w:rPr>
          <w:rFonts w:ascii="Georgia" w:hAnsi="Georgia"/>
          <w:color w:val="000000"/>
          <w:sz w:val="20"/>
          <w:szCs w:val="20"/>
          <w:rtl/>
        </w:rPr>
        <w:t xml:space="preserve"> </w:t>
      </w:r>
      <w:r w:rsidRPr="00F06146">
        <w:rPr>
          <w:rFonts w:ascii="Georgia" w:hAnsi="Georgia" w:hint="eastAsia"/>
          <w:color w:val="000000"/>
          <w:sz w:val="20"/>
          <w:szCs w:val="20"/>
          <w:rtl/>
        </w:rPr>
        <w:t>יאפשרו</w:t>
      </w:r>
      <w:r w:rsidRPr="00F06146">
        <w:rPr>
          <w:rFonts w:ascii="Georgia" w:hAnsi="Georgia"/>
          <w:color w:val="000000"/>
          <w:sz w:val="20"/>
          <w:szCs w:val="20"/>
          <w:rtl/>
        </w:rPr>
        <w:t xml:space="preserve"> </w:t>
      </w:r>
      <w:r w:rsidRPr="00F06146">
        <w:rPr>
          <w:rFonts w:ascii="Georgia" w:hAnsi="Georgia" w:hint="eastAsia"/>
          <w:color w:val="000000"/>
          <w:sz w:val="20"/>
          <w:szCs w:val="20"/>
          <w:rtl/>
        </w:rPr>
        <w:t>מימוש</w:t>
      </w:r>
      <w:r w:rsidRPr="00F06146">
        <w:rPr>
          <w:rFonts w:ascii="Georgia" w:hAnsi="Georgia"/>
          <w:color w:val="000000"/>
          <w:sz w:val="20"/>
          <w:szCs w:val="20"/>
          <w:rtl/>
        </w:rPr>
        <w:t xml:space="preserve"> </w:t>
      </w:r>
      <w:r w:rsidRPr="00F06146">
        <w:rPr>
          <w:rFonts w:ascii="Georgia" w:hAnsi="Georgia" w:hint="eastAsia"/>
          <w:color w:val="000000"/>
          <w:sz w:val="20"/>
          <w:szCs w:val="20"/>
          <w:rtl/>
        </w:rPr>
        <w:t>עקרונות</w:t>
      </w:r>
      <w:r w:rsidRPr="00F06146">
        <w:rPr>
          <w:rFonts w:ascii="Georgia" w:hAnsi="Georgia"/>
          <w:color w:val="000000"/>
          <w:sz w:val="20"/>
          <w:szCs w:val="20"/>
          <w:rtl/>
        </w:rPr>
        <w:t xml:space="preserve"> </w:t>
      </w:r>
      <w:r w:rsidRPr="00F06146">
        <w:rPr>
          <w:rFonts w:ascii="Georgia" w:hAnsi="Georgia" w:hint="eastAsia"/>
          <w:color w:val="000000"/>
          <w:sz w:val="20"/>
          <w:szCs w:val="20"/>
          <w:rtl/>
        </w:rPr>
        <w:t>הרפורמה</w:t>
      </w:r>
      <w:r w:rsidRPr="00F06146">
        <w:rPr>
          <w:rFonts w:ascii="Georgia" w:hAnsi="Georgia"/>
          <w:color w:val="000000"/>
          <w:sz w:val="20"/>
          <w:szCs w:val="20"/>
          <w:rtl/>
        </w:rPr>
        <w:t xml:space="preserve"> </w:t>
      </w:r>
      <w:r w:rsidRPr="00F06146">
        <w:rPr>
          <w:rFonts w:ascii="Georgia" w:hAnsi="Georgia" w:hint="eastAsia"/>
          <w:color w:val="000000"/>
          <w:sz w:val="20"/>
          <w:szCs w:val="20"/>
          <w:rtl/>
        </w:rPr>
        <w:t>הגלומה</w:t>
      </w:r>
      <w:r w:rsidRPr="00F06146">
        <w:rPr>
          <w:rFonts w:ascii="Georgia" w:hAnsi="Georgia"/>
          <w:color w:val="000000"/>
          <w:sz w:val="20"/>
          <w:szCs w:val="20"/>
          <w:rtl/>
        </w:rPr>
        <w:t xml:space="preserve"> </w:t>
      </w:r>
      <w:r w:rsidRPr="00F06146">
        <w:rPr>
          <w:rFonts w:ascii="Georgia" w:hAnsi="Georgia" w:hint="eastAsia"/>
          <w:color w:val="000000"/>
          <w:sz w:val="20"/>
          <w:szCs w:val="20"/>
          <w:rtl/>
        </w:rPr>
        <w:t>בתיקון</w:t>
      </w:r>
      <w:r w:rsidRPr="00F06146">
        <w:rPr>
          <w:rFonts w:ascii="Georgia" w:hAnsi="Georgia"/>
          <w:color w:val="000000"/>
          <w:sz w:val="20"/>
          <w:szCs w:val="20"/>
          <w:rtl/>
        </w:rPr>
        <w:t xml:space="preserve"> 18.</w:t>
      </w:r>
    </w:p>
    <w:p w14:paraId="7B5A7F40" w14:textId="771263CD" w:rsidR="0012580C" w:rsidRPr="004D5A4A" w:rsidRDefault="0012580C" w:rsidP="00F06146">
      <w:pPr>
        <w:spacing w:line="360" w:lineRule="auto"/>
        <w:jc w:val="both"/>
        <w:rPr>
          <w:rFonts w:ascii="Georgia" w:hAnsi="Georgia"/>
          <w:color w:val="000000"/>
          <w:sz w:val="18"/>
          <w:szCs w:val="20"/>
          <w:rtl/>
        </w:rPr>
      </w:pPr>
      <w:r w:rsidRPr="00F06146">
        <w:rPr>
          <w:rFonts w:ascii="Georgia" w:hAnsi="Georgia" w:hint="eastAsia"/>
          <w:color w:val="000000"/>
          <w:sz w:val="20"/>
          <w:szCs w:val="20"/>
          <w:rtl/>
        </w:rPr>
        <w:t>מאמרים</w:t>
      </w:r>
      <w:r w:rsidRPr="00F06146">
        <w:rPr>
          <w:rFonts w:ascii="Georgia" w:hAnsi="Georgia"/>
          <w:color w:val="000000"/>
          <w:sz w:val="20"/>
          <w:szCs w:val="20"/>
          <w:rtl/>
        </w:rPr>
        <w:t xml:space="preserve"> </w:t>
      </w:r>
      <w:r w:rsidRPr="00F06146">
        <w:rPr>
          <w:rFonts w:ascii="Georgia" w:hAnsi="Georgia" w:hint="eastAsia"/>
          <w:color w:val="000000"/>
          <w:sz w:val="20"/>
          <w:szCs w:val="20"/>
          <w:rtl/>
        </w:rPr>
        <w:t>נוספים</w:t>
      </w:r>
      <w:r w:rsidRPr="00F06146">
        <w:rPr>
          <w:rFonts w:ascii="Georgia" w:hAnsi="Georgia"/>
          <w:color w:val="000000"/>
          <w:sz w:val="20"/>
          <w:szCs w:val="20"/>
          <w:rtl/>
        </w:rPr>
        <w:t xml:space="preserve"> </w:t>
      </w:r>
      <w:r w:rsidRPr="00F06146">
        <w:rPr>
          <w:rFonts w:ascii="Georgia" w:hAnsi="Georgia" w:hint="eastAsia"/>
          <w:color w:val="000000"/>
          <w:sz w:val="20"/>
          <w:szCs w:val="20"/>
          <w:rtl/>
        </w:rPr>
        <w:t>בגיליון</w:t>
      </w:r>
      <w:r w:rsidRPr="00F06146">
        <w:rPr>
          <w:rFonts w:ascii="Georgia" w:hAnsi="Georgia"/>
          <w:color w:val="000000"/>
          <w:sz w:val="20"/>
          <w:szCs w:val="20"/>
          <w:rtl/>
        </w:rPr>
        <w:t xml:space="preserve"> </w:t>
      </w:r>
      <w:r w:rsidRPr="00F06146">
        <w:rPr>
          <w:rFonts w:ascii="Georgia" w:hAnsi="Georgia" w:hint="eastAsia"/>
          <w:color w:val="000000"/>
          <w:sz w:val="20"/>
          <w:szCs w:val="20"/>
          <w:rtl/>
        </w:rPr>
        <w:t>עוסקים</w:t>
      </w:r>
      <w:r w:rsidRPr="00F06146">
        <w:rPr>
          <w:rFonts w:ascii="Georgia" w:hAnsi="Georgia"/>
          <w:color w:val="000000"/>
          <w:sz w:val="20"/>
          <w:szCs w:val="20"/>
          <w:rtl/>
        </w:rPr>
        <w:t xml:space="preserve"> </w:t>
      </w:r>
      <w:r w:rsidRPr="00F06146">
        <w:rPr>
          <w:rFonts w:ascii="Georgia" w:hAnsi="Georgia" w:hint="eastAsia"/>
          <w:color w:val="000000"/>
          <w:sz w:val="20"/>
          <w:szCs w:val="20"/>
          <w:rtl/>
        </w:rPr>
        <w:t>ביישום</w:t>
      </w:r>
      <w:r w:rsidRPr="00F06146">
        <w:rPr>
          <w:rFonts w:ascii="Georgia" w:hAnsi="Georgia"/>
          <w:color w:val="000000"/>
          <w:sz w:val="20"/>
          <w:szCs w:val="20"/>
          <w:rtl/>
        </w:rPr>
        <w:t xml:space="preserve"> </w:t>
      </w:r>
      <w:r w:rsidRPr="00F06146">
        <w:rPr>
          <w:rFonts w:ascii="Georgia" w:hAnsi="Georgia" w:hint="eastAsia"/>
          <w:color w:val="000000"/>
          <w:sz w:val="20"/>
          <w:szCs w:val="20"/>
          <w:rtl/>
        </w:rPr>
        <w:t>ההסדרים</w:t>
      </w:r>
      <w:r w:rsidRPr="00F06146">
        <w:rPr>
          <w:rFonts w:ascii="Georgia" w:hAnsi="Georgia"/>
          <w:color w:val="000000"/>
          <w:sz w:val="20"/>
          <w:szCs w:val="20"/>
          <w:rtl/>
        </w:rPr>
        <w:t xml:space="preserve"> </w:t>
      </w:r>
      <w:r w:rsidRPr="00F06146">
        <w:rPr>
          <w:rFonts w:ascii="Georgia" w:hAnsi="Georgia" w:hint="eastAsia"/>
          <w:color w:val="000000"/>
          <w:sz w:val="20"/>
          <w:szCs w:val="20"/>
          <w:rtl/>
        </w:rPr>
        <w:t>השונים</w:t>
      </w:r>
      <w:r w:rsidRPr="00F06146">
        <w:rPr>
          <w:rFonts w:ascii="Georgia" w:hAnsi="Georgia"/>
          <w:color w:val="000000"/>
          <w:sz w:val="20"/>
          <w:szCs w:val="20"/>
          <w:rtl/>
        </w:rPr>
        <w:t xml:space="preserve"> </w:t>
      </w:r>
      <w:r w:rsidRPr="00F06146">
        <w:rPr>
          <w:rFonts w:ascii="Georgia" w:hAnsi="Georgia" w:hint="eastAsia"/>
          <w:color w:val="000000"/>
          <w:sz w:val="20"/>
          <w:szCs w:val="20"/>
          <w:rtl/>
        </w:rPr>
        <w:t>הן</w:t>
      </w:r>
      <w:r w:rsidRPr="00F06146">
        <w:rPr>
          <w:rFonts w:ascii="Georgia" w:hAnsi="Georgia"/>
          <w:color w:val="000000"/>
          <w:sz w:val="20"/>
          <w:szCs w:val="20"/>
          <w:rtl/>
        </w:rPr>
        <w:t xml:space="preserve"> </w:t>
      </w:r>
      <w:r w:rsidRPr="00F06146">
        <w:rPr>
          <w:rFonts w:ascii="Georgia" w:hAnsi="Georgia" w:hint="eastAsia"/>
          <w:color w:val="000000"/>
          <w:sz w:val="20"/>
          <w:szCs w:val="20"/>
          <w:rtl/>
        </w:rPr>
        <w:t>בחיי</w:t>
      </w:r>
      <w:r w:rsidRPr="00F06146">
        <w:rPr>
          <w:rFonts w:ascii="Georgia" w:hAnsi="Georgia"/>
          <w:color w:val="000000"/>
          <w:sz w:val="20"/>
          <w:szCs w:val="20"/>
          <w:rtl/>
        </w:rPr>
        <w:t xml:space="preserve"> </w:t>
      </w:r>
      <w:r w:rsidRPr="00F06146">
        <w:rPr>
          <w:rFonts w:ascii="Georgia" w:hAnsi="Georgia" w:hint="eastAsia"/>
          <w:color w:val="000000"/>
          <w:sz w:val="20"/>
          <w:szCs w:val="20"/>
          <w:rtl/>
        </w:rPr>
        <w:t>היום</w:t>
      </w:r>
      <w:r w:rsidRPr="00F06146">
        <w:rPr>
          <w:rFonts w:ascii="Georgia" w:hAnsi="Georgia"/>
          <w:color w:val="000000"/>
          <w:sz w:val="20"/>
          <w:szCs w:val="20"/>
          <w:rtl/>
        </w:rPr>
        <w:t>-</w:t>
      </w:r>
      <w:r w:rsidRPr="00F06146">
        <w:rPr>
          <w:rFonts w:ascii="Georgia" w:hAnsi="Georgia" w:hint="eastAsia"/>
          <w:color w:val="000000"/>
          <w:sz w:val="20"/>
          <w:szCs w:val="20"/>
          <w:rtl/>
        </w:rPr>
        <w:t>יום</w:t>
      </w:r>
      <w:r w:rsidRPr="00F06146">
        <w:rPr>
          <w:rFonts w:ascii="Georgia" w:hAnsi="Georgia"/>
          <w:color w:val="000000"/>
          <w:sz w:val="20"/>
          <w:szCs w:val="20"/>
          <w:rtl/>
        </w:rPr>
        <w:t xml:space="preserve"> </w:t>
      </w:r>
      <w:r w:rsidRPr="00F06146">
        <w:rPr>
          <w:rFonts w:ascii="Georgia" w:hAnsi="Georgia" w:hint="eastAsia"/>
          <w:color w:val="000000"/>
          <w:sz w:val="20"/>
          <w:szCs w:val="20"/>
          <w:rtl/>
        </w:rPr>
        <w:t>וברמת</w:t>
      </w:r>
      <w:r w:rsidRPr="00F06146">
        <w:rPr>
          <w:rFonts w:ascii="Georgia" w:hAnsi="Georgia"/>
          <w:color w:val="000000"/>
          <w:sz w:val="20"/>
          <w:szCs w:val="20"/>
          <w:rtl/>
        </w:rPr>
        <w:t xml:space="preserve"> </w:t>
      </w:r>
      <w:r w:rsidRPr="00F06146">
        <w:rPr>
          <w:rFonts w:ascii="Georgia" w:hAnsi="Georgia" w:hint="eastAsia"/>
          <w:color w:val="000000"/>
          <w:sz w:val="20"/>
          <w:szCs w:val="20"/>
          <w:rtl/>
        </w:rPr>
        <w:t>המדיניות</w:t>
      </w:r>
      <w:r w:rsidRPr="00F06146">
        <w:rPr>
          <w:rFonts w:ascii="Georgia" w:hAnsi="Georgia"/>
          <w:color w:val="000000"/>
          <w:sz w:val="20"/>
          <w:szCs w:val="20"/>
          <w:rtl/>
        </w:rPr>
        <w:t xml:space="preserve">. </w:t>
      </w:r>
      <w:r w:rsidRPr="00F06146">
        <w:rPr>
          <w:rFonts w:ascii="Georgia" w:hAnsi="Georgia" w:hint="eastAsia"/>
          <w:color w:val="000000"/>
          <w:sz w:val="20"/>
          <w:szCs w:val="20"/>
          <w:rtl/>
        </w:rPr>
        <w:t>מאמרה</w:t>
      </w:r>
      <w:r w:rsidRPr="00F06146">
        <w:rPr>
          <w:rFonts w:ascii="Georgia" w:hAnsi="Georgia"/>
          <w:color w:val="000000"/>
          <w:sz w:val="20"/>
          <w:szCs w:val="20"/>
          <w:rtl/>
        </w:rPr>
        <w:t xml:space="preserve"> </w:t>
      </w:r>
      <w:r w:rsidRPr="00F06146">
        <w:rPr>
          <w:rFonts w:ascii="Georgia" w:hAnsi="Georgia" w:hint="eastAsia"/>
          <w:color w:val="000000"/>
          <w:sz w:val="20"/>
          <w:szCs w:val="20"/>
          <w:rtl/>
        </w:rPr>
        <w:t>של</w:t>
      </w:r>
      <w:r w:rsidRPr="00F06146">
        <w:rPr>
          <w:rFonts w:ascii="Georgia" w:hAnsi="Georgia"/>
          <w:color w:val="000000"/>
          <w:sz w:val="20"/>
          <w:szCs w:val="20"/>
          <w:rtl/>
        </w:rPr>
        <w:t xml:space="preserve"> </w:t>
      </w:r>
      <w:r w:rsidRPr="00F06146">
        <w:rPr>
          <w:rFonts w:ascii="Georgia" w:hAnsi="Georgia" w:hint="eastAsia"/>
          <w:color w:val="000000"/>
          <w:sz w:val="20"/>
          <w:szCs w:val="20"/>
          <w:rtl/>
        </w:rPr>
        <w:t>דורי</w:t>
      </w:r>
      <w:r w:rsidRPr="00F06146">
        <w:rPr>
          <w:rFonts w:ascii="Georgia" w:hAnsi="Georgia"/>
          <w:color w:val="000000"/>
          <w:sz w:val="20"/>
          <w:szCs w:val="20"/>
          <w:rtl/>
        </w:rPr>
        <w:t xml:space="preserve"> </w:t>
      </w:r>
      <w:proofErr w:type="spellStart"/>
      <w:r w:rsidRPr="00F06146">
        <w:rPr>
          <w:rFonts w:ascii="Georgia" w:hAnsi="Georgia" w:hint="eastAsia"/>
          <w:color w:val="000000"/>
          <w:sz w:val="20"/>
          <w:szCs w:val="20"/>
          <w:rtl/>
        </w:rPr>
        <w:t>ריבקין</w:t>
      </w:r>
      <w:proofErr w:type="spellEnd"/>
      <w:r w:rsidRPr="00F06146">
        <w:rPr>
          <w:rFonts w:ascii="Georgia" w:hAnsi="Georgia"/>
          <w:color w:val="000000"/>
          <w:sz w:val="20"/>
          <w:szCs w:val="20"/>
          <w:rtl/>
        </w:rPr>
        <w:t xml:space="preserve">, </w:t>
      </w:r>
      <w:r w:rsidR="00063CC1" w:rsidRPr="00F06146">
        <w:rPr>
          <w:rFonts w:hint="eastAsia"/>
          <w:b/>
          <w:bCs/>
          <w:sz w:val="20"/>
          <w:szCs w:val="20"/>
          <w:rtl/>
        </w:rPr>
        <w:t>אפוטרופסות</w:t>
      </w:r>
      <w:r w:rsidR="00063CC1" w:rsidRPr="00F06146">
        <w:rPr>
          <w:b/>
          <w:bCs/>
          <w:sz w:val="20"/>
          <w:szCs w:val="20"/>
          <w:rtl/>
        </w:rPr>
        <w:t xml:space="preserve"> </w:t>
      </w:r>
      <w:r w:rsidR="00063CC1" w:rsidRPr="00F06146">
        <w:rPr>
          <w:rFonts w:hint="eastAsia"/>
          <w:b/>
          <w:bCs/>
          <w:sz w:val="20"/>
          <w:szCs w:val="20"/>
          <w:rtl/>
        </w:rPr>
        <w:t>והגדרה</w:t>
      </w:r>
      <w:r w:rsidR="00063CC1" w:rsidRPr="00F06146">
        <w:rPr>
          <w:b/>
          <w:bCs/>
          <w:sz w:val="20"/>
          <w:szCs w:val="20"/>
          <w:rtl/>
        </w:rPr>
        <w:t xml:space="preserve"> </w:t>
      </w:r>
      <w:r w:rsidR="00063CC1" w:rsidRPr="00F06146">
        <w:rPr>
          <w:rFonts w:hint="eastAsia"/>
          <w:b/>
          <w:bCs/>
          <w:sz w:val="20"/>
          <w:szCs w:val="20"/>
          <w:rtl/>
        </w:rPr>
        <w:t>עצמית</w:t>
      </w:r>
      <w:r w:rsidR="00063CC1" w:rsidRPr="00F06146">
        <w:rPr>
          <w:b/>
          <w:bCs/>
          <w:sz w:val="20"/>
          <w:szCs w:val="20"/>
          <w:rtl/>
        </w:rPr>
        <w:t>:</w:t>
      </w:r>
      <w:r w:rsidR="00063CC1" w:rsidRPr="00F06146">
        <w:rPr>
          <w:b/>
          <w:bCs/>
          <w:sz w:val="20"/>
          <w:szCs w:val="20"/>
        </w:rPr>
        <w:t xml:space="preserve"> </w:t>
      </w:r>
      <w:r w:rsidR="00063CC1" w:rsidRPr="00F06146">
        <w:rPr>
          <w:rFonts w:hint="eastAsia"/>
          <w:b/>
          <w:bCs/>
          <w:sz w:val="20"/>
          <w:szCs w:val="20"/>
          <w:rtl/>
        </w:rPr>
        <w:t>מחקר</w:t>
      </w:r>
      <w:r w:rsidR="00063CC1" w:rsidRPr="00F06146">
        <w:rPr>
          <w:b/>
          <w:bCs/>
          <w:sz w:val="20"/>
          <w:szCs w:val="20"/>
          <w:rtl/>
        </w:rPr>
        <w:t xml:space="preserve"> </w:t>
      </w:r>
      <w:r w:rsidR="00063CC1" w:rsidRPr="00F06146">
        <w:rPr>
          <w:rFonts w:hint="eastAsia"/>
          <w:b/>
          <w:bCs/>
          <w:sz w:val="20"/>
          <w:szCs w:val="20"/>
          <w:rtl/>
        </w:rPr>
        <w:t>איכותני</w:t>
      </w:r>
      <w:r w:rsidR="00063CC1" w:rsidRPr="00F06146">
        <w:rPr>
          <w:b/>
          <w:bCs/>
          <w:sz w:val="20"/>
          <w:szCs w:val="20"/>
          <w:rtl/>
        </w:rPr>
        <w:t xml:space="preserve"> </w:t>
      </w:r>
      <w:r w:rsidR="00063CC1" w:rsidRPr="00F06146">
        <w:rPr>
          <w:rFonts w:hint="eastAsia"/>
          <w:b/>
          <w:bCs/>
          <w:sz w:val="20"/>
          <w:szCs w:val="20"/>
          <w:rtl/>
        </w:rPr>
        <w:t>בקרב</w:t>
      </w:r>
      <w:r w:rsidR="00063CC1" w:rsidRPr="00F06146">
        <w:rPr>
          <w:b/>
          <w:bCs/>
          <w:sz w:val="20"/>
          <w:szCs w:val="20"/>
          <w:rtl/>
        </w:rPr>
        <w:t xml:space="preserve"> אנשים עם </w:t>
      </w:r>
      <w:r w:rsidR="00063CC1" w:rsidRPr="00F06146">
        <w:rPr>
          <w:rFonts w:hint="eastAsia"/>
          <w:b/>
          <w:bCs/>
          <w:sz w:val="20"/>
          <w:szCs w:val="20"/>
          <w:rtl/>
        </w:rPr>
        <w:t>מוגבלות</w:t>
      </w:r>
      <w:r w:rsidR="00063CC1" w:rsidRPr="00F06146">
        <w:rPr>
          <w:b/>
          <w:bCs/>
          <w:sz w:val="20"/>
          <w:szCs w:val="20"/>
          <w:rtl/>
        </w:rPr>
        <w:t xml:space="preserve"> </w:t>
      </w:r>
      <w:r w:rsidR="00063CC1" w:rsidRPr="00F06146">
        <w:rPr>
          <w:rFonts w:hint="eastAsia"/>
          <w:b/>
          <w:bCs/>
          <w:sz w:val="20"/>
          <w:szCs w:val="20"/>
          <w:rtl/>
        </w:rPr>
        <w:t>קוגניטיבית</w:t>
      </w:r>
      <w:r w:rsidR="00063CC1">
        <w:rPr>
          <w:rFonts w:hint="cs"/>
          <w:b/>
          <w:bCs/>
          <w:sz w:val="20"/>
          <w:szCs w:val="20"/>
          <w:rtl/>
        </w:rPr>
        <w:t xml:space="preserve"> </w:t>
      </w:r>
      <w:r w:rsidR="00063CC1" w:rsidRPr="00F06146">
        <w:rPr>
          <w:rFonts w:hint="eastAsia"/>
          <w:b/>
          <w:bCs/>
          <w:sz w:val="20"/>
          <w:szCs w:val="20"/>
          <w:rtl/>
        </w:rPr>
        <w:t>והאפוטרופוסים</w:t>
      </w:r>
      <w:r w:rsidR="00063CC1" w:rsidRPr="00F06146">
        <w:rPr>
          <w:b/>
          <w:bCs/>
          <w:sz w:val="20"/>
          <w:szCs w:val="20"/>
          <w:rtl/>
        </w:rPr>
        <w:t xml:space="preserve"> </w:t>
      </w:r>
      <w:r w:rsidR="00063CC1" w:rsidRPr="00F06146">
        <w:rPr>
          <w:rFonts w:hint="eastAsia"/>
          <w:b/>
          <w:bCs/>
          <w:sz w:val="20"/>
          <w:szCs w:val="20"/>
          <w:rtl/>
        </w:rPr>
        <w:t>שלהם</w:t>
      </w:r>
      <w:r w:rsidRPr="004D5A4A">
        <w:rPr>
          <w:rFonts w:ascii="Georgia" w:hAnsi="Georgia"/>
          <w:color w:val="000000"/>
          <w:sz w:val="18"/>
          <w:szCs w:val="20"/>
          <w:rtl/>
        </w:rPr>
        <w:t xml:space="preserve">, בוחן את האופן שבו אנשים עם מוגבלות שמונה להם אפוטרופוס והאפוטרופוסים שלהם תופסים את הסדר האפוטרופסות, את אופן קבלת ההחלטות, ואת ההגדרה העצמית של האנשים שמונה להם אפוטרופוס. במחקרה מצאה </w:t>
      </w:r>
      <w:proofErr w:type="spellStart"/>
      <w:r w:rsidRPr="004D5A4A">
        <w:rPr>
          <w:rFonts w:ascii="Georgia" w:hAnsi="Georgia"/>
          <w:color w:val="000000"/>
          <w:sz w:val="18"/>
          <w:szCs w:val="20"/>
          <w:rtl/>
        </w:rPr>
        <w:t>ריבקין</w:t>
      </w:r>
      <w:proofErr w:type="spellEnd"/>
      <w:r w:rsidRPr="004D5A4A">
        <w:rPr>
          <w:rFonts w:ascii="Georgia" w:hAnsi="Georgia"/>
          <w:color w:val="000000"/>
          <w:sz w:val="18"/>
          <w:szCs w:val="20"/>
          <w:rtl/>
        </w:rPr>
        <w:t xml:space="preserve"> שסמכות האפוטרופוס מקובלת על שני הצדדים, אך תהליך קבלת החלטות מתנהל פעמים רבות כמשא ומתן שבו לשני הצדדים יש השפעה. זאת ועוד, ממצאי מחקרה מראים שהביקורת על אפוטרופסות כמעט שלא השפיעה על אלו הנמצאים בהסדר זה שנים רבות. </w:t>
      </w:r>
    </w:p>
    <w:p w14:paraId="59D0B1FC" w14:textId="77777777" w:rsidR="0012580C" w:rsidRPr="004D5A4A" w:rsidRDefault="0012580C" w:rsidP="004D5A4A">
      <w:pPr>
        <w:spacing w:after="180" w:line="280" w:lineRule="exact"/>
        <w:jc w:val="both"/>
        <w:rPr>
          <w:rFonts w:ascii="Georgia" w:hAnsi="Georgia"/>
          <w:color w:val="000000"/>
          <w:sz w:val="18"/>
          <w:szCs w:val="20"/>
          <w:rtl/>
        </w:rPr>
      </w:pPr>
      <w:r w:rsidRPr="004D5A4A">
        <w:rPr>
          <w:rFonts w:ascii="Georgia" w:hAnsi="Georgia"/>
          <w:color w:val="000000"/>
          <w:sz w:val="18"/>
          <w:szCs w:val="20"/>
          <w:rtl/>
        </w:rPr>
        <w:t xml:space="preserve">בגיליון ניתן מקום מיוחד למאמרי דעה אשר מספקים זווית ייחודית על תחום הכשרות המשפטית של אלו העוסקים בנושא או מושפעים ממנו במישרין. מאמר כזה הוא מאמרן של </w:t>
      </w:r>
      <w:proofErr w:type="spellStart"/>
      <w:r w:rsidRPr="004D5A4A">
        <w:rPr>
          <w:rFonts w:ascii="Georgia" w:hAnsi="Georgia"/>
          <w:color w:val="000000"/>
          <w:sz w:val="18"/>
          <w:szCs w:val="20"/>
          <w:rtl/>
        </w:rPr>
        <w:t>אורנית</w:t>
      </w:r>
      <w:proofErr w:type="spellEnd"/>
      <w:r w:rsidRPr="004D5A4A">
        <w:rPr>
          <w:rFonts w:ascii="Georgia" w:hAnsi="Georgia"/>
          <w:color w:val="000000"/>
          <w:sz w:val="18"/>
          <w:szCs w:val="20"/>
          <w:rtl/>
        </w:rPr>
        <w:t xml:space="preserve"> דן וקרן אורבך ברנע, הממונה הארצית הקודמת והנוכחית (בהתאמה) על קבלת החלטות נתמכת באפוטרופוס הכללי במשרד המשפטים. המאמר, </w:t>
      </w:r>
      <w:r w:rsidRPr="004D5A4A">
        <w:rPr>
          <w:rFonts w:ascii="Georgia" w:hAnsi="Georgia"/>
          <w:b/>
          <w:bCs/>
          <w:sz w:val="18"/>
          <w:szCs w:val="20"/>
          <w:rtl/>
        </w:rPr>
        <w:t>מחקיקה ליישום של קבלת החלטות נתמכת בישראל: נקודת מבטן של מעצבות מדיניות</w:t>
      </w:r>
      <w:r w:rsidRPr="004D5A4A">
        <w:rPr>
          <w:rFonts w:ascii="Georgia" w:hAnsi="Georgia"/>
          <w:sz w:val="18"/>
          <w:szCs w:val="20"/>
          <w:rtl/>
        </w:rPr>
        <w:t>,</w:t>
      </w:r>
      <w:r w:rsidRPr="004D5A4A">
        <w:rPr>
          <w:rFonts w:ascii="Georgia" w:hAnsi="Georgia"/>
          <w:color w:val="000000"/>
          <w:sz w:val="18"/>
          <w:szCs w:val="20"/>
          <w:rtl/>
        </w:rPr>
        <w:t xml:space="preserve"> מציג את הליכי יישום המדיניות של קבלת החלטות נתמכת ואת האתגרים אשר ליוו אותו. במאמרן הן מתארות ומדגישות כי בשל ראשוניותו של הנושא בישראל ובעולם, תהליך יישום המדיניות כלל היבטים רבים של עיצוב מדיניות תוך כדי תנועה.</w:t>
      </w:r>
    </w:p>
    <w:p w14:paraId="3648F494" w14:textId="21B29844" w:rsidR="0012580C" w:rsidRPr="004D5A4A" w:rsidRDefault="0012580C" w:rsidP="00063CC1">
      <w:pPr>
        <w:adjustRightInd w:val="0"/>
        <w:snapToGrid w:val="0"/>
        <w:spacing w:after="180" w:line="280" w:lineRule="exact"/>
        <w:jc w:val="both"/>
        <w:rPr>
          <w:rFonts w:ascii="Georgia" w:hAnsi="Georgia"/>
          <w:color w:val="000000"/>
          <w:sz w:val="18"/>
          <w:szCs w:val="20"/>
          <w:rtl/>
        </w:rPr>
      </w:pPr>
      <w:r w:rsidRPr="004D5A4A">
        <w:rPr>
          <w:rFonts w:ascii="Georgia" w:hAnsi="Georgia"/>
          <w:color w:val="000000"/>
          <w:sz w:val="18"/>
          <w:szCs w:val="20"/>
          <w:rtl/>
        </w:rPr>
        <w:t>מאמרם של רחל לוי-</w:t>
      </w:r>
      <w:proofErr w:type="spellStart"/>
      <w:r w:rsidRPr="004D5A4A">
        <w:rPr>
          <w:rFonts w:ascii="Georgia" w:hAnsi="Georgia"/>
          <w:color w:val="000000"/>
          <w:sz w:val="18"/>
          <w:szCs w:val="20"/>
          <w:rtl/>
        </w:rPr>
        <w:t>עראקי</w:t>
      </w:r>
      <w:proofErr w:type="spellEnd"/>
      <w:r w:rsidRPr="004D5A4A">
        <w:rPr>
          <w:rFonts w:ascii="Georgia" w:hAnsi="Georgia"/>
          <w:color w:val="000000"/>
          <w:sz w:val="18"/>
          <w:szCs w:val="20"/>
          <w:rtl/>
        </w:rPr>
        <w:t xml:space="preserve">, איתי </w:t>
      </w:r>
      <w:proofErr w:type="spellStart"/>
      <w:r w:rsidRPr="004D5A4A">
        <w:rPr>
          <w:rFonts w:ascii="Georgia" w:hAnsi="Georgia"/>
          <w:color w:val="000000"/>
          <w:sz w:val="18"/>
          <w:szCs w:val="20"/>
          <w:rtl/>
        </w:rPr>
        <w:t>גרינשפן</w:t>
      </w:r>
      <w:proofErr w:type="spellEnd"/>
      <w:r w:rsidRPr="004D5A4A">
        <w:rPr>
          <w:rFonts w:ascii="Georgia" w:hAnsi="Georgia"/>
          <w:color w:val="000000"/>
          <w:sz w:val="18"/>
          <w:szCs w:val="20"/>
          <w:rtl/>
        </w:rPr>
        <w:t xml:space="preserve">, רוני </w:t>
      </w:r>
      <w:proofErr w:type="spellStart"/>
      <w:r w:rsidRPr="004D5A4A">
        <w:rPr>
          <w:rFonts w:ascii="Georgia" w:hAnsi="Georgia"/>
          <w:color w:val="000000"/>
          <w:sz w:val="18"/>
          <w:szCs w:val="20"/>
          <w:rtl/>
        </w:rPr>
        <w:t>הולר</w:t>
      </w:r>
      <w:proofErr w:type="spellEnd"/>
      <w:r w:rsidRPr="004D5A4A">
        <w:rPr>
          <w:rFonts w:ascii="Georgia" w:hAnsi="Georgia"/>
          <w:color w:val="000000"/>
          <w:sz w:val="18"/>
          <w:szCs w:val="20"/>
          <w:rtl/>
        </w:rPr>
        <w:t xml:space="preserve"> ושירלי ורנר מציע גם הוא זווית ייחודית על יישום ההסדר של קבלת החלטות נתמכת, הפעם מנקודת מבטם של תומכים בקבלת החלטות מתנדבים. המאמר, </w:t>
      </w:r>
      <w:r w:rsidRPr="004D5A4A">
        <w:rPr>
          <w:rFonts w:ascii="Georgia" w:hAnsi="Georgia"/>
          <w:b/>
          <w:bCs/>
          <w:sz w:val="18"/>
          <w:szCs w:val="20"/>
          <w:rtl/>
        </w:rPr>
        <w:t>״אתה באמת מתנסה במשהו שהוא לא התנדבות קלאסית״: מניעים להתנדבות, אתגרים ודילמות של תומכים מתנדבים בקבלת החלטות</w:t>
      </w:r>
      <w:r w:rsidRPr="004D5A4A">
        <w:rPr>
          <w:rFonts w:ascii="Georgia" w:hAnsi="Georgia"/>
          <w:sz w:val="18"/>
          <w:szCs w:val="20"/>
          <w:rtl/>
        </w:rPr>
        <w:t>,</w:t>
      </w:r>
      <w:r w:rsidRPr="004D5A4A">
        <w:rPr>
          <w:rFonts w:ascii="Georgia" w:hAnsi="Georgia"/>
          <w:b/>
          <w:bCs/>
          <w:sz w:val="18"/>
          <w:szCs w:val="20"/>
          <w:rtl/>
        </w:rPr>
        <w:t xml:space="preserve"> </w:t>
      </w:r>
      <w:r w:rsidRPr="004D5A4A">
        <w:rPr>
          <w:rFonts w:ascii="Georgia" w:hAnsi="Georgia"/>
          <w:color w:val="000000"/>
          <w:sz w:val="18"/>
          <w:szCs w:val="20"/>
          <w:rtl/>
        </w:rPr>
        <w:t xml:space="preserve">בוחן את המניעים </w:t>
      </w:r>
      <w:r w:rsidR="00063CC1">
        <w:rPr>
          <w:rFonts w:ascii="Georgia" w:hAnsi="Georgia" w:hint="cs"/>
          <w:color w:val="000000"/>
          <w:sz w:val="18"/>
          <w:szCs w:val="20"/>
          <w:rtl/>
        </w:rPr>
        <w:t xml:space="preserve">של המתנדבים </w:t>
      </w:r>
      <w:r w:rsidRPr="004D5A4A">
        <w:rPr>
          <w:rFonts w:ascii="Georgia" w:hAnsi="Georgia"/>
          <w:color w:val="000000"/>
          <w:sz w:val="18"/>
          <w:szCs w:val="20"/>
          <w:rtl/>
        </w:rPr>
        <w:t>ואת הדילמות והאתגרים המרכזיים שהם נתקלים בהם בתפקידם. תובנות אלו יכולות לסייע בגיוס, בהכשרה ובליווי מקצועי מותאמים לתומכי החלטות מתנדבים, ובכך לסייע בקידום התחום.</w:t>
      </w:r>
    </w:p>
    <w:p w14:paraId="27DB980D" w14:textId="77777777" w:rsidR="0012580C" w:rsidRPr="004D5A4A" w:rsidRDefault="0012580C" w:rsidP="004D5A4A">
      <w:pPr>
        <w:adjustRightInd w:val="0"/>
        <w:snapToGrid w:val="0"/>
        <w:spacing w:after="180" w:line="280" w:lineRule="exact"/>
        <w:jc w:val="both"/>
        <w:rPr>
          <w:rFonts w:ascii="Georgia" w:hAnsi="Georgia"/>
          <w:sz w:val="18"/>
          <w:szCs w:val="20"/>
          <w:rtl/>
        </w:rPr>
      </w:pPr>
      <w:r w:rsidRPr="004D5A4A">
        <w:rPr>
          <w:rFonts w:ascii="Georgia" w:hAnsi="Georgia"/>
          <w:color w:val="000000"/>
          <w:sz w:val="18"/>
          <w:szCs w:val="20"/>
          <w:rtl/>
        </w:rPr>
        <w:t>מאמרה של הילה רימון-</w:t>
      </w:r>
      <w:proofErr w:type="spellStart"/>
      <w:r w:rsidRPr="004D5A4A">
        <w:rPr>
          <w:rFonts w:ascii="Georgia" w:hAnsi="Georgia"/>
          <w:color w:val="000000"/>
          <w:sz w:val="18"/>
          <w:szCs w:val="20"/>
          <w:rtl/>
        </w:rPr>
        <w:t>גרינשפן</w:t>
      </w:r>
      <w:proofErr w:type="spellEnd"/>
      <w:r w:rsidRPr="004D5A4A">
        <w:rPr>
          <w:rFonts w:ascii="Georgia" w:hAnsi="Georgia"/>
          <w:color w:val="000000"/>
          <w:sz w:val="18"/>
          <w:szCs w:val="20"/>
          <w:rtl/>
        </w:rPr>
        <w:t xml:space="preserve">, </w:t>
      </w:r>
      <w:r w:rsidRPr="004D5A4A">
        <w:rPr>
          <w:rFonts w:ascii="Georgia" w:hAnsi="Georgia"/>
          <w:b/>
          <w:bCs/>
          <w:sz w:val="18"/>
          <w:szCs w:val="20"/>
          <w:rtl/>
        </w:rPr>
        <w:t>קבלת החלטות נתמכת מיטבית: המשגה מהשדה</w:t>
      </w:r>
      <w:r w:rsidRPr="004D5A4A">
        <w:rPr>
          <w:rFonts w:ascii="Georgia" w:hAnsi="Georgia"/>
          <w:sz w:val="18"/>
          <w:szCs w:val="20"/>
          <w:rtl/>
        </w:rPr>
        <w:t>,</w:t>
      </w:r>
      <w:r w:rsidRPr="004D5A4A">
        <w:rPr>
          <w:rFonts w:ascii="Georgia" w:hAnsi="Georgia"/>
          <w:color w:val="000000"/>
          <w:sz w:val="18"/>
          <w:szCs w:val="20"/>
          <w:rtl/>
        </w:rPr>
        <w:t xml:space="preserve"> עוסק גם הוא בפרקטיקה של התמיכה בפועל, ומציע המשגה של תמיכה מיטבית בקבלת החלטות נתמכת. בכך מבקש המחקר לתרום להכשרה, לפרקטיקה ולמדיניות בתחום קבלת החלטות נתמכת בישראל, ולסייע בקידומו.</w:t>
      </w:r>
    </w:p>
    <w:p w14:paraId="2E64ECBC" w14:textId="77777777" w:rsidR="0012580C" w:rsidRPr="004D5A4A" w:rsidRDefault="0012580C" w:rsidP="004D5A4A">
      <w:pPr>
        <w:spacing w:after="180" w:line="280" w:lineRule="exact"/>
        <w:jc w:val="both"/>
        <w:rPr>
          <w:rFonts w:ascii="Georgia" w:hAnsi="Georgia"/>
          <w:sz w:val="18"/>
          <w:szCs w:val="20"/>
        </w:rPr>
      </w:pPr>
      <w:r w:rsidRPr="004D5A4A">
        <w:rPr>
          <w:rFonts w:ascii="Georgia" w:hAnsi="Georgia"/>
          <w:sz w:val="18"/>
          <w:szCs w:val="20"/>
          <w:rtl/>
        </w:rPr>
        <w:t xml:space="preserve">מאמר הדעה החותם את הגיליון המיוחד, </w:t>
      </w:r>
      <w:r w:rsidRPr="004D5A4A">
        <w:rPr>
          <w:rFonts w:ascii="Georgia" w:hAnsi="Georgia"/>
          <w:b/>
          <w:bCs/>
          <w:sz w:val="18"/>
          <w:szCs w:val="20"/>
          <w:rtl/>
        </w:rPr>
        <w:t>בחירה בתמיכה ותמיכה בבחירה: על הקשר בין קבלת החלטות נתמכת, פיתוח אוטונומיה ומשחקי מחשב ב-5,000 שקלים</w:t>
      </w:r>
      <w:r w:rsidRPr="004D5A4A">
        <w:rPr>
          <w:rFonts w:ascii="Georgia" w:hAnsi="Georgia"/>
          <w:sz w:val="18"/>
          <w:szCs w:val="20"/>
          <w:rtl/>
        </w:rPr>
        <w:t xml:space="preserve">, מציע את נקודת מבטם של איריס שנייד ופיטר </w:t>
      </w:r>
      <w:proofErr w:type="spellStart"/>
      <w:r w:rsidRPr="004D5A4A">
        <w:rPr>
          <w:rFonts w:ascii="Georgia" w:hAnsi="Georgia"/>
          <w:sz w:val="18"/>
          <w:szCs w:val="20"/>
          <w:rtl/>
        </w:rPr>
        <w:t>מלמקויסט</w:t>
      </w:r>
      <w:proofErr w:type="spellEnd"/>
      <w:r w:rsidRPr="004D5A4A">
        <w:rPr>
          <w:rFonts w:ascii="Georgia" w:hAnsi="Georgia"/>
          <w:sz w:val="18"/>
          <w:szCs w:val="20"/>
          <w:rtl/>
        </w:rPr>
        <w:t xml:space="preserve">, אם ובנה, תומכת החלטות ומקבל </w:t>
      </w:r>
      <w:r w:rsidRPr="004D5A4A">
        <w:rPr>
          <w:rFonts w:ascii="Georgia" w:hAnsi="Georgia"/>
          <w:sz w:val="18"/>
          <w:szCs w:val="20"/>
          <w:rtl/>
        </w:rPr>
        <w:lastRenderedPageBreak/>
        <w:t>החלטות, אקטיביסטים אוטיסטים ומהראשונים בישראל שקיבלו מינוי של תומך החלטות. המאמר מספק הצצה להיבטים פעוטים של קבלת החלטות בחיי היום-יום ומתייחס לסיבות לבחירה בכלי זה, לשיקולים בבחירת התומך, ולמשמעות של אוטונומיה.</w:t>
      </w:r>
    </w:p>
    <w:p w14:paraId="70DAC31B" w14:textId="02C7C9F5" w:rsidR="0012580C" w:rsidRPr="004D5A4A" w:rsidRDefault="0012580C" w:rsidP="004D5A4A">
      <w:pPr>
        <w:spacing w:after="180" w:line="280" w:lineRule="exact"/>
        <w:jc w:val="both"/>
        <w:rPr>
          <w:rFonts w:ascii="Georgia" w:hAnsi="Georgia"/>
          <w:sz w:val="18"/>
          <w:szCs w:val="20"/>
          <w:rtl/>
        </w:rPr>
      </w:pPr>
      <w:r w:rsidRPr="004D5A4A">
        <w:rPr>
          <w:rFonts w:ascii="Georgia" w:hAnsi="Georgia"/>
          <w:color w:val="000000"/>
          <w:sz w:val="18"/>
          <w:szCs w:val="20"/>
          <w:rtl/>
        </w:rPr>
        <w:t xml:space="preserve">כטבעם של מאמרים, גם מאמרי גיליון זה הם נקודת מוצא למחקרי המשך אשר יעסקו </w:t>
      </w:r>
      <w:r w:rsidRPr="004D5A4A">
        <w:rPr>
          <w:rFonts w:ascii="Georgia" w:hAnsi="Georgia"/>
          <w:sz w:val="18"/>
          <w:szCs w:val="20"/>
          <w:rtl/>
        </w:rPr>
        <w:t xml:space="preserve">בזכות לכשרות משפטית, בהסדרים </w:t>
      </w:r>
      <w:proofErr w:type="spellStart"/>
      <w:r w:rsidRPr="004D5A4A">
        <w:rPr>
          <w:rFonts w:ascii="Georgia" w:hAnsi="Georgia"/>
          <w:sz w:val="18"/>
          <w:szCs w:val="20"/>
          <w:rtl/>
        </w:rPr>
        <w:t>ובפרקטיקות</w:t>
      </w:r>
      <w:proofErr w:type="spellEnd"/>
      <w:r w:rsidRPr="004D5A4A">
        <w:rPr>
          <w:rFonts w:ascii="Georgia" w:hAnsi="Georgia"/>
          <w:sz w:val="18"/>
          <w:szCs w:val="20"/>
          <w:rtl/>
        </w:rPr>
        <w:t xml:space="preserve"> המעצבים זכות זו, מגבילים אותה או תומכים בה, ובתפקידם של מדינת הרווחה וסוכניה בתהליך זה. כך</w:t>
      </w:r>
      <w:r w:rsidR="004131AA">
        <w:rPr>
          <w:rFonts w:ascii="Georgia" w:hAnsi="Georgia" w:hint="cs"/>
          <w:sz w:val="18"/>
          <w:szCs w:val="20"/>
          <w:rtl/>
        </w:rPr>
        <w:t>,</w:t>
      </w:r>
      <w:r w:rsidRPr="004D5A4A">
        <w:rPr>
          <w:rFonts w:ascii="Georgia" w:hAnsi="Georgia"/>
          <w:sz w:val="18"/>
          <w:szCs w:val="20"/>
          <w:rtl/>
        </w:rPr>
        <w:t xml:space="preserve"> למשל, מחקרים אלו יצטרכו לתת את הדעת על סוגיות של </w:t>
      </w:r>
      <w:proofErr w:type="spellStart"/>
      <w:r w:rsidRPr="004D5A4A">
        <w:rPr>
          <w:rFonts w:ascii="Georgia" w:hAnsi="Georgia"/>
          <w:sz w:val="18"/>
          <w:szCs w:val="20"/>
          <w:rtl/>
        </w:rPr>
        <w:t>הצטלבותיות</w:t>
      </w:r>
      <w:proofErr w:type="spellEnd"/>
      <w:r w:rsidRPr="004D5A4A">
        <w:rPr>
          <w:rFonts w:ascii="Georgia" w:hAnsi="Georgia"/>
          <w:sz w:val="18"/>
          <w:szCs w:val="20"/>
          <w:rtl/>
        </w:rPr>
        <w:t xml:space="preserve">, ולהתייחס לחיבור ההדוק והמורכב שבין מוגבלות לבין </w:t>
      </w:r>
      <w:proofErr w:type="spellStart"/>
      <w:r w:rsidRPr="004D5A4A">
        <w:rPr>
          <w:rFonts w:ascii="Georgia" w:hAnsi="Georgia"/>
          <w:sz w:val="18"/>
          <w:szCs w:val="20"/>
          <w:rtl/>
        </w:rPr>
        <w:t>זיקנה</w:t>
      </w:r>
      <w:proofErr w:type="spellEnd"/>
      <w:r w:rsidRPr="004D5A4A">
        <w:rPr>
          <w:rFonts w:ascii="Georgia" w:hAnsi="Georgia"/>
          <w:sz w:val="18"/>
          <w:szCs w:val="20"/>
          <w:rtl/>
        </w:rPr>
        <w:t>, וכן לחיבור שבין שתי אלו לבין קטגוריות חברתיות אחרות ובהן עוני, מגדר ודתיות; לתפקיד המשתנה של אנשי מקצוע נוספים, ובהם שופטים ואנשי מקצועות הבריאות; ולממשק שבין הזכות לכשרות משפטית לבין זכויות חברתיות. לבסוף, ראוי לבחון בצורה שיטתית ואמפירית את השפעתה של הרפורמה הגלומה בתיקון 18 על חייהם של מי שמושפעים ממנה – אנשים עם מוגבלות ואנשים זקנים ובני משפחותיהם, ועד כמה עקרונותיה באים לידי מימוש בפועל.</w:t>
      </w:r>
    </w:p>
    <w:p w14:paraId="7FC4B3C9" w14:textId="77777777" w:rsidR="004D5A4A" w:rsidRDefault="004D5A4A" w:rsidP="004D5A4A">
      <w:pPr>
        <w:spacing w:line="280" w:lineRule="exact"/>
        <w:jc w:val="both"/>
        <w:rPr>
          <w:rFonts w:ascii="Georgia" w:hAnsi="Georgia"/>
          <w:b/>
          <w:bCs/>
          <w:sz w:val="18"/>
          <w:szCs w:val="20"/>
        </w:rPr>
      </w:pPr>
    </w:p>
    <w:p w14:paraId="38321B22" w14:textId="77777777" w:rsidR="004D5A4A" w:rsidRPr="00C838F3" w:rsidRDefault="004D5A4A" w:rsidP="004D5A4A">
      <w:pPr>
        <w:spacing w:line="280" w:lineRule="exact"/>
        <w:jc w:val="both"/>
        <w:rPr>
          <w:rFonts w:ascii="Georgia" w:hAnsi="Georgia"/>
          <w:b/>
          <w:bCs/>
          <w:sz w:val="18"/>
          <w:szCs w:val="20"/>
          <w:rtl/>
        </w:rPr>
      </w:pPr>
    </w:p>
    <w:p w14:paraId="139B3203" w14:textId="7547BD97" w:rsidR="0012580C" w:rsidRPr="004D5A4A" w:rsidRDefault="0012580C" w:rsidP="004D5A4A">
      <w:pPr>
        <w:pStyle w:val="KOT4"/>
        <w:spacing w:after="0"/>
        <w:ind w:right="0"/>
        <w:rPr>
          <w:rFonts w:cs="Guttman Aharoni"/>
          <w:color w:val="2A8E8C"/>
          <w:sz w:val="32"/>
          <w:szCs w:val="32"/>
          <w:rtl/>
        </w:rPr>
      </w:pPr>
      <w:r w:rsidRPr="004D5A4A">
        <w:rPr>
          <w:rFonts w:cs="Guttman Aharoni"/>
          <w:color w:val="2A8E8C"/>
          <w:sz w:val="32"/>
          <w:szCs w:val="32"/>
          <w:rtl/>
        </w:rPr>
        <w:t xml:space="preserve">מקורות </w:t>
      </w:r>
    </w:p>
    <w:p w14:paraId="43DA50CA" w14:textId="77777777" w:rsidR="0012580C" w:rsidRPr="004D5A4A" w:rsidRDefault="0012580C" w:rsidP="008C26B4">
      <w:pPr>
        <w:spacing w:after="120"/>
        <w:ind w:left="397" w:hanging="397"/>
        <w:jc w:val="both"/>
        <w:rPr>
          <w:rFonts w:ascii="Georgia" w:hAnsi="Georgia"/>
          <w:sz w:val="18"/>
          <w:szCs w:val="20"/>
          <w:rtl/>
        </w:rPr>
      </w:pPr>
      <w:proofErr w:type="spellStart"/>
      <w:r w:rsidRPr="004D5A4A">
        <w:rPr>
          <w:rFonts w:ascii="Georgia" w:hAnsi="Georgia"/>
          <w:sz w:val="18"/>
          <w:szCs w:val="20"/>
          <w:rtl/>
        </w:rPr>
        <w:t>בראל</w:t>
      </w:r>
      <w:proofErr w:type="spellEnd"/>
      <w:r w:rsidRPr="004D5A4A">
        <w:rPr>
          <w:rFonts w:ascii="Georgia" w:hAnsi="Georgia"/>
          <w:sz w:val="18"/>
          <w:szCs w:val="20"/>
          <w:rtl/>
        </w:rPr>
        <w:t xml:space="preserve">, מ', דורון, י' </w:t>
      </w:r>
      <w:proofErr w:type="spellStart"/>
      <w:r w:rsidRPr="004D5A4A">
        <w:rPr>
          <w:rFonts w:ascii="Georgia" w:hAnsi="Georgia"/>
          <w:sz w:val="18"/>
          <w:szCs w:val="20"/>
          <w:rtl/>
        </w:rPr>
        <w:t>וסטריאר</w:t>
      </w:r>
      <w:proofErr w:type="spellEnd"/>
      <w:r w:rsidRPr="004D5A4A">
        <w:rPr>
          <w:rFonts w:ascii="Georgia" w:hAnsi="Georgia"/>
          <w:sz w:val="18"/>
          <w:szCs w:val="20"/>
          <w:rtl/>
        </w:rPr>
        <w:t xml:space="preserve"> ר' (2015). אפוטרופסות: סקירה ביקורתית. </w:t>
      </w:r>
      <w:r w:rsidRPr="004D5A4A">
        <w:rPr>
          <w:rFonts w:ascii="Georgia" w:hAnsi="Georgia"/>
          <w:b/>
          <w:bCs/>
          <w:sz w:val="18"/>
          <w:szCs w:val="20"/>
          <w:rtl/>
        </w:rPr>
        <w:t>ביטחון סוציאלי</w:t>
      </w:r>
      <w:r w:rsidRPr="004D5A4A">
        <w:rPr>
          <w:rFonts w:ascii="Georgia" w:hAnsi="Georgia"/>
          <w:sz w:val="18"/>
          <w:szCs w:val="20"/>
          <w:rtl/>
        </w:rPr>
        <w:t xml:space="preserve">, </w:t>
      </w:r>
      <w:r w:rsidRPr="004D5A4A">
        <w:rPr>
          <w:rFonts w:ascii="Georgia" w:hAnsi="Georgia"/>
          <w:b/>
          <w:bCs/>
          <w:sz w:val="18"/>
          <w:szCs w:val="20"/>
          <w:rtl/>
        </w:rPr>
        <w:t>96</w:t>
      </w:r>
      <w:r w:rsidRPr="004D5A4A">
        <w:rPr>
          <w:rFonts w:ascii="Georgia" w:hAnsi="Georgia"/>
          <w:sz w:val="18"/>
          <w:szCs w:val="20"/>
          <w:rtl/>
        </w:rPr>
        <w:t>, 55–85.</w:t>
      </w:r>
    </w:p>
    <w:p w14:paraId="295A3BF6" w14:textId="77777777" w:rsidR="0012580C" w:rsidRPr="004D5A4A" w:rsidRDefault="0012580C" w:rsidP="008C26B4">
      <w:pPr>
        <w:spacing w:after="120"/>
        <w:ind w:left="397" w:hanging="397"/>
        <w:jc w:val="both"/>
        <w:rPr>
          <w:rFonts w:ascii="Georgia" w:hAnsi="Georgia"/>
          <w:color w:val="000000"/>
          <w:sz w:val="18"/>
          <w:szCs w:val="20"/>
        </w:rPr>
      </w:pPr>
      <w:proofErr w:type="spellStart"/>
      <w:r w:rsidRPr="004D5A4A">
        <w:rPr>
          <w:rFonts w:ascii="Georgia" w:hAnsi="Georgia"/>
          <w:sz w:val="18"/>
          <w:szCs w:val="20"/>
          <w:rtl/>
        </w:rPr>
        <w:t>בראל</w:t>
      </w:r>
      <w:proofErr w:type="spellEnd"/>
      <w:r w:rsidRPr="004D5A4A">
        <w:rPr>
          <w:rFonts w:ascii="Georgia" w:hAnsi="Georgia"/>
          <w:sz w:val="18"/>
          <w:szCs w:val="20"/>
          <w:rtl/>
        </w:rPr>
        <w:t xml:space="preserve">, מ', דורון, י' </w:t>
      </w:r>
      <w:proofErr w:type="spellStart"/>
      <w:r w:rsidRPr="004D5A4A">
        <w:rPr>
          <w:rFonts w:ascii="Georgia" w:hAnsi="Georgia"/>
          <w:sz w:val="18"/>
          <w:szCs w:val="20"/>
          <w:rtl/>
        </w:rPr>
        <w:t>וסטריאר</w:t>
      </w:r>
      <w:proofErr w:type="spellEnd"/>
      <w:r w:rsidRPr="004D5A4A">
        <w:rPr>
          <w:rFonts w:ascii="Georgia" w:hAnsi="Georgia"/>
          <w:sz w:val="18"/>
          <w:szCs w:val="20"/>
          <w:rtl/>
        </w:rPr>
        <w:t xml:space="preserve">, ר' </w:t>
      </w:r>
      <w:r w:rsidRPr="004D5A4A">
        <w:rPr>
          <w:rFonts w:ascii="Georgia" w:hAnsi="Georgia"/>
          <w:color w:val="000000"/>
          <w:sz w:val="18"/>
          <w:szCs w:val="20"/>
          <w:rtl/>
        </w:rPr>
        <w:t xml:space="preserve">(2021). אנשים תחת אפוטרופסות: אידיאולוגיה של השתקה. </w:t>
      </w:r>
      <w:r w:rsidRPr="004D5A4A">
        <w:rPr>
          <w:rFonts w:ascii="Georgia" w:hAnsi="Georgia"/>
          <w:b/>
          <w:bCs/>
          <w:color w:val="000000"/>
          <w:sz w:val="18"/>
          <w:szCs w:val="20"/>
          <w:rtl/>
        </w:rPr>
        <w:t>עיונים בשפה וחברה</w:t>
      </w:r>
      <w:r w:rsidRPr="004D5A4A">
        <w:rPr>
          <w:rFonts w:ascii="Georgia" w:hAnsi="Georgia"/>
          <w:color w:val="000000"/>
          <w:sz w:val="18"/>
          <w:szCs w:val="20"/>
          <w:rtl/>
        </w:rPr>
        <w:t xml:space="preserve">, </w:t>
      </w:r>
      <w:r w:rsidRPr="004D5A4A">
        <w:rPr>
          <w:rFonts w:ascii="Georgia" w:hAnsi="Georgia"/>
          <w:b/>
          <w:bCs/>
          <w:color w:val="000000"/>
          <w:sz w:val="18"/>
          <w:szCs w:val="20"/>
          <w:rtl/>
        </w:rPr>
        <w:t>14</w:t>
      </w:r>
      <w:r w:rsidRPr="004D5A4A">
        <w:rPr>
          <w:rFonts w:ascii="Georgia" w:hAnsi="Georgia"/>
          <w:color w:val="000000"/>
          <w:sz w:val="18"/>
          <w:szCs w:val="20"/>
          <w:rtl/>
        </w:rPr>
        <w:t>, 59</w:t>
      </w:r>
      <w:r w:rsidRPr="004D5A4A">
        <w:rPr>
          <w:rFonts w:ascii="Georgia" w:hAnsi="Georgia"/>
          <w:sz w:val="18"/>
          <w:szCs w:val="20"/>
          <w:rtl/>
        </w:rPr>
        <w:t>–81.</w:t>
      </w:r>
    </w:p>
    <w:p w14:paraId="05BB1966"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גולדברג, ב' ורייך, א' (2019). </w:t>
      </w:r>
      <w:r w:rsidRPr="004D5A4A">
        <w:rPr>
          <w:rFonts w:ascii="Georgia" w:hAnsi="Georgia"/>
          <w:b/>
          <w:bCs/>
          <w:sz w:val="18"/>
          <w:szCs w:val="20"/>
          <w:rtl/>
        </w:rPr>
        <w:t xml:space="preserve">הצוות </w:t>
      </w:r>
      <w:proofErr w:type="spellStart"/>
      <w:r w:rsidRPr="004D5A4A">
        <w:rPr>
          <w:rFonts w:ascii="Georgia" w:hAnsi="Georgia"/>
          <w:b/>
          <w:bCs/>
          <w:sz w:val="18"/>
          <w:szCs w:val="20"/>
          <w:rtl/>
        </w:rPr>
        <w:t>הבינמשרדי</w:t>
      </w:r>
      <w:proofErr w:type="spellEnd"/>
      <w:r w:rsidRPr="004D5A4A">
        <w:rPr>
          <w:rFonts w:ascii="Georgia" w:hAnsi="Georgia"/>
          <w:b/>
          <w:bCs/>
          <w:sz w:val="18"/>
          <w:szCs w:val="20"/>
          <w:rtl/>
        </w:rPr>
        <w:t xml:space="preserve"> לתחום האפוטרופסות וחלופות לתמיכה והגנה על בגירים: דוח מסכם, פברואר 2019</w:t>
      </w:r>
      <w:r w:rsidRPr="004D5A4A">
        <w:rPr>
          <w:rFonts w:ascii="Georgia" w:hAnsi="Georgia"/>
          <w:sz w:val="18"/>
          <w:szCs w:val="20"/>
          <w:rtl/>
        </w:rPr>
        <w:t xml:space="preserve">. </w:t>
      </w:r>
    </w:p>
    <w:p w14:paraId="75CA070A"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דורון, י' (2008). "הבלתי נראים": זקנים בצל אפוטרופסות משפטית. בתוך י' רונן, י' דורון ו-ו' סלונים-נבו (עורכים), </w:t>
      </w:r>
      <w:r w:rsidRPr="004D5A4A">
        <w:rPr>
          <w:rFonts w:ascii="Georgia" w:hAnsi="Georgia"/>
          <w:b/>
          <w:bCs/>
          <w:sz w:val="18"/>
          <w:szCs w:val="20"/>
          <w:rtl/>
        </w:rPr>
        <w:t>הדרה חברתית וזכויות אדם בישראל</w:t>
      </w:r>
      <w:r w:rsidRPr="004D5A4A">
        <w:rPr>
          <w:rFonts w:ascii="Georgia" w:hAnsi="Georgia"/>
          <w:sz w:val="18"/>
          <w:szCs w:val="20"/>
          <w:rtl/>
        </w:rPr>
        <w:t xml:space="preserve"> (205–229). רמות.</w:t>
      </w:r>
    </w:p>
    <w:p w14:paraId="627CF22F" w14:textId="77777777" w:rsidR="0012580C" w:rsidRPr="004D5A4A" w:rsidRDefault="0012580C" w:rsidP="008C26B4">
      <w:pPr>
        <w:spacing w:after="120"/>
        <w:ind w:left="397" w:hanging="397"/>
        <w:jc w:val="both"/>
        <w:rPr>
          <w:rFonts w:ascii="Georgia" w:hAnsi="Georgia"/>
          <w:sz w:val="18"/>
          <w:szCs w:val="20"/>
          <w:rtl/>
        </w:rPr>
      </w:pPr>
      <w:r w:rsidRPr="004D5A4A">
        <w:rPr>
          <w:rFonts w:ascii="Georgia" w:hAnsi="Georgia"/>
          <w:sz w:val="18"/>
          <w:szCs w:val="20"/>
          <w:rtl/>
        </w:rPr>
        <w:t xml:space="preserve">האפוטרופוס הכללי. (2023). </w:t>
      </w:r>
      <w:r w:rsidRPr="004D5A4A">
        <w:rPr>
          <w:rFonts w:ascii="Georgia" w:hAnsi="Georgia"/>
          <w:b/>
          <w:bCs/>
          <w:sz w:val="18"/>
          <w:szCs w:val="20"/>
          <w:rtl/>
        </w:rPr>
        <w:t>האפוטרופוס הכללי והממונה על ענייני ירושה: סיכום פעילות שנת 2023</w:t>
      </w:r>
      <w:r w:rsidRPr="004D5A4A">
        <w:rPr>
          <w:rFonts w:ascii="Georgia" w:hAnsi="Georgia"/>
          <w:sz w:val="18"/>
          <w:szCs w:val="20"/>
          <w:rtl/>
        </w:rPr>
        <w:t xml:space="preserve">. </w:t>
      </w:r>
    </w:p>
    <w:p w14:paraId="6E63D01C" w14:textId="77777777" w:rsidR="0012580C" w:rsidRPr="004D5A4A" w:rsidRDefault="0012580C" w:rsidP="008C26B4">
      <w:pPr>
        <w:spacing w:after="120"/>
        <w:ind w:left="397" w:hanging="397"/>
        <w:jc w:val="both"/>
        <w:rPr>
          <w:rFonts w:ascii="Georgia" w:hAnsi="Georgia"/>
          <w:sz w:val="18"/>
          <w:szCs w:val="20"/>
          <w:rtl/>
        </w:rPr>
      </w:pPr>
      <w:proofErr w:type="spellStart"/>
      <w:r w:rsidRPr="004D5A4A">
        <w:rPr>
          <w:rFonts w:ascii="Georgia" w:hAnsi="Georgia"/>
          <w:sz w:val="18"/>
          <w:szCs w:val="20"/>
          <w:rtl/>
        </w:rPr>
        <w:t>טולוב</w:t>
      </w:r>
      <w:proofErr w:type="spellEnd"/>
      <w:r w:rsidRPr="004D5A4A">
        <w:rPr>
          <w:rFonts w:ascii="Georgia" w:hAnsi="Georgia"/>
          <w:sz w:val="18"/>
          <w:szCs w:val="20"/>
          <w:rtl/>
        </w:rPr>
        <w:t xml:space="preserve">, י' וקנטר, א' (2014). של מי החיים שלי? המאבק להשבת האוטונומיה והכשרות המשפטית לאנשים עם מוגבלויות. </w:t>
      </w:r>
      <w:r w:rsidRPr="004D5A4A">
        <w:rPr>
          <w:rFonts w:ascii="Georgia" w:hAnsi="Georgia"/>
          <w:b/>
          <w:bCs/>
          <w:sz w:val="18"/>
          <w:szCs w:val="20"/>
          <w:rtl/>
        </w:rPr>
        <w:t>מעשי משפט: כתב עת למשפט ולתיקון חברתי</w:t>
      </w:r>
      <w:r w:rsidRPr="004D5A4A">
        <w:rPr>
          <w:rFonts w:ascii="Georgia" w:hAnsi="Georgia"/>
          <w:sz w:val="18"/>
          <w:szCs w:val="20"/>
          <w:rtl/>
        </w:rPr>
        <w:t>,</w:t>
      </w:r>
      <w:r w:rsidRPr="004D5A4A">
        <w:rPr>
          <w:rFonts w:ascii="Georgia" w:hAnsi="Georgia"/>
          <w:b/>
          <w:bCs/>
          <w:sz w:val="18"/>
          <w:szCs w:val="20"/>
          <w:rtl/>
        </w:rPr>
        <w:t xml:space="preserve"> ו</w:t>
      </w:r>
      <w:r w:rsidRPr="004D5A4A">
        <w:rPr>
          <w:rFonts w:ascii="Georgia" w:hAnsi="Georgia"/>
          <w:sz w:val="18"/>
          <w:szCs w:val="20"/>
          <w:rtl/>
        </w:rPr>
        <w:t>, 45–65.</w:t>
      </w:r>
    </w:p>
    <w:p w14:paraId="0633B69D" w14:textId="77777777" w:rsidR="0012580C" w:rsidRPr="004D5A4A" w:rsidRDefault="0012580C" w:rsidP="008C26B4">
      <w:pPr>
        <w:spacing w:after="120"/>
        <w:ind w:left="397" w:hanging="397"/>
        <w:jc w:val="both"/>
        <w:rPr>
          <w:rFonts w:ascii="Georgia" w:hAnsi="Georgia"/>
          <w:sz w:val="18"/>
          <w:szCs w:val="20"/>
          <w:rtl/>
        </w:rPr>
      </w:pPr>
      <w:proofErr w:type="spellStart"/>
      <w:r w:rsidRPr="004D5A4A">
        <w:rPr>
          <w:rFonts w:ascii="Georgia" w:hAnsi="Georgia"/>
          <w:sz w:val="18"/>
          <w:szCs w:val="20"/>
          <w:rtl/>
        </w:rPr>
        <w:t>טולוב</w:t>
      </w:r>
      <w:proofErr w:type="spellEnd"/>
      <w:r w:rsidRPr="004D5A4A">
        <w:rPr>
          <w:rFonts w:ascii="Georgia" w:hAnsi="Georgia"/>
          <w:sz w:val="18"/>
          <w:szCs w:val="20"/>
          <w:rtl/>
        </w:rPr>
        <w:t xml:space="preserve">, י' </w:t>
      </w:r>
      <w:proofErr w:type="spellStart"/>
      <w:r w:rsidRPr="004D5A4A">
        <w:rPr>
          <w:rFonts w:ascii="Georgia" w:hAnsi="Georgia"/>
          <w:sz w:val="18"/>
          <w:szCs w:val="20"/>
          <w:rtl/>
        </w:rPr>
        <w:t>ושלומאי</w:t>
      </w:r>
      <w:proofErr w:type="spellEnd"/>
      <w:r w:rsidRPr="004D5A4A">
        <w:rPr>
          <w:rFonts w:ascii="Georgia" w:hAnsi="Georgia"/>
          <w:sz w:val="18"/>
          <w:szCs w:val="20"/>
          <w:rtl/>
        </w:rPr>
        <w:t>, א' (2020). "לא בטיפול" : ‏</w:t>
      </w:r>
      <w:proofErr w:type="spellStart"/>
      <w:r w:rsidRPr="004D5A4A">
        <w:rPr>
          <w:rFonts w:ascii="Georgia" w:hAnsi="Georgia"/>
          <w:sz w:val="18"/>
          <w:szCs w:val="20"/>
          <w:rtl/>
        </w:rPr>
        <w:t>מ‏עבר</w:t>
      </w:r>
      <w:proofErr w:type="spellEnd"/>
      <w:r w:rsidRPr="004D5A4A">
        <w:rPr>
          <w:rFonts w:ascii="Georgia" w:hAnsi="Georgia"/>
          <w:sz w:val="18"/>
          <w:szCs w:val="20"/>
          <w:rtl/>
        </w:rPr>
        <w:t xml:space="preserve"> משיח טיפולי לשיח של אוטונומיה וזכויות אדם בהליך מינוי אפוטרופוס לאדם בעקבות חקיקת חוק הכשרות המשפטית והאפוטרופסות (תיקון מס' 18 ), התשע"ו-2016. </w:t>
      </w:r>
      <w:r w:rsidRPr="004D5A4A">
        <w:rPr>
          <w:rFonts w:ascii="Georgia" w:hAnsi="Georgia"/>
          <w:b/>
          <w:bCs/>
          <w:sz w:val="18"/>
          <w:szCs w:val="20"/>
          <w:rtl/>
        </w:rPr>
        <w:t>מחקרי משפט</w:t>
      </w:r>
      <w:r w:rsidRPr="004D5A4A">
        <w:rPr>
          <w:rFonts w:ascii="Georgia" w:hAnsi="Georgia"/>
          <w:sz w:val="18"/>
          <w:szCs w:val="20"/>
          <w:rtl/>
        </w:rPr>
        <w:t>,</w:t>
      </w:r>
      <w:r w:rsidRPr="004D5A4A">
        <w:rPr>
          <w:rFonts w:ascii="Georgia" w:hAnsi="Georgia"/>
          <w:b/>
          <w:bCs/>
          <w:sz w:val="18"/>
          <w:szCs w:val="20"/>
          <w:rtl/>
        </w:rPr>
        <w:t xml:space="preserve"> לב</w:t>
      </w:r>
      <w:r w:rsidRPr="004D5A4A">
        <w:rPr>
          <w:rFonts w:ascii="Georgia" w:hAnsi="Georgia"/>
          <w:sz w:val="18"/>
          <w:szCs w:val="20"/>
          <w:rtl/>
        </w:rPr>
        <w:t>(3),</w:t>
      </w:r>
      <w:r w:rsidRPr="004D5A4A">
        <w:rPr>
          <w:rFonts w:ascii="Georgia" w:hAnsi="Georgia"/>
          <w:b/>
          <w:bCs/>
          <w:sz w:val="18"/>
          <w:szCs w:val="20"/>
          <w:rtl/>
        </w:rPr>
        <w:t xml:space="preserve"> </w:t>
      </w:r>
      <w:r w:rsidRPr="004D5A4A">
        <w:rPr>
          <w:rFonts w:ascii="Georgia" w:hAnsi="Georgia"/>
          <w:sz w:val="18"/>
          <w:szCs w:val="20"/>
          <w:rtl/>
        </w:rPr>
        <w:t xml:space="preserve">1049–1094. </w:t>
      </w:r>
    </w:p>
    <w:p w14:paraId="08F16301" w14:textId="77777777" w:rsidR="0012580C" w:rsidRPr="004D5A4A" w:rsidRDefault="0012580C" w:rsidP="008C26B4">
      <w:pPr>
        <w:spacing w:after="120"/>
        <w:ind w:left="397" w:hanging="397"/>
        <w:jc w:val="both"/>
        <w:rPr>
          <w:rFonts w:ascii="Georgia" w:hAnsi="Georgia"/>
          <w:spacing w:val="-2"/>
          <w:sz w:val="18"/>
          <w:szCs w:val="20"/>
          <w:rtl/>
        </w:rPr>
      </w:pPr>
      <w:r w:rsidRPr="004D5A4A">
        <w:rPr>
          <w:rFonts w:ascii="Georgia" w:hAnsi="Georgia"/>
          <w:spacing w:val="-2"/>
          <w:sz w:val="18"/>
          <w:szCs w:val="20"/>
          <w:rtl/>
        </w:rPr>
        <w:t>רימון-</w:t>
      </w:r>
      <w:proofErr w:type="spellStart"/>
      <w:r w:rsidRPr="004D5A4A">
        <w:rPr>
          <w:rFonts w:ascii="Georgia" w:hAnsi="Georgia"/>
          <w:spacing w:val="-2"/>
          <w:sz w:val="18"/>
          <w:szCs w:val="20"/>
          <w:rtl/>
        </w:rPr>
        <w:t>גרינשפן</w:t>
      </w:r>
      <w:proofErr w:type="spellEnd"/>
      <w:r w:rsidRPr="004D5A4A">
        <w:rPr>
          <w:rFonts w:ascii="Georgia" w:hAnsi="Georgia"/>
          <w:spacing w:val="-2"/>
          <w:sz w:val="18"/>
          <w:szCs w:val="20"/>
          <w:rtl/>
        </w:rPr>
        <w:t xml:space="preserve">, ה', יאבו, מ', </w:t>
      </w:r>
      <w:proofErr w:type="spellStart"/>
      <w:r w:rsidRPr="004D5A4A">
        <w:rPr>
          <w:rFonts w:ascii="Georgia" w:hAnsi="Georgia"/>
          <w:spacing w:val="-2"/>
          <w:sz w:val="18"/>
          <w:szCs w:val="20"/>
          <w:rtl/>
        </w:rPr>
        <w:t>פורסטנברג</w:t>
      </w:r>
      <w:proofErr w:type="spellEnd"/>
      <w:r w:rsidRPr="004D5A4A">
        <w:rPr>
          <w:rFonts w:ascii="Georgia" w:hAnsi="Georgia"/>
          <w:spacing w:val="-2"/>
          <w:sz w:val="18"/>
          <w:szCs w:val="20"/>
          <w:rtl/>
        </w:rPr>
        <w:t xml:space="preserve">-נמר, ר' </w:t>
      </w:r>
      <w:proofErr w:type="spellStart"/>
      <w:r w:rsidRPr="004D5A4A">
        <w:rPr>
          <w:rFonts w:ascii="Georgia" w:hAnsi="Georgia"/>
          <w:spacing w:val="-2"/>
          <w:sz w:val="18"/>
          <w:szCs w:val="20"/>
          <w:rtl/>
        </w:rPr>
        <w:t>וריבקין</w:t>
      </w:r>
      <w:proofErr w:type="spellEnd"/>
      <w:r w:rsidRPr="004D5A4A">
        <w:rPr>
          <w:rFonts w:ascii="Georgia" w:hAnsi="Georgia"/>
          <w:spacing w:val="-2"/>
          <w:sz w:val="18"/>
          <w:szCs w:val="20"/>
          <w:rtl/>
        </w:rPr>
        <w:t xml:space="preserve">, ד' (2020). </w:t>
      </w:r>
      <w:r w:rsidRPr="004D5A4A">
        <w:rPr>
          <w:rFonts w:ascii="Georgia" w:hAnsi="Georgia"/>
          <w:b/>
          <w:bCs/>
          <w:spacing w:val="-2"/>
          <w:sz w:val="18"/>
          <w:szCs w:val="20"/>
          <w:rtl/>
        </w:rPr>
        <w:t>קבלת החלטות נתמכת: היבטים יישומיים, הגנות ופיקוח ותמיכה מיטבית – סקירה בין-לאומית</w:t>
      </w:r>
      <w:r w:rsidRPr="004D5A4A">
        <w:rPr>
          <w:rFonts w:ascii="Georgia" w:hAnsi="Georgia"/>
          <w:spacing w:val="-2"/>
          <w:sz w:val="18"/>
          <w:szCs w:val="20"/>
          <w:rtl/>
        </w:rPr>
        <w:t xml:space="preserve">. מכון </w:t>
      </w:r>
      <w:proofErr w:type="spellStart"/>
      <w:r w:rsidRPr="004D5A4A">
        <w:rPr>
          <w:rFonts w:ascii="Georgia" w:hAnsi="Georgia"/>
          <w:spacing w:val="-2"/>
          <w:sz w:val="18"/>
          <w:szCs w:val="20"/>
          <w:rtl/>
        </w:rPr>
        <w:t>מאיירס</w:t>
      </w:r>
      <w:proofErr w:type="spellEnd"/>
      <w:r w:rsidRPr="004D5A4A">
        <w:rPr>
          <w:rFonts w:ascii="Georgia" w:hAnsi="Georgia"/>
          <w:spacing w:val="-2"/>
          <w:sz w:val="18"/>
          <w:szCs w:val="20"/>
          <w:rtl/>
        </w:rPr>
        <w:t>-ג'וינט-</w:t>
      </w:r>
      <w:proofErr w:type="spellStart"/>
      <w:r w:rsidRPr="004D5A4A">
        <w:rPr>
          <w:rFonts w:ascii="Georgia" w:hAnsi="Georgia"/>
          <w:spacing w:val="-2"/>
          <w:sz w:val="18"/>
          <w:szCs w:val="20"/>
          <w:rtl/>
        </w:rPr>
        <w:t>ברוקדייל</w:t>
      </w:r>
      <w:proofErr w:type="spellEnd"/>
      <w:r w:rsidRPr="004D5A4A">
        <w:rPr>
          <w:rFonts w:ascii="Georgia" w:hAnsi="Georgia"/>
          <w:spacing w:val="-2"/>
          <w:sz w:val="18"/>
          <w:szCs w:val="20"/>
          <w:rtl/>
        </w:rPr>
        <w:t xml:space="preserve">. </w:t>
      </w:r>
    </w:p>
    <w:p w14:paraId="2F6FD928" w14:textId="77777777" w:rsidR="0012580C" w:rsidRPr="004D5A4A" w:rsidRDefault="0012580C" w:rsidP="008C26B4">
      <w:pPr>
        <w:bidi w:val="0"/>
        <w:spacing w:after="120"/>
        <w:ind w:left="397" w:hanging="397"/>
        <w:jc w:val="both"/>
        <w:rPr>
          <w:rFonts w:ascii="Georgia" w:hAnsi="Georgia"/>
          <w:sz w:val="18"/>
          <w:szCs w:val="20"/>
        </w:rPr>
      </w:pPr>
      <w:proofErr w:type="spellStart"/>
      <w:r w:rsidRPr="004D5A4A">
        <w:rPr>
          <w:rFonts w:ascii="Georgia" w:hAnsi="Georgia"/>
          <w:sz w:val="18"/>
          <w:szCs w:val="20"/>
        </w:rPr>
        <w:lastRenderedPageBreak/>
        <w:t>Arstein</w:t>
      </w:r>
      <w:proofErr w:type="spellEnd"/>
      <w:r w:rsidRPr="004D5A4A">
        <w:rPr>
          <w:rFonts w:ascii="Georgia" w:hAnsi="Georgia"/>
          <w:sz w:val="18"/>
          <w:szCs w:val="20"/>
        </w:rPr>
        <w:t xml:space="preserve">-Kerslake, A. (2017). </w:t>
      </w:r>
      <w:r w:rsidRPr="004D5A4A">
        <w:rPr>
          <w:rFonts w:ascii="Georgia" w:hAnsi="Georgia"/>
          <w:i/>
          <w:iCs/>
          <w:sz w:val="18"/>
          <w:szCs w:val="20"/>
        </w:rPr>
        <w:t>Restoring voice to people with cognitive disabilities</w:t>
      </w:r>
      <w:r w:rsidRPr="004D5A4A">
        <w:rPr>
          <w:rFonts w:ascii="Georgia" w:hAnsi="Georgia"/>
          <w:sz w:val="18"/>
          <w:szCs w:val="20"/>
        </w:rPr>
        <w:t>. Cambridge University Press</w:t>
      </w:r>
      <w:r w:rsidRPr="004D5A4A">
        <w:rPr>
          <w:rFonts w:ascii="Georgia" w:hAnsi="Georgia"/>
          <w:sz w:val="18"/>
          <w:szCs w:val="20"/>
          <w:rtl/>
        </w:rPr>
        <w:t>.</w:t>
      </w:r>
    </w:p>
    <w:p w14:paraId="1B09C012" w14:textId="77777777"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Bach, M. (2017). Inclusive citizenship: Refusing the construction of “cognitive foreigners” in neo-liberal times. </w:t>
      </w:r>
      <w:r w:rsidRPr="004D5A4A">
        <w:rPr>
          <w:rFonts w:ascii="Georgia" w:hAnsi="Georgia"/>
          <w:i/>
          <w:iCs/>
          <w:sz w:val="18"/>
          <w:szCs w:val="20"/>
        </w:rPr>
        <w:t>Research and Practice in Intellectual and Developmental Disabilities</w:t>
      </w:r>
      <w:r w:rsidRPr="004D5A4A">
        <w:rPr>
          <w:rFonts w:ascii="Georgia" w:hAnsi="Georgia"/>
          <w:sz w:val="18"/>
          <w:szCs w:val="20"/>
        </w:rPr>
        <w:t>,</w:t>
      </w:r>
      <w:r w:rsidRPr="004D5A4A">
        <w:rPr>
          <w:rFonts w:ascii="Georgia" w:hAnsi="Georgia"/>
          <w:i/>
          <w:iCs/>
          <w:sz w:val="18"/>
          <w:szCs w:val="20"/>
        </w:rPr>
        <w:t xml:space="preserve"> 4</w:t>
      </w:r>
      <w:r w:rsidRPr="004D5A4A">
        <w:rPr>
          <w:rFonts w:ascii="Georgia" w:hAnsi="Georgia"/>
          <w:sz w:val="18"/>
          <w:szCs w:val="20"/>
        </w:rPr>
        <w:t>, 4</w:t>
      </w:r>
      <w:r w:rsidRPr="004D5A4A">
        <w:rPr>
          <w:rFonts w:ascii="Georgia" w:hAnsi="Georgia"/>
          <w:sz w:val="18"/>
          <w:szCs w:val="20"/>
          <w:rtl/>
        </w:rPr>
        <w:t>–</w:t>
      </w:r>
      <w:r w:rsidRPr="004D5A4A">
        <w:rPr>
          <w:rFonts w:ascii="Georgia" w:hAnsi="Georgia"/>
          <w:sz w:val="18"/>
          <w:szCs w:val="20"/>
        </w:rPr>
        <w:t xml:space="preserve">25. </w:t>
      </w:r>
    </w:p>
    <w:p w14:paraId="70EAAB6B" w14:textId="610B666D" w:rsidR="0012580C" w:rsidRPr="004D5A4A" w:rsidRDefault="008C26B4" w:rsidP="008C26B4">
      <w:pPr>
        <w:bidi w:val="0"/>
        <w:spacing w:after="120"/>
        <w:ind w:left="397" w:hanging="397"/>
        <w:jc w:val="both"/>
        <w:rPr>
          <w:rFonts w:ascii="Georgia" w:hAnsi="Georgia"/>
          <w:color w:val="333333"/>
          <w:sz w:val="18"/>
          <w:szCs w:val="20"/>
        </w:rPr>
      </w:pPr>
      <w:r>
        <w:rPr>
          <w:rFonts w:ascii="Georgia" w:hAnsi="Georgia"/>
          <w:sz w:val="18"/>
          <w:szCs w:val="20"/>
        </w:rPr>
        <w:tab/>
      </w:r>
      <w:hyperlink w:history="1">
        <w:r w:rsidRPr="00B32C87">
          <w:rPr>
            <w:rStyle w:val="Hyperlink"/>
            <w:rFonts w:ascii="Georgia" w:hAnsi="Georgia"/>
            <w:sz w:val="18"/>
            <w:szCs w:val="20"/>
          </w:rPr>
          <w:t>https://doi.org/10.1080/23297018.2017.1306794</w:t>
        </w:r>
      </w:hyperlink>
    </w:p>
    <w:p w14:paraId="75BF2A8B"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Barnes, C. (2018). Theories of disability and the origins of the oppression of disabled people in western society. In L. Barton (Ed.), </w:t>
      </w:r>
      <w:r w:rsidRPr="004D5A4A">
        <w:rPr>
          <w:rFonts w:ascii="Georgia" w:hAnsi="Georgia"/>
          <w:i/>
          <w:iCs/>
          <w:sz w:val="18"/>
          <w:szCs w:val="20"/>
        </w:rPr>
        <w:t>Disability and society: Emerging issues and insights</w:t>
      </w:r>
      <w:r w:rsidRPr="004D5A4A">
        <w:rPr>
          <w:rFonts w:ascii="Georgia" w:hAnsi="Georgia"/>
          <w:sz w:val="18"/>
          <w:szCs w:val="20"/>
        </w:rPr>
        <w:t xml:space="preserve"> (pp. 43</w:t>
      </w:r>
      <w:r w:rsidRPr="004D5A4A">
        <w:rPr>
          <w:rFonts w:ascii="Georgia" w:hAnsi="Georgia"/>
          <w:sz w:val="18"/>
          <w:szCs w:val="20"/>
          <w:rtl/>
        </w:rPr>
        <w:t>–</w:t>
      </w:r>
      <w:r w:rsidRPr="004D5A4A">
        <w:rPr>
          <w:rFonts w:ascii="Georgia" w:hAnsi="Georgia"/>
          <w:sz w:val="18"/>
          <w:szCs w:val="20"/>
        </w:rPr>
        <w:t>60). Routledge.</w:t>
      </w:r>
    </w:p>
    <w:p w14:paraId="65078759" w14:textId="77777777"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Browning, M., Bigby, C., &amp; Douglas, J. (2014). Supported decision making: Understanding how its conceptual link to legal capacity is influencing the development of practice. </w:t>
      </w:r>
      <w:r w:rsidRPr="004D5A4A">
        <w:rPr>
          <w:rFonts w:ascii="Georgia" w:hAnsi="Georgia"/>
          <w:i/>
          <w:iCs/>
          <w:sz w:val="18"/>
          <w:szCs w:val="20"/>
        </w:rPr>
        <w:t>Research and Practice in Intellectual and Developmental Disabilities</w:t>
      </w:r>
      <w:r w:rsidRPr="004D5A4A">
        <w:rPr>
          <w:rFonts w:ascii="Georgia" w:hAnsi="Georgia"/>
          <w:sz w:val="18"/>
          <w:szCs w:val="20"/>
        </w:rPr>
        <w:t xml:space="preserve">, </w:t>
      </w:r>
      <w:r w:rsidRPr="004D5A4A">
        <w:rPr>
          <w:rFonts w:ascii="Georgia" w:hAnsi="Georgia"/>
          <w:i/>
          <w:iCs/>
          <w:sz w:val="18"/>
          <w:szCs w:val="20"/>
        </w:rPr>
        <w:t>1</w:t>
      </w:r>
      <w:r w:rsidRPr="004D5A4A">
        <w:rPr>
          <w:rFonts w:ascii="Georgia" w:hAnsi="Georgia"/>
          <w:sz w:val="18"/>
          <w:szCs w:val="20"/>
        </w:rPr>
        <w:t>, 34</w:t>
      </w:r>
      <w:r w:rsidRPr="004D5A4A">
        <w:rPr>
          <w:rFonts w:ascii="Georgia" w:hAnsi="Georgia"/>
          <w:sz w:val="18"/>
          <w:szCs w:val="20"/>
          <w:rtl/>
        </w:rPr>
        <w:t>–</w:t>
      </w:r>
      <w:r w:rsidRPr="004D5A4A">
        <w:rPr>
          <w:rFonts w:ascii="Georgia" w:hAnsi="Georgia"/>
          <w:sz w:val="18"/>
          <w:szCs w:val="20"/>
        </w:rPr>
        <w:t>45</w:t>
      </w:r>
      <w:r w:rsidRPr="004D5A4A">
        <w:rPr>
          <w:rFonts w:ascii="Georgia" w:hAnsi="Georgia"/>
          <w:sz w:val="18"/>
          <w:szCs w:val="20"/>
          <w:rtl/>
        </w:rPr>
        <w:t>.</w:t>
      </w:r>
      <w:r w:rsidRPr="004D5A4A">
        <w:rPr>
          <w:rFonts w:ascii="Georgia" w:hAnsi="Georgia"/>
          <w:sz w:val="18"/>
          <w:szCs w:val="20"/>
        </w:rPr>
        <w:t xml:space="preserve"> </w:t>
      </w:r>
    </w:p>
    <w:p w14:paraId="41D00E4F" w14:textId="2C58EEDC" w:rsidR="0012580C" w:rsidRPr="004D5A4A" w:rsidRDefault="008C26B4" w:rsidP="008C26B4">
      <w:pPr>
        <w:bidi w:val="0"/>
        <w:spacing w:after="120"/>
        <w:ind w:left="397" w:hanging="397"/>
        <w:jc w:val="both"/>
        <w:rPr>
          <w:rFonts w:ascii="Georgia" w:hAnsi="Georgia"/>
          <w:color w:val="333333"/>
          <w:sz w:val="18"/>
          <w:szCs w:val="20"/>
        </w:rPr>
      </w:pPr>
      <w:r>
        <w:rPr>
          <w:rFonts w:ascii="Georgia" w:hAnsi="Georgia"/>
          <w:sz w:val="18"/>
          <w:szCs w:val="20"/>
        </w:rPr>
        <w:tab/>
      </w:r>
      <w:hyperlink w:history="1">
        <w:r w:rsidRPr="00B32C87">
          <w:rPr>
            <w:rStyle w:val="Hyperlink"/>
            <w:rFonts w:ascii="Georgia" w:hAnsi="Georgia"/>
            <w:sz w:val="18"/>
            <w:szCs w:val="20"/>
          </w:rPr>
          <w:t>https://doi.org/10.1080/23297018.2014.902726</w:t>
        </w:r>
      </w:hyperlink>
    </w:p>
    <w:p w14:paraId="65C1B142"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Campbell, F. (2009). </w:t>
      </w:r>
      <w:r w:rsidRPr="004D5A4A">
        <w:rPr>
          <w:rFonts w:ascii="Georgia" w:hAnsi="Georgia"/>
          <w:i/>
          <w:iCs/>
          <w:sz w:val="18"/>
          <w:szCs w:val="20"/>
        </w:rPr>
        <w:t xml:space="preserve">Contours of ableism: The production of disability and </w:t>
      </w:r>
      <w:proofErr w:type="spellStart"/>
      <w:r w:rsidRPr="004D5A4A">
        <w:rPr>
          <w:rFonts w:ascii="Georgia" w:hAnsi="Georgia"/>
          <w:i/>
          <w:iCs/>
          <w:sz w:val="18"/>
          <w:szCs w:val="20"/>
        </w:rPr>
        <w:t>abledness</w:t>
      </w:r>
      <w:proofErr w:type="spellEnd"/>
      <w:r w:rsidRPr="004D5A4A">
        <w:rPr>
          <w:rFonts w:ascii="Georgia" w:hAnsi="Georgia"/>
          <w:i/>
          <w:iCs/>
          <w:sz w:val="18"/>
          <w:szCs w:val="20"/>
        </w:rPr>
        <w:t>.</w:t>
      </w:r>
      <w:r w:rsidRPr="004D5A4A">
        <w:rPr>
          <w:rFonts w:ascii="Georgia" w:hAnsi="Georgia"/>
          <w:sz w:val="18"/>
          <w:szCs w:val="20"/>
        </w:rPr>
        <w:t xml:space="preserve"> Springer.</w:t>
      </w:r>
    </w:p>
    <w:p w14:paraId="52BA1288" w14:textId="77777777"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t xml:space="preserve">Charlton, J. I. (1998). </w:t>
      </w:r>
      <w:r w:rsidRPr="004D5A4A">
        <w:rPr>
          <w:rFonts w:ascii="Georgia" w:hAnsi="Georgia"/>
          <w:i/>
          <w:iCs/>
          <w:sz w:val="18"/>
          <w:szCs w:val="20"/>
        </w:rPr>
        <w:t>Nothing about us without us: Disability oppression and empowerment</w:t>
      </w:r>
      <w:r w:rsidRPr="004D5A4A">
        <w:rPr>
          <w:rFonts w:ascii="Georgia" w:hAnsi="Georgia"/>
          <w:sz w:val="18"/>
          <w:szCs w:val="20"/>
        </w:rPr>
        <w:t>. University of California Press.</w:t>
      </w:r>
    </w:p>
    <w:p w14:paraId="4765D847"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Cohen, N. (2017). Modern guardianship in historical perspective</w:t>
      </w:r>
      <w:r w:rsidRPr="004D5A4A">
        <w:rPr>
          <w:rFonts w:ascii="Georgia" w:hAnsi="Georgia"/>
          <w:sz w:val="18"/>
          <w:szCs w:val="20"/>
          <w:rtl/>
        </w:rPr>
        <w:t>.</w:t>
      </w:r>
      <w:r w:rsidRPr="004D5A4A">
        <w:rPr>
          <w:rFonts w:ascii="Georgia" w:hAnsi="Georgia"/>
          <w:sz w:val="18"/>
          <w:szCs w:val="20"/>
        </w:rPr>
        <w:t xml:space="preserve"> In U. Yiftach &amp; M. Faraguna (Eds.), </w:t>
      </w:r>
      <w:r w:rsidRPr="004D5A4A">
        <w:rPr>
          <w:rFonts w:ascii="Georgia" w:hAnsi="Georgia"/>
          <w:i/>
          <w:iCs/>
          <w:sz w:val="18"/>
          <w:szCs w:val="20"/>
        </w:rPr>
        <w:t>Ancient societies vi. ancient guardianship: Legal incapacities in the ancient world</w:t>
      </w:r>
      <w:r w:rsidRPr="004D5A4A">
        <w:rPr>
          <w:rFonts w:ascii="Georgia" w:hAnsi="Georgia"/>
          <w:sz w:val="18"/>
          <w:szCs w:val="20"/>
        </w:rPr>
        <w:t xml:space="preserve"> (pp. 11</w:t>
      </w:r>
      <w:r w:rsidRPr="004D5A4A">
        <w:rPr>
          <w:rFonts w:ascii="Georgia" w:hAnsi="Georgia"/>
          <w:sz w:val="18"/>
          <w:szCs w:val="20"/>
          <w:rtl/>
        </w:rPr>
        <w:t>–</w:t>
      </w:r>
      <w:r w:rsidRPr="004D5A4A">
        <w:rPr>
          <w:rFonts w:ascii="Georgia" w:hAnsi="Georgia"/>
          <w:sz w:val="18"/>
          <w:szCs w:val="20"/>
        </w:rPr>
        <w:t xml:space="preserve">27). EUT </w:t>
      </w:r>
      <w:proofErr w:type="spellStart"/>
      <w:r w:rsidRPr="004D5A4A">
        <w:rPr>
          <w:rFonts w:ascii="Georgia" w:hAnsi="Georgia"/>
          <w:sz w:val="18"/>
          <w:szCs w:val="20"/>
        </w:rPr>
        <w:t>Edizioni</w:t>
      </w:r>
      <w:proofErr w:type="spellEnd"/>
      <w:r w:rsidRPr="004D5A4A">
        <w:rPr>
          <w:rFonts w:ascii="Georgia" w:hAnsi="Georgia"/>
          <w:sz w:val="18"/>
          <w:szCs w:val="20"/>
        </w:rPr>
        <w:t xml:space="preserve"> Università di Trieste. </w:t>
      </w:r>
    </w:p>
    <w:p w14:paraId="2926F2B6"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Fiala-Butora J., &amp; Stein, M. A. (2016). The law </w:t>
      </w:r>
      <w:proofErr w:type="gramStart"/>
      <w:r w:rsidRPr="004D5A4A">
        <w:rPr>
          <w:rFonts w:ascii="Georgia" w:hAnsi="Georgia"/>
          <w:sz w:val="18"/>
          <w:szCs w:val="20"/>
        </w:rPr>
        <w:t>as</w:t>
      </w:r>
      <w:proofErr w:type="gramEnd"/>
      <w:r w:rsidRPr="004D5A4A">
        <w:rPr>
          <w:rFonts w:ascii="Georgia" w:hAnsi="Georgia"/>
          <w:sz w:val="18"/>
          <w:szCs w:val="20"/>
        </w:rPr>
        <w:t xml:space="preserve"> a source of stigma or empowerment: Legal capacity and persons with intellectual disabilities. In K. </w:t>
      </w:r>
      <w:proofErr w:type="spellStart"/>
      <w:r w:rsidRPr="004D5A4A">
        <w:rPr>
          <w:rFonts w:ascii="Georgia" w:hAnsi="Georgia"/>
          <w:sz w:val="18"/>
          <w:szCs w:val="20"/>
        </w:rPr>
        <w:t>Scior</w:t>
      </w:r>
      <w:proofErr w:type="spellEnd"/>
      <w:r w:rsidRPr="004D5A4A">
        <w:rPr>
          <w:rFonts w:ascii="Georgia" w:hAnsi="Georgia"/>
          <w:sz w:val="18"/>
          <w:szCs w:val="20"/>
        </w:rPr>
        <w:t xml:space="preserve"> &amp; S. Werner (Eds.), </w:t>
      </w:r>
      <w:r w:rsidRPr="004D5A4A">
        <w:rPr>
          <w:rFonts w:ascii="Georgia" w:hAnsi="Georgia"/>
          <w:i/>
          <w:iCs/>
          <w:sz w:val="18"/>
          <w:szCs w:val="20"/>
        </w:rPr>
        <w:t>Intellectual disability and stigma: Stepping out from the margins</w:t>
      </w:r>
      <w:r w:rsidRPr="004D5A4A">
        <w:rPr>
          <w:rFonts w:ascii="Georgia" w:hAnsi="Georgia"/>
          <w:sz w:val="18"/>
          <w:szCs w:val="20"/>
        </w:rPr>
        <w:t xml:space="preserve"> (pp. 195</w:t>
      </w:r>
      <w:r w:rsidRPr="004D5A4A">
        <w:rPr>
          <w:rFonts w:ascii="Georgia" w:hAnsi="Georgia"/>
          <w:sz w:val="18"/>
          <w:szCs w:val="20"/>
          <w:rtl/>
        </w:rPr>
        <w:t>–</w:t>
      </w:r>
      <w:r w:rsidRPr="004D5A4A">
        <w:rPr>
          <w:rFonts w:ascii="Georgia" w:hAnsi="Georgia"/>
          <w:sz w:val="18"/>
          <w:szCs w:val="20"/>
        </w:rPr>
        <w:t>207)</w:t>
      </w:r>
      <w:r w:rsidRPr="004D5A4A">
        <w:rPr>
          <w:rFonts w:ascii="Georgia" w:hAnsi="Georgia"/>
          <w:sz w:val="18"/>
          <w:szCs w:val="20"/>
          <w:rtl/>
        </w:rPr>
        <w:t>.</w:t>
      </w:r>
      <w:r w:rsidRPr="004D5A4A">
        <w:rPr>
          <w:rFonts w:ascii="Georgia" w:hAnsi="Georgia"/>
          <w:sz w:val="18"/>
          <w:szCs w:val="20"/>
        </w:rPr>
        <w:t xml:space="preserve"> Palgrave Macmillan. </w:t>
      </w:r>
    </w:p>
    <w:p w14:paraId="5639FE91" w14:textId="2E70BE15"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t xml:space="preserve">Glen, K. B. (2012). Changing paradigms: Mental capacity, legal capacity guardianship, and beyond. </w:t>
      </w:r>
      <w:r w:rsidRPr="004D5A4A">
        <w:rPr>
          <w:rFonts w:ascii="Georgia" w:hAnsi="Georgia"/>
          <w:i/>
          <w:iCs/>
          <w:sz w:val="18"/>
          <w:szCs w:val="20"/>
        </w:rPr>
        <w:t>Columbia Human Rights Law Review</w:t>
      </w:r>
      <w:r w:rsidRPr="004D5A4A">
        <w:rPr>
          <w:rFonts w:ascii="Georgia" w:hAnsi="Georgia"/>
          <w:sz w:val="18"/>
          <w:szCs w:val="20"/>
        </w:rPr>
        <w:t>,</w:t>
      </w:r>
      <w:r w:rsidRPr="004D5A4A">
        <w:rPr>
          <w:rFonts w:ascii="Georgia" w:hAnsi="Georgia"/>
          <w:i/>
          <w:iCs/>
          <w:sz w:val="18"/>
          <w:szCs w:val="20"/>
        </w:rPr>
        <w:t xml:space="preserve"> 44</w:t>
      </w:r>
      <w:r w:rsidRPr="004D5A4A">
        <w:rPr>
          <w:rFonts w:ascii="Georgia" w:hAnsi="Georgia"/>
          <w:sz w:val="18"/>
          <w:szCs w:val="20"/>
        </w:rPr>
        <w:t xml:space="preserve">, </w:t>
      </w:r>
      <w:r w:rsidR="00542992">
        <w:rPr>
          <w:rFonts w:ascii="Georgia" w:hAnsi="Georgia"/>
          <w:sz w:val="18"/>
          <w:szCs w:val="20"/>
        </w:rPr>
        <w:br/>
      </w:r>
      <w:r w:rsidRPr="004D5A4A">
        <w:rPr>
          <w:rFonts w:ascii="Georgia" w:hAnsi="Georgia"/>
          <w:sz w:val="18"/>
          <w:szCs w:val="20"/>
        </w:rPr>
        <w:t>93</w:t>
      </w:r>
      <w:r w:rsidRPr="004D5A4A">
        <w:rPr>
          <w:rFonts w:ascii="Georgia" w:hAnsi="Georgia"/>
          <w:sz w:val="18"/>
          <w:szCs w:val="20"/>
          <w:rtl/>
        </w:rPr>
        <w:t>–</w:t>
      </w:r>
      <w:r w:rsidRPr="004D5A4A">
        <w:rPr>
          <w:rFonts w:ascii="Georgia" w:hAnsi="Georgia"/>
          <w:sz w:val="18"/>
          <w:szCs w:val="20"/>
        </w:rPr>
        <w:t>169.</w:t>
      </w:r>
    </w:p>
    <w:p w14:paraId="2E6855AF" w14:textId="77AAA40D" w:rsidR="008C26B4" w:rsidRDefault="0012580C" w:rsidP="008C26B4">
      <w:pPr>
        <w:keepNext/>
        <w:keepLines/>
        <w:bidi w:val="0"/>
        <w:ind w:left="397" w:hanging="397"/>
        <w:jc w:val="both"/>
        <w:rPr>
          <w:rFonts w:ascii="Georgia" w:hAnsi="Georgia"/>
          <w:sz w:val="18"/>
          <w:szCs w:val="20"/>
        </w:rPr>
      </w:pPr>
      <w:r w:rsidRPr="004D5A4A">
        <w:rPr>
          <w:rFonts w:ascii="Georgia" w:hAnsi="Georgia"/>
          <w:sz w:val="18"/>
          <w:szCs w:val="20"/>
        </w:rPr>
        <w:t xml:space="preserve">Holler, R., &amp; Werner, S. (2022). </w:t>
      </w:r>
      <w:r w:rsidRPr="004D5A4A">
        <w:rPr>
          <w:rFonts w:ascii="Georgia" w:hAnsi="Georgia"/>
          <w:color w:val="222222"/>
          <w:sz w:val="18"/>
          <w:szCs w:val="20"/>
          <w:shd w:val="clear" w:color="auto" w:fill="FFFFFF"/>
        </w:rPr>
        <w:t>“</w:t>
      </w:r>
      <w:r w:rsidRPr="004D5A4A">
        <w:rPr>
          <w:rFonts w:ascii="Georgia" w:hAnsi="Georgia"/>
          <w:sz w:val="18"/>
          <w:szCs w:val="20"/>
        </w:rPr>
        <w:t>Necessity is neither condemned nor praised</w:t>
      </w:r>
      <w:r w:rsidRPr="004D5A4A">
        <w:rPr>
          <w:rFonts w:ascii="Georgia" w:hAnsi="Georgia"/>
          <w:color w:val="222222"/>
          <w:sz w:val="18"/>
          <w:szCs w:val="20"/>
          <w:shd w:val="clear" w:color="auto" w:fill="FFFFFF"/>
        </w:rPr>
        <w:t>”</w:t>
      </w:r>
      <w:r w:rsidRPr="004D5A4A">
        <w:rPr>
          <w:rFonts w:ascii="Georgia" w:hAnsi="Georgia"/>
          <w:sz w:val="18"/>
          <w:szCs w:val="20"/>
        </w:rPr>
        <w:t xml:space="preserve">: Social workers’ meanings of guardianship for disabled people. </w:t>
      </w:r>
      <w:r w:rsidRPr="004D5A4A">
        <w:rPr>
          <w:rFonts w:ascii="Georgia" w:hAnsi="Georgia"/>
          <w:i/>
          <w:iCs/>
          <w:sz w:val="18"/>
          <w:szCs w:val="20"/>
        </w:rPr>
        <w:t>The British Journal of Social Work</w:t>
      </w:r>
      <w:r w:rsidRPr="004D5A4A">
        <w:rPr>
          <w:rFonts w:ascii="Georgia" w:hAnsi="Georgia"/>
          <w:sz w:val="18"/>
          <w:szCs w:val="20"/>
        </w:rPr>
        <w:t>,</w:t>
      </w:r>
      <w:r w:rsidRPr="004D5A4A">
        <w:rPr>
          <w:rFonts w:ascii="Georgia" w:hAnsi="Georgia"/>
          <w:i/>
          <w:iCs/>
          <w:sz w:val="18"/>
          <w:szCs w:val="20"/>
        </w:rPr>
        <w:t xml:space="preserve"> 52</w:t>
      </w:r>
      <w:r w:rsidRPr="004D5A4A">
        <w:rPr>
          <w:rFonts w:ascii="Georgia" w:hAnsi="Georgia"/>
          <w:sz w:val="18"/>
          <w:szCs w:val="20"/>
        </w:rPr>
        <w:t>(1), 98</w:t>
      </w:r>
      <w:r w:rsidRPr="004D5A4A">
        <w:rPr>
          <w:rFonts w:ascii="Georgia" w:hAnsi="Georgia"/>
          <w:sz w:val="18"/>
          <w:szCs w:val="20"/>
          <w:rtl/>
        </w:rPr>
        <w:t>–</w:t>
      </w:r>
      <w:r w:rsidRPr="004D5A4A">
        <w:rPr>
          <w:rFonts w:ascii="Georgia" w:hAnsi="Georgia"/>
          <w:sz w:val="18"/>
          <w:szCs w:val="20"/>
        </w:rPr>
        <w:t xml:space="preserve">115. </w:t>
      </w:r>
    </w:p>
    <w:p w14:paraId="09E7E156" w14:textId="251C3993" w:rsidR="0012580C" w:rsidRPr="004D5A4A" w:rsidRDefault="008C26B4" w:rsidP="008C26B4">
      <w:pPr>
        <w:bidi w:val="0"/>
        <w:spacing w:after="120"/>
        <w:ind w:left="397" w:hanging="397"/>
        <w:jc w:val="both"/>
        <w:rPr>
          <w:rFonts w:ascii="Georgia" w:hAnsi="Georgia"/>
          <w:sz w:val="18"/>
          <w:szCs w:val="20"/>
        </w:rPr>
      </w:pPr>
      <w:r>
        <w:rPr>
          <w:rFonts w:ascii="Georgia" w:hAnsi="Georgia"/>
          <w:sz w:val="18"/>
          <w:szCs w:val="20"/>
        </w:rPr>
        <w:tab/>
      </w:r>
      <w:hyperlink w:history="1">
        <w:r w:rsidRPr="00B32C87">
          <w:rPr>
            <w:rStyle w:val="Hyperlink"/>
            <w:rFonts w:ascii="Georgia" w:hAnsi="Georgia"/>
            <w:sz w:val="18"/>
            <w:szCs w:val="20"/>
            <w:shd w:val="clear" w:color="auto" w:fill="FFFFFF"/>
          </w:rPr>
          <w:t>https://doi.org/10.1093/bjsw/bcaa208</w:t>
        </w:r>
      </w:hyperlink>
    </w:p>
    <w:p w14:paraId="1FBC5FDC" w14:textId="77777777" w:rsidR="0012580C" w:rsidRPr="004D5A4A" w:rsidRDefault="0012580C" w:rsidP="008C26B4">
      <w:pPr>
        <w:pStyle w:val="CommentText"/>
        <w:bidi w:val="0"/>
        <w:spacing w:after="120" w:line="240" w:lineRule="exact"/>
        <w:ind w:left="397" w:hanging="397"/>
        <w:jc w:val="both"/>
        <w:rPr>
          <w:rFonts w:ascii="Georgia" w:hAnsi="Georgia" w:cs="David"/>
          <w:color w:val="222222"/>
          <w:sz w:val="18"/>
          <w:shd w:val="clear" w:color="auto" w:fill="FFFFFF"/>
        </w:rPr>
      </w:pPr>
      <w:r w:rsidRPr="004D5A4A">
        <w:rPr>
          <w:rFonts w:ascii="Georgia" w:hAnsi="Georgia" w:cs="David"/>
          <w:color w:val="222222"/>
          <w:sz w:val="18"/>
          <w:highlight w:val="white"/>
        </w:rPr>
        <w:t xml:space="preserve">Holler, R., Werner, S., </w:t>
      </w:r>
      <w:proofErr w:type="spellStart"/>
      <w:r w:rsidRPr="004D5A4A">
        <w:rPr>
          <w:rFonts w:ascii="Georgia" w:hAnsi="Georgia" w:cs="David"/>
          <w:color w:val="222222"/>
          <w:sz w:val="18"/>
          <w:highlight w:val="white"/>
        </w:rPr>
        <w:t>Tolub</w:t>
      </w:r>
      <w:proofErr w:type="spellEnd"/>
      <w:r w:rsidRPr="004D5A4A">
        <w:rPr>
          <w:rFonts w:ascii="Georgia" w:hAnsi="Georgia" w:cs="David"/>
          <w:color w:val="222222"/>
          <w:sz w:val="18"/>
          <w:highlight w:val="white"/>
        </w:rPr>
        <w:t>, Y., &amp; Pomerantz, M. (2020). Choice within the Israeli welfare state: Lessons learned from legal capacity and housing services. In</w:t>
      </w:r>
      <w:r w:rsidRPr="004D5A4A">
        <w:rPr>
          <w:rFonts w:ascii="Georgia" w:hAnsi="Georgia" w:cs="David"/>
          <w:i/>
          <w:iCs/>
          <w:color w:val="222222"/>
          <w:sz w:val="18"/>
          <w:highlight w:val="white"/>
        </w:rPr>
        <w:t xml:space="preserve"> </w:t>
      </w:r>
      <w:r w:rsidRPr="004D5A4A">
        <w:rPr>
          <w:rFonts w:ascii="Georgia" w:hAnsi="Georgia" w:cs="David"/>
          <w:color w:val="222222"/>
          <w:sz w:val="18"/>
          <w:shd w:val="clear" w:color="auto" w:fill="FFFFFF"/>
        </w:rPr>
        <w:t>O. J. Stancliffe, M. L. Wehmeyer, K. A. Shogren, &amp; B. H. Abery</w:t>
      </w:r>
      <w:r w:rsidRPr="004D5A4A">
        <w:rPr>
          <w:rFonts w:ascii="Georgia" w:hAnsi="Georgia" w:cs="David"/>
          <w:color w:val="222222"/>
          <w:sz w:val="18"/>
          <w:highlight w:val="white"/>
        </w:rPr>
        <w:t xml:space="preserve"> (Eds.), </w:t>
      </w:r>
      <w:r w:rsidRPr="004D5A4A">
        <w:rPr>
          <w:rFonts w:ascii="Georgia" w:hAnsi="Georgia" w:cs="David"/>
          <w:i/>
          <w:iCs/>
          <w:color w:val="222222"/>
          <w:sz w:val="18"/>
          <w:highlight w:val="white"/>
        </w:rPr>
        <w:t>Choice, preference, and disability: Promoting self-determination across the lifespan</w:t>
      </w:r>
      <w:r w:rsidRPr="004D5A4A">
        <w:rPr>
          <w:rFonts w:ascii="Georgia" w:hAnsi="Georgia" w:cs="David"/>
          <w:color w:val="222222"/>
          <w:sz w:val="18"/>
          <w:highlight w:val="white"/>
        </w:rPr>
        <w:t xml:space="preserve"> (pp. 87</w:t>
      </w:r>
      <w:r w:rsidRPr="004D5A4A">
        <w:rPr>
          <w:rFonts w:ascii="Georgia" w:hAnsi="Georgia" w:cs="David"/>
          <w:sz w:val="18"/>
          <w:rtl/>
        </w:rPr>
        <w:t>–</w:t>
      </w:r>
      <w:r w:rsidRPr="004D5A4A">
        <w:rPr>
          <w:rFonts w:ascii="Georgia" w:hAnsi="Georgia" w:cs="David"/>
          <w:color w:val="222222"/>
          <w:sz w:val="18"/>
          <w:highlight w:val="white"/>
        </w:rPr>
        <w:t>110).</w:t>
      </w:r>
      <w:r w:rsidRPr="004D5A4A">
        <w:rPr>
          <w:rFonts w:ascii="Georgia" w:hAnsi="Georgia" w:cs="David"/>
          <w:color w:val="222222"/>
          <w:sz w:val="18"/>
          <w:highlight w:val="white"/>
          <w:rtl/>
          <w:lang w:bidi="ar-SA"/>
        </w:rPr>
        <w:t>‏</w:t>
      </w:r>
      <w:r w:rsidRPr="004D5A4A">
        <w:rPr>
          <w:rFonts w:ascii="Georgia" w:hAnsi="Georgia" w:cs="David"/>
          <w:sz w:val="18"/>
        </w:rPr>
        <w:t xml:space="preserve"> </w:t>
      </w:r>
      <w:r w:rsidRPr="004D5A4A">
        <w:rPr>
          <w:rFonts w:ascii="Georgia" w:hAnsi="Georgia" w:cs="David"/>
          <w:color w:val="222222"/>
          <w:sz w:val="18"/>
          <w:shd w:val="clear" w:color="auto" w:fill="FFFFFF"/>
        </w:rPr>
        <w:t xml:space="preserve">Springer Cham. </w:t>
      </w:r>
    </w:p>
    <w:p w14:paraId="18B63691" w14:textId="77777777" w:rsidR="0012580C" w:rsidRPr="004D5A4A" w:rsidRDefault="0012580C" w:rsidP="008C26B4">
      <w:pPr>
        <w:bidi w:val="0"/>
        <w:spacing w:after="120"/>
        <w:ind w:left="397" w:hanging="397"/>
        <w:jc w:val="both"/>
        <w:rPr>
          <w:rFonts w:ascii="Georgia" w:hAnsi="Georgia"/>
          <w:sz w:val="18"/>
          <w:szCs w:val="20"/>
          <w:rtl/>
        </w:rPr>
      </w:pPr>
      <w:r w:rsidRPr="004D5A4A">
        <w:rPr>
          <w:rFonts w:ascii="Georgia" w:hAnsi="Georgia"/>
          <w:sz w:val="18"/>
          <w:szCs w:val="20"/>
        </w:rPr>
        <w:lastRenderedPageBreak/>
        <w:t xml:space="preserve">Kanter, A. S., &amp; </w:t>
      </w:r>
      <w:proofErr w:type="spellStart"/>
      <w:r w:rsidRPr="004D5A4A">
        <w:rPr>
          <w:rFonts w:ascii="Georgia" w:hAnsi="Georgia"/>
          <w:sz w:val="18"/>
          <w:szCs w:val="20"/>
        </w:rPr>
        <w:t>Tolub</w:t>
      </w:r>
      <w:proofErr w:type="spellEnd"/>
      <w:r w:rsidRPr="004D5A4A">
        <w:rPr>
          <w:rFonts w:ascii="Georgia" w:hAnsi="Georgia"/>
          <w:sz w:val="18"/>
          <w:szCs w:val="20"/>
        </w:rPr>
        <w:t xml:space="preserve">, Y. (2017). The fight for personhood, legal capacity, and equal recognition under law for people with disabilities in Israel and beyond. </w:t>
      </w:r>
      <w:r w:rsidRPr="00F06146">
        <w:rPr>
          <w:rFonts w:ascii="Georgia" w:hAnsi="Georgia"/>
          <w:i/>
          <w:iCs/>
          <w:sz w:val="18"/>
          <w:szCs w:val="20"/>
          <w:shd w:val="clear" w:color="auto" w:fill="FFFFFF"/>
        </w:rPr>
        <w:t>Cardozo Law Review</w:t>
      </w:r>
      <w:r w:rsidRPr="004D5A4A">
        <w:rPr>
          <w:rFonts w:ascii="Georgia" w:hAnsi="Georgia"/>
          <w:sz w:val="18"/>
          <w:szCs w:val="20"/>
          <w:shd w:val="clear" w:color="auto" w:fill="FFFFFF"/>
        </w:rPr>
        <w:t xml:space="preserve">, </w:t>
      </w:r>
      <w:r w:rsidRPr="00F06146">
        <w:rPr>
          <w:rFonts w:ascii="Georgia" w:hAnsi="Georgia"/>
          <w:i/>
          <w:iCs/>
          <w:sz w:val="18"/>
          <w:szCs w:val="20"/>
          <w:shd w:val="clear" w:color="auto" w:fill="FFFFFF"/>
        </w:rPr>
        <w:t>39</w:t>
      </w:r>
      <w:r w:rsidRPr="004D5A4A">
        <w:rPr>
          <w:rFonts w:ascii="Georgia" w:hAnsi="Georgia"/>
          <w:sz w:val="18"/>
          <w:szCs w:val="20"/>
          <w:shd w:val="clear" w:color="auto" w:fill="FFFFFF"/>
        </w:rPr>
        <w:t xml:space="preserve">, 557. </w:t>
      </w:r>
    </w:p>
    <w:p w14:paraId="215822A2" w14:textId="1A9F1D6A" w:rsidR="0012580C" w:rsidRPr="004D5A4A" w:rsidRDefault="0012580C" w:rsidP="00542992">
      <w:pPr>
        <w:bidi w:val="0"/>
        <w:spacing w:after="120"/>
        <w:ind w:left="397" w:hanging="397"/>
        <w:jc w:val="both"/>
        <w:rPr>
          <w:rFonts w:ascii="Georgia" w:hAnsi="Georgia"/>
          <w:sz w:val="18"/>
          <w:szCs w:val="20"/>
        </w:rPr>
      </w:pPr>
      <w:r w:rsidRPr="004D5A4A">
        <w:rPr>
          <w:rFonts w:ascii="Georgia" w:hAnsi="Georgia"/>
          <w:sz w:val="18"/>
          <w:szCs w:val="20"/>
        </w:rPr>
        <w:t xml:space="preserve">Mor, S. (2017). With access and justice for all. </w:t>
      </w:r>
      <w:r w:rsidRPr="004D5A4A">
        <w:rPr>
          <w:rFonts w:ascii="Georgia" w:hAnsi="Georgia"/>
          <w:i/>
          <w:iCs/>
          <w:sz w:val="18"/>
          <w:szCs w:val="20"/>
        </w:rPr>
        <w:t>Cardozo Law Review</w:t>
      </w:r>
      <w:r w:rsidRPr="004D5A4A">
        <w:rPr>
          <w:rFonts w:ascii="Georgia" w:hAnsi="Georgia"/>
          <w:sz w:val="18"/>
          <w:szCs w:val="20"/>
        </w:rPr>
        <w:t>,</w:t>
      </w:r>
      <w:r w:rsidRPr="004D5A4A">
        <w:rPr>
          <w:rFonts w:ascii="Georgia" w:hAnsi="Georgia"/>
          <w:i/>
          <w:iCs/>
          <w:sz w:val="18"/>
          <w:szCs w:val="20"/>
        </w:rPr>
        <w:t xml:space="preserve"> 39</w:t>
      </w:r>
      <w:r w:rsidRPr="004D5A4A">
        <w:rPr>
          <w:rFonts w:ascii="Georgia" w:hAnsi="Georgia"/>
          <w:sz w:val="18"/>
          <w:szCs w:val="20"/>
        </w:rPr>
        <w:t xml:space="preserve">, </w:t>
      </w:r>
      <w:r w:rsidR="00542992">
        <w:rPr>
          <w:rFonts w:ascii="Georgia" w:hAnsi="Georgia"/>
          <w:sz w:val="18"/>
          <w:szCs w:val="20"/>
        </w:rPr>
        <w:br/>
      </w:r>
      <w:r w:rsidRPr="004D5A4A">
        <w:rPr>
          <w:rFonts w:ascii="Georgia" w:hAnsi="Georgia"/>
          <w:sz w:val="18"/>
          <w:szCs w:val="20"/>
        </w:rPr>
        <w:t>611</w:t>
      </w:r>
      <w:r w:rsidRPr="004D5A4A">
        <w:rPr>
          <w:rFonts w:ascii="Georgia" w:hAnsi="Georgia"/>
          <w:sz w:val="18"/>
          <w:szCs w:val="20"/>
          <w:rtl/>
        </w:rPr>
        <w:t>–</w:t>
      </w:r>
      <w:r w:rsidRPr="004D5A4A">
        <w:rPr>
          <w:rFonts w:ascii="Georgia" w:hAnsi="Georgia"/>
          <w:sz w:val="18"/>
          <w:szCs w:val="20"/>
        </w:rPr>
        <w:t>647.</w:t>
      </w:r>
    </w:p>
    <w:p w14:paraId="4D355F0B" w14:textId="77777777" w:rsidR="0012580C" w:rsidRPr="004D5A4A" w:rsidRDefault="0012580C" w:rsidP="008C26B4">
      <w:pPr>
        <w:bidi w:val="0"/>
        <w:spacing w:after="120"/>
        <w:ind w:left="397" w:hanging="397"/>
        <w:jc w:val="both"/>
        <w:rPr>
          <w:rFonts w:ascii="Georgia" w:hAnsi="Georgia"/>
          <w:sz w:val="18"/>
          <w:szCs w:val="20"/>
        </w:rPr>
      </w:pPr>
      <w:r w:rsidRPr="004D5A4A">
        <w:rPr>
          <w:rFonts w:ascii="Georgia" w:hAnsi="Georgia"/>
          <w:sz w:val="18"/>
          <w:szCs w:val="20"/>
        </w:rPr>
        <w:t xml:space="preserve">Shakespeare, T. (2006). </w:t>
      </w:r>
      <w:r w:rsidRPr="004D5A4A">
        <w:rPr>
          <w:rFonts w:ascii="Georgia" w:hAnsi="Georgia"/>
          <w:i/>
          <w:iCs/>
          <w:sz w:val="18"/>
          <w:szCs w:val="20"/>
        </w:rPr>
        <w:t>Disability rights and wrongs</w:t>
      </w:r>
      <w:r w:rsidRPr="004D5A4A">
        <w:rPr>
          <w:rFonts w:ascii="Georgia" w:hAnsi="Georgia"/>
          <w:sz w:val="18"/>
          <w:szCs w:val="20"/>
        </w:rPr>
        <w:t>. Routledge.</w:t>
      </w:r>
    </w:p>
    <w:p w14:paraId="138BF9B2" w14:textId="77777777" w:rsidR="0012580C" w:rsidRPr="004D5A4A" w:rsidRDefault="0012580C" w:rsidP="008C26B4">
      <w:pPr>
        <w:bidi w:val="0"/>
        <w:spacing w:after="120"/>
        <w:ind w:left="397" w:hanging="397"/>
        <w:jc w:val="both"/>
        <w:rPr>
          <w:rFonts w:ascii="Georgia" w:hAnsi="Georgia"/>
          <w:sz w:val="18"/>
          <w:szCs w:val="20"/>
        </w:rPr>
      </w:pPr>
    </w:p>
    <w:sectPr w:rsidR="0012580C" w:rsidRPr="004D5A4A" w:rsidSect="002738FF">
      <w:headerReference w:type="even" r:id="rId11"/>
      <w:headerReference w:type="default" r:id="rId12"/>
      <w:headerReference w:type="first" r:id="rId13"/>
      <w:footerReference w:type="first" r:id="rId14"/>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09E70" w14:textId="77777777" w:rsidR="00FF3D1C" w:rsidRDefault="00FF3D1C">
      <w:pPr>
        <w:spacing w:line="240" w:lineRule="auto"/>
      </w:pPr>
      <w:r>
        <w:separator/>
      </w:r>
    </w:p>
  </w:endnote>
  <w:endnote w:type="continuationSeparator" w:id="0">
    <w:p w14:paraId="2C525D62" w14:textId="77777777" w:rsidR="00FF3D1C" w:rsidRDefault="00FF3D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109E1930" w:rsidR="00042A45" w:rsidRPr="00A17DA2" w:rsidRDefault="003C255E" w:rsidP="00A765E9">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sidR="00905F54">
      <w:rPr>
        <w:rFonts w:hint="cs"/>
        <w:sz w:val="16"/>
        <w:szCs w:val="16"/>
        <w:rtl/>
      </w:rPr>
      <w:t>12</w:t>
    </w:r>
    <w:r w:rsidR="00A765E9">
      <w:rPr>
        <w:rFonts w:hint="cs"/>
        <w:sz w:val="16"/>
        <w:szCs w:val="16"/>
        <w:rtl/>
      </w:rPr>
      <w:t>4</w:t>
    </w:r>
    <w:r w:rsidRPr="0090645A">
      <w:rPr>
        <w:rFonts w:hint="cs"/>
        <w:sz w:val="16"/>
        <w:szCs w:val="16"/>
        <w:rtl/>
      </w:rPr>
      <w:t xml:space="preserve">, </w:t>
    </w:r>
    <w:r w:rsidR="00D0489D">
      <w:rPr>
        <w:rFonts w:hint="cs"/>
        <w:sz w:val="16"/>
        <w:szCs w:val="16"/>
        <w:rtl/>
      </w:rPr>
      <w:t>פברואר 2025: 15-5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2A2F2" w14:textId="77777777" w:rsidR="00FF3D1C" w:rsidRDefault="00FF3D1C" w:rsidP="00A04D35">
      <w:pPr>
        <w:spacing w:before="120" w:after="80"/>
        <w:rPr>
          <w:rFonts w:cs="FrankRuehl"/>
          <w:sz w:val="18"/>
          <w:szCs w:val="18"/>
        </w:rPr>
      </w:pPr>
      <w:r>
        <w:rPr>
          <w:rFonts w:cs="FrankRuehl" w:hint="cs"/>
          <w:sz w:val="18"/>
          <w:szCs w:val="18"/>
          <w:rtl/>
        </w:rPr>
        <w:t>_____________</w:t>
      </w:r>
    </w:p>
  </w:footnote>
  <w:footnote w:type="continuationSeparator" w:id="0">
    <w:p w14:paraId="37A8D3E3" w14:textId="77777777" w:rsidR="00FF3D1C" w:rsidRDefault="00FF3D1C">
      <w:r>
        <w:continuationSeparator/>
      </w:r>
    </w:p>
  </w:footnote>
  <w:footnote w:type="continuationNotice" w:id="1">
    <w:p w14:paraId="34DDADB5" w14:textId="77777777" w:rsidR="00FF3D1C" w:rsidRDefault="00FF3D1C">
      <w:pPr>
        <w:rPr>
          <w:rtl/>
        </w:rPr>
      </w:pPr>
    </w:p>
  </w:footnote>
  <w:footnote w:id="2">
    <w:p w14:paraId="653B37B0" w14:textId="77777777" w:rsidR="00A61C7B" w:rsidRPr="004D5A4A" w:rsidRDefault="00A61C7B" w:rsidP="00A61C7B">
      <w:pPr>
        <w:pStyle w:val="FootnoteText"/>
        <w:keepLines/>
        <w:spacing w:line="200" w:lineRule="exact"/>
        <w:ind w:left="397" w:hanging="397"/>
        <w:jc w:val="both"/>
        <w:rPr>
          <w:rStyle w:val="FootnoteReference"/>
          <w:rFonts w:cs="David"/>
          <w:sz w:val="14"/>
          <w:szCs w:val="16"/>
          <w:vertAlign w:val="baseline"/>
        </w:rPr>
      </w:pPr>
      <w:r w:rsidRPr="004D5A4A">
        <w:rPr>
          <w:rStyle w:val="FootnoteReference"/>
          <w:rFonts w:cs="David"/>
          <w:sz w:val="14"/>
          <w:szCs w:val="16"/>
          <w:vertAlign w:val="baseline"/>
        </w:rPr>
        <w:footnoteRef/>
      </w:r>
      <w:r w:rsidRPr="004D5A4A">
        <w:rPr>
          <w:rStyle w:val="FootnoteReference"/>
          <w:rFonts w:cs="David"/>
          <w:sz w:val="14"/>
          <w:szCs w:val="16"/>
          <w:vertAlign w:val="baseline"/>
          <w:rtl/>
        </w:rPr>
        <w:t xml:space="preserve"> </w:t>
      </w:r>
      <w:r w:rsidRPr="004D5A4A">
        <w:rPr>
          <w:rStyle w:val="FootnoteReference"/>
          <w:rFonts w:cs="David"/>
          <w:sz w:val="14"/>
          <w:szCs w:val="16"/>
          <w:vertAlign w:val="baseline"/>
          <w:rtl/>
        </w:rPr>
        <w:tab/>
      </w:r>
      <w:r w:rsidRPr="004D5A4A">
        <w:rPr>
          <w:rStyle w:val="FootnoteReference"/>
          <w:rFonts w:cs="David" w:hint="cs"/>
          <w:sz w:val="14"/>
          <w:szCs w:val="16"/>
          <w:vertAlign w:val="baseline"/>
          <w:rtl/>
        </w:rPr>
        <w:t xml:space="preserve">פרופסור, בית הספר לעבודה סוציאלית ולרווחה חברתית ע"ש </w:t>
      </w:r>
      <w:r w:rsidRPr="004D5A4A">
        <w:rPr>
          <w:rStyle w:val="FootnoteReference"/>
          <w:rFonts w:cs="David"/>
          <w:sz w:val="14"/>
          <w:szCs w:val="16"/>
          <w:vertAlign w:val="baseline"/>
          <w:rtl/>
        </w:rPr>
        <w:t xml:space="preserve">פאול </w:t>
      </w:r>
      <w:proofErr w:type="spellStart"/>
      <w:r w:rsidRPr="004D5A4A">
        <w:rPr>
          <w:rStyle w:val="FootnoteReference"/>
          <w:rFonts w:cs="David"/>
          <w:sz w:val="14"/>
          <w:szCs w:val="16"/>
          <w:vertAlign w:val="baseline"/>
          <w:rtl/>
        </w:rPr>
        <w:t>ברוואלד</w:t>
      </w:r>
      <w:proofErr w:type="spellEnd"/>
      <w:r w:rsidRPr="004D5A4A">
        <w:rPr>
          <w:rStyle w:val="FootnoteReference"/>
          <w:rFonts w:cs="David" w:hint="cs"/>
          <w:sz w:val="14"/>
          <w:szCs w:val="16"/>
          <w:vertAlign w:val="baseline"/>
          <w:rtl/>
        </w:rPr>
        <w:t xml:space="preserve"> באוניברסיטה העברית בירושלים</w:t>
      </w:r>
    </w:p>
  </w:footnote>
  <w:footnote w:id="3">
    <w:p w14:paraId="7BF6ED30" w14:textId="77777777" w:rsidR="0012580C" w:rsidRPr="004D5A4A" w:rsidRDefault="0012580C" w:rsidP="004D5A4A">
      <w:pPr>
        <w:pStyle w:val="FootnoteText"/>
        <w:keepLines/>
        <w:spacing w:line="200" w:lineRule="exact"/>
        <w:ind w:left="397" w:hanging="397"/>
        <w:jc w:val="both"/>
        <w:rPr>
          <w:rStyle w:val="FootnoteReference"/>
          <w:rFonts w:cs="David"/>
          <w:sz w:val="14"/>
          <w:szCs w:val="16"/>
          <w:vertAlign w:val="baseline"/>
        </w:rPr>
      </w:pPr>
      <w:r w:rsidRPr="004D5A4A">
        <w:rPr>
          <w:rStyle w:val="FootnoteReference"/>
          <w:rFonts w:cs="David"/>
          <w:sz w:val="14"/>
          <w:szCs w:val="16"/>
          <w:vertAlign w:val="baseline"/>
        </w:rPr>
        <w:footnoteRef/>
      </w:r>
      <w:r w:rsidRPr="004D5A4A">
        <w:rPr>
          <w:rStyle w:val="FootnoteReference"/>
          <w:rFonts w:cs="David"/>
          <w:sz w:val="14"/>
          <w:szCs w:val="16"/>
          <w:vertAlign w:val="baseline"/>
          <w:rtl/>
        </w:rPr>
        <w:t xml:space="preserve"> </w:t>
      </w:r>
      <w:r w:rsidRPr="004D5A4A">
        <w:rPr>
          <w:rStyle w:val="FootnoteReference"/>
          <w:rFonts w:cs="David"/>
          <w:sz w:val="14"/>
          <w:szCs w:val="16"/>
          <w:vertAlign w:val="baseline"/>
          <w:rtl/>
        </w:rPr>
        <w:tab/>
      </w:r>
      <w:r w:rsidRPr="004D5A4A">
        <w:rPr>
          <w:rStyle w:val="FootnoteReference"/>
          <w:rFonts w:cs="David" w:hint="cs"/>
          <w:sz w:val="14"/>
          <w:szCs w:val="16"/>
          <w:vertAlign w:val="baseline"/>
          <w:rtl/>
        </w:rPr>
        <w:t xml:space="preserve">חוקרת, מכון </w:t>
      </w:r>
      <w:proofErr w:type="spellStart"/>
      <w:r w:rsidRPr="004D5A4A">
        <w:rPr>
          <w:rStyle w:val="FootnoteReference"/>
          <w:rFonts w:cs="David" w:hint="cs"/>
          <w:sz w:val="14"/>
          <w:szCs w:val="16"/>
          <w:vertAlign w:val="baseline"/>
          <w:rtl/>
        </w:rPr>
        <w:t>מאיירס</w:t>
      </w:r>
      <w:proofErr w:type="spellEnd"/>
      <w:r w:rsidRPr="004D5A4A">
        <w:rPr>
          <w:rStyle w:val="FootnoteReference"/>
          <w:rFonts w:cs="David" w:hint="cs"/>
          <w:sz w:val="14"/>
          <w:szCs w:val="16"/>
          <w:vertAlign w:val="baseline"/>
          <w:rtl/>
        </w:rPr>
        <w:t>-ג'וינט-</w:t>
      </w:r>
      <w:proofErr w:type="spellStart"/>
      <w:r w:rsidRPr="004D5A4A">
        <w:rPr>
          <w:rStyle w:val="FootnoteReference"/>
          <w:rFonts w:cs="David" w:hint="cs"/>
          <w:sz w:val="14"/>
          <w:szCs w:val="16"/>
          <w:vertAlign w:val="baseline"/>
          <w:rtl/>
        </w:rPr>
        <w:t>ברוקדייל</w:t>
      </w:r>
      <w:proofErr w:type="spellEnd"/>
      <w:r w:rsidRPr="004D5A4A">
        <w:rPr>
          <w:rStyle w:val="FootnoteReference"/>
          <w:rFonts w:cs="David" w:hint="cs"/>
          <w:sz w:val="14"/>
          <w:szCs w:val="16"/>
          <w:vertAlign w:val="baseline"/>
          <w:rtl/>
        </w:rPr>
        <w:t xml:space="preserve">, ודוקטורנטית בבית הספר לעבודה סוציאלית ולרווחה חברתית ע"ש </w:t>
      </w:r>
      <w:r w:rsidRPr="004D5A4A">
        <w:rPr>
          <w:rStyle w:val="FootnoteReference"/>
          <w:rFonts w:cs="David"/>
          <w:sz w:val="14"/>
          <w:szCs w:val="16"/>
          <w:vertAlign w:val="baseline"/>
          <w:rtl/>
        </w:rPr>
        <w:t xml:space="preserve">פאול </w:t>
      </w:r>
      <w:proofErr w:type="spellStart"/>
      <w:r w:rsidRPr="004D5A4A">
        <w:rPr>
          <w:rStyle w:val="FootnoteReference"/>
          <w:rFonts w:cs="David"/>
          <w:sz w:val="14"/>
          <w:szCs w:val="16"/>
          <w:vertAlign w:val="baseline"/>
          <w:rtl/>
        </w:rPr>
        <w:t>ברוואלד</w:t>
      </w:r>
      <w:proofErr w:type="spellEnd"/>
      <w:r w:rsidRPr="004D5A4A">
        <w:rPr>
          <w:rStyle w:val="FootnoteReference"/>
          <w:rFonts w:cs="David" w:hint="cs"/>
          <w:sz w:val="14"/>
          <w:szCs w:val="16"/>
          <w:vertAlign w:val="baseline"/>
          <w:rtl/>
        </w:rPr>
        <w:t>, האוניברסיטה העברית בירושלים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048D8D2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4131AA" w:rsidRPr="004131AA">
      <w:rPr>
        <w:rFonts w:ascii="Georgia" w:hAnsi="Georgia" w:cs="Georgia"/>
        <w:noProof/>
        <w:sz w:val="24"/>
        <w:szCs w:val="24"/>
        <w:rtl/>
      </w:rPr>
      <w:t>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86034A">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456CCF49" w:rsidR="007667D8" w:rsidRPr="00CA633F" w:rsidRDefault="004D5A4A" w:rsidP="00446E1E">
    <w:pPr>
      <w:pStyle w:val="Heading1"/>
      <w:tabs>
        <w:tab w:val="center" w:pos="4536"/>
        <w:tab w:val="right" w:pos="9072"/>
      </w:tabs>
      <w:jc w:val="right"/>
      <w:rPr>
        <w:rFonts w:ascii="David" w:hAnsi="David" w:cs="David"/>
        <w:b w:val="0"/>
        <w:bCs w:val="0"/>
        <w:noProof/>
        <w:color w:val="A6A6A6"/>
        <w:sz w:val="20"/>
        <w:szCs w:val="20"/>
      </w:rPr>
    </w:pPr>
    <w:r w:rsidRPr="004D5A4A">
      <w:rPr>
        <w:rFonts w:ascii="David" w:hAnsi="David" w:cs="David"/>
        <w:b w:val="0"/>
        <w:bCs w:val="0"/>
        <w:noProof/>
        <w:sz w:val="18"/>
        <w:szCs w:val="18"/>
        <w:rtl/>
        <w:lang w:val="he-IL"/>
      </w:rPr>
      <w:t>כשרות משפטית ומדינת הרווחה הישראלית: דברי פתיחה</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4131AA" w:rsidRPr="004131AA">
      <w:rPr>
        <w:rFonts w:ascii="Georgia" w:hAnsi="Georgia" w:cs="Georgia"/>
        <w:noProof/>
        <w:sz w:val="24"/>
        <w:szCs w:val="24"/>
        <w:rtl/>
      </w:rPr>
      <w:t>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28507EB"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915A6"/>
    <w:multiLevelType w:val="multilevel"/>
    <w:tmpl w:val="7AA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424DD"/>
    <w:multiLevelType w:val="hybridMultilevel"/>
    <w:tmpl w:val="D672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C63EDA"/>
    <w:multiLevelType w:val="hybridMultilevel"/>
    <w:tmpl w:val="1F9C2058"/>
    <w:lvl w:ilvl="0" w:tplc="7B0CDE7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F05CA6"/>
    <w:multiLevelType w:val="hybridMultilevel"/>
    <w:tmpl w:val="501A8D1C"/>
    <w:lvl w:ilvl="0" w:tplc="E3247DB2">
      <w:start w:val="1"/>
      <w:numFmt w:val="bullet"/>
      <w:lvlText w:val="•"/>
      <w:lvlJc w:val="left"/>
      <w:pPr>
        <w:tabs>
          <w:tab w:val="num" w:pos="720"/>
        </w:tabs>
        <w:ind w:left="720" w:hanging="360"/>
      </w:pPr>
      <w:rPr>
        <w:rFonts w:ascii="Arial" w:hAnsi="Arial" w:hint="default"/>
      </w:rPr>
    </w:lvl>
    <w:lvl w:ilvl="1" w:tplc="BB344CB8" w:tentative="1">
      <w:start w:val="1"/>
      <w:numFmt w:val="bullet"/>
      <w:lvlText w:val="•"/>
      <w:lvlJc w:val="left"/>
      <w:pPr>
        <w:tabs>
          <w:tab w:val="num" w:pos="1440"/>
        </w:tabs>
        <w:ind w:left="1440" w:hanging="360"/>
      </w:pPr>
      <w:rPr>
        <w:rFonts w:ascii="Arial" w:hAnsi="Arial" w:hint="default"/>
      </w:rPr>
    </w:lvl>
    <w:lvl w:ilvl="2" w:tplc="99166200" w:tentative="1">
      <w:start w:val="1"/>
      <w:numFmt w:val="bullet"/>
      <w:lvlText w:val="•"/>
      <w:lvlJc w:val="left"/>
      <w:pPr>
        <w:tabs>
          <w:tab w:val="num" w:pos="2160"/>
        </w:tabs>
        <w:ind w:left="2160" w:hanging="360"/>
      </w:pPr>
      <w:rPr>
        <w:rFonts w:ascii="Arial" w:hAnsi="Arial" w:hint="default"/>
      </w:rPr>
    </w:lvl>
    <w:lvl w:ilvl="3" w:tplc="272C40E4" w:tentative="1">
      <w:start w:val="1"/>
      <w:numFmt w:val="bullet"/>
      <w:lvlText w:val="•"/>
      <w:lvlJc w:val="left"/>
      <w:pPr>
        <w:tabs>
          <w:tab w:val="num" w:pos="2880"/>
        </w:tabs>
        <w:ind w:left="2880" w:hanging="360"/>
      </w:pPr>
      <w:rPr>
        <w:rFonts w:ascii="Arial" w:hAnsi="Arial" w:hint="default"/>
      </w:rPr>
    </w:lvl>
    <w:lvl w:ilvl="4" w:tplc="EFECBA4A" w:tentative="1">
      <w:start w:val="1"/>
      <w:numFmt w:val="bullet"/>
      <w:lvlText w:val="•"/>
      <w:lvlJc w:val="left"/>
      <w:pPr>
        <w:tabs>
          <w:tab w:val="num" w:pos="3600"/>
        </w:tabs>
        <w:ind w:left="3600" w:hanging="360"/>
      </w:pPr>
      <w:rPr>
        <w:rFonts w:ascii="Arial" w:hAnsi="Arial" w:hint="default"/>
      </w:rPr>
    </w:lvl>
    <w:lvl w:ilvl="5" w:tplc="3ACC2DEA" w:tentative="1">
      <w:start w:val="1"/>
      <w:numFmt w:val="bullet"/>
      <w:lvlText w:val="•"/>
      <w:lvlJc w:val="left"/>
      <w:pPr>
        <w:tabs>
          <w:tab w:val="num" w:pos="4320"/>
        </w:tabs>
        <w:ind w:left="4320" w:hanging="360"/>
      </w:pPr>
      <w:rPr>
        <w:rFonts w:ascii="Arial" w:hAnsi="Arial" w:hint="default"/>
      </w:rPr>
    </w:lvl>
    <w:lvl w:ilvl="6" w:tplc="B9A68C92" w:tentative="1">
      <w:start w:val="1"/>
      <w:numFmt w:val="bullet"/>
      <w:lvlText w:val="•"/>
      <w:lvlJc w:val="left"/>
      <w:pPr>
        <w:tabs>
          <w:tab w:val="num" w:pos="5040"/>
        </w:tabs>
        <w:ind w:left="5040" w:hanging="360"/>
      </w:pPr>
      <w:rPr>
        <w:rFonts w:ascii="Arial" w:hAnsi="Arial" w:hint="default"/>
      </w:rPr>
    </w:lvl>
    <w:lvl w:ilvl="7" w:tplc="48EC0AF2" w:tentative="1">
      <w:start w:val="1"/>
      <w:numFmt w:val="bullet"/>
      <w:lvlText w:val="•"/>
      <w:lvlJc w:val="left"/>
      <w:pPr>
        <w:tabs>
          <w:tab w:val="num" w:pos="5760"/>
        </w:tabs>
        <w:ind w:left="5760" w:hanging="360"/>
      </w:pPr>
      <w:rPr>
        <w:rFonts w:ascii="Arial" w:hAnsi="Arial" w:hint="default"/>
      </w:rPr>
    </w:lvl>
    <w:lvl w:ilvl="8" w:tplc="3B0E13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8350D7"/>
    <w:multiLevelType w:val="multilevel"/>
    <w:tmpl w:val="015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34D63"/>
    <w:multiLevelType w:val="hybridMultilevel"/>
    <w:tmpl w:val="466CF750"/>
    <w:lvl w:ilvl="0" w:tplc="3D30B706">
      <w:start w:val="1"/>
      <w:numFmt w:val="bullet"/>
      <w:lvlText w:val="•"/>
      <w:lvlJc w:val="left"/>
      <w:pPr>
        <w:tabs>
          <w:tab w:val="num" w:pos="720"/>
        </w:tabs>
        <w:ind w:left="720" w:hanging="360"/>
      </w:pPr>
      <w:rPr>
        <w:rFonts w:ascii="Arial" w:hAnsi="Arial" w:hint="default"/>
      </w:rPr>
    </w:lvl>
    <w:lvl w:ilvl="1" w:tplc="FB5EF6A2" w:tentative="1">
      <w:start w:val="1"/>
      <w:numFmt w:val="bullet"/>
      <w:lvlText w:val="•"/>
      <w:lvlJc w:val="left"/>
      <w:pPr>
        <w:tabs>
          <w:tab w:val="num" w:pos="1440"/>
        </w:tabs>
        <w:ind w:left="1440" w:hanging="360"/>
      </w:pPr>
      <w:rPr>
        <w:rFonts w:ascii="Arial" w:hAnsi="Arial" w:hint="default"/>
      </w:rPr>
    </w:lvl>
    <w:lvl w:ilvl="2" w:tplc="39CA83C6" w:tentative="1">
      <w:start w:val="1"/>
      <w:numFmt w:val="bullet"/>
      <w:lvlText w:val="•"/>
      <w:lvlJc w:val="left"/>
      <w:pPr>
        <w:tabs>
          <w:tab w:val="num" w:pos="2160"/>
        </w:tabs>
        <w:ind w:left="2160" w:hanging="360"/>
      </w:pPr>
      <w:rPr>
        <w:rFonts w:ascii="Arial" w:hAnsi="Arial" w:hint="default"/>
      </w:rPr>
    </w:lvl>
    <w:lvl w:ilvl="3" w:tplc="A98A9100" w:tentative="1">
      <w:start w:val="1"/>
      <w:numFmt w:val="bullet"/>
      <w:lvlText w:val="•"/>
      <w:lvlJc w:val="left"/>
      <w:pPr>
        <w:tabs>
          <w:tab w:val="num" w:pos="2880"/>
        </w:tabs>
        <w:ind w:left="2880" w:hanging="360"/>
      </w:pPr>
      <w:rPr>
        <w:rFonts w:ascii="Arial" w:hAnsi="Arial" w:hint="default"/>
      </w:rPr>
    </w:lvl>
    <w:lvl w:ilvl="4" w:tplc="3CBEA968" w:tentative="1">
      <w:start w:val="1"/>
      <w:numFmt w:val="bullet"/>
      <w:lvlText w:val="•"/>
      <w:lvlJc w:val="left"/>
      <w:pPr>
        <w:tabs>
          <w:tab w:val="num" w:pos="3600"/>
        </w:tabs>
        <w:ind w:left="3600" w:hanging="360"/>
      </w:pPr>
      <w:rPr>
        <w:rFonts w:ascii="Arial" w:hAnsi="Arial" w:hint="default"/>
      </w:rPr>
    </w:lvl>
    <w:lvl w:ilvl="5" w:tplc="874CD478" w:tentative="1">
      <w:start w:val="1"/>
      <w:numFmt w:val="bullet"/>
      <w:lvlText w:val="•"/>
      <w:lvlJc w:val="left"/>
      <w:pPr>
        <w:tabs>
          <w:tab w:val="num" w:pos="4320"/>
        </w:tabs>
        <w:ind w:left="4320" w:hanging="360"/>
      </w:pPr>
      <w:rPr>
        <w:rFonts w:ascii="Arial" w:hAnsi="Arial" w:hint="default"/>
      </w:rPr>
    </w:lvl>
    <w:lvl w:ilvl="6" w:tplc="B684788A" w:tentative="1">
      <w:start w:val="1"/>
      <w:numFmt w:val="bullet"/>
      <w:lvlText w:val="•"/>
      <w:lvlJc w:val="left"/>
      <w:pPr>
        <w:tabs>
          <w:tab w:val="num" w:pos="5040"/>
        </w:tabs>
        <w:ind w:left="5040" w:hanging="360"/>
      </w:pPr>
      <w:rPr>
        <w:rFonts w:ascii="Arial" w:hAnsi="Arial" w:hint="default"/>
      </w:rPr>
    </w:lvl>
    <w:lvl w:ilvl="7" w:tplc="B3821B0C" w:tentative="1">
      <w:start w:val="1"/>
      <w:numFmt w:val="bullet"/>
      <w:lvlText w:val="•"/>
      <w:lvlJc w:val="left"/>
      <w:pPr>
        <w:tabs>
          <w:tab w:val="num" w:pos="5760"/>
        </w:tabs>
        <w:ind w:left="5760" w:hanging="360"/>
      </w:pPr>
      <w:rPr>
        <w:rFonts w:ascii="Arial" w:hAnsi="Arial" w:hint="default"/>
      </w:rPr>
    </w:lvl>
    <w:lvl w:ilvl="8" w:tplc="12B043F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070408">
    <w:abstractNumId w:val="16"/>
  </w:num>
  <w:num w:numId="2" w16cid:durableId="1489588491">
    <w:abstractNumId w:val="22"/>
  </w:num>
  <w:num w:numId="3" w16cid:durableId="883441689">
    <w:abstractNumId w:val="32"/>
  </w:num>
  <w:num w:numId="4" w16cid:durableId="1022173580">
    <w:abstractNumId w:val="28"/>
  </w:num>
  <w:num w:numId="5" w16cid:durableId="1294630310">
    <w:abstractNumId w:val="10"/>
  </w:num>
  <w:num w:numId="6" w16cid:durableId="647443016">
    <w:abstractNumId w:val="27"/>
  </w:num>
  <w:num w:numId="7" w16cid:durableId="946087527">
    <w:abstractNumId w:val="19"/>
  </w:num>
  <w:num w:numId="8" w16cid:durableId="2069067677">
    <w:abstractNumId w:val="0"/>
  </w:num>
  <w:num w:numId="9" w16cid:durableId="184250970">
    <w:abstractNumId w:val="9"/>
  </w:num>
  <w:num w:numId="10" w16cid:durableId="585044014">
    <w:abstractNumId w:val="31"/>
  </w:num>
  <w:num w:numId="11" w16cid:durableId="651182392">
    <w:abstractNumId w:val="29"/>
  </w:num>
  <w:num w:numId="12" w16cid:durableId="1365908155">
    <w:abstractNumId w:val="23"/>
  </w:num>
  <w:num w:numId="13" w16cid:durableId="2059889658">
    <w:abstractNumId w:val="13"/>
  </w:num>
  <w:num w:numId="14" w16cid:durableId="692001637">
    <w:abstractNumId w:val="8"/>
  </w:num>
  <w:num w:numId="15" w16cid:durableId="232470935">
    <w:abstractNumId w:val="12"/>
  </w:num>
  <w:num w:numId="16" w16cid:durableId="502210945">
    <w:abstractNumId w:val="4"/>
  </w:num>
  <w:num w:numId="17" w16cid:durableId="2053457784">
    <w:abstractNumId w:val="33"/>
  </w:num>
  <w:num w:numId="18" w16cid:durableId="10841051">
    <w:abstractNumId w:val="25"/>
  </w:num>
  <w:num w:numId="19" w16cid:durableId="1750151796">
    <w:abstractNumId w:val="11"/>
  </w:num>
  <w:num w:numId="20" w16cid:durableId="605381854">
    <w:abstractNumId w:val="3"/>
  </w:num>
  <w:num w:numId="21" w16cid:durableId="338000806">
    <w:abstractNumId w:val="1"/>
  </w:num>
  <w:num w:numId="22" w16cid:durableId="1712000420">
    <w:abstractNumId w:val="7"/>
  </w:num>
  <w:num w:numId="23" w16cid:durableId="405107498">
    <w:abstractNumId w:val="21"/>
  </w:num>
  <w:num w:numId="24" w16cid:durableId="1759593392">
    <w:abstractNumId w:val="15"/>
  </w:num>
  <w:num w:numId="25" w16cid:durableId="221604449">
    <w:abstractNumId w:val="20"/>
  </w:num>
  <w:num w:numId="26" w16cid:durableId="679429333">
    <w:abstractNumId w:val="6"/>
  </w:num>
  <w:num w:numId="27" w16cid:durableId="1647323553">
    <w:abstractNumId w:val="14"/>
  </w:num>
  <w:num w:numId="28" w16cid:durableId="360327463">
    <w:abstractNumId w:val="24"/>
  </w:num>
  <w:num w:numId="29" w16cid:durableId="1170103790">
    <w:abstractNumId w:val="18"/>
  </w:num>
  <w:num w:numId="30" w16cid:durableId="888491974">
    <w:abstractNumId w:val="30"/>
  </w:num>
  <w:num w:numId="31" w16cid:durableId="187716777">
    <w:abstractNumId w:val="17"/>
  </w:num>
  <w:num w:numId="32" w16cid:durableId="1023288374">
    <w:abstractNumId w:val="5"/>
  </w:num>
  <w:num w:numId="33" w16cid:durableId="1783567743">
    <w:abstractNumId w:val="26"/>
  </w:num>
  <w:num w:numId="34" w16cid:durableId="860781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3CC1"/>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41BC"/>
    <w:rsid w:val="000F7FCC"/>
    <w:rsid w:val="00110404"/>
    <w:rsid w:val="00111FEC"/>
    <w:rsid w:val="0012580C"/>
    <w:rsid w:val="00126BBB"/>
    <w:rsid w:val="001403E5"/>
    <w:rsid w:val="00152DDF"/>
    <w:rsid w:val="00160BCD"/>
    <w:rsid w:val="00164AB3"/>
    <w:rsid w:val="00167C83"/>
    <w:rsid w:val="001803B2"/>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738FF"/>
    <w:rsid w:val="00297BAD"/>
    <w:rsid w:val="002B00EC"/>
    <w:rsid w:val="002B401D"/>
    <w:rsid w:val="002C45DF"/>
    <w:rsid w:val="002C4FA5"/>
    <w:rsid w:val="002C4FB7"/>
    <w:rsid w:val="002D1E69"/>
    <w:rsid w:val="002E7282"/>
    <w:rsid w:val="002F0EE3"/>
    <w:rsid w:val="002F6052"/>
    <w:rsid w:val="00303665"/>
    <w:rsid w:val="003151B1"/>
    <w:rsid w:val="00317DCD"/>
    <w:rsid w:val="00320753"/>
    <w:rsid w:val="0032119F"/>
    <w:rsid w:val="003337CA"/>
    <w:rsid w:val="00336EF9"/>
    <w:rsid w:val="00360F01"/>
    <w:rsid w:val="00374196"/>
    <w:rsid w:val="00385E13"/>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31AA"/>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76695"/>
    <w:rsid w:val="004A6AA8"/>
    <w:rsid w:val="004A71EC"/>
    <w:rsid w:val="004A7955"/>
    <w:rsid w:val="004B1A9A"/>
    <w:rsid w:val="004B1C8B"/>
    <w:rsid w:val="004C47F0"/>
    <w:rsid w:val="004D5A4A"/>
    <w:rsid w:val="00503C8C"/>
    <w:rsid w:val="00512B59"/>
    <w:rsid w:val="00514512"/>
    <w:rsid w:val="00514F6D"/>
    <w:rsid w:val="00514FD7"/>
    <w:rsid w:val="00527001"/>
    <w:rsid w:val="005368B8"/>
    <w:rsid w:val="00537276"/>
    <w:rsid w:val="005416E9"/>
    <w:rsid w:val="00542992"/>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E5FDF"/>
    <w:rsid w:val="005F385C"/>
    <w:rsid w:val="005F635C"/>
    <w:rsid w:val="005F7C6C"/>
    <w:rsid w:val="00602FED"/>
    <w:rsid w:val="006030B1"/>
    <w:rsid w:val="00606992"/>
    <w:rsid w:val="00607958"/>
    <w:rsid w:val="006131D1"/>
    <w:rsid w:val="006154FA"/>
    <w:rsid w:val="00620D10"/>
    <w:rsid w:val="0062321C"/>
    <w:rsid w:val="00625C22"/>
    <w:rsid w:val="006358E3"/>
    <w:rsid w:val="006421EF"/>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D6C1D"/>
    <w:rsid w:val="007E4220"/>
    <w:rsid w:val="007E4FB7"/>
    <w:rsid w:val="007F29C9"/>
    <w:rsid w:val="007F47F6"/>
    <w:rsid w:val="008243A6"/>
    <w:rsid w:val="00827A5F"/>
    <w:rsid w:val="00831730"/>
    <w:rsid w:val="00837F2F"/>
    <w:rsid w:val="00840D01"/>
    <w:rsid w:val="0084161C"/>
    <w:rsid w:val="0086034A"/>
    <w:rsid w:val="00867031"/>
    <w:rsid w:val="00873B50"/>
    <w:rsid w:val="00880F05"/>
    <w:rsid w:val="008A4FAD"/>
    <w:rsid w:val="008A610C"/>
    <w:rsid w:val="008A725B"/>
    <w:rsid w:val="008C1E74"/>
    <w:rsid w:val="008C2664"/>
    <w:rsid w:val="008C26B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65884"/>
    <w:rsid w:val="0097092D"/>
    <w:rsid w:val="009951D5"/>
    <w:rsid w:val="009A755C"/>
    <w:rsid w:val="009B0512"/>
    <w:rsid w:val="009B53E8"/>
    <w:rsid w:val="009C42E2"/>
    <w:rsid w:val="009C4800"/>
    <w:rsid w:val="009C5E89"/>
    <w:rsid w:val="009D7325"/>
    <w:rsid w:val="009E30A1"/>
    <w:rsid w:val="009E3930"/>
    <w:rsid w:val="00A04D35"/>
    <w:rsid w:val="00A10830"/>
    <w:rsid w:val="00A17DA2"/>
    <w:rsid w:val="00A20B01"/>
    <w:rsid w:val="00A22B96"/>
    <w:rsid w:val="00A27C04"/>
    <w:rsid w:val="00A36D7F"/>
    <w:rsid w:val="00A41FB6"/>
    <w:rsid w:val="00A54061"/>
    <w:rsid w:val="00A61C7B"/>
    <w:rsid w:val="00A63C08"/>
    <w:rsid w:val="00A6479A"/>
    <w:rsid w:val="00A73CF4"/>
    <w:rsid w:val="00A765E9"/>
    <w:rsid w:val="00A910EE"/>
    <w:rsid w:val="00A953FC"/>
    <w:rsid w:val="00A95F73"/>
    <w:rsid w:val="00AB0E31"/>
    <w:rsid w:val="00AC3F0C"/>
    <w:rsid w:val="00AD5579"/>
    <w:rsid w:val="00AE03A0"/>
    <w:rsid w:val="00AE0A3D"/>
    <w:rsid w:val="00AE31E1"/>
    <w:rsid w:val="00AF7379"/>
    <w:rsid w:val="00B045C9"/>
    <w:rsid w:val="00B23956"/>
    <w:rsid w:val="00B468E5"/>
    <w:rsid w:val="00B51168"/>
    <w:rsid w:val="00B56F6D"/>
    <w:rsid w:val="00B65652"/>
    <w:rsid w:val="00B80E8A"/>
    <w:rsid w:val="00B81818"/>
    <w:rsid w:val="00B86148"/>
    <w:rsid w:val="00B95C1C"/>
    <w:rsid w:val="00BC1FB3"/>
    <w:rsid w:val="00BE0BCA"/>
    <w:rsid w:val="00BF5C14"/>
    <w:rsid w:val="00C0730A"/>
    <w:rsid w:val="00C13406"/>
    <w:rsid w:val="00C135AD"/>
    <w:rsid w:val="00C2342E"/>
    <w:rsid w:val="00C36CE5"/>
    <w:rsid w:val="00C44CE1"/>
    <w:rsid w:val="00C456EB"/>
    <w:rsid w:val="00C477FD"/>
    <w:rsid w:val="00C517A2"/>
    <w:rsid w:val="00C524D5"/>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489D"/>
    <w:rsid w:val="00D07128"/>
    <w:rsid w:val="00D20154"/>
    <w:rsid w:val="00D20DE5"/>
    <w:rsid w:val="00D21D40"/>
    <w:rsid w:val="00D43DB4"/>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61D38"/>
    <w:rsid w:val="00E63B78"/>
    <w:rsid w:val="00E94167"/>
    <w:rsid w:val="00E95DB4"/>
    <w:rsid w:val="00E97344"/>
    <w:rsid w:val="00EB524C"/>
    <w:rsid w:val="00ED3C01"/>
    <w:rsid w:val="00ED6F02"/>
    <w:rsid w:val="00EF07B4"/>
    <w:rsid w:val="00F0418C"/>
    <w:rsid w:val="00F06146"/>
    <w:rsid w:val="00F20863"/>
    <w:rsid w:val="00F20E96"/>
    <w:rsid w:val="00F216E0"/>
    <w:rsid w:val="00F22E88"/>
    <w:rsid w:val="00F243ED"/>
    <w:rsid w:val="00F3107D"/>
    <w:rsid w:val="00F32B2F"/>
    <w:rsid w:val="00F54044"/>
    <w:rsid w:val="00F70364"/>
    <w:rsid w:val="00F76E57"/>
    <w:rsid w:val="00F84B24"/>
    <w:rsid w:val="00F966A8"/>
    <w:rsid w:val="00FA0917"/>
    <w:rsid w:val="00FB439C"/>
    <w:rsid w:val="00FB4B8A"/>
    <w:rsid w:val="00FD1A0B"/>
    <w:rsid w:val="00FE23FD"/>
    <w:rsid w:val="00FE2CBF"/>
    <w:rsid w:val="00FE7079"/>
    <w:rsid w:val="00FF009D"/>
    <w:rsid w:val="00FF2934"/>
    <w:rsid w:val="00FF3D1C"/>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2580C"/>
    <w:rPr>
      <w:rFonts w:ascii="Calibri" w:eastAsia="Calibri" w:hAnsi="Calibri" w:cs="Arial"/>
      <w:kern w:val="2"/>
      <w:sz w:val="22"/>
      <w:szCs w:val="22"/>
      <w:lang w:val="en-US" w:eastAsia="en-US"/>
    </w:rPr>
  </w:style>
  <w:style w:type="character" w:customStyle="1" w:styleId="UnresolvedMention10">
    <w:name w:val="Unresolved Mention1"/>
    <w:uiPriority w:val="99"/>
    <w:semiHidden/>
    <w:unhideWhenUsed/>
    <w:rsid w:val="0012580C"/>
    <w:rPr>
      <w:color w:val="605E5C"/>
      <w:shd w:val="clear" w:color="auto" w:fill="E1DFDD"/>
    </w:rPr>
  </w:style>
  <w:style w:type="character" w:customStyle="1" w:styleId="UnresolvedMention2">
    <w:name w:val="Unresolved Mention2"/>
    <w:uiPriority w:val="99"/>
    <w:semiHidden/>
    <w:unhideWhenUsed/>
    <w:rsid w:val="00125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5E9BE9-F0B6-4579-8E76-E30088972276}"/>
</file>

<file path=customXml/itemProps2.xml><?xml version="1.0" encoding="utf-8"?>
<ds:datastoreItem xmlns:ds="http://schemas.openxmlformats.org/officeDocument/2006/customXml" ds:itemID="{4B13DC4E-0FF0-4894-8B10-B0FB965A482F}"/>
</file>

<file path=customXml/itemProps3.xml><?xml version="1.0" encoding="utf-8"?>
<ds:datastoreItem xmlns:ds="http://schemas.openxmlformats.org/officeDocument/2006/customXml" ds:itemID="{24776728-AEDB-4D18-8B53-76C9FFA73E48}"/>
</file>

<file path=docProps/app.xml><?xml version="1.0" encoding="utf-8"?>
<Properties xmlns="http://schemas.openxmlformats.org/officeDocument/2006/extended-properties" xmlns:vt="http://schemas.openxmlformats.org/officeDocument/2006/docPropsVTypes">
  <Template>Normal.dotm</Template>
  <TotalTime>90</TotalTime>
  <Pages>11</Pages>
  <Words>3287</Words>
  <Characters>18740</Characters>
  <Application>Microsoft Office Word</Application>
  <DocSecurity>0</DocSecurity>
  <Lines>156</Lines>
  <Paragraphs>43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כשרות משפטית ומדינת הרווחה הישראלית</vt:lpstr>
      <vt:lpstr>כשרות משפטית ומדינת הרווחה הישראלית</vt:lpstr>
    </vt:vector>
  </TitlesOfParts>
  <Company>Onit Computer Services Ltd</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כשרות משפטית ומדינת הרווחה הישראלית</dc:title>
  <dc:creator>Mordechai Frankel</dc:creator>
  <cp:lastModifiedBy>שולמית פרנקל</cp:lastModifiedBy>
  <cp:revision>18</cp:revision>
  <cp:lastPrinted>2024-12-06T06:39:00Z</cp:lastPrinted>
  <dcterms:created xsi:type="dcterms:W3CDTF">2024-12-06T06:18:00Z</dcterms:created>
  <dcterms:modified xsi:type="dcterms:W3CDTF">2025-02-10T06:45:00Z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