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808BC" w14:textId="6527D6AF" w:rsidR="0042081B" w:rsidRPr="0042081B" w:rsidRDefault="0042081B" w:rsidP="0042081B">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42081B">
        <w:rPr>
          <w:rFonts w:ascii="Tahoma" w:hAnsi="Tahoma" w:cs="Guttman Aharoni" w:hint="cs"/>
          <w:b/>
          <w:bCs/>
          <w:color w:val="2A8E8C"/>
          <w:sz w:val="36"/>
          <w:szCs w:val="36"/>
          <w:rtl/>
        </w:rPr>
        <w:t>"את מי אני אמנה אם לא את הילדים?" היבטים של בחירת מיופה כוח במסגרת ביצוע ייפוי כוח מתמשך על ידי אזרחים ותיקים</w:t>
      </w:r>
      <w:r w:rsidRPr="0042081B">
        <w:rPr>
          <w:rStyle w:val="FootnoteReference"/>
          <w:rFonts w:ascii="Tahoma" w:hAnsi="Tahoma" w:cs="Guttman Aharoni"/>
          <w:b/>
          <w:bCs/>
          <w:color w:val="2A8E8C"/>
          <w:sz w:val="36"/>
          <w:szCs w:val="36"/>
          <w:vertAlign w:val="baseline"/>
          <w:rtl/>
        </w:rPr>
        <w:footnoteReference w:customMarkFollows="1" w:id="2"/>
        <w:t>*</w:t>
      </w:r>
    </w:p>
    <w:p w14:paraId="33A411CE" w14:textId="77777777" w:rsidR="0042081B" w:rsidRPr="0042081B" w:rsidRDefault="0042081B" w:rsidP="0042081B">
      <w:pPr>
        <w:pStyle w:val="KOT5T"/>
        <w:spacing w:after="540" w:line="360" w:lineRule="exact"/>
        <w:ind w:right="0"/>
        <w:jc w:val="left"/>
        <w:rPr>
          <w:rFonts w:cs="Guttman Aharoni"/>
          <w:color w:val="2A8E8C"/>
          <w:rtl/>
        </w:rPr>
      </w:pPr>
      <w:r w:rsidRPr="0042081B">
        <w:rPr>
          <w:rFonts w:cs="Guttman Aharoni"/>
          <w:color w:val="2A8E8C"/>
          <w:rtl/>
        </w:rPr>
        <w:t>מלכה דורון</w:t>
      </w:r>
      <w:r w:rsidRPr="0042081B">
        <w:rPr>
          <w:rFonts w:cs="Guttman Aharoni"/>
          <w:color w:val="2A8E8C"/>
          <w:vertAlign w:val="superscript"/>
          <w:rtl/>
        </w:rPr>
        <w:footnoteReference w:id="3"/>
      </w:r>
    </w:p>
    <w:p w14:paraId="384BC8E7" w14:textId="23AE5BD0" w:rsidR="0042081B" w:rsidRPr="0042081B" w:rsidRDefault="0042081B" w:rsidP="00EF3558">
      <w:pPr>
        <w:spacing w:after="180" w:line="276" w:lineRule="exact"/>
        <w:jc w:val="both"/>
        <w:rPr>
          <w:rFonts w:ascii="Georgia" w:hAnsi="Georgia"/>
          <w:sz w:val="18"/>
          <w:szCs w:val="20"/>
          <w:rtl/>
        </w:rPr>
      </w:pPr>
      <w:bookmarkStart w:id="0" w:name="_Hlk181983187"/>
      <w:bookmarkStart w:id="1" w:name="_Hlk89849188"/>
      <w:r w:rsidRPr="0042081B">
        <w:rPr>
          <w:rFonts w:ascii="Georgia" w:hAnsi="Georgia"/>
          <w:sz w:val="18"/>
          <w:szCs w:val="20"/>
          <w:rtl/>
        </w:rPr>
        <w:t xml:space="preserve">ייפוי כוח מתמשך הוא כלי </w:t>
      </w:r>
      <w:r w:rsidRPr="0042081B">
        <w:rPr>
          <w:rFonts w:ascii="Georgia" w:hAnsi="Georgia" w:hint="cs"/>
          <w:sz w:val="18"/>
          <w:szCs w:val="20"/>
          <w:rtl/>
        </w:rPr>
        <w:t xml:space="preserve">תכנון </w:t>
      </w:r>
      <w:r w:rsidRPr="0042081B">
        <w:rPr>
          <w:rFonts w:ascii="Georgia" w:hAnsi="Georgia"/>
          <w:sz w:val="18"/>
          <w:szCs w:val="20"/>
          <w:rtl/>
        </w:rPr>
        <w:t xml:space="preserve">משפטי </w:t>
      </w:r>
      <w:r w:rsidRPr="0042081B">
        <w:rPr>
          <w:rFonts w:ascii="Georgia" w:hAnsi="Georgia" w:hint="cs"/>
          <w:sz w:val="18"/>
          <w:szCs w:val="20"/>
          <w:rtl/>
        </w:rPr>
        <w:t xml:space="preserve">שבאמצעותו יכול אדם להתכונן לקראת האפשרות של הידרדרות תפקודיו ואובדן יכולתו לקבל החלטות באופן עצמאי. אחת הסוגיות המרכזיות המתעוררות במסגרת ביצוע ייפוי כוח מתמשך נוגעת לבחירת מיופה הכוח העתידי. על אף מרכזיותה וחשיבותה של סוגיה זו, המחקרים העוסקים בה הם מעטים. המאמר מציג ממצאים הנוגעים לבחירת מיופה 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כפי שהללו עלו מתוך מחקר שבחן, לראשונה, את החוויה והמשמעות של ביצוע ייפוי כוח מתמשך בישראל על ידי אזרחים ותיקים, ודן בהם. שיטת המחקר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איכותנית-פנומנולוגית. במסגרת המחקר רואיינו 16 אזרחים ותיקים שביצעו ייפוי כוח מתמשך. נמצאו שתי תמות בולטות בהקשר של סוגיית הבחירה במיופה הכוח:</w:t>
      </w:r>
      <w:r w:rsidRPr="0042081B">
        <w:rPr>
          <w:rFonts w:ascii="Georgia" w:hAnsi="Georgia" w:hint="cs"/>
          <w:sz w:val="18"/>
          <w:szCs w:val="20"/>
        </w:rPr>
        <w:t xml:space="preserve"> </w:t>
      </w:r>
      <w:r w:rsidRPr="0042081B">
        <w:rPr>
          <w:rFonts w:ascii="Georgia" w:hAnsi="Georgia" w:hint="cs"/>
          <w:sz w:val="18"/>
          <w:szCs w:val="20"/>
          <w:rtl/>
        </w:rPr>
        <w:t>(1)</w:t>
      </w:r>
      <w:r w:rsidRPr="0042081B">
        <w:rPr>
          <w:rFonts w:ascii="Georgia" w:hAnsi="Georgia"/>
          <w:sz w:val="18"/>
          <w:szCs w:val="20"/>
          <w:rtl/>
        </w:rPr>
        <w:t xml:space="preserve"> </w:t>
      </w:r>
      <w:r w:rsidRPr="0042081B">
        <w:rPr>
          <w:rFonts w:ascii="Georgia" w:hAnsi="Georgia" w:hint="cs"/>
          <w:sz w:val="18"/>
          <w:szCs w:val="20"/>
          <w:rtl/>
        </w:rPr>
        <w:t>בחירה בבני משפחה</w:t>
      </w:r>
      <w:r w:rsidRPr="0042081B">
        <w:rPr>
          <w:rFonts w:ascii="Georgia" w:hAnsi="Georgia"/>
          <w:sz w:val="18"/>
          <w:szCs w:val="20"/>
          <w:rtl/>
        </w:rPr>
        <w:t xml:space="preserve">; </w:t>
      </w:r>
      <w:r w:rsidR="00EF3558">
        <w:rPr>
          <w:rFonts w:ascii="Georgia" w:hAnsi="Georgia"/>
          <w:sz w:val="18"/>
          <w:szCs w:val="20"/>
        </w:rPr>
        <w:br/>
      </w:r>
      <w:r w:rsidRPr="0042081B">
        <w:rPr>
          <w:rFonts w:ascii="Georgia" w:hAnsi="Georgia" w:hint="cs"/>
          <w:sz w:val="18"/>
          <w:szCs w:val="20"/>
          <w:rtl/>
        </w:rPr>
        <w:t>(2)</w:t>
      </w:r>
      <w:r w:rsidRPr="0042081B">
        <w:rPr>
          <w:rFonts w:ascii="Georgia" w:hAnsi="Georgia"/>
          <w:sz w:val="18"/>
          <w:szCs w:val="20"/>
          <w:rtl/>
        </w:rPr>
        <w:t xml:space="preserve"> </w:t>
      </w:r>
      <w:r w:rsidRPr="0042081B">
        <w:rPr>
          <w:rFonts w:ascii="Georgia" w:hAnsi="Georgia" w:hint="cs"/>
          <w:sz w:val="18"/>
          <w:szCs w:val="20"/>
          <w:rtl/>
        </w:rPr>
        <w:t>שיקולי התאמה כלליים לתפקיד</w:t>
      </w:r>
      <w:r w:rsidRPr="0042081B">
        <w:rPr>
          <w:rFonts w:ascii="Georgia" w:hAnsi="Georgia"/>
          <w:sz w:val="18"/>
          <w:szCs w:val="20"/>
          <w:rtl/>
        </w:rPr>
        <w:t>.</w:t>
      </w:r>
      <w:r w:rsidRPr="0042081B">
        <w:rPr>
          <w:rFonts w:ascii="Georgia" w:hAnsi="Georgia" w:hint="cs"/>
          <w:sz w:val="18"/>
          <w:szCs w:val="20"/>
          <w:rtl/>
        </w:rPr>
        <w:t xml:space="preserve"> הממצאים מלמדים על הדמיון בין תהליך הבחירה של מיופה הכוח לבין האופן שבו זקנים מבקשים לעצמם צורות אחרות של סיוע ותמיכה. בהתאם לכך, ובהלימה למודל ההיררכי המפצה, מרואיינים העדיפו למנות לתפקיד בני משפחה, בעיקר מקרבה ראשונה. לצד זאת לא נפקד מקומם של שיקולי התאמה לתפקיד, שעליהם שופך אור מודל המשימה הייחודית. יישומים אפשריים של המאמר מצביעים על תפקידם החשוב של עורכי הדין בתהליך ביצוע המסמך בכלל, ובהקשר של בחירת מיופה הכוח בפרט, לשם שכלול מימושו של הפוטנציאל הטמון בכלי 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p>
    <w:p w14:paraId="4E67212E" w14:textId="77777777" w:rsidR="0042081B" w:rsidRDefault="0042081B" w:rsidP="0042081B">
      <w:pPr>
        <w:spacing w:after="180" w:line="280" w:lineRule="exact"/>
        <w:jc w:val="both"/>
        <w:rPr>
          <w:rFonts w:ascii="Georgia" w:hAnsi="Georgia"/>
          <w:sz w:val="18"/>
          <w:szCs w:val="20"/>
          <w:rtl/>
        </w:rPr>
      </w:pPr>
      <w:r w:rsidRPr="0042081B">
        <w:rPr>
          <w:rFonts w:ascii="Georgia" w:hAnsi="Georgia"/>
          <w:b/>
          <w:bCs/>
          <w:sz w:val="18"/>
          <w:szCs w:val="20"/>
          <w:rtl/>
        </w:rPr>
        <w:lastRenderedPageBreak/>
        <w:t>מילות מפתח:</w:t>
      </w:r>
      <w:r w:rsidRPr="0042081B">
        <w:rPr>
          <w:rFonts w:ascii="Georgia" w:hAnsi="Georgia"/>
          <w:sz w:val="18"/>
          <w:szCs w:val="20"/>
          <w:rtl/>
        </w:rPr>
        <w:t xml:space="preserve"> ייפוי כוח מתמשך,</w:t>
      </w:r>
      <w:r w:rsidRPr="0042081B">
        <w:rPr>
          <w:rFonts w:ascii="Georgia" w:hAnsi="Georgia" w:hint="cs"/>
          <w:sz w:val="18"/>
          <w:szCs w:val="20"/>
          <w:rtl/>
        </w:rPr>
        <w:t xml:space="preserve"> אזרחים ותיקים, מיופה כוח, המודל ההיררכי המפצה, מודל המשימה הייחודית</w:t>
      </w:r>
    </w:p>
    <w:p w14:paraId="0AF1B4AE" w14:textId="77777777" w:rsidR="008B5BE0" w:rsidRDefault="008B5BE0" w:rsidP="008B5BE0">
      <w:pPr>
        <w:spacing w:line="280" w:lineRule="exact"/>
        <w:jc w:val="both"/>
        <w:rPr>
          <w:rFonts w:ascii="Georgia" w:hAnsi="Georgia"/>
          <w:sz w:val="18"/>
          <w:szCs w:val="20"/>
          <w:rtl/>
        </w:rPr>
      </w:pPr>
    </w:p>
    <w:p w14:paraId="6AF418BE" w14:textId="77777777" w:rsidR="008B5BE0" w:rsidRPr="0042081B" w:rsidRDefault="008B5BE0" w:rsidP="008B5BE0">
      <w:pPr>
        <w:spacing w:line="280" w:lineRule="exact"/>
        <w:jc w:val="both"/>
        <w:rPr>
          <w:rFonts w:ascii="Georgia" w:hAnsi="Georgia"/>
          <w:sz w:val="18"/>
          <w:szCs w:val="20"/>
          <w:rtl/>
        </w:rPr>
      </w:pPr>
    </w:p>
    <w:bookmarkEnd w:id="0"/>
    <w:bookmarkEnd w:id="1"/>
    <w:p w14:paraId="6570C4B0" w14:textId="05EDC849"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eastAsia"/>
          <w:color w:val="2A8E8C"/>
          <w:sz w:val="32"/>
          <w:szCs w:val="32"/>
          <w:rtl/>
        </w:rPr>
        <w:t>מבוא</w:t>
      </w:r>
    </w:p>
    <w:p w14:paraId="3236921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התופעה הכלל-עולמית של הזדקנות האוכלוסייה (</w:t>
      </w:r>
      <w:r w:rsidRPr="0042081B">
        <w:rPr>
          <w:rFonts w:ascii="Georgia" w:hAnsi="Georgia"/>
          <w:sz w:val="18"/>
          <w:szCs w:val="20"/>
        </w:rPr>
        <w:t>Bloom et al., 2015</w:t>
      </w:r>
      <w:r w:rsidRPr="0042081B">
        <w:rPr>
          <w:rFonts w:ascii="Georgia" w:hAnsi="Georgia" w:hint="cs"/>
          <w:sz w:val="18"/>
          <w:szCs w:val="20"/>
          <w:rtl/>
        </w:rPr>
        <w:t xml:space="preserve">) כרוכה באתגרים שונים, הנובעים מהידרדרות אפשרית בתקופת חיים זו בתפקודיו הפיזיים או הקוגניטיביים של האדם. בתחום המשפטי המתפתח של משפט </w:t>
      </w:r>
      <w:proofErr w:type="spellStart"/>
      <w:r w:rsidRPr="0042081B">
        <w:rPr>
          <w:rFonts w:ascii="Georgia" w:hAnsi="Georgia" w:hint="cs"/>
          <w:sz w:val="18"/>
          <w:szCs w:val="20"/>
          <w:rtl/>
        </w:rPr>
        <w:t>וזיקנה</w:t>
      </w:r>
      <w:proofErr w:type="spellEnd"/>
      <w:r w:rsidRPr="0042081B">
        <w:rPr>
          <w:rFonts w:ascii="Georgia" w:hAnsi="Georgia" w:hint="cs"/>
          <w:sz w:val="18"/>
          <w:szCs w:val="20"/>
          <w:rtl/>
        </w:rPr>
        <w:t xml:space="preserve"> (</w:t>
      </w:r>
      <w:r w:rsidRPr="0042081B">
        <w:rPr>
          <w:rFonts w:ascii="Georgia" w:hAnsi="Georgia" w:hint="eastAsia"/>
          <w:sz w:val="18"/>
          <w:szCs w:val="20"/>
          <w:rtl/>
        </w:rPr>
        <w:t>סגל</w:t>
      </w:r>
      <w:r w:rsidRPr="0042081B">
        <w:rPr>
          <w:rFonts w:ascii="Georgia" w:hAnsi="Georgia" w:hint="cs"/>
          <w:sz w:val="18"/>
          <w:szCs w:val="20"/>
          <w:rtl/>
        </w:rPr>
        <w:t xml:space="preserve"> ואח', </w:t>
      </w:r>
      <w:r w:rsidRPr="0042081B">
        <w:rPr>
          <w:rFonts w:ascii="Georgia" w:hAnsi="Georgia"/>
          <w:sz w:val="18"/>
          <w:szCs w:val="20"/>
          <w:rtl/>
        </w:rPr>
        <w:t>2014</w:t>
      </w:r>
      <w:r w:rsidRPr="0042081B">
        <w:rPr>
          <w:rFonts w:ascii="Georgia" w:hAnsi="Georgia" w:hint="cs"/>
          <w:sz w:val="18"/>
          <w:szCs w:val="20"/>
          <w:rtl/>
        </w:rPr>
        <w:t xml:space="preserve">) מוקדשת תשומת לב רבה לתכנון מקדים 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w:t>
      </w:r>
      <w:r w:rsidRPr="0042081B">
        <w:rPr>
          <w:rFonts w:ascii="Georgia" w:hAnsi="Georgia"/>
          <w:sz w:val="18"/>
          <w:szCs w:val="20"/>
        </w:rPr>
        <w:t>Frolik, 2009</w:t>
      </w:r>
      <w:r w:rsidRPr="0042081B">
        <w:rPr>
          <w:rFonts w:ascii="Georgia" w:hAnsi="Georgia" w:hint="cs"/>
          <w:sz w:val="18"/>
          <w:szCs w:val="20"/>
          <w:rtl/>
        </w:rPr>
        <w:t>), וזאת באמצעות כלי תכנון ומניעה משפטיים שיסייעו לאדם ל</w:t>
      </w:r>
      <w:r w:rsidRPr="0042081B">
        <w:rPr>
          <w:rFonts w:ascii="Georgia" w:hAnsi="Georgia" w:hint="eastAsia"/>
          <w:sz w:val="18"/>
          <w:szCs w:val="20"/>
          <w:rtl/>
        </w:rPr>
        <w:t>התכונן</w:t>
      </w:r>
      <w:r w:rsidRPr="0042081B">
        <w:rPr>
          <w:rFonts w:ascii="Georgia" w:hAnsi="Georgia" w:hint="cs"/>
          <w:sz w:val="18"/>
          <w:szCs w:val="20"/>
          <w:rtl/>
        </w:rPr>
        <w:t xml:space="preserve"> לקראת אתגרי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האמורים, ולהביא לידי ביטוי את רצונותיו, ערכיו והשקפת עולמו גם בשנות חיים אלה (דורון וגל, 20</w:t>
      </w:r>
      <w:r w:rsidRPr="0042081B">
        <w:rPr>
          <w:rFonts w:ascii="Georgia" w:hAnsi="Georgia"/>
          <w:sz w:val="18"/>
          <w:szCs w:val="20"/>
          <w:rtl/>
        </w:rPr>
        <w:t>0</w:t>
      </w:r>
      <w:r w:rsidRPr="0042081B">
        <w:rPr>
          <w:rFonts w:ascii="Georgia" w:hAnsi="Georgia" w:hint="cs"/>
          <w:sz w:val="18"/>
          <w:szCs w:val="20"/>
          <w:rtl/>
        </w:rPr>
        <w:t>3). ייפוי כוח מתמשך (</w:t>
      </w:r>
      <w:r w:rsidRPr="0042081B">
        <w:rPr>
          <w:rFonts w:ascii="Georgia" w:hAnsi="Georgia"/>
          <w:sz w:val="18"/>
          <w:szCs w:val="20"/>
        </w:rPr>
        <w:t>continuing power of attorney</w:t>
      </w:r>
      <w:r w:rsidRPr="0042081B">
        <w:rPr>
          <w:rFonts w:ascii="Georgia" w:hAnsi="Georgia" w:hint="cs"/>
          <w:sz w:val="18"/>
          <w:szCs w:val="20"/>
          <w:rtl/>
        </w:rPr>
        <w:t>)</w:t>
      </w:r>
      <w:r w:rsidRPr="0042081B">
        <w:rPr>
          <w:rStyle w:val="FootnoteReference"/>
          <w:rFonts w:ascii="Georgia" w:hAnsi="Georgia"/>
          <w:sz w:val="18"/>
          <w:szCs w:val="20"/>
          <w:rtl/>
        </w:rPr>
        <w:footnoteReference w:id="4"/>
      </w:r>
      <w:r w:rsidRPr="0042081B">
        <w:rPr>
          <w:rFonts w:ascii="Georgia" w:hAnsi="Georgia" w:hint="cs"/>
          <w:sz w:val="18"/>
          <w:szCs w:val="20"/>
          <w:rtl/>
        </w:rPr>
        <w:t xml:space="preserve"> עוגן בחקיקה בישראל לראשונה בשנת 2016, במסגרת תיקון מס' 18 לחוק הכשרות המשפטית והאפוטרופסות, התשכ"ב-1962</w:t>
      </w:r>
      <w:r w:rsidRPr="0042081B">
        <w:rPr>
          <w:rFonts w:ascii="Georgia" w:hAnsi="Georgia"/>
          <w:sz w:val="18"/>
          <w:szCs w:val="20"/>
          <w:vertAlign w:val="superscript"/>
          <w:rtl/>
        </w:rPr>
        <w:footnoteReference w:id="5"/>
      </w:r>
      <w:r w:rsidRPr="0042081B">
        <w:rPr>
          <w:rFonts w:ascii="Georgia" w:hAnsi="Georgia" w:hint="cs"/>
          <w:sz w:val="18"/>
          <w:szCs w:val="20"/>
          <w:rtl/>
        </w:rPr>
        <w:t xml:space="preserve"> (להלן: החוק או התיקון לחוק, בהתאם להקשר), והוא כלי תכנון משפטי אשר נועד לסייע לאדם (להלן: הממנה) להתכונן לקראת מצב של אובדן הכשירות לקבל החלטות באופן עצמאי באמצעות מינוי מיופה כוח שיפעל בשמו ומטעמו, ככל שהממנה יאבד בעתיד את כשירותו. כן מאפשר הכלי לממנה לתת במסגרתו למיופה הכוח העתידי הוראות מקדימות (</w:t>
      </w:r>
      <w:r w:rsidRPr="0042081B">
        <w:rPr>
          <w:rFonts w:ascii="Georgia" w:hAnsi="Georgia"/>
          <w:sz w:val="18"/>
          <w:szCs w:val="20"/>
        </w:rPr>
        <w:t>advance directives</w:t>
      </w:r>
      <w:r w:rsidRPr="0042081B">
        <w:rPr>
          <w:rFonts w:ascii="Georgia" w:hAnsi="Georgia" w:hint="cs"/>
          <w:sz w:val="18"/>
          <w:szCs w:val="20"/>
          <w:rtl/>
        </w:rPr>
        <w:t xml:space="preserve">) אשר מבהירות כיצד הממנה מעוניין שמיופה הכוח יפעל בענייניו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האישיים או הרפואיים אם ייפוי הכוח המתמשך ייכנס לתוקף. זהו כלי שנועד להיות חלופה פשוטה יותר ודורסנית פחות מהליך של מינוי אפוטרופוס, אשר זכה במהלך השנים לביקורת רבה בשל פגיעתו בזכויות הפרט (</w:t>
      </w:r>
      <w:proofErr w:type="spellStart"/>
      <w:r w:rsidRPr="0042081B">
        <w:rPr>
          <w:rFonts w:ascii="Georgia" w:hAnsi="Georgia" w:hint="cs"/>
          <w:sz w:val="18"/>
          <w:szCs w:val="20"/>
          <w:rtl/>
        </w:rPr>
        <w:t>בראל</w:t>
      </w:r>
      <w:proofErr w:type="spellEnd"/>
      <w:r w:rsidRPr="0042081B">
        <w:rPr>
          <w:rFonts w:ascii="Georgia" w:hAnsi="Georgia" w:hint="cs"/>
          <w:sz w:val="18"/>
          <w:szCs w:val="20"/>
          <w:rtl/>
        </w:rPr>
        <w:t xml:space="preserve"> ואח', 2015). הסדרתו של הכלי בחוק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חלק מתיקון חקיקה נרחב שביטא שינוי של ממש בתפיסות החברתיות בישראל, ומעבר מגישה פטרנליסטית לתפיסת עולם המבכרת את כיבוד רצונותיו של הפרט, ושמירה על אוטונומיה, ככל הניתן.</w:t>
      </w:r>
      <w:r w:rsidRPr="0042081B">
        <w:rPr>
          <w:rFonts w:ascii="Georgia" w:hAnsi="Georgia"/>
          <w:sz w:val="18"/>
          <w:szCs w:val="20"/>
          <w:vertAlign w:val="superscript"/>
          <w:rtl/>
        </w:rPr>
        <w:footnoteReference w:id="6"/>
      </w:r>
    </w:p>
    <w:p w14:paraId="72905E3D" w14:textId="0BE57CE0" w:rsidR="0042081B" w:rsidRDefault="0042081B" w:rsidP="001B72C9">
      <w:pPr>
        <w:spacing w:after="180" w:line="280" w:lineRule="exact"/>
        <w:jc w:val="both"/>
        <w:rPr>
          <w:rFonts w:ascii="Georgia" w:hAnsi="Georgia"/>
          <w:sz w:val="18"/>
          <w:szCs w:val="20"/>
          <w:rtl/>
        </w:rPr>
      </w:pPr>
      <w:bookmarkStart w:id="3" w:name="_Hlk151808669"/>
      <w:r w:rsidRPr="0042081B">
        <w:rPr>
          <w:rFonts w:ascii="Georgia" w:hAnsi="Georgia" w:hint="cs"/>
          <w:sz w:val="18"/>
          <w:szCs w:val="20"/>
          <w:rtl/>
        </w:rPr>
        <w:t xml:space="preserve">אחת הסוגיות המרכזיות המתעוררות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נוגעת לבחירת מיופה הכוח העתידי. מחקרים רבים בחנו היבטים שונים של שימוש בכלי תכנון ומניעה משפטיים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דוגמת היקפי השימוש בהם </w:t>
      </w:r>
      <w:r w:rsidRPr="0042081B">
        <w:rPr>
          <w:rFonts w:ascii="Georgia" w:hAnsi="Georgia"/>
          <w:sz w:val="18"/>
          <w:szCs w:val="20"/>
          <w:rtl/>
        </w:rPr>
        <w:t>(</w:t>
      </w:r>
      <w:r w:rsidRPr="0042081B">
        <w:rPr>
          <w:rFonts w:ascii="Georgia" w:hAnsi="Georgia"/>
          <w:sz w:val="18"/>
          <w:szCs w:val="20"/>
        </w:rPr>
        <w:t>Li et al., 2019</w:t>
      </w:r>
      <w:r w:rsidRPr="0042081B">
        <w:rPr>
          <w:rFonts w:ascii="Georgia" w:hAnsi="Georgia"/>
          <w:sz w:val="18"/>
          <w:szCs w:val="20"/>
          <w:rtl/>
        </w:rPr>
        <w:t>),</w:t>
      </w:r>
      <w:r w:rsidRPr="0042081B">
        <w:rPr>
          <w:rFonts w:ascii="Georgia" w:hAnsi="Georgia" w:hint="cs"/>
          <w:sz w:val="18"/>
          <w:szCs w:val="20"/>
          <w:rtl/>
        </w:rPr>
        <w:t xml:space="preserve"> חסמים ומוטיבציות לביצועם </w:t>
      </w:r>
      <w:r w:rsidRPr="0042081B">
        <w:rPr>
          <w:rFonts w:ascii="Georgia" w:hAnsi="Georgia"/>
          <w:sz w:val="18"/>
          <w:szCs w:val="20"/>
          <w:rtl/>
        </w:rPr>
        <w:t>(</w:t>
      </w:r>
      <w:r w:rsidRPr="0042081B">
        <w:rPr>
          <w:rFonts w:ascii="Georgia" w:hAnsi="Georgia"/>
          <w:sz w:val="18"/>
          <w:szCs w:val="20"/>
        </w:rPr>
        <w:t>Alano et al., 2010</w:t>
      </w:r>
      <w:r w:rsidRPr="0042081B">
        <w:rPr>
          <w:rFonts w:ascii="Georgia" w:hAnsi="Georgia"/>
          <w:sz w:val="18"/>
          <w:szCs w:val="20"/>
          <w:rtl/>
        </w:rPr>
        <w:t>)</w:t>
      </w:r>
      <w:r w:rsidRPr="0042081B">
        <w:rPr>
          <w:rFonts w:ascii="Georgia" w:hAnsi="Georgia" w:hint="cs"/>
          <w:sz w:val="18"/>
          <w:szCs w:val="20"/>
          <w:rtl/>
        </w:rPr>
        <w:t>, וההשפעות של ביצועם על רווחתם של אזרחים ותיקים (</w:t>
      </w:r>
      <w:r w:rsidRPr="0042081B">
        <w:rPr>
          <w:rFonts w:ascii="Georgia" w:hAnsi="Georgia"/>
          <w:sz w:val="18"/>
          <w:szCs w:val="20"/>
        </w:rPr>
        <w:t>Nouri et al., 2019</w:t>
      </w:r>
      <w:r w:rsidRPr="0042081B">
        <w:rPr>
          <w:rFonts w:ascii="Georgia" w:hAnsi="Georgia"/>
          <w:sz w:val="18"/>
          <w:szCs w:val="20"/>
          <w:rtl/>
        </w:rPr>
        <w:t>)</w:t>
      </w:r>
      <w:r w:rsidRPr="0042081B">
        <w:rPr>
          <w:rFonts w:ascii="Georgia" w:hAnsi="Georgia" w:hint="cs"/>
          <w:sz w:val="18"/>
          <w:szCs w:val="20"/>
          <w:rtl/>
        </w:rPr>
        <w:t>. לעומתם, מחקרים המתמקדים בסוגיית בחירת מיופה הכוח העתידי הם מעטים (</w:t>
      </w:r>
      <w:r w:rsidRPr="0042081B">
        <w:rPr>
          <w:rFonts w:ascii="Georgia" w:hAnsi="Georgia"/>
          <w:sz w:val="18"/>
          <w:szCs w:val="20"/>
        </w:rPr>
        <w:t>Barnett &amp; Cantu, 2021</w:t>
      </w:r>
      <w:r w:rsidRPr="0042081B">
        <w:rPr>
          <w:rFonts w:ascii="Georgia" w:hAnsi="Georgia" w:hint="cs"/>
          <w:sz w:val="18"/>
          <w:szCs w:val="20"/>
          <w:rtl/>
        </w:rPr>
        <w:t xml:space="preserve">). לפיכך, מאמר זה מבקש לעמוד על היבטים הקשורים בבחירת מיופה כוח עתידי כפי שהללו עלו במחקר זה שבחן, לראשונה בישראל, את החוויה והמשמעות של ביצוע ייפוי כוח מתמשך מכוח החוק בעיני אזרחים ותיקים המבצעים אותו. </w:t>
      </w:r>
      <w:r w:rsidRPr="0042081B">
        <w:rPr>
          <w:rFonts w:ascii="Georgia" w:hAnsi="Georgia" w:hint="cs"/>
          <w:sz w:val="18"/>
          <w:szCs w:val="20"/>
          <w:rtl/>
        </w:rPr>
        <w:lastRenderedPageBreak/>
        <w:t>ממצאי המחקר הצביעו על הפוטנציאל הטמון בביצוע ייפוי כוח מתמשך להפחתת האמביוולנטיות הבין-דורית</w:t>
      </w:r>
      <w:r w:rsidRPr="0042081B">
        <w:rPr>
          <w:rStyle w:val="FootnoteReference"/>
          <w:rFonts w:ascii="Georgia" w:hAnsi="Georgia"/>
          <w:sz w:val="18"/>
          <w:szCs w:val="20"/>
          <w:rtl/>
        </w:rPr>
        <w:footnoteReference w:id="7"/>
      </w:r>
      <w:r w:rsidRPr="0042081B">
        <w:rPr>
          <w:rFonts w:ascii="Georgia" w:hAnsi="Georgia" w:hint="cs"/>
          <w:sz w:val="18"/>
          <w:szCs w:val="20"/>
          <w:rtl/>
        </w:rPr>
        <w:t xml:space="preserve"> ולקידום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r w:rsidRPr="0042081B">
        <w:rPr>
          <w:rFonts w:ascii="Georgia" w:hAnsi="Georgia" w:hint="eastAsia"/>
          <w:sz w:val="18"/>
          <w:szCs w:val="20"/>
          <w:rtl/>
        </w:rPr>
        <w:t>דורון</w:t>
      </w:r>
      <w:r w:rsidRPr="0042081B">
        <w:rPr>
          <w:rFonts w:ascii="Georgia" w:hAnsi="Georgia"/>
          <w:sz w:val="18"/>
          <w:szCs w:val="20"/>
          <w:rtl/>
        </w:rPr>
        <w:t xml:space="preserve"> </w:t>
      </w:r>
      <w:r w:rsidRPr="0042081B">
        <w:rPr>
          <w:rFonts w:ascii="Georgia" w:hAnsi="Georgia" w:hint="eastAsia"/>
          <w:sz w:val="18"/>
          <w:szCs w:val="20"/>
          <w:rtl/>
        </w:rPr>
        <w:t>ודורון</w:t>
      </w:r>
      <w:r w:rsidRPr="0042081B">
        <w:rPr>
          <w:rFonts w:ascii="Georgia" w:hAnsi="Georgia"/>
          <w:sz w:val="18"/>
          <w:szCs w:val="20"/>
          <w:rtl/>
        </w:rPr>
        <w:t>,</w:t>
      </w:r>
      <w:r w:rsidRPr="0042081B">
        <w:rPr>
          <w:rFonts w:ascii="Georgia" w:hAnsi="Georgia" w:hint="cs"/>
          <w:sz w:val="18"/>
          <w:szCs w:val="20"/>
          <w:rtl/>
        </w:rPr>
        <w:t xml:space="preserve"> 2022). ההתמקדות בממצאי המחקר הנוגעים לסוגיית בחירת מיופה הכוח תסייע </w:t>
      </w:r>
      <w:bookmarkStart w:id="5" w:name="_Hlk151809074"/>
      <w:r w:rsidRPr="0042081B">
        <w:rPr>
          <w:rFonts w:ascii="Georgia" w:hAnsi="Georgia" w:hint="cs"/>
          <w:sz w:val="18"/>
          <w:szCs w:val="20"/>
          <w:rtl/>
        </w:rPr>
        <w:t xml:space="preserve">לשפוך אור על אחד ההיבטים המרכזיים בשלבי ביצוע ייפוי הכוח, ותתרום לפיכך לקידום השימוש בכלי משפטי זה ולמימוש הפוטנציאל הטמון בו </w:t>
      </w:r>
      <w:r w:rsidR="001B72C9">
        <w:rPr>
          <w:rFonts w:ascii="Georgia" w:hAnsi="Georgia" w:hint="cs"/>
          <w:sz w:val="18"/>
          <w:szCs w:val="20"/>
          <w:rtl/>
        </w:rPr>
        <w:t>ל</w:t>
      </w:r>
      <w:r w:rsidRPr="0042081B">
        <w:rPr>
          <w:rFonts w:ascii="Georgia" w:hAnsi="Georgia" w:hint="cs"/>
          <w:sz w:val="18"/>
          <w:szCs w:val="20"/>
          <w:rtl/>
        </w:rPr>
        <w:t>רווחה הרגשית והנפשית של אזרחים ותיקים.</w:t>
      </w:r>
      <w:bookmarkEnd w:id="3"/>
      <w:bookmarkEnd w:id="5"/>
    </w:p>
    <w:p w14:paraId="2E4C96A4" w14:textId="77777777" w:rsidR="008B5BE0" w:rsidRDefault="008B5BE0" w:rsidP="008B5BE0">
      <w:pPr>
        <w:spacing w:line="280" w:lineRule="exact"/>
        <w:jc w:val="both"/>
        <w:rPr>
          <w:rFonts w:ascii="Georgia" w:hAnsi="Georgia"/>
          <w:sz w:val="18"/>
          <w:szCs w:val="20"/>
          <w:rtl/>
        </w:rPr>
      </w:pPr>
    </w:p>
    <w:p w14:paraId="084F1469" w14:textId="77777777" w:rsidR="008B5BE0" w:rsidRPr="0042081B" w:rsidRDefault="008B5BE0" w:rsidP="008B5BE0">
      <w:pPr>
        <w:spacing w:line="280" w:lineRule="exact"/>
        <w:jc w:val="both"/>
        <w:rPr>
          <w:rFonts w:ascii="Georgia" w:hAnsi="Georgia"/>
          <w:sz w:val="18"/>
          <w:szCs w:val="20"/>
          <w:rtl/>
        </w:rPr>
      </w:pPr>
    </w:p>
    <w:p w14:paraId="277C4618" w14:textId="0E294568" w:rsidR="0042081B" w:rsidRPr="0042081B" w:rsidRDefault="0042081B" w:rsidP="0042081B">
      <w:pPr>
        <w:pStyle w:val="KOT4"/>
        <w:spacing w:after="0"/>
        <w:ind w:left="397" w:right="0" w:hanging="397"/>
        <w:rPr>
          <w:rFonts w:cs="Guttman Aharoni"/>
          <w:color w:val="2A8E8C"/>
          <w:sz w:val="32"/>
          <w:szCs w:val="32"/>
        </w:rPr>
      </w:pPr>
      <w:r w:rsidRPr="0042081B">
        <w:rPr>
          <w:rFonts w:cs="Guttman Aharoni" w:hint="cs"/>
          <w:color w:val="2A8E8C"/>
          <w:sz w:val="32"/>
          <w:szCs w:val="32"/>
          <w:rtl/>
        </w:rPr>
        <w:t>סקירת ספרות</w:t>
      </w:r>
    </w:p>
    <w:p w14:paraId="07135C90" w14:textId="77777777" w:rsidR="0042081B" w:rsidRPr="00A20B01" w:rsidRDefault="0042081B" w:rsidP="0042081B">
      <w:pPr>
        <w:keepNext/>
        <w:keepLines/>
        <w:spacing w:line="280" w:lineRule="exact"/>
        <w:jc w:val="both"/>
        <w:rPr>
          <w:rFonts w:ascii="Georgia" w:hAnsi="Georgia"/>
          <w:color w:val="000000"/>
          <w:sz w:val="18"/>
          <w:szCs w:val="20"/>
          <w:shd w:val="clear" w:color="auto" w:fill="FFFFFF"/>
          <w:rtl/>
        </w:rPr>
      </w:pPr>
    </w:p>
    <w:p w14:paraId="6599CAFA" w14:textId="732E3327"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ייפוי כוח מתמשך</w:t>
      </w:r>
    </w:p>
    <w:p w14:paraId="580CC4D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כלי התכנון והמניעה המשפטיים המאפשרים לאדם לתכנן היבטים מרכזיים של עתידו גם במצב של הידרדרות התפקודים הפיזיים והקוגניטיביים הם, על פי רוב, כלים אוטונומיים, אשר ביצועם נתון לבחירתו ולשיקול דעתו (דורון, 2002). דוגמאות לכלים אלה הן חשבונות נאמנות והאפשרות למינוי מיופה כוח לחשבון הבנק </w:t>
      </w:r>
      <w:r w:rsidRPr="0042081B">
        <w:rPr>
          <w:rFonts w:ascii="Georgia" w:hAnsi="Georgia" w:hint="eastAsia"/>
          <w:sz w:val="18"/>
          <w:szCs w:val="20"/>
          <w:rtl/>
        </w:rPr>
        <w:t>–</w:t>
      </w:r>
      <w:r w:rsidRPr="0042081B">
        <w:rPr>
          <w:rFonts w:ascii="Georgia" w:hAnsi="Georgia" w:hint="cs"/>
          <w:sz w:val="18"/>
          <w:szCs w:val="20"/>
          <w:rtl/>
        </w:rPr>
        <w:t xml:space="preserve"> בתחום הכלכלי-רכושי, והוראות מקדימות (</w:t>
      </w:r>
      <w:r w:rsidRPr="0042081B">
        <w:rPr>
          <w:rFonts w:ascii="Georgia" w:hAnsi="Georgia"/>
          <w:sz w:val="18"/>
          <w:szCs w:val="20"/>
        </w:rPr>
        <w:t>advance directives</w:t>
      </w:r>
      <w:r w:rsidRPr="0042081B">
        <w:rPr>
          <w:rFonts w:ascii="Georgia" w:hAnsi="Georgia" w:hint="cs"/>
          <w:sz w:val="18"/>
          <w:szCs w:val="20"/>
          <w:rtl/>
        </w:rPr>
        <w:t xml:space="preserve">) </w:t>
      </w:r>
      <w:r w:rsidRPr="0042081B">
        <w:rPr>
          <w:rFonts w:ascii="Georgia" w:hAnsi="Georgia" w:hint="eastAsia"/>
          <w:sz w:val="18"/>
          <w:szCs w:val="20"/>
          <w:rtl/>
        </w:rPr>
        <w:t>–</w:t>
      </w:r>
      <w:r w:rsidRPr="0042081B">
        <w:rPr>
          <w:rFonts w:ascii="Georgia" w:hAnsi="Georgia" w:hint="cs"/>
          <w:sz w:val="18"/>
          <w:szCs w:val="20"/>
          <w:rtl/>
        </w:rPr>
        <w:t xml:space="preserve"> בתחום הרפואי-טיפולי (דורון וגל, 2003). האפשרות לתכנון משמעותית במיוחד בתקופת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מאחר שתקופה זו מלווה לא אחת במגבלות שונות, והידרדרות התפקודים עלולה אף להגיע לכדי אובדן הכשירות של האדם, כלומר אובדן היכולת לקבל החלטות בהיבטים שונים של חייו (</w:t>
      </w:r>
      <w:proofErr w:type="spellStart"/>
      <w:r w:rsidRPr="0042081B">
        <w:rPr>
          <w:rFonts w:ascii="Georgia" w:hAnsi="Georgia"/>
          <w:sz w:val="18"/>
          <w:szCs w:val="20"/>
        </w:rPr>
        <w:t>Bogutz</w:t>
      </w:r>
      <w:proofErr w:type="spellEnd"/>
      <w:r w:rsidRPr="0042081B">
        <w:rPr>
          <w:rFonts w:ascii="Georgia" w:hAnsi="Georgia"/>
          <w:sz w:val="18"/>
          <w:szCs w:val="20"/>
        </w:rPr>
        <w:t>, 2009; Rains, 1995</w:t>
      </w:r>
      <w:r w:rsidRPr="0042081B">
        <w:rPr>
          <w:rFonts w:ascii="Georgia" w:hAnsi="Georgia" w:hint="cs"/>
          <w:sz w:val="18"/>
          <w:szCs w:val="20"/>
          <w:rtl/>
        </w:rPr>
        <w:t xml:space="preserve">). תכנון 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בכלל, ושל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המאוחרת בפרט, מאפשר לאדם להביא לידי ביטוי את רצונותיו, ערכיו והשקפת עולמו, על אף האתגרים והקשיים שיכולים להתלוות לתקופת חיים זו (דורון וגל, 2003; </w:t>
      </w:r>
      <w:r w:rsidRPr="0042081B">
        <w:rPr>
          <w:rFonts w:ascii="Georgia" w:hAnsi="Georgia"/>
          <w:sz w:val="18"/>
          <w:szCs w:val="20"/>
        </w:rPr>
        <w:t>Tebo, 2002</w:t>
      </w:r>
      <w:r w:rsidRPr="0042081B">
        <w:rPr>
          <w:rFonts w:ascii="Georgia" w:hAnsi="Georgia" w:hint="cs"/>
          <w:sz w:val="18"/>
          <w:szCs w:val="20"/>
          <w:rtl/>
        </w:rPr>
        <w:t xml:space="preserve">). </w:t>
      </w:r>
    </w:p>
    <w:p w14:paraId="7CE94FA3" w14:textId="63D6EAA9"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הכלי המשפטי הנקרא </w:t>
      </w:r>
      <w:r w:rsidRPr="0042081B">
        <w:rPr>
          <w:rFonts w:ascii="Georgia" w:hAnsi="Georgia" w:hint="cs"/>
          <w:b/>
          <w:bCs/>
          <w:sz w:val="18"/>
          <w:szCs w:val="20"/>
          <w:rtl/>
        </w:rPr>
        <w:t>ייפוי כוח מתמשך</w:t>
      </w:r>
      <w:r w:rsidRPr="0042081B">
        <w:rPr>
          <w:rFonts w:ascii="Georgia" w:hAnsi="Georgia" w:hint="cs"/>
          <w:sz w:val="18"/>
          <w:szCs w:val="20"/>
          <w:rtl/>
        </w:rPr>
        <w:t xml:space="preserve"> שייך גם הוא לעולמם של כלי התכנון והמניעה המשפטיים. זהו מסמך משפטי שנועד לאפשר לאדם להתכונן לקראת האפשרות שבשל הידרדרות תפקודיו הוא לא יוכל עוד לקבל החלטות עבור עצמו (</w:t>
      </w:r>
      <w:r w:rsidRPr="0042081B">
        <w:rPr>
          <w:rFonts w:ascii="Georgia" w:hAnsi="Georgia"/>
          <w:sz w:val="18"/>
          <w:szCs w:val="20"/>
        </w:rPr>
        <w:t xml:space="preserve">Ganner, 2015; Schmitt &amp; Hatfield, 1991; Stelma-Roorda &amp; </w:t>
      </w:r>
      <w:proofErr w:type="spellStart"/>
      <w:r w:rsidRPr="0042081B">
        <w:rPr>
          <w:rFonts w:ascii="Georgia" w:hAnsi="Georgia"/>
          <w:sz w:val="18"/>
          <w:szCs w:val="20"/>
        </w:rPr>
        <w:t>Eichelsheim</w:t>
      </w:r>
      <w:proofErr w:type="spellEnd"/>
      <w:r w:rsidRPr="0042081B">
        <w:rPr>
          <w:rFonts w:ascii="Georgia" w:hAnsi="Georgia"/>
          <w:sz w:val="18"/>
          <w:szCs w:val="20"/>
        </w:rPr>
        <w:t>. 2023</w:t>
      </w:r>
      <w:r w:rsidRPr="0042081B">
        <w:rPr>
          <w:rFonts w:ascii="Georgia" w:hAnsi="Georgia" w:hint="cs"/>
          <w:sz w:val="18"/>
          <w:szCs w:val="20"/>
          <w:rtl/>
        </w:rPr>
        <w:t xml:space="preserve">). הכלי מאפשר לאדם כשיר ובגיר למנות מראש מיופה כוח שיפעל בשמו ומטעמו אם וכאשר יאבד את כשירותו. עוד הוא מאפשר לממנה לקבוע במסגרתו הוראות מקדימות המנחות את מיופה הכוח העתידי כיצד עליו לפעול ולהפעיל את סמכויותיו אם ייפוי הכוח המתמשך ייכנס לתוקף. </w:t>
      </w:r>
    </w:p>
    <w:p w14:paraId="1DA11C00" w14:textId="04257AEE" w:rsidR="0042081B" w:rsidRPr="00CD77F7" w:rsidRDefault="0042081B" w:rsidP="0042081B">
      <w:pPr>
        <w:spacing w:after="180" w:line="280" w:lineRule="exact"/>
        <w:jc w:val="both"/>
        <w:rPr>
          <w:rFonts w:ascii="Georgia" w:hAnsi="Georgia"/>
          <w:spacing w:val="-2"/>
          <w:sz w:val="18"/>
          <w:szCs w:val="20"/>
          <w:rtl/>
        </w:rPr>
      </w:pPr>
      <w:r w:rsidRPr="00CD77F7">
        <w:rPr>
          <w:rFonts w:ascii="Georgia" w:hAnsi="Georgia" w:hint="cs"/>
          <w:sz w:val="18"/>
          <w:szCs w:val="20"/>
          <w:rtl/>
        </w:rPr>
        <w:lastRenderedPageBreak/>
        <w:t xml:space="preserve">טרם פיתוחו של כלי זה, האפשרות היחידה לפעול בשמו ומטעמו של אדם שאיבד את כשירותו </w:t>
      </w:r>
      <w:proofErr w:type="spellStart"/>
      <w:r w:rsidRPr="00CD77F7">
        <w:rPr>
          <w:rFonts w:ascii="Georgia" w:hAnsi="Georgia" w:hint="cs"/>
          <w:sz w:val="18"/>
          <w:szCs w:val="20"/>
          <w:rtl/>
        </w:rPr>
        <w:t>היתה</w:t>
      </w:r>
      <w:proofErr w:type="spellEnd"/>
      <w:r w:rsidRPr="00CD77F7">
        <w:rPr>
          <w:rFonts w:ascii="Georgia" w:hAnsi="Georgia" w:hint="cs"/>
          <w:sz w:val="18"/>
          <w:szCs w:val="20"/>
          <w:rtl/>
        </w:rPr>
        <w:t xml:space="preserve"> באמצעות פנייה לבית המשפט לצורך מינוי של אפוטרופוס לאותו אדם.</w:t>
      </w:r>
      <w:r w:rsidRPr="00CD77F7" w:rsidDel="004A4AE6">
        <w:rPr>
          <w:rFonts w:ascii="Georgia" w:hAnsi="Georgia" w:hint="cs"/>
          <w:sz w:val="18"/>
          <w:szCs w:val="20"/>
          <w:rtl/>
        </w:rPr>
        <w:t xml:space="preserve"> </w:t>
      </w:r>
      <w:r w:rsidRPr="00CD77F7">
        <w:rPr>
          <w:rFonts w:ascii="Georgia" w:hAnsi="Georgia" w:hint="cs"/>
          <w:sz w:val="18"/>
          <w:szCs w:val="20"/>
          <w:rtl/>
        </w:rPr>
        <w:t>ייפוי הכוח המתמשך נוצר על רקע הביקורות הרבות שהצטברו במהלך השנים באשר למוסד האפוטרופסות, ומתוך רצון למצוא אמצעי פשוט יותר לשימוש ופוגעני פחות כלפי אדם שאיננו מסוגל עוד לקבל החלטות עבור עצמו (</w:t>
      </w:r>
      <w:proofErr w:type="spellStart"/>
      <w:r w:rsidRPr="00CD77F7">
        <w:rPr>
          <w:rFonts w:ascii="Georgia" w:hAnsi="Georgia" w:hint="cs"/>
          <w:sz w:val="18"/>
          <w:szCs w:val="20"/>
          <w:rtl/>
        </w:rPr>
        <w:t>בראל</w:t>
      </w:r>
      <w:proofErr w:type="spellEnd"/>
      <w:r w:rsidRPr="00CD77F7">
        <w:rPr>
          <w:rFonts w:ascii="Georgia" w:hAnsi="Georgia" w:hint="cs"/>
          <w:sz w:val="18"/>
          <w:szCs w:val="20"/>
          <w:rtl/>
        </w:rPr>
        <w:t xml:space="preserve"> ואח', 2015; </w:t>
      </w:r>
      <w:proofErr w:type="spellStart"/>
      <w:r w:rsidRPr="00CD77F7">
        <w:rPr>
          <w:rFonts w:ascii="Georgia" w:hAnsi="Georgia" w:hint="cs"/>
          <w:sz w:val="18"/>
          <w:szCs w:val="20"/>
          <w:rtl/>
        </w:rPr>
        <w:t>טולוב</w:t>
      </w:r>
      <w:proofErr w:type="spellEnd"/>
      <w:r w:rsidRPr="00CD77F7">
        <w:rPr>
          <w:rFonts w:ascii="Georgia" w:hAnsi="Georgia" w:hint="cs"/>
          <w:sz w:val="18"/>
          <w:szCs w:val="20"/>
          <w:rtl/>
        </w:rPr>
        <w:t xml:space="preserve"> </w:t>
      </w:r>
      <w:proofErr w:type="spellStart"/>
      <w:r w:rsidRPr="00CD77F7">
        <w:rPr>
          <w:rFonts w:ascii="Georgia" w:hAnsi="Georgia" w:hint="cs"/>
          <w:sz w:val="18"/>
          <w:szCs w:val="20"/>
          <w:rtl/>
        </w:rPr>
        <w:t>ושלומאי</w:t>
      </w:r>
      <w:proofErr w:type="spellEnd"/>
      <w:r w:rsidRPr="00CD77F7">
        <w:rPr>
          <w:rFonts w:ascii="Georgia" w:hAnsi="Georgia" w:hint="cs"/>
          <w:sz w:val="18"/>
          <w:szCs w:val="20"/>
          <w:rtl/>
        </w:rPr>
        <w:t xml:space="preserve">, 2020; </w:t>
      </w:r>
      <w:r w:rsidR="008B5BE0" w:rsidRPr="00CD77F7">
        <w:rPr>
          <w:rFonts w:ascii="Georgia" w:hAnsi="Georgia"/>
          <w:sz w:val="18"/>
          <w:szCs w:val="20"/>
          <w:rtl/>
        </w:rPr>
        <w:br/>
      </w:r>
      <w:r w:rsidRPr="00CD77F7">
        <w:rPr>
          <w:rFonts w:ascii="Georgia" w:hAnsi="Georgia" w:hint="cs"/>
          <w:spacing w:val="-2"/>
          <w:sz w:val="18"/>
          <w:szCs w:val="20"/>
          <w:rtl/>
        </w:rPr>
        <w:t xml:space="preserve">סגל-רייך ושינדלר, 2015; </w:t>
      </w:r>
      <w:r w:rsidRPr="00CD77F7">
        <w:rPr>
          <w:rFonts w:ascii="Georgia" w:hAnsi="Georgia"/>
          <w:spacing w:val="-2"/>
          <w:sz w:val="18"/>
          <w:szCs w:val="20"/>
        </w:rPr>
        <w:t>Frolik, 2009; Vu-Dinh, 2010</w:t>
      </w:r>
      <w:r w:rsidRPr="00CD77F7">
        <w:rPr>
          <w:rFonts w:ascii="Georgia" w:hAnsi="Georgia" w:hint="cs"/>
          <w:spacing w:val="-2"/>
          <w:sz w:val="18"/>
          <w:szCs w:val="20"/>
          <w:rtl/>
        </w:rPr>
        <w:t>). להבדיל מייפוי כוח רגיל, המבוסס על דיני השליחות המסורתיים ולפיכך פוקע במקרה שמייפה הכוח מאבד את כשירותו, ייפוי הכוח המתמשך איננו פוקע בשל אובדן כשירותו של הממנה (</w:t>
      </w:r>
      <w:r w:rsidRPr="00CD77F7">
        <w:rPr>
          <w:rFonts w:ascii="Georgia" w:hAnsi="Georgia"/>
          <w:spacing w:val="-2"/>
          <w:sz w:val="18"/>
          <w:szCs w:val="20"/>
        </w:rPr>
        <w:t>Vu-Dinh, 2010</w:t>
      </w:r>
      <w:r w:rsidRPr="00CD77F7">
        <w:rPr>
          <w:rFonts w:ascii="Georgia" w:hAnsi="Georgia" w:hint="cs"/>
          <w:spacing w:val="-2"/>
          <w:sz w:val="18"/>
          <w:szCs w:val="20"/>
          <w:rtl/>
        </w:rPr>
        <w:t>).</w:t>
      </w:r>
    </w:p>
    <w:p w14:paraId="48BBE22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באופן כללי אפשר לומר כי הכלי ייפוי כוח מתמשך נוגע לשני תחומי חיים מרכזיים: התחום הכלכלי (רכושי), ובו הוא מאפשר לממנה לתכנן את האופן שבו ינוהלו נכסיו וענייניו הכספיים על ידי מיופה הכוח העתידי, והתחום הרפואי, ובו הוא מאפשר לממנה לתכנן את האופן שבו ינוהלו ענייניו הבריאותיים. היקפו של הכלי והמנגנונים הפורמליים לעריכתו משתנים בין מערכת משפטית אחת לאחרת (</w:t>
      </w:r>
      <w:r w:rsidRPr="0042081B">
        <w:rPr>
          <w:rFonts w:ascii="Georgia" w:hAnsi="Georgia"/>
          <w:sz w:val="18"/>
          <w:szCs w:val="20"/>
        </w:rPr>
        <w:t>Schmitt &amp; Hatfield, 1991</w:t>
      </w:r>
      <w:r w:rsidRPr="0042081B">
        <w:rPr>
          <w:rFonts w:ascii="Georgia" w:hAnsi="Georgia" w:hint="cs"/>
          <w:sz w:val="18"/>
          <w:szCs w:val="20"/>
          <w:rtl/>
        </w:rPr>
        <w:t>), ואף שמנגנונים אלה עשויים להיבדל זה מזה באופן מהותי, מקובל לומר כי זהותו של מיופה הכוח, היקפי סמכויותיו ומגבלותיו, ונסיבות כניסתו של ייפוי הכוח לתוקף הם רכיבי הליבה של הכלי (</w:t>
      </w:r>
      <w:r w:rsidRPr="0042081B">
        <w:rPr>
          <w:rFonts w:ascii="Georgia" w:hAnsi="Georgia"/>
          <w:sz w:val="18"/>
          <w:szCs w:val="20"/>
        </w:rPr>
        <w:t>Frolik, 2009; Schmitt &amp; Hatfield, 1991; Whitton, 1994</w:t>
      </w:r>
      <w:r w:rsidRPr="0042081B">
        <w:rPr>
          <w:rFonts w:ascii="Georgia" w:hAnsi="Georgia" w:hint="cs"/>
          <w:sz w:val="18"/>
          <w:szCs w:val="20"/>
          <w:rtl/>
        </w:rPr>
        <w:t xml:space="preserve">). </w:t>
      </w:r>
    </w:p>
    <w:p w14:paraId="6AE0985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לייפוי הכוח המתמשך שתי נקודות תורפה מרכזיות. נקודת התורפה הראשונה נוגעת לאפשרות ניצולו לרעה על ידי מיופה הכוח,</w:t>
      </w:r>
      <w:r w:rsidRPr="0042081B">
        <w:rPr>
          <w:rStyle w:val="FootnoteReference"/>
          <w:rFonts w:ascii="Georgia" w:hAnsi="Georgia"/>
          <w:sz w:val="18"/>
          <w:szCs w:val="20"/>
          <w:rtl/>
        </w:rPr>
        <w:footnoteReference w:id="8"/>
      </w:r>
      <w:r w:rsidRPr="0042081B">
        <w:rPr>
          <w:rFonts w:ascii="Georgia" w:hAnsi="Georgia" w:hint="cs"/>
          <w:sz w:val="18"/>
          <w:szCs w:val="20"/>
          <w:rtl/>
        </w:rPr>
        <w:t xml:space="preserve"> כגון פעולה נגד האינטרסים של הממנה, חריגה מגדרי סמכויותיו, או נטילת השליטה בענייניו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הממנה לפני שיש בכך צורך (</w:t>
      </w:r>
      <w:r w:rsidRPr="0042081B">
        <w:rPr>
          <w:rFonts w:ascii="Georgia" w:hAnsi="Georgia"/>
          <w:sz w:val="18"/>
          <w:szCs w:val="20"/>
        </w:rPr>
        <w:t>Ries, 2022</w:t>
      </w:r>
      <w:r w:rsidRPr="0042081B">
        <w:rPr>
          <w:rFonts w:ascii="Georgia" w:hAnsi="Georgia" w:hint="cs"/>
          <w:sz w:val="18"/>
          <w:szCs w:val="20"/>
          <w:rtl/>
        </w:rPr>
        <w:t>). נקודת התורפה השנייה של הכלי נוגעת לאפשרות שצדדים שלישיים יסרבו לכבד את ייפוי הכוח לאחר שהופעל, מטעמים שונים, דוגמת חוסר בהירות באשר לשאלה אם סמכות מסוימת הוענקה למיופה הכוח אם לאו, או היעדר ראיה אובייקטיבית להתרחשות האירוע המפעיל את ייפוי הכוח המתמשך. מנגנוני חוק שונים המסדירים את כלי ייפוי הכוח המתמשך עשויים אפוא לכלול גם דרישות פורמליות שונות לעריכתו, דרישות אשר מטרתן להתמודד מראש, ככל האפשר, עם חולשות מוכרות אלה של הכלי, ולעיתים גם מנגנוני פיקוח על פעולותיו של מיופה הכוח, או סעיפי פטור מאחריות לצדדים שלישיים הפועלים בתום לב תוך כיבוד ייפוי הכוח המתמשך</w:t>
      </w:r>
      <w:r w:rsidRPr="0042081B">
        <w:rPr>
          <w:rFonts w:ascii="Georgia" w:hAnsi="Georgia"/>
          <w:sz w:val="18"/>
          <w:szCs w:val="20"/>
        </w:rPr>
        <w:t xml:space="preserve"> </w:t>
      </w:r>
      <w:r w:rsidRPr="0042081B">
        <w:rPr>
          <w:rFonts w:ascii="Georgia" w:hAnsi="Georgia" w:hint="cs"/>
          <w:sz w:val="18"/>
          <w:szCs w:val="20"/>
          <w:rtl/>
        </w:rPr>
        <w:t>(</w:t>
      </w:r>
      <w:r w:rsidRPr="0042081B">
        <w:rPr>
          <w:rFonts w:ascii="Georgia" w:hAnsi="Georgia"/>
          <w:sz w:val="18"/>
          <w:szCs w:val="20"/>
        </w:rPr>
        <w:t>Conroy, 2009; Ries, 2022; Vu-Dinh, 2010; Whitton, 1994</w:t>
      </w:r>
      <w:r w:rsidRPr="0042081B">
        <w:rPr>
          <w:rFonts w:ascii="Georgia" w:hAnsi="Georgia" w:hint="cs"/>
          <w:sz w:val="18"/>
          <w:szCs w:val="20"/>
          <w:rtl/>
        </w:rPr>
        <w:t xml:space="preserve">). </w:t>
      </w:r>
    </w:p>
    <w:p w14:paraId="4540F9BA" w14:textId="77777777" w:rsidR="0042081B" w:rsidRDefault="0042081B" w:rsidP="0042081B">
      <w:pPr>
        <w:spacing w:after="180" w:line="280" w:lineRule="exact"/>
        <w:jc w:val="both"/>
        <w:rPr>
          <w:rFonts w:ascii="Georgia" w:hAnsi="Georgia"/>
          <w:sz w:val="18"/>
          <w:szCs w:val="20"/>
          <w:rtl/>
        </w:rPr>
      </w:pPr>
      <w:r w:rsidRPr="008B5BE0">
        <w:rPr>
          <w:rFonts w:ascii="Georgia" w:hAnsi="Georgia" w:hint="cs"/>
          <w:spacing w:val="-2"/>
          <w:sz w:val="18"/>
          <w:szCs w:val="20"/>
          <w:rtl/>
        </w:rPr>
        <w:lastRenderedPageBreak/>
        <w:t>בחירת מקבל החלטות חלופי (</w:t>
      </w:r>
      <w:r w:rsidRPr="008B5BE0">
        <w:rPr>
          <w:rFonts w:ascii="Georgia" w:hAnsi="Georgia"/>
          <w:spacing w:val="-2"/>
          <w:sz w:val="18"/>
          <w:szCs w:val="20"/>
        </w:rPr>
        <w:t>surrogate decision maker</w:t>
      </w:r>
      <w:r w:rsidRPr="008B5BE0">
        <w:rPr>
          <w:rStyle w:val="FootnoteReference"/>
          <w:rFonts w:ascii="Georgia" w:hAnsi="Georgia"/>
          <w:spacing w:val="-2"/>
          <w:sz w:val="18"/>
          <w:szCs w:val="20"/>
          <w:rtl/>
        </w:rPr>
        <w:footnoteReference w:id="9"/>
      </w:r>
      <w:r w:rsidRPr="008B5BE0">
        <w:rPr>
          <w:rFonts w:ascii="Georgia" w:hAnsi="Georgia" w:hint="cs"/>
          <w:spacing w:val="-2"/>
          <w:sz w:val="18"/>
          <w:szCs w:val="20"/>
          <w:rtl/>
        </w:rPr>
        <w:t>), ובכלל זה מיופה כוח עתידי במסגרת של ייפוי כוח מתמשך, היא אחת ההחלטות החשובות שאדם נדרש לעשות במסגרת</w:t>
      </w:r>
      <w:r w:rsidRPr="0042081B">
        <w:rPr>
          <w:rFonts w:ascii="Georgia" w:hAnsi="Georgia" w:hint="cs"/>
          <w:sz w:val="18"/>
          <w:szCs w:val="20"/>
          <w:rtl/>
        </w:rPr>
        <w:t xml:space="preserve"> ביצוע של כלי תכנון ומניעה משפטיים (</w:t>
      </w:r>
      <w:bookmarkStart w:id="6" w:name="_Hlk158373551"/>
      <w:r w:rsidRPr="0042081B">
        <w:rPr>
          <w:rFonts w:ascii="Georgia" w:hAnsi="Georgia"/>
          <w:sz w:val="18"/>
          <w:szCs w:val="20"/>
        </w:rPr>
        <w:t>Carter, 2023; Davies et al., 2021; Lum et al., 2015</w:t>
      </w:r>
      <w:bookmarkEnd w:id="6"/>
      <w:r w:rsidRPr="0042081B">
        <w:rPr>
          <w:rFonts w:ascii="Georgia" w:hAnsi="Georgia" w:hint="cs"/>
          <w:sz w:val="18"/>
          <w:szCs w:val="20"/>
          <w:rtl/>
        </w:rPr>
        <w:t>). ההבנה שאי אפשר לצפות מראש את כל הסיטואציות שיכולות להתרחש בעתיד מחדדת את החשיבות שבמינוי מיופה כוח המבין את השקפותיו, עקרונותיו, אמונותיו, העדפותיו ורצונותיו של הממנה, כדי לאפשר את הגמישות הנחוצה לקבלת החלטות עבור אדם אחר (</w:t>
      </w:r>
      <w:r w:rsidRPr="0042081B">
        <w:rPr>
          <w:rFonts w:ascii="Georgia" w:hAnsi="Georgia"/>
          <w:sz w:val="18"/>
          <w:szCs w:val="20"/>
        </w:rPr>
        <w:t>Carter, 2023; Ketterer &amp; Arnold, 2019</w:t>
      </w:r>
      <w:r w:rsidRPr="0042081B">
        <w:rPr>
          <w:rFonts w:ascii="Georgia" w:hAnsi="Georgia" w:hint="cs"/>
          <w:sz w:val="18"/>
          <w:szCs w:val="20"/>
          <w:rtl/>
        </w:rPr>
        <w:t>). לבחירת מיופה הכוח במסגרת ייפוי כוח מתמשך יש חשיבות רבה גם בשל חולשתו של הכלי בהקשר של אפשרות ניצולו לרעה על ידי מיופה הכוח, כאמור לעיל. בחירה קפדנית של מיופה כוח מתאים אשר אוחז בתכונות, במיומנויות ובמאפיינים הנדרשים לצורך מילוי התפקיד (לרבות יכולת קבלת החלטות כלכליות, היקף הזמן הפנוי העומד לרשותו לביצוע התפקיד, קשיים אישיים אשר עלולים להשפיע על יכולותיו, טיב האינטראקציות בינו לבין הממנה ותדירותן, וכיו"ב), או מינוי של יותר ממיופה כוח אחד, עשויים להוות אסטרטגיות למניעת האפשרות לניצולו לרעה של ייפוי הכוח המתמשך לאחר כניסתו לתוקף (</w:t>
      </w:r>
      <w:r w:rsidRPr="0042081B">
        <w:rPr>
          <w:rFonts w:ascii="Georgia" w:hAnsi="Georgia"/>
          <w:sz w:val="18"/>
          <w:szCs w:val="20"/>
        </w:rPr>
        <w:t>Purser et al., 2018; Ries, 2022</w:t>
      </w:r>
      <w:r w:rsidRPr="0042081B">
        <w:rPr>
          <w:rFonts w:ascii="Georgia" w:hAnsi="Georgia" w:hint="cs"/>
          <w:sz w:val="18"/>
          <w:szCs w:val="20"/>
          <w:rtl/>
        </w:rPr>
        <w:t xml:space="preserve">). </w:t>
      </w:r>
    </w:p>
    <w:p w14:paraId="1E79600F" w14:textId="77777777" w:rsidR="008B5BE0" w:rsidRPr="0042081B" w:rsidRDefault="008B5BE0" w:rsidP="0042081B">
      <w:pPr>
        <w:spacing w:after="180" w:line="280" w:lineRule="exact"/>
        <w:jc w:val="both"/>
        <w:rPr>
          <w:rFonts w:ascii="Georgia" w:hAnsi="Georgia"/>
          <w:sz w:val="18"/>
          <w:szCs w:val="20"/>
          <w:rtl/>
        </w:rPr>
      </w:pPr>
    </w:p>
    <w:p w14:paraId="68B9305B" w14:textId="4E6D533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ייפוי כוח מתמשך בישראל</w:t>
      </w:r>
    </w:p>
    <w:p w14:paraId="2381007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ייפוי הכוח המתמשך הוסדר בחוק בישראל כחלק ממגמה של שינוי בתפיסות החברתיות לכיוון ההעדפה של כיבוד רצונותיו של הפרט.</w:t>
      </w:r>
      <w:r w:rsidRPr="0042081B">
        <w:rPr>
          <w:rFonts w:ascii="Georgia" w:hAnsi="Georgia"/>
          <w:sz w:val="18"/>
          <w:szCs w:val="20"/>
          <w:vertAlign w:val="superscript"/>
          <w:rtl/>
        </w:rPr>
        <w:footnoteReference w:id="10"/>
      </w:r>
      <w:r w:rsidRPr="0042081B">
        <w:rPr>
          <w:rFonts w:ascii="Georgia" w:hAnsi="Georgia" w:hint="cs"/>
          <w:sz w:val="18"/>
          <w:szCs w:val="20"/>
          <w:rtl/>
        </w:rPr>
        <w:t xml:space="preserve"> הכלי מאפשר לאדם בגיר וכשיר לתכנן כיום את ענייניו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והאישיים </w:t>
      </w:r>
      <w:r w:rsidRPr="0042081B">
        <w:rPr>
          <w:rFonts w:ascii="Georgia" w:hAnsi="Georgia" w:hint="eastAsia"/>
          <w:sz w:val="18"/>
          <w:szCs w:val="20"/>
          <w:rtl/>
        </w:rPr>
        <w:t>–</w:t>
      </w:r>
      <w:r w:rsidRPr="0042081B">
        <w:rPr>
          <w:rFonts w:ascii="Georgia" w:hAnsi="Georgia" w:hint="cs"/>
          <w:sz w:val="18"/>
          <w:szCs w:val="20"/>
          <w:rtl/>
        </w:rPr>
        <w:t xml:space="preserve"> לרבות ענייניו הבריאותיים </w:t>
      </w:r>
      <w:r w:rsidRPr="0042081B">
        <w:rPr>
          <w:rFonts w:ascii="Georgia" w:hAnsi="Georgia" w:hint="eastAsia"/>
          <w:sz w:val="18"/>
          <w:szCs w:val="20"/>
          <w:rtl/>
        </w:rPr>
        <w:t>–</w:t>
      </w:r>
      <w:r w:rsidRPr="0042081B">
        <w:rPr>
          <w:rFonts w:ascii="Georgia" w:hAnsi="Georgia" w:hint="cs"/>
          <w:sz w:val="18"/>
          <w:szCs w:val="20"/>
          <w:rtl/>
        </w:rPr>
        <w:t xml:space="preserve"> לקראת אפשרות שיאבד את יכולתו לקבל החלטות באופן עצמאי.</w:t>
      </w:r>
      <w:r w:rsidRPr="0042081B">
        <w:rPr>
          <w:rFonts w:ascii="Georgia" w:hAnsi="Georgia"/>
          <w:sz w:val="18"/>
          <w:szCs w:val="20"/>
          <w:vertAlign w:val="superscript"/>
          <w:rtl/>
        </w:rPr>
        <w:footnoteReference w:id="11"/>
      </w:r>
      <w:r w:rsidRPr="0042081B">
        <w:rPr>
          <w:rFonts w:ascii="Georgia" w:hAnsi="Georgia" w:hint="cs"/>
          <w:sz w:val="18"/>
          <w:szCs w:val="20"/>
          <w:rtl/>
        </w:rPr>
        <w:t xml:space="preserve"> אשר להקשר הרפואי, יצוין כי עצם האפשרות למנות מיופה כוח לקבלת החלטות רפואיות הוסדרה במסגרת סעיף 16 לחוק זכויות החולה, התשנ"ו-1996, עוד טרם התיקון לחוק שיצר את כלי ייפוי הכוח המתמשך. מאז התיקון לחוק, הדרישות הפורמליות שנקבעו במסגרתו בנוגע לביצוע ייפוי כוח מתמשך חלות גם על הוראות חוק זכויות החולה, התשנ"ו-1996.</w:t>
      </w:r>
      <w:r w:rsidRPr="0042081B">
        <w:rPr>
          <w:rFonts w:ascii="Georgia" w:hAnsi="Georgia"/>
          <w:sz w:val="18"/>
          <w:szCs w:val="20"/>
          <w:vertAlign w:val="superscript"/>
          <w:rtl/>
        </w:rPr>
        <w:footnoteReference w:id="12"/>
      </w:r>
      <w:r w:rsidRPr="0042081B">
        <w:rPr>
          <w:rFonts w:ascii="Georgia" w:hAnsi="Georgia" w:hint="cs"/>
          <w:sz w:val="18"/>
          <w:szCs w:val="20"/>
          <w:rtl/>
        </w:rPr>
        <w:t xml:space="preserve"> </w:t>
      </w:r>
    </w:p>
    <w:p w14:paraId="26FB4379"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כדי להבטיח שייפוי הכוח המתמשך אכן מבטא את רצונו החופשי של הממנה, וכדי למנוע ככל האפשר ניצול לרעה של הכלי, החוק כולל דרישות פורמליות רבות לעריכת המסמך. </w:t>
      </w:r>
      <w:r w:rsidRPr="0042081B">
        <w:rPr>
          <w:rFonts w:ascii="Georgia" w:hAnsi="Georgia" w:hint="cs"/>
          <w:sz w:val="18"/>
          <w:szCs w:val="20"/>
          <w:rtl/>
        </w:rPr>
        <w:lastRenderedPageBreak/>
        <w:t>לדוגמה, ייפוי כוח מתמשך צריך להיערך בכתב, על ידי עורך דין שהוכשר לכך, ואשר אין לו עניין אישי בייפוי הכוח;</w:t>
      </w:r>
      <w:r w:rsidRPr="0042081B">
        <w:rPr>
          <w:rFonts w:ascii="Georgia" w:hAnsi="Georgia"/>
          <w:sz w:val="18"/>
          <w:szCs w:val="20"/>
          <w:vertAlign w:val="superscript"/>
          <w:rtl/>
        </w:rPr>
        <w:footnoteReference w:id="13"/>
      </w:r>
      <w:r w:rsidRPr="0042081B">
        <w:rPr>
          <w:rFonts w:ascii="Georgia" w:hAnsi="Georgia" w:hint="cs"/>
          <w:sz w:val="18"/>
          <w:szCs w:val="20"/>
          <w:rtl/>
        </w:rPr>
        <w:t xml:space="preserve"> עורך הדין העורך את המסמך נדרש להסביר לממנה את משמעותו של ייפוי הכוח, באופן שהממנה יוכל להבין אותו; זאת ועוד, החוק קובע מראש מגבלות לפעולותיו של מיופה הכוח, ומגדיר אילו פעולות לא ניתן כלל לבצע מכוח ייפוי כוח מתמשך, אילו פעולות דורשות הסמכה מפורשת בייפוי הכוח, ואילו פעולות דורשות אישור מראש של בית המשפט; ועוד.</w:t>
      </w:r>
      <w:r w:rsidRPr="0042081B">
        <w:rPr>
          <w:rFonts w:ascii="Georgia" w:hAnsi="Georgia"/>
          <w:sz w:val="18"/>
          <w:szCs w:val="20"/>
          <w:vertAlign w:val="superscript"/>
          <w:rtl/>
        </w:rPr>
        <w:footnoteReference w:id="14"/>
      </w:r>
      <w:r w:rsidRPr="0042081B">
        <w:rPr>
          <w:rFonts w:ascii="Georgia" w:hAnsi="Georgia" w:hint="cs"/>
          <w:sz w:val="18"/>
          <w:szCs w:val="20"/>
          <w:rtl/>
        </w:rPr>
        <w:t xml:space="preserve"> </w:t>
      </w:r>
    </w:p>
    <w:p w14:paraId="105850ED"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אשר למינוי מיופה כוח במסגרת ייפוי כוח מתמשך, החוק מאפשר לממנה למנות לתפקיד אדם אחד או יותר שמתקיימים לגביו התנאים הקבועים בחוק,</w:t>
      </w:r>
      <w:r w:rsidRPr="0042081B">
        <w:rPr>
          <w:rFonts w:ascii="Georgia" w:hAnsi="Georgia"/>
          <w:sz w:val="18"/>
          <w:szCs w:val="20"/>
          <w:vertAlign w:val="superscript"/>
          <w:rtl/>
        </w:rPr>
        <w:footnoteReference w:id="15"/>
      </w:r>
      <w:r w:rsidRPr="0042081B">
        <w:rPr>
          <w:rFonts w:ascii="Georgia" w:hAnsi="Georgia" w:hint="cs"/>
          <w:sz w:val="18"/>
          <w:szCs w:val="20"/>
          <w:rtl/>
        </w:rPr>
        <w:t xml:space="preserve"> ובהם: האדם הממונה הוא בגיר וכשיר; אם הוא ממונה לתפקיד מיופה כוח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בעת החתימה על ייפוי הכוח המתמשך ובעת כניסתו לתוקף הוא לא הוכרז פושט רגל ולא ניתן לו </w:t>
      </w:r>
      <w:r w:rsidRPr="0042081B">
        <w:rPr>
          <w:rFonts w:ascii="Georgia" w:hAnsi="Georgia"/>
          <w:sz w:val="18"/>
          <w:szCs w:val="20"/>
          <w:rtl/>
        </w:rPr>
        <w:t>הֶפְטֵר</w:t>
      </w:r>
      <w:r w:rsidRPr="0042081B">
        <w:rPr>
          <w:rFonts w:ascii="Georgia" w:hAnsi="Georgia" w:hint="cs"/>
          <w:sz w:val="18"/>
          <w:szCs w:val="20"/>
          <w:rtl/>
        </w:rPr>
        <w:t>, וחשבונותיו אינם מוגבלים באופן המוגדר בחוק; הוא איננו אדם הנותן לממנה טיפול רפואי (כפי שזה מוגדר בחוק זכויות החולה), סוציאלי, סיעודי או שיקומי, תמורת תשלום ישיר או עקיף; הוא איננו אדם המספק לממנה מגורים תמורת תשלום, ישיר או עקיף (אלא אם כן הוא קרוב שלו). נוסף על כך, אדם איננו יכול לשמש מיופה כוח ליותר משלושה אנשים, אלא אם כן הוא קרוב של הממנה. עוד מאפשר החוק לממנה למנות שני מיופי כוח או יותר שיפעלו במשותף,</w:t>
      </w:r>
      <w:r w:rsidRPr="0042081B">
        <w:rPr>
          <w:rStyle w:val="FootnoteReference"/>
          <w:rFonts w:ascii="Georgia" w:hAnsi="Georgia"/>
          <w:sz w:val="18"/>
          <w:szCs w:val="20"/>
          <w:rtl/>
        </w:rPr>
        <w:footnoteReference w:id="16"/>
      </w:r>
      <w:r w:rsidRPr="0042081B">
        <w:rPr>
          <w:rFonts w:ascii="Georgia" w:hAnsi="Georgia" w:hint="cs"/>
          <w:sz w:val="18"/>
          <w:szCs w:val="20"/>
          <w:rtl/>
        </w:rPr>
        <w:t xml:space="preserve"> ומיופה כוח מחליף למקרה שמינויו של מיופה הכוח הראשון יפקע.</w:t>
      </w:r>
      <w:r w:rsidRPr="0042081B">
        <w:rPr>
          <w:rFonts w:ascii="Georgia" w:hAnsi="Georgia"/>
          <w:sz w:val="18"/>
          <w:szCs w:val="20"/>
          <w:vertAlign w:val="superscript"/>
          <w:rtl/>
        </w:rPr>
        <w:footnoteReference w:id="17"/>
      </w:r>
      <w:r w:rsidRPr="0042081B">
        <w:rPr>
          <w:rFonts w:ascii="Georgia" w:hAnsi="Georgia" w:hint="cs"/>
          <w:sz w:val="18"/>
          <w:szCs w:val="20"/>
          <w:rtl/>
        </w:rPr>
        <w:t xml:space="preserve"> </w:t>
      </w:r>
    </w:p>
    <w:p w14:paraId="501886E2" w14:textId="77777777" w:rsidR="008B5BE0" w:rsidRPr="0042081B" w:rsidRDefault="008B5BE0" w:rsidP="0042081B">
      <w:pPr>
        <w:spacing w:after="180" w:line="280" w:lineRule="exact"/>
        <w:jc w:val="both"/>
        <w:rPr>
          <w:rFonts w:ascii="Georgia" w:hAnsi="Georgia"/>
          <w:sz w:val="18"/>
          <w:szCs w:val="20"/>
          <w:rtl/>
        </w:rPr>
      </w:pPr>
    </w:p>
    <w:p w14:paraId="27255104" w14:textId="531EE635"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 xml:space="preserve">ביצוע ייפוי כוח מתמשך ושימוש בכלי תכנון משפטיים </w:t>
      </w:r>
      <w:proofErr w:type="spellStart"/>
      <w:r w:rsidRPr="0042081B">
        <w:rPr>
          <w:rFonts w:cs="Guttman Aharoni" w:hint="cs"/>
          <w:color w:val="BA2A16"/>
          <w:rtl/>
        </w:rPr>
        <w:t>בזיקנה</w:t>
      </w:r>
      <w:proofErr w:type="spellEnd"/>
    </w:p>
    <w:p w14:paraId="5DA1D3C7"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על אף עניין לא מבוטל בשימוש בכלי תכנון ומניעה משפטיים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רבים מהמחקרים שעסקו בנושא לא התמקדו בכלי ייפוי הכוח המתמשך, והתייחסו אליו לצד כלי תכנון ומניעה אחרים, פעמים רבות במסגרת בחינת היבטים שונים של שימוש בהוראות מקדימות (</w:t>
      </w:r>
      <w:r w:rsidRPr="0042081B">
        <w:rPr>
          <w:rFonts w:ascii="Georgia" w:hAnsi="Georgia"/>
          <w:sz w:val="18"/>
          <w:szCs w:val="20"/>
        </w:rPr>
        <w:t>Grace Yi, 2019; Yadav et al., 2017</w:t>
      </w:r>
      <w:r w:rsidRPr="0042081B">
        <w:rPr>
          <w:rFonts w:ascii="Georgia" w:hAnsi="Georgia" w:hint="cs"/>
          <w:sz w:val="18"/>
          <w:szCs w:val="20"/>
          <w:rtl/>
        </w:rPr>
        <w:t xml:space="preserve">). זאת ועוד, רוב המחקרים בנושא התמקדו בכלי תכנון ומניעה משפטיים לעניינים רפואיים. המחקרים שעסקו בהיבטיו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-כלכליים של כלי ייפוי הכוח המתמשך היו מעטים, והתמקדו בעיקר בחשש מניצולו לרעה על ידי מיופי הכוח (</w:t>
      </w:r>
      <w:r w:rsidRPr="0042081B">
        <w:rPr>
          <w:rFonts w:ascii="Georgia" w:hAnsi="Georgia"/>
          <w:sz w:val="18"/>
          <w:szCs w:val="20"/>
        </w:rPr>
        <w:t>Purser et al., 2018; Steinman et al., 2020</w:t>
      </w:r>
      <w:r w:rsidRPr="0042081B">
        <w:rPr>
          <w:rFonts w:ascii="Georgia" w:hAnsi="Georgia" w:hint="cs"/>
          <w:sz w:val="18"/>
          <w:szCs w:val="20"/>
          <w:rtl/>
        </w:rPr>
        <w:t xml:space="preserve">). </w:t>
      </w:r>
    </w:p>
    <w:p w14:paraId="2446648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ככלל, המחקרים הקיימים מלמדים ששיעורי השימוש בכלי תכנון ומניעה משפטיים, לרבות ייפוי כוח מתמשך, עדיין נמוכים, על אף מגמה של עלייה מסוימת בהיקפי השימוש בהם </w:t>
      </w:r>
      <w:r w:rsidRPr="008B5BE0">
        <w:rPr>
          <w:rFonts w:ascii="Georgia" w:hAnsi="Georgia" w:hint="cs"/>
          <w:spacing w:val="-2"/>
          <w:sz w:val="18"/>
          <w:szCs w:val="20"/>
          <w:rtl/>
        </w:rPr>
        <w:t xml:space="preserve">לאורך השנים </w:t>
      </w:r>
      <w:r w:rsidRPr="008B5BE0">
        <w:rPr>
          <w:rFonts w:ascii="Georgia" w:hAnsi="Georgia"/>
          <w:spacing w:val="-2"/>
          <w:sz w:val="18"/>
          <w:szCs w:val="20"/>
          <w:rtl/>
        </w:rPr>
        <w:t>(</w:t>
      </w:r>
      <w:r w:rsidRPr="008B5BE0">
        <w:rPr>
          <w:rFonts w:ascii="Georgia" w:hAnsi="Georgia"/>
          <w:spacing w:val="-2"/>
          <w:sz w:val="18"/>
          <w:szCs w:val="20"/>
        </w:rPr>
        <w:t>Li et al., 2019</w:t>
      </w:r>
      <w:r w:rsidRPr="008B5BE0">
        <w:rPr>
          <w:rFonts w:ascii="Georgia" w:hAnsi="Georgia" w:hint="cs"/>
          <w:spacing w:val="-2"/>
          <w:sz w:val="18"/>
          <w:szCs w:val="20"/>
          <w:rtl/>
        </w:rPr>
        <w:t>). בהתאם לכך, סקירת מחקרים שבוצעו בארצות הברית בשנים 2011</w:t>
      </w:r>
      <w:r w:rsidRPr="008B5BE0">
        <w:rPr>
          <w:rFonts w:ascii="Georgia" w:hAnsi="Georgia" w:hint="eastAsia"/>
          <w:spacing w:val="-2"/>
          <w:sz w:val="18"/>
          <w:szCs w:val="20"/>
          <w:rtl/>
        </w:rPr>
        <w:t>–</w:t>
      </w:r>
      <w:r w:rsidRPr="008B5BE0">
        <w:rPr>
          <w:rFonts w:ascii="Georgia" w:hAnsi="Georgia" w:hint="cs"/>
          <w:spacing w:val="-2"/>
          <w:sz w:val="18"/>
          <w:szCs w:val="20"/>
          <w:rtl/>
        </w:rPr>
        <w:t xml:space="preserve">2016 </w:t>
      </w:r>
      <w:r w:rsidRPr="008B5BE0">
        <w:rPr>
          <w:rFonts w:ascii="Georgia" w:hAnsi="Georgia"/>
          <w:spacing w:val="-2"/>
          <w:sz w:val="18"/>
          <w:szCs w:val="20"/>
          <w:rtl/>
        </w:rPr>
        <w:t xml:space="preserve">העלתה כי </w:t>
      </w:r>
      <w:proofErr w:type="spellStart"/>
      <w:r w:rsidRPr="008B5BE0">
        <w:rPr>
          <w:rFonts w:ascii="Georgia" w:hAnsi="Georgia"/>
          <w:spacing w:val="-2"/>
          <w:sz w:val="18"/>
          <w:szCs w:val="20"/>
          <w:rtl/>
        </w:rPr>
        <w:t>לכ</w:t>
      </w:r>
      <w:proofErr w:type="spellEnd"/>
      <w:r w:rsidRPr="008B5BE0">
        <w:rPr>
          <w:rFonts w:ascii="Georgia" w:hAnsi="Georgia"/>
          <w:spacing w:val="-2"/>
          <w:sz w:val="18"/>
          <w:szCs w:val="20"/>
          <w:rtl/>
        </w:rPr>
        <w:t>-</w:t>
      </w:r>
      <w:r w:rsidRPr="00C23AD0">
        <w:rPr>
          <w:rFonts w:ascii="David" w:hAnsi="David"/>
          <w:spacing w:val="-2"/>
          <w:sz w:val="20"/>
          <w:szCs w:val="20"/>
        </w:rPr>
        <w:t>45.6%</w:t>
      </w:r>
      <w:r w:rsidRPr="008B5BE0">
        <w:rPr>
          <w:rFonts w:ascii="Georgia" w:hAnsi="Georgia" w:hint="cs"/>
          <w:spacing w:val="-2"/>
          <w:sz w:val="18"/>
          <w:szCs w:val="20"/>
          <w:rtl/>
        </w:rPr>
        <w:t xml:space="preserve"> מהזקנים היו הוראות מקדימות (</w:t>
      </w:r>
      <w:r w:rsidRPr="008B5BE0">
        <w:rPr>
          <w:rFonts w:ascii="Georgia" w:hAnsi="Georgia"/>
          <w:spacing w:val="-2"/>
          <w:sz w:val="18"/>
          <w:szCs w:val="20"/>
        </w:rPr>
        <w:t>Yadav et al., 2017</w:t>
      </w:r>
      <w:r w:rsidRPr="008B5BE0">
        <w:rPr>
          <w:rFonts w:ascii="Georgia" w:hAnsi="Georgia" w:hint="cs"/>
          <w:spacing w:val="-2"/>
          <w:sz w:val="18"/>
          <w:szCs w:val="20"/>
          <w:rtl/>
        </w:rPr>
        <w:t xml:space="preserve">). מחקר </w:t>
      </w:r>
      <w:r w:rsidRPr="008B5BE0">
        <w:rPr>
          <w:rFonts w:ascii="Georgia" w:hAnsi="Georgia" w:hint="cs"/>
          <w:spacing w:val="-2"/>
          <w:sz w:val="18"/>
          <w:szCs w:val="20"/>
          <w:rtl/>
        </w:rPr>
        <w:lastRenderedPageBreak/>
        <w:t>מאוחר יותר, שבוצע בקרב זקנים המתגוררים בקהילה, העלה כי יותר מ-65% מהם השלימו ביצוע של מסמכי תכנון של טיפול רפואי (</w:t>
      </w:r>
      <w:r w:rsidRPr="008B5BE0">
        <w:rPr>
          <w:rFonts w:ascii="Georgia" w:hAnsi="Georgia"/>
          <w:spacing w:val="-2"/>
          <w:sz w:val="18"/>
          <w:szCs w:val="20"/>
        </w:rPr>
        <w:t>Boerner et al., 2021</w:t>
      </w:r>
      <w:r w:rsidRPr="008B5BE0">
        <w:rPr>
          <w:rFonts w:ascii="Georgia" w:hAnsi="Georgia" w:hint="cs"/>
          <w:spacing w:val="-2"/>
          <w:sz w:val="18"/>
          <w:szCs w:val="20"/>
          <w:rtl/>
        </w:rPr>
        <w:t>). שיעורי שימוש</w:t>
      </w:r>
      <w:r w:rsidRPr="0042081B">
        <w:rPr>
          <w:rFonts w:ascii="Georgia" w:hAnsi="Georgia" w:hint="cs"/>
          <w:sz w:val="18"/>
          <w:szCs w:val="20"/>
          <w:rtl/>
        </w:rPr>
        <w:t xml:space="preserve"> נמוכים למדי נמצאו בהקשר זה גם בישראל טרם התיקון לחוק, ובשנת 2013 רק ל-0.3% מאוכלוסיית הזקנים בישראל היו הוראות מקדימות (</w:t>
      </w:r>
      <w:proofErr w:type="spellStart"/>
      <w:r w:rsidRPr="0042081B">
        <w:rPr>
          <w:rFonts w:ascii="Georgia" w:hAnsi="Georgia"/>
          <w:sz w:val="18"/>
          <w:szCs w:val="20"/>
        </w:rPr>
        <w:t>Shvartzman</w:t>
      </w:r>
      <w:proofErr w:type="spellEnd"/>
      <w:r w:rsidRPr="0042081B">
        <w:rPr>
          <w:rFonts w:ascii="Georgia" w:hAnsi="Georgia"/>
          <w:sz w:val="18"/>
          <w:szCs w:val="20"/>
        </w:rPr>
        <w:t xml:space="preserve"> et al., 2015</w:t>
      </w:r>
      <w:r w:rsidRPr="0042081B">
        <w:rPr>
          <w:rFonts w:ascii="Georgia" w:hAnsi="Georgia" w:hint="cs"/>
          <w:sz w:val="18"/>
          <w:szCs w:val="20"/>
          <w:rtl/>
        </w:rPr>
        <w:t xml:space="preserve">). </w:t>
      </w:r>
    </w:p>
    <w:p w14:paraId="3B8AF30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נתונים עדכניים מצביעים על עלייה ברורה במספר ייפויי הכוח המתמשכים שנעשו בישראל מאז התיקון לחוק בכלל, ובתקופת מגפת הקורונה בפרט. </w:t>
      </w:r>
      <w:r w:rsidRPr="0042081B">
        <w:rPr>
          <w:rFonts w:ascii="Georgia" w:hAnsi="Georgia"/>
          <w:sz w:val="18"/>
          <w:szCs w:val="20"/>
          <w:rtl/>
        </w:rPr>
        <w:t>אם ב</w:t>
      </w:r>
      <w:r w:rsidRPr="0042081B">
        <w:rPr>
          <w:rFonts w:ascii="Georgia" w:hAnsi="Georgia" w:hint="cs"/>
          <w:sz w:val="18"/>
          <w:szCs w:val="20"/>
          <w:rtl/>
        </w:rPr>
        <w:t xml:space="preserve">שנים </w:t>
      </w:r>
      <w:r w:rsidRPr="0042081B">
        <w:rPr>
          <w:rFonts w:ascii="Georgia" w:hAnsi="Georgia"/>
          <w:sz w:val="18"/>
          <w:szCs w:val="20"/>
          <w:rtl/>
        </w:rPr>
        <w:t>2017</w:t>
      </w:r>
      <w:r w:rsidRPr="0042081B">
        <w:rPr>
          <w:rFonts w:ascii="Georgia" w:hAnsi="Georgia" w:hint="cs"/>
          <w:sz w:val="18"/>
          <w:szCs w:val="20"/>
          <w:rtl/>
        </w:rPr>
        <w:t>–2018</w:t>
      </w:r>
      <w:r w:rsidRPr="0042081B">
        <w:rPr>
          <w:rFonts w:ascii="Georgia" w:hAnsi="Georgia"/>
          <w:sz w:val="18"/>
          <w:szCs w:val="20"/>
          <w:rtl/>
        </w:rPr>
        <w:t xml:space="preserve"> הופקדו במשרדי האפוטרופוס הכללי 6,714 ייפויי כוח מתמשכים, הרי בשנת 2020 הופקדו 24,934 ייפויי כוח מתמשכים</w:t>
      </w:r>
      <w:r w:rsidRPr="0042081B">
        <w:rPr>
          <w:rFonts w:ascii="Georgia" w:hAnsi="Georgia" w:hint="cs"/>
          <w:sz w:val="18"/>
          <w:szCs w:val="20"/>
          <w:rtl/>
        </w:rPr>
        <w:t>. עם זאת, היקף ביצוע הכלי בקרב אוכלוסיית הזקנים בישראל עדיין נמוך מאוד, ועומד על 4% בלבד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w:t>
      </w:r>
    </w:p>
    <w:p w14:paraId="5C99E33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מחקרים רבים ביקשו לבחון מוטיבציות לשימוש בכלי תכנון ומניעה משפטיים.</w:t>
      </w:r>
      <w:r w:rsidRPr="0042081B">
        <w:rPr>
          <w:rFonts w:ascii="Georgia" w:hAnsi="Georgia"/>
          <w:sz w:val="18"/>
          <w:szCs w:val="20"/>
        </w:rPr>
        <w:t xml:space="preserve"> </w:t>
      </w:r>
      <w:r w:rsidRPr="0042081B">
        <w:rPr>
          <w:rFonts w:ascii="Georgia" w:hAnsi="Georgia" w:hint="cs"/>
          <w:sz w:val="18"/>
          <w:szCs w:val="20"/>
          <w:rtl/>
        </w:rPr>
        <w:t>בהקשר זה נמצא כי לצד גורמים נוספים, הרצון לקבל החלטות באופן עצמאי והרצון להקל על הקרובים היו מוטיבציות משמעותיות לתכנון מקדים בכלל (</w:t>
      </w:r>
      <w:r w:rsidRPr="0042081B">
        <w:rPr>
          <w:rFonts w:ascii="Georgia" w:hAnsi="Georgia"/>
          <w:sz w:val="18"/>
          <w:szCs w:val="20"/>
        </w:rPr>
        <w:t>Alano et al., 2010; Kim et al., 2020</w:t>
      </w:r>
      <w:r w:rsidRPr="0042081B">
        <w:rPr>
          <w:rFonts w:ascii="Georgia" w:hAnsi="Georgia" w:hint="cs"/>
          <w:sz w:val="18"/>
          <w:szCs w:val="20"/>
          <w:rtl/>
        </w:rPr>
        <w:t xml:space="preserve">), ולביצוע ייפוי כוח מתמשך בפרט (דורון ודורון, 2022;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w:t>
      </w:r>
    </w:p>
    <w:p w14:paraId="16AE1A4F" w14:textId="2093EC56" w:rsidR="0042081B" w:rsidRDefault="0042081B" w:rsidP="00C23AD0">
      <w:pPr>
        <w:spacing w:after="180" w:line="280" w:lineRule="exact"/>
        <w:jc w:val="both"/>
        <w:rPr>
          <w:rFonts w:ascii="Georgia" w:hAnsi="Georgia"/>
          <w:sz w:val="18"/>
          <w:szCs w:val="20"/>
          <w:rtl/>
        </w:rPr>
      </w:pPr>
      <w:r w:rsidRPr="0042081B">
        <w:rPr>
          <w:rFonts w:ascii="Georgia" w:hAnsi="Georgia" w:hint="cs"/>
          <w:sz w:val="18"/>
          <w:szCs w:val="20"/>
          <w:rtl/>
        </w:rPr>
        <w:t>בהקשר של תכנון מקדים של טיפול רפואי ומינוי מקבל החלטות חלופי לעניינים רפואיים, מחקרים בחנו גם את מידת הידיעה של מקבלי ההחלטות הממונים על מטרות הטיפול של הממנים</w:t>
      </w:r>
      <w:bookmarkStart w:id="7" w:name="_Hlk148676952"/>
      <w:r w:rsidRPr="0042081B">
        <w:rPr>
          <w:rFonts w:ascii="Georgia" w:hAnsi="Georgia" w:hint="cs"/>
          <w:sz w:val="18"/>
          <w:szCs w:val="20"/>
          <w:rtl/>
        </w:rPr>
        <w:t xml:space="preserve">, ואת האופן שבו יישמו מיופי הכוח את הנחיות הממנה. מחקרים אלה הצביעו על התאמה נמוכה בין רצונותיהם של הממנים לבין ההחלטות של מקבלי ההחלטות שהם מינו </w:t>
      </w:r>
      <w:bookmarkEnd w:id="7"/>
      <w:r w:rsidRPr="0042081B">
        <w:rPr>
          <w:rFonts w:ascii="Georgia" w:hAnsi="Georgia" w:hint="cs"/>
          <w:sz w:val="18"/>
          <w:szCs w:val="20"/>
          <w:rtl/>
        </w:rPr>
        <w:t>(</w:t>
      </w:r>
      <w:r w:rsidRPr="0042081B">
        <w:rPr>
          <w:rFonts w:ascii="Georgia" w:hAnsi="Georgia"/>
          <w:sz w:val="18"/>
          <w:szCs w:val="20"/>
        </w:rPr>
        <w:t xml:space="preserve">Fried et al., 2017; </w:t>
      </w:r>
      <w:proofErr w:type="spellStart"/>
      <w:r w:rsidRPr="0042081B">
        <w:rPr>
          <w:rFonts w:ascii="Georgia" w:hAnsi="Georgia"/>
          <w:sz w:val="18"/>
          <w:szCs w:val="20"/>
        </w:rPr>
        <w:t>Udelsman</w:t>
      </w:r>
      <w:proofErr w:type="spellEnd"/>
      <w:r w:rsidRPr="0042081B">
        <w:rPr>
          <w:rFonts w:ascii="Georgia" w:hAnsi="Georgia"/>
          <w:sz w:val="18"/>
          <w:szCs w:val="20"/>
        </w:rPr>
        <w:t xml:space="preserve"> et al., 2019</w:t>
      </w:r>
      <w:r w:rsidRPr="0042081B">
        <w:rPr>
          <w:rFonts w:ascii="Georgia" w:hAnsi="Georgia" w:hint="cs"/>
          <w:sz w:val="18"/>
          <w:szCs w:val="20"/>
          <w:rtl/>
        </w:rPr>
        <w:t>). נוסף על כך, מחקרים עמדו על הקשר שבין תכנון מקדים של טיפול רפואי לבין שיפור איכות החיים והקלת הנטל על בני המשפחה (</w:t>
      </w:r>
      <w:r w:rsidRPr="0042081B">
        <w:rPr>
          <w:rFonts w:ascii="Georgia" w:hAnsi="Georgia"/>
          <w:sz w:val="18"/>
          <w:szCs w:val="20"/>
        </w:rPr>
        <w:t xml:space="preserve">Nouri et al., 2019; </w:t>
      </w:r>
      <w:r w:rsidRPr="0042081B">
        <w:rPr>
          <w:rFonts w:ascii="Georgia" w:hAnsi="Georgia" w:hint="cs"/>
          <w:sz w:val="18"/>
          <w:szCs w:val="20"/>
        </w:rPr>
        <w:t>W</w:t>
      </w:r>
      <w:r w:rsidRPr="0042081B">
        <w:rPr>
          <w:rFonts w:ascii="Georgia" w:hAnsi="Georgia"/>
          <w:sz w:val="18"/>
          <w:szCs w:val="20"/>
        </w:rPr>
        <w:t>erner &amp; Schiffman, 2019</w:t>
      </w:r>
      <w:r w:rsidRPr="0042081B">
        <w:rPr>
          <w:rFonts w:ascii="Georgia" w:hAnsi="Georgia" w:hint="cs"/>
          <w:sz w:val="18"/>
          <w:szCs w:val="20"/>
          <w:rtl/>
        </w:rPr>
        <w:t xml:space="preserve">), ועל כך שתכנון מקדים של טיפול רפואי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מביא בחשבון לא רק את רצונותיו וצרכיו של האדם המתכנן, אלא גם את יחסי הגומלין במשפחה ואת צורכיהם ודאגותיהם של בני המשפחה (</w:t>
      </w:r>
      <w:r w:rsidRPr="0042081B">
        <w:rPr>
          <w:rFonts w:ascii="Georgia" w:hAnsi="Georgia"/>
          <w:sz w:val="18"/>
          <w:szCs w:val="20"/>
        </w:rPr>
        <w:t>Fan et al., 2019; Ryan &amp; McKeown, 2020</w:t>
      </w:r>
      <w:r w:rsidRPr="0042081B">
        <w:rPr>
          <w:rFonts w:ascii="Georgia" w:hAnsi="Georgia" w:hint="cs"/>
          <w:sz w:val="18"/>
          <w:szCs w:val="20"/>
          <w:rtl/>
        </w:rPr>
        <w:t xml:space="preserve">). ממצאים דומים </w:t>
      </w:r>
      <w:r w:rsidR="00C23AD0">
        <w:rPr>
          <w:rFonts w:ascii="Georgia" w:hAnsi="Georgia" w:hint="cs"/>
          <w:sz w:val="18"/>
          <w:szCs w:val="20"/>
          <w:rtl/>
        </w:rPr>
        <w:t>עלו</w:t>
      </w:r>
      <w:r w:rsidRPr="0042081B">
        <w:rPr>
          <w:rFonts w:ascii="Georgia" w:hAnsi="Georgia" w:hint="cs"/>
          <w:sz w:val="18"/>
          <w:szCs w:val="20"/>
          <w:rtl/>
        </w:rPr>
        <w:t xml:space="preserve"> גם בישראל בנוגע לביצוע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המחקר מצביע על האופן שבו שיקולים משפחתיים כרוכים בתהליך הביצוע של ייפוי הכוח המתמשך על ידי אזרחים ותיקים ומעצבים אותו, ועל הפוטנציאל הטמון בכלי להפחתת אמביוולנטיות בין-דורית ולקידום רווחה רגשית ופסיכולוגית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(דורון ודורון, 2022). </w:t>
      </w:r>
    </w:p>
    <w:p w14:paraId="7B636E7B" w14:textId="77777777" w:rsidR="008B5BE0" w:rsidRPr="0042081B" w:rsidRDefault="008B5BE0" w:rsidP="0042081B">
      <w:pPr>
        <w:spacing w:after="180" w:line="280" w:lineRule="exact"/>
        <w:jc w:val="both"/>
        <w:rPr>
          <w:rFonts w:ascii="Georgia" w:hAnsi="Georgia"/>
          <w:sz w:val="18"/>
          <w:szCs w:val="20"/>
          <w:rtl/>
        </w:rPr>
      </w:pPr>
    </w:p>
    <w:p w14:paraId="30340910" w14:textId="63726F0C"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בחירת מיופה כוח במסגרת ייפוי כוח מתמשך</w:t>
      </w:r>
    </w:p>
    <w:p w14:paraId="574C85C6" w14:textId="49687AE6"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כאמור לעיל, זהותו של מיופה הכוח במסגרת ייפוי כוח מתמשך היא מרכיבי הליבה של הכלי, ובחירתו היא אחת מהסוגיות המרכזיות שהממנה נדרש לתת עליהן את הדעת. סקר שנערך לאחרונה בקרב עורכי דין העורכים ייפויי כוח מתמשכים העלה כי אחד הקשיים העיקריים שהממנים מתמודדים עימם במהלך ביצ</w:t>
      </w:r>
      <w:r w:rsidR="00C23AD0">
        <w:rPr>
          <w:rFonts w:ascii="Georgia" w:hAnsi="Georgia" w:hint="cs"/>
          <w:sz w:val="18"/>
          <w:szCs w:val="20"/>
          <w:rtl/>
        </w:rPr>
        <w:t>ו</w:t>
      </w:r>
      <w:r w:rsidRPr="0042081B">
        <w:rPr>
          <w:rFonts w:ascii="Georgia" w:hAnsi="Georgia" w:hint="cs"/>
          <w:sz w:val="18"/>
          <w:szCs w:val="20"/>
          <w:rtl/>
        </w:rPr>
        <w:t>ע הכלי הוא ההחלטה מי יהיו מיופי הכוח העתידיים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על אף חשיבותה של </w:t>
      </w:r>
      <w:proofErr w:type="spellStart"/>
      <w:r w:rsidRPr="0042081B">
        <w:rPr>
          <w:rFonts w:ascii="Georgia" w:hAnsi="Georgia" w:hint="cs"/>
          <w:sz w:val="18"/>
          <w:szCs w:val="20"/>
          <w:rtl/>
        </w:rPr>
        <w:t>הסוגיה</w:t>
      </w:r>
      <w:proofErr w:type="spellEnd"/>
      <w:r w:rsidRPr="0042081B">
        <w:rPr>
          <w:rFonts w:ascii="Georgia" w:hAnsi="Georgia" w:hint="cs"/>
          <w:sz w:val="18"/>
          <w:szCs w:val="20"/>
          <w:rtl/>
        </w:rPr>
        <w:t xml:space="preserve">, המחקרים העוסקים בשאלה את מי </w:t>
      </w:r>
      <w:r w:rsidRPr="0042081B">
        <w:rPr>
          <w:rFonts w:ascii="Georgia" w:hAnsi="Georgia" w:hint="cs"/>
          <w:sz w:val="18"/>
          <w:szCs w:val="20"/>
          <w:rtl/>
        </w:rPr>
        <w:lastRenderedPageBreak/>
        <w:t xml:space="preserve">בוחרים אנשים, וזקנים בפרט, למנות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ומדוע, הם מעטים (</w:t>
      </w:r>
      <w:r w:rsidRPr="0042081B">
        <w:rPr>
          <w:rFonts w:ascii="Georgia" w:hAnsi="Georgia"/>
          <w:sz w:val="18"/>
          <w:szCs w:val="20"/>
        </w:rPr>
        <w:t>Barnett &amp; Cantu, 2021</w:t>
      </w:r>
      <w:r w:rsidRPr="0042081B">
        <w:rPr>
          <w:rFonts w:ascii="Georgia" w:hAnsi="Georgia" w:hint="cs"/>
          <w:sz w:val="18"/>
          <w:szCs w:val="20"/>
          <w:rtl/>
        </w:rPr>
        <w:t>), וככל שהם קיימים הם נוטים להתמקד בקבלת החלטות חלופית בעניינים רפואיים. כך, למשל, במחקר מוקדם בנושא נמצא כי זקנים שהיו להם קרובי משפחה מקרבה ראשונה העדיפו שהם שיקבלו עבורם החלטות רפואיות במקרה הצורך. זקנים נשואים העדיפו שבני הזוג ישמשו מקבלי ההחלטות החלופיים עבורם, והילדים הבגירים (להלן</w:t>
      </w:r>
      <w:r w:rsidRPr="0042081B">
        <w:rPr>
          <w:rFonts w:ascii="Georgia" w:hAnsi="Georgia"/>
          <w:sz w:val="18"/>
          <w:szCs w:val="20"/>
          <w:rtl/>
        </w:rPr>
        <w:t>:</w:t>
      </w:r>
      <w:r w:rsidRPr="0042081B">
        <w:rPr>
          <w:rFonts w:ascii="Georgia" w:hAnsi="Georgia"/>
          <w:b/>
          <w:bCs/>
          <w:sz w:val="18"/>
          <w:szCs w:val="20"/>
          <w:rtl/>
        </w:rPr>
        <w:t xml:space="preserve"> </w:t>
      </w:r>
      <w:r w:rsidRPr="0042081B">
        <w:rPr>
          <w:rFonts w:ascii="Georgia" w:hAnsi="Georgia" w:hint="cs"/>
          <w:sz w:val="18"/>
          <w:szCs w:val="20"/>
          <w:rtl/>
        </w:rPr>
        <w:t>הילדים</w:t>
      </w:r>
      <w:r w:rsidRPr="0042081B">
        <w:rPr>
          <w:rFonts w:ascii="Georgia" w:hAnsi="Georgia"/>
          <w:sz w:val="18"/>
          <w:szCs w:val="20"/>
          <w:rtl/>
        </w:rPr>
        <w:t>)</w:t>
      </w:r>
      <w:r w:rsidRPr="0042081B">
        <w:rPr>
          <w:rFonts w:ascii="Georgia" w:hAnsi="Georgia" w:hint="cs"/>
          <w:sz w:val="18"/>
          <w:szCs w:val="20"/>
          <w:rtl/>
        </w:rPr>
        <w:t xml:space="preserve"> ישמשו כגיבוי להם, או כיועצים לבני הזוג בקבלת ההחלטות. מי שהתאלמנו או התגרשו העדיפו שילדיהם ישמשו מקבלי ההחלטות החלופיים עבורם. הילדים הועדפו בהקשר זה על פני אחים, גם במקרים שהילדים התגוררו הרחק ממשתתפי המחקר. עוד נמצא שהנשאלים האמינו שבני המשפחה מבינים את האחריות הכרוכה בקבלת החלטות עבור אדם אחר, אף שפעמים רבות כלל לא התקיים עימם שיח בנושא (</w:t>
      </w:r>
      <w:r w:rsidRPr="0042081B">
        <w:rPr>
          <w:rFonts w:ascii="Georgia" w:hAnsi="Georgia"/>
          <w:sz w:val="18"/>
          <w:szCs w:val="20"/>
        </w:rPr>
        <w:t>High &amp; Turner, 1987</w:t>
      </w:r>
      <w:r w:rsidRPr="0042081B">
        <w:rPr>
          <w:rFonts w:ascii="Georgia" w:hAnsi="Georgia" w:hint="cs"/>
          <w:sz w:val="18"/>
          <w:szCs w:val="20"/>
          <w:rtl/>
        </w:rPr>
        <w:t>). במחקר אחר, מוקדם אף הוא, נמצא כי זקנים מעדיפים שבני הזוג, לעיתים לצד הילדים, יהיו מקבלי ההחלטות החלופיים, וזקנים שאין להם קרובי משפחה מקרבה ראשונה מעדיפים קרובי משפחה מהמעגל הרחוק יותר. מקרב מי שלא היו להם קרובי משפחה כלל, כמחצית העדיפו שחבר קרוב יקבל עבורם את ההחלטות, ככל שיזדקקו לכך (</w:t>
      </w:r>
      <w:r w:rsidRPr="0042081B">
        <w:rPr>
          <w:rFonts w:ascii="Georgia" w:hAnsi="Georgia"/>
          <w:sz w:val="18"/>
          <w:szCs w:val="20"/>
        </w:rPr>
        <w:t>High, 1990</w:t>
      </w:r>
      <w:r w:rsidRPr="0042081B">
        <w:rPr>
          <w:rFonts w:ascii="Georgia" w:hAnsi="Georgia" w:hint="cs"/>
          <w:sz w:val="18"/>
          <w:szCs w:val="20"/>
          <w:rtl/>
        </w:rPr>
        <w:t>). אשר להעדפתם של זקנים לכך שהחלטות רפואיות בעניינם יתקבלו לאחר התייעצות בין בני המשפחה, ואפילו כהחלטה משותפת של בני המשפחה הקרובים (</w:t>
      </w:r>
      <w:r w:rsidRPr="0042081B">
        <w:rPr>
          <w:rFonts w:ascii="Georgia" w:hAnsi="Georgia"/>
          <w:sz w:val="18"/>
          <w:szCs w:val="20"/>
        </w:rPr>
        <w:t>High, 1988; High &amp; Turner, 1987</w:t>
      </w:r>
      <w:r w:rsidRPr="0042081B">
        <w:rPr>
          <w:rFonts w:ascii="Georgia" w:hAnsi="Georgia" w:hint="cs"/>
          <w:sz w:val="18"/>
          <w:szCs w:val="20"/>
          <w:rtl/>
        </w:rPr>
        <w:t>), הרי ברוח דומה נמצא לאחרונה בישראל כי ב-75% מייפויי הכוח המתמשכים יש יותר ממיופה כוח אחד, וכי הדפוס הנפוץ ביותר הוא מינוי של שני מיופי כוח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w:t>
      </w:r>
    </w:p>
    <w:p w14:paraId="2DB4EA67"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אישוש להעדפה שבני משפחה קרובים ישמשו כמקבלי ההחלטות החלופיים בעניינים רפואיים נמצא גם במחקרים מאוחרים יותר. כך נמצא כי זקנים נוטים לבחור בבני זוג ובילדיהם להיות מיופי כוחם העתידיים במסגרת של ייפוי כוח מתמשך לעניינים רפואיים, והם פונים לקרובים אחרים רק אם בני הזוג או הילדים אינם מקורות זמינים לתמיכה מסוג זה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 Hopp, 2000</w:t>
      </w:r>
      <w:r w:rsidRPr="0042081B">
        <w:rPr>
          <w:rFonts w:ascii="Georgia" w:hAnsi="Georgia" w:hint="cs"/>
          <w:sz w:val="18"/>
          <w:szCs w:val="20"/>
          <w:rtl/>
        </w:rPr>
        <w:t>). עם זאת, באשר להעדפה בין בחירה בבני הזוג לבין בחירה בילדים נמצא כי זקנים מבקשים שלא להסתמך רק על בני הזוג בכל הקשור לתכנון קבלת החלטות חלופית בעניינים רפואיים, וילדים ובני זוג נבחרו לשמש מיופי כוח בשיעורים שווים למדי (</w:t>
      </w:r>
      <w:r w:rsidRPr="0042081B">
        <w:rPr>
          <w:rFonts w:ascii="Georgia" w:hAnsi="Georgia"/>
          <w:sz w:val="18"/>
          <w:szCs w:val="20"/>
        </w:rPr>
        <w:t>Hopp, 2000</w:t>
      </w:r>
      <w:r w:rsidRPr="0042081B">
        <w:rPr>
          <w:rFonts w:ascii="Georgia" w:hAnsi="Georgia" w:hint="cs"/>
          <w:sz w:val="18"/>
          <w:szCs w:val="20"/>
          <w:rtl/>
        </w:rPr>
        <w:t xml:space="preserve">). עוד נמצא כי נשים נשואות שהיו להן ילדים נטו לבחור בילד למיופה הכוח, ולא בבן הזוג. בחירה זו תואמת את דפוסי התמותה המגדריים בגילים מאוחרים, המצביעים על כך שבני זוגן צפויים למות לפניהן. נוסף על כך, הסבירות שזקנים שהיו הורים לילד אחד או שניים בלבד ימנו את ילדיהם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במסגרת ייפוי כוח מתמשך לעניינים רפואיים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נמוכה מהסבירות שזקנים שהיו הורים למספר גדול יותר של ילדים יעשו זאת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 Carr et al., 2013</w:t>
      </w:r>
      <w:r w:rsidRPr="0042081B">
        <w:rPr>
          <w:rFonts w:ascii="Georgia" w:hAnsi="Georgia" w:hint="cs"/>
          <w:sz w:val="18"/>
          <w:szCs w:val="20"/>
          <w:rtl/>
        </w:rPr>
        <w:t xml:space="preserve">). </w:t>
      </w:r>
    </w:p>
    <w:p w14:paraId="1091335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במחקר שנערך לאחרונה תוך שחזור מחקרם של קר </w:t>
      </w:r>
      <w:proofErr w:type="spellStart"/>
      <w:r w:rsidRPr="0042081B">
        <w:rPr>
          <w:rFonts w:ascii="Georgia" w:hAnsi="Georgia" w:hint="cs"/>
          <w:sz w:val="18"/>
          <w:szCs w:val="20"/>
          <w:rtl/>
        </w:rPr>
        <w:t>וקודייקוב</w:t>
      </w:r>
      <w:proofErr w:type="spellEnd"/>
      <w:r w:rsidRPr="0042081B" w:rsidDel="00414B14">
        <w:rPr>
          <w:rFonts w:ascii="Georgia" w:hAnsi="Georgia" w:hint="cs"/>
          <w:sz w:val="18"/>
          <w:szCs w:val="20"/>
          <w:rtl/>
        </w:rPr>
        <w:t xml:space="preserve"> </w:t>
      </w:r>
      <w:r w:rsidRPr="0042081B">
        <w:rPr>
          <w:rFonts w:ascii="Georgia" w:hAnsi="Georgia" w:hint="cs"/>
          <w:sz w:val="18"/>
          <w:szCs w:val="20"/>
          <w:rtl/>
        </w:rPr>
        <w:t>(</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w:t>
      </w:r>
      <w:r w:rsidRPr="0042081B">
        <w:rPr>
          <w:rFonts w:ascii="Georgia" w:hAnsi="Georgia" w:hint="cs"/>
          <w:sz w:val="18"/>
          <w:szCs w:val="20"/>
          <w:rtl/>
        </w:rPr>
        <w:t xml:space="preserve">) נמצא כי זקנים נשואים ללא ילדים בחרו בבני זוגם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לעניינים רפואיים (</w:t>
      </w:r>
      <w:r w:rsidRPr="0042081B">
        <w:rPr>
          <w:rFonts w:ascii="Georgia" w:hAnsi="Georgia"/>
          <w:sz w:val="18"/>
          <w:szCs w:val="20"/>
        </w:rPr>
        <w:t>Barnett &amp; Cantu, 2021</w:t>
      </w:r>
      <w:r w:rsidRPr="0042081B">
        <w:rPr>
          <w:rFonts w:ascii="Georgia" w:hAnsi="Georgia" w:hint="cs"/>
          <w:sz w:val="18"/>
          <w:szCs w:val="20"/>
          <w:rtl/>
        </w:rPr>
        <w:t xml:space="preserve">). העדפה של בני הזוג לתפקיד נמצאה גם בקרב מטופלים בטיפול נמרץ שהיו </w:t>
      </w:r>
      <w:r w:rsidRPr="0042081B">
        <w:rPr>
          <w:rFonts w:ascii="Georgia" w:hAnsi="Georgia" w:hint="cs"/>
          <w:sz w:val="18"/>
          <w:szCs w:val="20"/>
          <w:rtl/>
        </w:rPr>
        <w:lastRenderedPageBreak/>
        <w:t>נשואים או במערכות יחסים ממושכות (</w:t>
      </w:r>
      <w:r w:rsidRPr="0042081B">
        <w:rPr>
          <w:rFonts w:ascii="Georgia" w:hAnsi="Georgia"/>
          <w:sz w:val="18"/>
          <w:szCs w:val="20"/>
        </w:rPr>
        <w:t>Harvey et al., 2021</w:t>
      </w:r>
      <w:r w:rsidRPr="0042081B">
        <w:rPr>
          <w:rFonts w:ascii="Georgia" w:hAnsi="Georgia" w:hint="cs"/>
          <w:sz w:val="18"/>
          <w:szCs w:val="20"/>
          <w:rtl/>
        </w:rPr>
        <w:t>).</w:t>
      </w:r>
      <w:r w:rsidRPr="0042081B">
        <w:rPr>
          <w:rFonts w:ascii="Georgia" w:hAnsi="Georgia"/>
          <w:sz w:val="18"/>
          <w:szCs w:val="20"/>
          <w:vertAlign w:val="superscript"/>
          <w:rtl/>
        </w:rPr>
        <w:footnoteReference w:id="18"/>
      </w:r>
      <w:r w:rsidRPr="0042081B">
        <w:rPr>
          <w:rFonts w:ascii="Georgia" w:hAnsi="Georgia" w:hint="cs"/>
          <w:sz w:val="18"/>
          <w:szCs w:val="20"/>
          <w:rtl/>
        </w:rPr>
        <w:t xml:space="preserve"> אשר לזקנים נשואים שיש להם ילדים, נמצא כי 47.4% בחרו בבני הזוג ו-47.4% בחרו בילד למיופה כוחם, ואילו בקרב זקנים שאינם נשואים 94.8% בחרו בילד למיופה כוחם. עוד נמצאו מידה גבוהה של נוחות עם מיופי הכוח הנבחרים, וקשר בין תפיסת הדמיון בערכים הדתיים לבין מידת הנוחות עם מיופי הכוח (</w:t>
      </w:r>
      <w:r w:rsidRPr="0042081B">
        <w:rPr>
          <w:rFonts w:ascii="Georgia" w:hAnsi="Georgia"/>
          <w:sz w:val="18"/>
          <w:szCs w:val="20"/>
        </w:rPr>
        <w:t>Barnett &amp; Cantu, 2021</w:t>
      </w:r>
      <w:r w:rsidRPr="0042081B">
        <w:rPr>
          <w:rFonts w:ascii="Georgia" w:hAnsi="Georgia" w:hint="cs"/>
          <w:sz w:val="18"/>
          <w:szCs w:val="20"/>
          <w:rtl/>
        </w:rPr>
        <w:t xml:space="preserve">). </w:t>
      </w:r>
    </w:p>
    <w:p w14:paraId="2D6BFDE8" w14:textId="77777777" w:rsidR="0042081B" w:rsidRPr="0042081B" w:rsidRDefault="0042081B" w:rsidP="0042081B">
      <w:pPr>
        <w:spacing w:after="180" w:line="280" w:lineRule="exact"/>
        <w:jc w:val="both"/>
        <w:rPr>
          <w:rFonts w:ascii="Georgia" w:hAnsi="Georgia"/>
          <w:sz w:val="18"/>
          <w:szCs w:val="20"/>
        </w:rPr>
      </w:pPr>
      <w:r w:rsidRPr="0042081B">
        <w:rPr>
          <w:rFonts w:ascii="Georgia" w:hAnsi="Georgia" w:hint="cs"/>
          <w:sz w:val="18"/>
          <w:szCs w:val="20"/>
          <w:rtl/>
        </w:rPr>
        <w:t xml:space="preserve">בהתייחס למערכות היחסים במשפחה נמצא כי ביקורת מצידם של בני הזוג הפחיתה את הסיכוי שימונו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לעניינים רפואיים, ואילו תמיכה רגשית מצד הילדים הגדילה את הסיכוי שהם ימונו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w:t>
      </w:r>
      <w:r w:rsidRPr="0042081B">
        <w:rPr>
          <w:rFonts w:ascii="Georgia" w:hAnsi="Georgia"/>
          <w:sz w:val="18"/>
          <w:szCs w:val="20"/>
        </w:rPr>
        <w:t>Boerner et al., 2013; Carr et al., 2013</w:t>
      </w:r>
      <w:r w:rsidRPr="0042081B">
        <w:rPr>
          <w:rFonts w:ascii="Georgia" w:hAnsi="Georgia" w:hint="cs"/>
          <w:sz w:val="18"/>
          <w:szCs w:val="20"/>
          <w:rtl/>
        </w:rPr>
        <w:t xml:space="preserve">). כן נמצא כי מערכות יחסים שאיכותן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נמוכה דחפו זקנים שלא לבחור דווקא בבן המשפחה הקרוב להם ביותר למקבל ההחלטות החלופי עבורם, ואילו מערכות יחסים באיכות טובה, מחוץ למשפחה, הובילו יותר זקנים למנות מקבלי החלטות חלופיים שאינם מהמעגל המשפחתי הקרוב להם ביותר (</w:t>
      </w:r>
      <w:r w:rsidRPr="0042081B">
        <w:rPr>
          <w:rFonts w:ascii="Georgia" w:hAnsi="Georgia"/>
          <w:sz w:val="18"/>
          <w:szCs w:val="20"/>
        </w:rPr>
        <w:t>Moorman &amp; Boerner, 2018</w:t>
      </w:r>
      <w:r w:rsidRPr="0042081B">
        <w:rPr>
          <w:rFonts w:ascii="Georgia" w:hAnsi="Georgia" w:hint="cs"/>
          <w:sz w:val="18"/>
          <w:szCs w:val="20"/>
          <w:rtl/>
        </w:rPr>
        <w:t xml:space="preserve">). </w:t>
      </w:r>
    </w:p>
    <w:p w14:paraId="22F86A93" w14:textId="77777777" w:rsidR="0042081B" w:rsidRPr="0042081B" w:rsidRDefault="0042081B" w:rsidP="0042081B">
      <w:pPr>
        <w:spacing w:after="180" w:line="280" w:lineRule="exact"/>
        <w:jc w:val="both"/>
        <w:rPr>
          <w:rFonts w:ascii="Georgia" w:hAnsi="Georgia"/>
          <w:sz w:val="18"/>
          <w:szCs w:val="20"/>
          <w:rtl/>
        </w:rPr>
      </w:pPr>
      <w:r w:rsidRPr="008B5BE0">
        <w:rPr>
          <w:rFonts w:ascii="Georgia" w:hAnsi="Georgia" w:hint="cs"/>
          <w:spacing w:val="-2"/>
          <w:sz w:val="18"/>
          <w:szCs w:val="20"/>
          <w:rtl/>
        </w:rPr>
        <w:t>מחקרים שבחנו את השיקולים לבחירת מיופה הכוח לעניינים רפואיים מצאו כי הנשאלים התייחסו לכמה טעמים, ובהם תחושה שהאדם הנבחר לתפקיד מכיר את המטופל; הרגשה שניתן לסמוך על האדם שנבחר לתפקיד; מערכת יחסים ממושכת עם אותו אדם; מגורים בקרבה גיאוגרפית לאדם הנבחר לתפקיד ומידת הזמינות שלו; הבעת ביטחון בכישורי קבלת ההחלטות של מיופה הכוח; מסוגלותו הרגשית והנפשית לבצע את התפקיד; דמיון</w:t>
      </w:r>
      <w:r w:rsidRPr="0042081B">
        <w:rPr>
          <w:rFonts w:ascii="Georgia" w:hAnsi="Georgia" w:hint="cs"/>
          <w:sz w:val="18"/>
          <w:szCs w:val="20"/>
          <w:rtl/>
        </w:rPr>
        <w:t xml:space="preserve"> לממנה בערכים ובעמדות; קיומו של שיח קודם עם אותו אדם באשר לרצונותיו של המטופל; וציפיות של בני משפחה להתמנות לתפקיד (</w:t>
      </w:r>
      <w:r w:rsidRPr="0042081B">
        <w:rPr>
          <w:rFonts w:ascii="Georgia" w:hAnsi="Georgia"/>
          <w:sz w:val="18"/>
          <w:szCs w:val="20"/>
        </w:rPr>
        <w:t>Edwards et al, 2011; Harvey et al., 2021; McMahan et al., 2013</w:t>
      </w:r>
      <w:r w:rsidRPr="0042081B">
        <w:rPr>
          <w:rFonts w:ascii="Georgia" w:hAnsi="Georgia" w:hint="cs"/>
          <w:sz w:val="18"/>
          <w:szCs w:val="20"/>
          <w:rtl/>
        </w:rPr>
        <w:t>). מחקר אחר מצא כי הנימוק המרכזי שניתן לבחירה במיופה כוח עתידי מסוים לעניינים רפואיים היה האמונה שהוא בעל ידע שיאפשר לו לקבל החלטות שיהיו מדויקות עבור הממנה (</w:t>
      </w:r>
      <w:r w:rsidRPr="0042081B">
        <w:rPr>
          <w:rFonts w:ascii="Georgia" w:hAnsi="Georgia"/>
          <w:sz w:val="18"/>
          <w:szCs w:val="20"/>
        </w:rPr>
        <w:t>Wendler et al., 2016</w:t>
      </w:r>
      <w:r w:rsidRPr="0042081B">
        <w:rPr>
          <w:rFonts w:ascii="Georgia" w:hAnsi="Georgia" w:hint="cs"/>
          <w:sz w:val="18"/>
          <w:szCs w:val="20"/>
          <w:rtl/>
        </w:rPr>
        <w:t>). בהתאם לכך, נמצא גם כי ככלל אנשים מאמינים שבני משפחה יודעים אילו טיפולים בן משפחה מטופל היה רוצה לקבל לו איבד את כשירותו לקבל החלטות באופן עצמאי (</w:t>
      </w:r>
      <w:proofErr w:type="spellStart"/>
      <w:r w:rsidRPr="0042081B">
        <w:rPr>
          <w:rFonts w:ascii="Georgia" w:hAnsi="Georgia"/>
          <w:sz w:val="18"/>
          <w:szCs w:val="20"/>
        </w:rPr>
        <w:t>Jardas</w:t>
      </w:r>
      <w:proofErr w:type="spellEnd"/>
      <w:r w:rsidRPr="0042081B">
        <w:rPr>
          <w:rFonts w:ascii="Georgia" w:hAnsi="Georgia"/>
          <w:sz w:val="18"/>
          <w:szCs w:val="20"/>
        </w:rPr>
        <w:t xml:space="preserve"> et al., 2022; Kelly et al., 2012</w:t>
      </w:r>
      <w:r w:rsidRPr="0042081B">
        <w:rPr>
          <w:rFonts w:ascii="Georgia" w:hAnsi="Georgia" w:hint="cs"/>
          <w:sz w:val="18"/>
          <w:szCs w:val="20"/>
          <w:rtl/>
        </w:rPr>
        <w:t>).</w:t>
      </w:r>
    </w:p>
    <w:p w14:paraId="2F1D5335"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סקירת הספרות מלמדת על העניין המחקרי בתרומתם הפוטנציאלית של כלי התכנון והמניעה המשפטיים להתמודדות עם האתגרים השונים הכרוכים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ועל החשיבות הרבה שיש לסוגיית הבחירה של מיופה הכוח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במטרה לקדם את הבנתנו באשר לכלי ייפוי הכוח המתמשך, ולתרום למימוש הפוטנציאל הטמון בו, מאמר זה מבקש לשפוך אור על היבטים שונים של בחירת מיופה כוח, כפי שהללו עלו במחקר אשר בחן את החוויה והמשמעות של ביצוע ייפוי כוח מתמשך מכוח החוק, על ידי אזרחים ותיקים. </w:t>
      </w:r>
    </w:p>
    <w:p w14:paraId="130DEEE0" w14:textId="605852B0" w:rsidR="0042081B" w:rsidRPr="0042081B" w:rsidRDefault="0042081B" w:rsidP="0042081B">
      <w:pPr>
        <w:pStyle w:val="KOT4"/>
        <w:spacing w:after="0"/>
        <w:ind w:left="397" w:right="0" w:hanging="397"/>
        <w:rPr>
          <w:rFonts w:cs="Guttman Aharoni"/>
          <w:color w:val="2A8E8C"/>
          <w:sz w:val="32"/>
          <w:szCs w:val="32"/>
        </w:rPr>
      </w:pPr>
      <w:r w:rsidRPr="0042081B">
        <w:rPr>
          <w:rFonts w:cs="Guttman Aharoni" w:hint="eastAsia"/>
          <w:color w:val="2A8E8C"/>
          <w:sz w:val="32"/>
          <w:szCs w:val="32"/>
          <w:rtl/>
        </w:rPr>
        <w:lastRenderedPageBreak/>
        <w:t>השיטה</w:t>
      </w:r>
    </w:p>
    <w:p w14:paraId="1891B9F4"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המחקר שבוצע היה מחקר איכותני פנומנולוגי, ובהתאם לכך הוא ביקש לחשוף באופן המלא והרחב ביותר את החוויה של ביצוע ייפוי הכוח המתמשך על ידי אזרחים ותיקים (</w:t>
      </w:r>
      <w:r w:rsidRPr="0042081B">
        <w:rPr>
          <w:rFonts w:ascii="Georgia" w:hAnsi="Georgia" w:hint="eastAsia"/>
          <w:sz w:val="18"/>
          <w:szCs w:val="20"/>
          <w:rtl/>
        </w:rPr>
        <w:t>שקדי</w:t>
      </w:r>
      <w:r w:rsidRPr="0042081B">
        <w:rPr>
          <w:rFonts w:ascii="Georgia" w:hAnsi="Georgia"/>
          <w:sz w:val="18"/>
          <w:szCs w:val="20"/>
          <w:rtl/>
        </w:rPr>
        <w:t>, 2003</w:t>
      </w:r>
      <w:r w:rsidRPr="0042081B">
        <w:rPr>
          <w:rFonts w:ascii="Georgia" w:hAnsi="Georgia" w:hint="cs"/>
          <w:sz w:val="18"/>
          <w:szCs w:val="20"/>
          <w:rtl/>
        </w:rPr>
        <w:t>;</w:t>
      </w:r>
      <w:r w:rsidRPr="0042081B">
        <w:rPr>
          <w:rFonts w:ascii="Georgia" w:hAnsi="Georgia"/>
          <w:sz w:val="18"/>
          <w:szCs w:val="20"/>
          <w:rtl/>
        </w:rPr>
        <w:t xml:space="preserve"> </w:t>
      </w:r>
      <w:r w:rsidRPr="0042081B">
        <w:rPr>
          <w:rFonts w:ascii="Georgia" w:hAnsi="Georgia"/>
          <w:sz w:val="18"/>
          <w:szCs w:val="20"/>
        </w:rPr>
        <w:t>Sokolowski, 2000</w:t>
      </w:r>
      <w:r w:rsidRPr="0042081B">
        <w:rPr>
          <w:rFonts w:ascii="Georgia" w:hAnsi="Georgia" w:hint="cs"/>
          <w:sz w:val="18"/>
          <w:szCs w:val="20"/>
          <w:rtl/>
        </w:rPr>
        <w:t>). באמצעות התבססות על זרם הפנומנולוגיה הפרשנית (</w:t>
      </w:r>
      <w:r w:rsidRPr="0042081B">
        <w:rPr>
          <w:rFonts w:ascii="Georgia" w:hAnsi="Georgia"/>
          <w:sz w:val="18"/>
          <w:szCs w:val="20"/>
        </w:rPr>
        <w:t>interpretive phenomenology</w:t>
      </w:r>
      <w:r w:rsidRPr="0042081B">
        <w:rPr>
          <w:rFonts w:ascii="Georgia" w:hAnsi="Georgia" w:hint="cs"/>
          <w:sz w:val="18"/>
          <w:szCs w:val="20"/>
          <w:rtl/>
        </w:rPr>
        <w:t>) ניתן היה לבחון כיצד מי שחוו את החוויה מסבירים ומבנים אותה לעצמם, ולעמוד על טיבה ומהותה עבורם מתוך יחידות המשמעות הקטנות היוצרות את החוויה של ביצוע ייפוי הכוח המתמשך (</w:t>
      </w:r>
      <w:r w:rsidRPr="0042081B">
        <w:rPr>
          <w:rFonts w:ascii="Georgia" w:hAnsi="Georgia"/>
          <w:sz w:val="18"/>
          <w:szCs w:val="20"/>
        </w:rPr>
        <w:t>Smith et al., 2011</w:t>
      </w:r>
      <w:r w:rsidRPr="0042081B">
        <w:rPr>
          <w:rFonts w:ascii="Georgia" w:hAnsi="Georgia" w:hint="cs"/>
          <w:sz w:val="18"/>
          <w:szCs w:val="20"/>
          <w:rtl/>
        </w:rPr>
        <w:t xml:space="preserve">). לצורך זה ניתן קול לאזרחים ותיקים שביצעו ייפוי כוח מתמשך, והבנת החוויה נעשתה מתוך התבוננות בתהליך הרפלקציה שלהם ביחס אליה. </w:t>
      </w:r>
    </w:p>
    <w:p w14:paraId="7F072153" w14:textId="77777777" w:rsidR="008B5BE0" w:rsidRPr="0042081B" w:rsidRDefault="008B5BE0" w:rsidP="0042081B">
      <w:pPr>
        <w:spacing w:after="180" w:line="280" w:lineRule="exact"/>
        <w:jc w:val="both"/>
        <w:rPr>
          <w:rFonts w:ascii="Georgia" w:hAnsi="Georgia"/>
          <w:sz w:val="18"/>
          <w:szCs w:val="20"/>
          <w:rtl/>
        </w:rPr>
      </w:pPr>
    </w:p>
    <w:p w14:paraId="2997906C" w14:textId="381AF980"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אוכלוסיית המחקר והמדגם</w:t>
      </w:r>
    </w:p>
    <w:p w14:paraId="368C3D5A" w14:textId="77777777" w:rsidR="0042081B" w:rsidRPr="0042081B" w:rsidRDefault="0042081B" w:rsidP="0042081B">
      <w:pPr>
        <w:spacing w:after="180" w:line="280" w:lineRule="exact"/>
        <w:jc w:val="both"/>
        <w:rPr>
          <w:rFonts w:ascii="Georgia" w:eastAsia="Calibri" w:hAnsi="Georgia"/>
          <w:sz w:val="18"/>
          <w:szCs w:val="20"/>
          <w:rtl/>
        </w:rPr>
      </w:pPr>
      <w:r w:rsidRPr="0042081B">
        <w:rPr>
          <w:rFonts w:ascii="Georgia" w:hAnsi="Georgia" w:hint="cs"/>
          <w:sz w:val="18"/>
          <w:szCs w:val="20"/>
          <w:rtl/>
        </w:rPr>
        <w:t xml:space="preserve">אוכלוסיית המחקר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אזרחים ותיקים שביצעו ייפוי כוח מתמשך מכוח החוק. איתור המשתתפים נעשה בשיטה של דגימה מכוונת </w:t>
      </w:r>
      <w:r w:rsidRPr="0042081B">
        <w:rPr>
          <w:rFonts w:ascii="Georgia" w:hAnsi="Georgia"/>
          <w:sz w:val="18"/>
          <w:szCs w:val="20"/>
          <w:rtl/>
        </w:rPr>
        <w:t>(</w:t>
      </w:r>
      <w:r w:rsidRPr="0042081B">
        <w:rPr>
          <w:rFonts w:ascii="Georgia" w:hAnsi="Georgia"/>
          <w:sz w:val="18"/>
          <w:szCs w:val="20"/>
        </w:rPr>
        <w:t>purposeful sample</w:t>
      </w:r>
      <w:r w:rsidRPr="0042081B">
        <w:rPr>
          <w:rFonts w:ascii="Georgia" w:hAnsi="Georgia"/>
          <w:sz w:val="18"/>
          <w:szCs w:val="20"/>
          <w:rtl/>
        </w:rPr>
        <w:t>)</w:t>
      </w:r>
      <w:r w:rsidRPr="0042081B">
        <w:rPr>
          <w:rFonts w:ascii="Georgia" w:hAnsi="Georgia" w:hint="cs"/>
          <w:sz w:val="18"/>
          <w:szCs w:val="20"/>
          <w:rtl/>
        </w:rPr>
        <w:t xml:space="preserve">, ובשיטת דגימה על פי קריטריון </w:t>
      </w:r>
      <w:r w:rsidRPr="0042081B">
        <w:rPr>
          <w:rFonts w:ascii="Georgia" w:hAnsi="Georgia"/>
          <w:sz w:val="18"/>
          <w:szCs w:val="20"/>
          <w:rtl/>
        </w:rPr>
        <w:t>(</w:t>
      </w:r>
      <w:r w:rsidRPr="0042081B">
        <w:rPr>
          <w:rFonts w:ascii="Georgia" w:hAnsi="Georgia"/>
          <w:sz w:val="18"/>
          <w:szCs w:val="20"/>
        </w:rPr>
        <w:t>criterion sampling</w:t>
      </w:r>
      <w:r w:rsidRPr="0042081B">
        <w:rPr>
          <w:rFonts w:ascii="Georgia" w:hAnsi="Georgia"/>
          <w:sz w:val="18"/>
          <w:szCs w:val="20"/>
          <w:rtl/>
        </w:rPr>
        <w:t>)</w:t>
      </w:r>
      <w:r w:rsidRPr="0042081B">
        <w:rPr>
          <w:rFonts w:ascii="Georgia" w:hAnsi="Georgia" w:hint="cs"/>
          <w:sz w:val="18"/>
          <w:szCs w:val="20"/>
          <w:rtl/>
        </w:rPr>
        <w:t xml:space="preserve">. תנאי הסף להשתתפות במחקר נועדו לוודא כי המשתתפים הם אכן מקורות ידע פוטנציאליים עשירים ומשמעותיים להבנת התופעה הנחקרת </w:t>
      </w:r>
      <w:r w:rsidRPr="0042081B">
        <w:rPr>
          <w:rFonts w:ascii="Georgia" w:hAnsi="Georgia"/>
          <w:sz w:val="18"/>
          <w:szCs w:val="20"/>
        </w:rPr>
        <w:fldChar w:fldCharType="begin"/>
      </w:r>
      <w:r w:rsidRPr="0042081B">
        <w:rPr>
          <w:rFonts w:ascii="Georgia" w:hAnsi="Georgia"/>
          <w:sz w:val="18"/>
          <w:szCs w:val="20"/>
        </w:rPr>
        <w:instrText>ADDIN RW.CITE{{234 Mason,J. 1996; 235 Patton, M. Q. 2002}}</w:instrText>
      </w:r>
      <w:r w:rsidRPr="0042081B">
        <w:rPr>
          <w:rFonts w:ascii="Georgia" w:hAnsi="Georgia"/>
          <w:sz w:val="18"/>
          <w:szCs w:val="20"/>
        </w:rPr>
        <w:fldChar w:fldCharType="separate"/>
      </w:r>
      <w:r w:rsidRPr="0042081B">
        <w:rPr>
          <w:rFonts w:ascii="Georgia" w:hAnsi="Georgia"/>
          <w:sz w:val="18"/>
          <w:szCs w:val="20"/>
          <w:rtl/>
        </w:rPr>
        <w:t>(</w:t>
      </w:r>
      <w:r w:rsidRPr="0042081B">
        <w:rPr>
          <w:rFonts w:ascii="Georgia" w:hAnsi="Georgia"/>
          <w:sz w:val="18"/>
          <w:szCs w:val="20"/>
        </w:rPr>
        <w:t>Mason, 1996; Patton, 1990</w:t>
      </w:r>
      <w:r w:rsidRPr="0042081B">
        <w:rPr>
          <w:rFonts w:ascii="Georgia" w:hAnsi="Georgia"/>
          <w:sz w:val="18"/>
          <w:szCs w:val="20"/>
          <w:rtl/>
        </w:rPr>
        <w:t>)</w:t>
      </w:r>
      <w:r w:rsidRPr="0042081B">
        <w:rPr>
          <w:rFonts w:ascii="Georgia" w:hAnsi="Georgia"/>
          <w:sz w:val="18"/>
          <w:szCs w:val="20"/>
        </w:rPr>
        <w:fldChar w:fldCharType="end"/>
      </w:r>
      <w:r w:rsidRPr="0042081B">
        <w:rPr>
          <w:rFonts w:ascii="Georgia" w:hAnsi="Georgia" w:hint="cs"/>
          <w:sz w:val="18"/>
          <w:szCs w:val="20"/>
          <w:rtl/>
        </w:rPr>
        <w:t xml:space="preserve">. בהתאם לכך, 16 משתתפי המחקר היו אזרחים ותיקים, </w:t>
      </w:r>
      <w:r w:rsidRPr="0042081B">
        <w:rPr>
          <w:rFonts w:ascii="Georgia" w:eastAsia="Calibri" w:hAnsi="Georgia" w:hint="cs"/>
          <w:sz w:val="18"/>
          <w:szCs w:val="20"/>
          <w:rtl/>
        </w:rPr>
        <w:t>דוברי עברית, שביצעו ייפוי כוח מתמשך מכוח החוק, לאחר מועד הפיכתם לאזרחים ותיקים. בהתאם לעקרון הרוויה התאורטית (</w:t>
      </w:r>
      <w:r w:rsidRPr="0042081B">
        <w:rPr>
          <w:rFonts w:ascii="Georgia" w:eastAsia="Calibri" w:hAnsi="Georgia"/>
          <w:sz w:val="18"/>
          <w:szCs w:val="20"/>
        </w:rPr>
        <w:t>theoretical saturation</w:t>
      </w:r>
      <w:r w:rsidRPr="0042081B">
        <w:rPr>
          <w:rFonts w:ascii="Georgia" w:eastAsia="Calibri" w:hAnsi="Georgia" w:hint="cs"/>
          <w:sz w:val="18"/>
          <w:szCs w:val="20"/>
          <w:rtl/>
        </w:rPr>
        <w:t>), החיפוש אחר משתתפים נוספים נפסק כאשר הראיונות הפסיקו לספק למחקר מידע מהותי חדש, המעשיר אותו (</w:t>
      </w:r>
      <w:r w:rsidRPr="0042081B">
        <w:rPr>
          <w:rFonts w:ascii="Georgia" w:eastAsia="Calibri" w:hAnsi="Georgia"/>
          <w:sz w:val="18"/>
          <w:szCs w:val="20"/>
        </w:rPr>
        <w:t>Glaser &amp; Strauss, 1967</w:t>
      </w:r>
      <w:r w:rsidRPr="0042081B">
        <w:rPr>
          <w:rFonts w:ascii="Georgia" w:eastAsia="Calibri" w:hAnsi="Georgia" w:hint="cs"/>
          <w:sz w:val="18"/>
          <w:szCs w:val="20"/>
          <w:rtl/>
        </w:rPr>
        <w:t>). בלוח 1 להלן מוצגים נתוני המרואיינים:</w:t>
      </w:r>
    </w:p>
    <w:p w14:paraId="3D1A6F6D" w14:textId="4F965AD9" w:rsidR="0042081B" w:rsidRPr="008B5BE0" w:rsidRDefault="008B5BE0" w:rsidP="008B5BE0">
      <w:pPr>
        <w:pStyle w:val="tab-name"/>
        <w:spacing w:before="300" w:line="260" w:lineRule="exact"/>
        <w:ind w:right="0"/>
        <w:rPr>
          <w:rFonts w:cs="Guttman Aharoni"/>
          <w:color w:val="BA2A16"/>
          <w:sz w:val="20"/>
          <w:szCs w:val="20"/>
          <w:rtl/>
        </w:rPr>
      </w:pPr>
      <w:r>
        <w:rPr>
          <w:rFonts w:cs="Guttman Aharoni"/>
          <w:color w:val="BA2A16"/>
          <w:sz w:val="20"/>
          <w:szCs w:val="20"/>
          <w:rtl/>
        </w:rPr>
        <w:br w:type="page"/>
      </w:r>
      <w:r w:rsidR="0042081B" w:rsidRPr="008B5BE0">
        <w:rPr>
          <w:rFonts w:cs="Guttman Aharoni" w:hint="cs"/>
          <w:color w:val="BA2A16"/>
          <w:sz w:val="20"/>
          <w:szCs w:val="20"/>
          <w:rtl/>
        </w:rPr>
        <w:lastRenderedPageBreak/>
        <w:t>לוח 1: משתתפי המחקר</w:t>
      </w:r>
    </w:p>
    <w:tbl>
      <w:tblPr>
        <w:bidiVisual/>
        <w:tblW w:w="0" w:type="auto"/>
        <w:tblBorders>
          <w:top w:val="single" w:sz="8" w:space="0" w:color="auto"/>
          <w:left w:val="single" w:sz="8" w:space="0" w:color="auto"/>
          <w:bottom w:val="single" w:sz="8" w:space="0" w:color="auto"/>
          <w:right w:val="single" w:sz="8" w:space="0" w:color="auto"/>
          <w:insideV w:val="single" w:sz="4" w:space="0" w:color="auto"/>
        </w:tblBorders>
        <w:tblCellMar>
          <w:left w:w="57" w:type="dxa"/>
          <w:right w:w="57" w:type="dxa"/>
        </w:tblCellMar>
        <w:tblLook w:val="04A0" w:firstRow="1" w:lastRow="0" w:firstColumn="1" w:lastColumn="0" w:noHBand="0" w:noVBand="1"/>
      </w:tblPr>
      <w:tblGrid>
        <w:gridCol w:w="341"/>
        <w:gridCol w:w="483"/>
        <w:gridCol w:w="319"/>
        <w:gridCol w:w="673"/>
        <w:gridCol w:w="672"/>
        <w:gridCol w:w="788"/>
        <w:gridCol w:w="508"/>
        <w:gridCol w:w="852"/>
        <w:gridCol w:w="1806"/>
      </w:tblGrid>
      <w:tr w:rsidR="00343299" w14:paraId="486A6B8E" w14:textId="77777777">
        <w:trPr>
          <w:tblHeader/>
        </w:trPr>
        <w:tc>
          <w:tcPr>
            <w:tcW w:w="0" w:type="auto"/>
            <w:tcBorders>
              <w:top w:val="single" w:sz="8" w:space="0" w:color="auto"/>
              <w:bottom w:val="single" w:sz="8" w:space="0" w:color="auto"/>
            </w:tcBorders>
            <w:shd w:val="clear" w:color="auto" w:fill="auto"/>
            <w:vAlign w:val="bottom"/>
          </w:tcPr>
          <w:p w14:paraId="3A31783F" w14:textId="77777777" w:rsidR="0042081B" w:rsidRDefault="0042081B">
            <w:pPr>
              <w:spacing w:before="40" w:after="40"/>
              <w:rPr>
                <w:rFonts w:ascii="Georgia" w:eastAsia="Calibri" w:hAnsi="Georgia"/>
                <w:b/>
                <w:bCs/>
                <w:sz w:val="16"/>
                <w:szCs w:val="18"/>
                <w:rtl/>
              </w:rPr>
            </w:pPr>
          </w:p>
        </w:tc>
        <w:tc>
          <w:tcPr>
            <w:tcW w:w="0" w:type="auto"/>
            <w:tcBorders>
              <w:top w:val="single" w:sz="8" w:space="0" w:color="auto"/>
              <w:bottom w:val="single" w:sz="8" w:space="0" w:color="auto"/>
            </w:tcBorders>
            <w:shd w:val="clear" w:color="auto" w:fill="auto"/>
            <w:vAlign w:val="bottom"/>
          </w:tcPr>
          <w:p w14:paraId="16DEE5F3"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מגדר</w:t>
            </w:r>
          </w:p>
        </w:tc>
        <w:tc>
          <w:tcPr>
            <w:tcW w:w="0" w:type="auto"/>
            <w:tcBorders>
              <w:top w:val="single" w:sz="8" w:space="0" w:color="auto"/>
              <w:bottom w:val="single" w:sz="8" w:space="0" w:color="auto"/>
            </w:tcBorders>
            <w:shd w:val="clear" w:color="auto" w:fill="auto"/>
            <w:vAlign w:val="bottom"/>
          </w:tcPr>
          <w:p w14:paraId="002865AF"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גיל</w:t>
            </w:r>
          </w:p>
        </w:tc>
        <w:tc>
          <w:tcPr>
            <w:tcW w:w="0" w:type="auto"/>
            <w:tcBorders>
              <w:top w:val="single" w:sz="8" w:space="0" w:color="auto"/>
              <w:bottom w:val="single" w:sz="8" w:space="0" w:color="auto"/>
            </w:tcBorders>
            <w:shd w:val="clear" w:color="auto" w:fill="auto"/>
            <w:vAlign w:val="bottom"/>
          </w:tcPr>
          <w:p w14:paraId="28D1AC37"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רמת הכנסה</w:t>
            </w:r>
          </w:p>
        </w:tc>
        <w:tc>
          <w:tcPr>
            <w:tcW w:w="0" w:type="auto"/>
            <w:tcBorders>
              <w:top w:val="single" w:sz="8" w:space="0" w:color="auto"/>
              <w:bottom w:val="single" w:sz="8" w:space="0" w:color="auto"/>
            </w:tcBorders>
            <w:shd w:val="clear" w:color="auto" w:fill="auto"/>
            <w:vAlign w:val="bottom"/>
          </w:tcPr>
          <w:p w14:paraId="0EC871F5"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השכלה</w:t>
            </w:r>
          </w:p>
        </w:tc>
        <w:tc>
          <w:tcPr>
            <w:tcW w:w="0" w:type="auto"/>
            <w:tcBorders>
              <w:top w:val="single" w:sz="8" w:space="0" w:color="auto"/>
              <w:bottom w:val="single" w:sz="8" w:space="0" w:color="auto"/>
            </w:tcBorders>
            <w:shd w:val="clear" w:color="auto" w:fill="auto"/>
            <w:vAlign w:val="bottom"/>
          </w:tcPr>
          <w:p w14:paraId="3AC879CE"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מצב משפחתי</w:t>
            </w:r>
          </w:p>
        </w:tc>
        <w:tc>
          <w:tcPr>
            <w:tcW w:w="0" w:type="auto"/>
            <w:tcBorders>
              <w:top w:val="single" w:sz="8" w:space="0" w:color="auto"/>
              <w:bottom w:val="single" w:sz="8" w:space="0" w:color="auto"/>
            </w:tcBorders>
            <w:shd w:val="clear" w:color="auto" w:fill="auto"/>
            <w:vAlign w:val="bottom"/>
          </w:tcPr>
          <w:p w14:paraId="37F59759"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ילדים</w:t>
            </w:r>
          </w:p>
        </w:tc>
        <w:tc>
          <w:tcPr>
            <w:tcW w:w="0" w:type="auto"/>
            <w:tcBorders>
              <w:top w:val="single" w:sz="8" w:space="0" w:color="auto"/>
              <w:bottom w:val="single" w:sz="8" w:space="0" w:color="auto"/>
            </w:tcBorders>
            <w:shd w:val="clear" w:color="auto" w:fill="auto"/>
            <w:vAlign w:val="bottom"/>
          </w:tcPr>
          <w:p w14:paraId="63BBFE0F"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מספר מיופי הכוח שמונו</w:t>
            </w:r>
          </w:p>
        </w:tc>
        <w:tc>
          <w:tcPr>
            <w:tcW w:w="0" w:type="auto"/>
            <w:tcBorders>
              <w:top w:val="single" w:sz="8" w:space="0" w:color="auto"/>
              <w:bottom w:val="single" w:sz="8" w:space="0" w:color="auto"/>
            </w:tcBorders>
            <w:shd w:val="clear" w:color="auto" w:fill="auto"/>
            <w:vAlign w:val="bottom"/>
          </w:tcPr>
          <w:p w14:paraId="3E0E5F4A" w14:textId="77777777" w:rsidR="0042081B" w:rsidRDefault="0042081B">
            <w:pPr>
              <w:spacing w:before="40" w:after="40"/>
              <w:rPr>
                <w:rFonts w:ascii="Georgia" w:eastAsia="Calibri" w:hAnsi="Georgia"/>
                <w:b/>
                <w:bCs/>
                <w:sz w:val="16"/>
                <w:szCs w:val="18"/>
                <w:rtl/>
              </w:rPr>
            </w:pPr>
            <w:r>
              <w:rPr>
                <w:rFonts w:ascii="Georgia" w:eastAsia="Calibri" w:hAnsi="Georgia" w:hint="cs"/>
                <w:b/>
                <w:bCs/>
                <w:sz w:val="16"/>
                <w:szCs w:val="18"/>
                <w:rtl/>
              </w:rPr>
              <w:t>מעגלי התמיכה שאליהם משתייכים מיופי הכוח</w:t>
            </w:r>
          </w:p>
        </w:tc>
      </w:tr>
      <w:tr w:rsidR="00343299" w14:paraId="66C14E90" w14:textId="77777777">
        <w:tc>
          <w:tcPr>
            <w:tcW w:w="0" w:type="auto"/>
            <w:tcBorders>
              <w:top w:val="single" w:sz="8" w:space="0" w:color="auto"/>
            </w:tcBorders>
            <w:shd w:val="clear" w:color="auto" w:fill="auto"/>
          </w:tcPr>
          <w:p w14:paraId="35ACFFF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tcBorders>
              <w:top w:val="single" w:sz="8" w:space="0" w:color="auto"/>
            </w:tcBorders>
            <w:shd w:val="clear" w:color="auto" w:fill="auto"/>
          </w:tcPr>
          <w:p w14:paraId="48E4E80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tcBorders>
              <w:top w:val="single" w:sz="8" w:space="0" w:color="auto"/>
            </w:tcBorders>
            <w:shd w:val="clear" w:color="auto" w:fill="auto"/>
          </w:tcPr>
          <w:p w14:paraId="10A6E01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81</w:t>
            </w:r>
          </w:p>
        </w:tc>
        <w:tc>
          <w:tcPr>
            <w:tcW w:w="0" w:type="auto"/>
            <w:tcBorders>
              <w:top w:val="single" w:sz="8" w:space="0" w:color="auto"/>
            </w:tcBorders>
            <w:shd w:val="clear" w:color="auto" w:fill="auto"/>
          </w:tcPr>
          <w:p w14:paraId="6CF0848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tcBorders>
              <w:top w:val="single" w:sz="8" w:space="0" w:color="auto"/>
            </w:tcBorders>
            <w:shd w:val="clear" w:color="auto" w:fill="auto"/>
          </w:tcPr>
          <w:p w14:paraId="6218767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אחר</w:t>
            </w:r>
          </w:p>
        </w:tc>
        <w:tc>
          <w:tcPr>
            <w:tcW w:w="0" w:type="auto"/>
            <w:tcBorders>
              <w:top w:val="single" w:sz="8" w:space="0" w:color="auto"/>
            </w:tcBorders>
            <w:shd w:val="clear" w:color="auto" w:fill="auto"/>
          </w:tcPr>
          <w:p w14:paraId="5F85D4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אלמן </w:t>
            </w:r>
          </w:p>
        </w:tc>
        <w:tc>
          <w:tcPr>
            <w:tcW w:w="0" w:type="auto"/>
            <w:tcBorders>
              <w:top w:val="single" w:sz="8" w:space="0" w:color="auto"/>
            </w:tcBorders>
            <w:shd w:val="clear" w:color="auto" w:fill="auto"/>
          </w:tcPr>
          <w:p w14:paraId="2C3801D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tcBorders>
              <w:top w:val="single" w:sz="8" w:space="0" w:color="auto"/>
            </w:tcBorders>
            <w:shd w:val="clear" w:color="auto" w:fill="auto"/>
          </w:tcPr>
          <w:p w14:paraId="7BAB35B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tcBorders>
              <w:top w:val="single" w:sz="8" w:space="0" w:color="auto"/>
            </w:tcBorders>
            <w:shd w:val="clear" w:color="auto" w:fill="auto"/>
          </w:tcPr>
          <w:p w14:paraId="7237EE6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7E074624" w14:textId="77777777">
        <w:tc>
          <w:tcPr>
            <w:tcW w:w="0" w:type="auto"/>
            <w:shd w:val="clear" w:color="auto" w:fill="auto"/>
          </w:tcPr>
          <w:p w14:paraId="20EFDB3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2CBA360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7EB6C0D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74</w:t>
            </w:r>
          </w:p>
        </w:tc>
        <w:tc>
          <w:tcPr>
            <w:tcW w:w="0" w:type="auto"/>
            <w:shd w:val="clear" w:color="auto" w:fill="auto"/>
          </w:tcPr>
          <w:p w14:paraId="441006D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נמוכה</w:t>
            </w:r>
          </w:p>
        </w:tc>
        <w:tc>
          <w:tcPr>
            <w:tcW w:w="0" w:type="auto"/>
            <w:shd w:val="clear" w:color="auto" w:fill="auto"/>
          </w:tcPr>
          <w:p w14:paraId="35E2413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43EBB04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נשוי</w:t>
            </w:r>
          </w:p>
        </w:tc>
        <w:tc>
          <w:tcPr>
            <w:tcW w:w="0" w:type="auto"/>
            <w:shd w:val="clear" w:color="auto" w:fill="auto"/>
          </w:tcPr>
          <w:p w14:paraId="43D70F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7F59E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A982A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 + חבר</w:t>
            </w:r>
          </w:p>
        </w:tc>
      </w:tr>
      <w:tr w:rsidR="00343299" w14:paraId="4A58CEED" w14:textId="77777777">
        <w:tc>
          <w:tcPr>
            <w:tcW w:w="0" w:type="auto"/>
            <w:shd w:val="clear" w:color="auto" w:fill="auto"/>
          </w:tcPr>
          <w:p w14:paraId="781AD9B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391F77C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07430AF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3207D7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71D7D84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009210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7E83D1F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221B948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71CE3B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9907BEA" w14:textId="77777777">
        <w:tc>
          <w:tcPr>
            <w:tcW w:w="0" w:type="auto"/>
            <w:shd w:val="clear" w:color="auto" w:fill="auto"/>
          </w:tcPr>
          <w:p w14:paraId="4C07461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4. </w:t>
            </w:r>
          </w:p>
        </w:tc>
        <w:tc>
          <w:tcPr>
            <w:tcW w:w="0" w:type="auto"/>
            <w:shd w:val="clear" w:color="auto" w:fill="auto"/>
          </w:tcPr>
          <w:p w14:paraId="4E17F09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07749DD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1FD8905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5226DCE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37F689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0807C01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2C5FF77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78A6296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4D44D97F" w14:textId="77777777">
        <w:tc>
          <w:tcPr>
            <w:tcW w:w="0" w:type="auto"/>
            <w:shd w:val="clear" w:color="auto" w:fill="auto"/>
          </w:tcPr>
          <w:p w14:paraId="56EE8B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5. </w:t>
            </w:r>
          </w:p>
        </w:tc>
        <w:tc>
          <w:tcPr>
            <w:tcW w:w="0" w:type="auto"/>
            <w:shd w:val="clear" w:color="auto" w:fill="auto"/>
          </w:tcPr>
          <w:p w14:paraId="187483D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48F1C9C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75</w:t>
            </w:r>
          </w:p>
        </w:tc>
        <w:tc>
          <w:tcPr>
            <w:tcW w:w="0" w:type="auto"/>
            <w:shd w:val="clear" w:color="auto" w:fill="auto"/>
          </w:tcPr>
          <w:p w14:paraId="7ED7DEB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3A880E7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10A09C9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7CA3214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9402F8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4E6D2C2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7763D35" w14:textId="77777777">
        <w:tc>
          <w:tcPr>
            <w:tcW w:w="0" w:type="auto"/>
            <w:shd w:val="clear" w:color="auto" w:fill="auto"/>
          </w:tcPr>
          <w:p w14:paraId="6558AF7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6. </w:t>
            </w:r>
          </w:p>
        </w:tc>
        <w:tc>
          <w:tcPr>
            <w:tcW w:w="0" w:type="auto"/>
            <w:shd w:val="clear" w:color="auto" w:fill="auto"/>
          </w:tcPr>
          <w:p w14:paraId="1650F36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3A976C1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88</w:t>
            </w:r>
          </w:p>
        </w:tc>
        <w:tc>
          <w:tcPr>
            <w:tcW w:w="0" w:type="auto"/>
            <w:shd w:val="clear" w:color="auto" w:fill="auto"/>
          </w:tcPr>
          <w:p w14:paraId="5E1ACA3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44CC25E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אחר</w:t>
            </w:r>
          </w:p>
        </w:tc>
        <w:tc>
          <w:tcPr>
            <w:tcW w:w="0" w:type="auto"/>
            <w:shd w:val="clear" w:color="auto" w:fill="auto"/>
          </w:tcPr>
          <w:p w14:paraId="66D6CFC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59EEF73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3F8EC99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63D903D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12D8A172" w14:textId="77777777">
        <w:tc>
          <w:tcPr>
            <w:tcW w:w="0" w:type="auto"/>
            <w:shd w:val="clear" w:color="auto" w:fill="auto"/>
          </w:tcPr>
          <w:p w14:paraId="2E16E0C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7. </w:t>
            </w:r>
          </w:p>
        </w:tc>
        <w:tc>
          <w:tcPr>
            <w:tcW w:w="0" w:type="auto"/>
            <w:shd w:val="clear" w:color="auto" w:fill="auto"/>
          </w:tcPr>
          <w:p w14:paraId="3EB96F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6B0133E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86 </w:t>
            </w:r>
          </w:p>
        </w:tc>
        <w:tc>
          <w:tcPr>
            <w:tcW w:w="0" w:type="auto"/>
            <w:shd w:val="clear" w:color="auto" w:fill="auto"/>
          </w:tcPr>
          <w:p w14:paraId="2831EBC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E2E313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D23E11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147F8A8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7BF1F5B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1</w:t>
            </w:r>
          </w:p>
        </w:tc>
        <w:tc>
          <w:tcPr>
            <w:tcW w:w="0" w:type="auto"/>
            <w:shd w:val="clear" w:color="auto" w:fill="auto"/>
          </w:tcPr>
          <w:p w14:paraId="0C6B7E4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0CDBF9D8" w14:textId="77777777">
        <w:tc>
          <w:tcPr>
            <w:tcW w:w="0" w:type="auto"/>
            <w:shd w:val="clear" w:color="auto" w:fill="auto"/>
          </w:tcPr>
          <w:p w14:paraId="1BB64D9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8. </w:t>
            </w:r>
          </w:p>
        </w:tc>
        <w:tc>
          <w:tcPr>
            <w:tcW w:w="0" w:type="auto"/>
            <w:shd w:val="clear" w:color="auto" w:fill="auto"/>
          </w:tcPr>
          <w:p w14:paraId="3BCC202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20FB5B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65F6FDF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4F78C0D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68B047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נשואה </w:t>
            </w:r>
          </w:p>
        </w:tc>
        <w:tc>
          <w:tcPr>
            <w:tcW w:w="0" w:type="auto"/>
            <w:shd w:val="clear" w:color="auto" w:fill="auto"/>
          </w:tcPr>
          <w:p w14:paraId="7E366B6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8C3D8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5C498E1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4AB802C4" w14:textId="77777777">
        <w:tc>
          <w:tcPr>
            <w:tcW w:w="0" w:type="auto"/>
            <w:shd w:val="clear" w:color="auto" w:fill="auto"/>
          </w:tcPr>
          <w:p w14:paraId="6E0C9AD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9. </w:t>
            </w:r>
          </w:p>
        </w:tc>
        <w:tc>
          <w:tcPr>
            <w:tcW w:w="0" w:type="auto"/>
            <w:shd w:val="clear" w:color="auto" w:fill="auto"/>
          </w:tcPr>
          <w:p w14:paraId="749E612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7B0331C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72</w:t>
            </w:r>
          </w:p>
        </w:tc>
        <w:tc>
          <w:tcPr>
            <w:tcW w:w="0" w:type="auto"/>
            <w:shd w:val="clear" w:color="auto" w:fill="auto"/>
          </w:tcPr>
          <w:p w14:paraId="449A445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6D3C805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451569E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618D39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1D8821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6A0486E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r w:rsidR="00343299" w14:paraId="651FA56F" w14:textId="77777777">
        <w:tc>
          <w:tcPr>
            <w:tcW w:w="0" w:type="auto"/>
            <w:shd w:val="clear" w:color="auto" w:fill="auto"/>
          </w:tcPr>
          <w:p w14:paraId="104F08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10. </w:t>
            </w:r>
          </w:p>
        </w:tc>
        <w:tc>
          <w:tcPr>
            <w:tcW w:w="0" w:type="auto"/>
            <w:shd w:val="clear" w:color="auto" w:fill="auto"/>
          </w:tcPr>
          <w:p w14:paraId="4307B98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1A66362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71</w:t>
            </w:r>
          </w:p>
        </w:tc>
        <w:tc>
          <w:tcPr>
            <w:tcW w:w="0" w:type="auto"/>
            <w:shd w:val="clear" w:color="auto" w:fill="auto"/>
          </w:tcPr>
          <w:p w14:paraId="5E377D0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1C39A9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180E0C5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גרושה </w:t>
            </w:r>
          </w:p>
        </w:tc>
        <w:tc>
          <w:tcPr>
            <w:tcW w:w="0" w:type="auto"/>
            <w:shd w:val="clear" w:color="auto" w:fill="auto"/>
          </w:tcPr>
          <w:p w14:paraId="6DFC20A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7C7D5F3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70BB866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(אח/</w:t>
            </w:r>
            <w:proofErr w:type="spellStart"/>
            <w:r>
              <w:rPr>
                <w:rFonts w:ascii="Georgia" w:eastAsia="Calibri" w:hAnsi="Georgia" w:hint="cs"/>
                <w:sz w:val="16"/>
                <w:szCs w:val="18"/>
                <w:rtl/>
              </w:rPr>
              <w:t>ות</w:t>
            </w:r>
            <w:proofErr w:type="spellEnd"/>
            <w:r>
              <w:rPr>
                <w:rFonts w:ascii="Georgia" w:eastAsia="Calibri" w:hAnsi="Georgia" w:hint="cs"/>
                <w:sz w:val="16"/>
                <w:szCs w:val="18"/>
                <w:rtl/>
              </w:rPr>
              <w:t>) + קרובי משפחה שאינם מקרבה ראשונה</w:t>
            </w:r>
          </w:p>
        </w:tc>
      </w:tr>
      <w:tr w:rsidR="00343299" w14:paraId="10481222" w14:textId="77777777">
        <w:tc>
          <w:tcPr>
            <w:tcW w:w="0" w:type="auto"/>
            <w:shd w:val="clear" w:color="auto" w:fill="auto"/>
          </w:tcPr>
          <w:p w14:paraId="0A1A7DF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11. </w:t>
            </w:r>
          </w:p>
        </w:tc>
        <w:tc>
          <w:tcPr>
            <w:tcW w:w="0" w:type="auto"/>
            <w:shd w:val="clear" w:color="auto" w:fill="auto"/>
          </w:tcPr>
          <w:p w14:paraId="355E98F6"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091EEC5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67</w:t>
            </w:r>
          </w:p>
        </w:tc>
        <w:tc>
          <w:tcPr>
            <w:tcW w:w="0" w:type="auto"/>
            <w:shd w:val="clear" w:color="auto" w:fill="auto"/>
          </w:tcPr>
          <w:p w14:paraId="025E5AD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78CFC6A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560467E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02140B0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5</w:t>
            </w:r>
          </w:p>
        </w:tc>
        <w:tc>
          <w:tcPr>
            <w:tcW w:w="0" w:type="auto"/>
            <w:shd w:val="clear" w:color="auto" w:fill="auto"/>
          </w:tcPr>
          <w:p w14:paraId="55F7BEC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1C5F54E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 + קרוב משפחה שאיננו מקרבה ראשונה</w:t>
            </w:r>
          </w:p>
        </w:tc>
      </w:tr>
      <w:tr w:rsidR="00343299" w14:paraId="59F7DE9C" w14:textId="77777777">
        <w:tc>
          <w:tcPr>
            <w:tcW w:w="0" w:type="auto"/>
            <w:shd w:val="clear" w:color="auto" w:fill="auto"/>
          </w:tcPr>
          <w:p w14:paraId="37EC666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12. </w:t>
            </w:r>
          </w:p>
        </w:tc>
        <w:tc>
          <w:tcPr>
            <w:tcW w:w="0" w:type="auto"/>
            <w:shd w:val="clear" w:color="auto" w:fill="auto"/>
          </w:tcPr>
          <w:p w14:paraId="0320BB1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אישה </w:t>
            </w:r>
          </w:p>
        </w:tc>
        <w:tc>
          <w:tcPr>
            <w:tcW w:w="0" w:type="auto"/>
            <w:shd w:val="clear" w:color="auto" w:fill="auto"/>
          </w:tcPr>
          <w:p w14:paraId="19B6DE2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70</w:t>
            </w:r>
          </w:p>
        </w:tc>
        <w:tc>
          <w:tcPr>
            <w:tcW w:w="0" w:type="auto"/>
            <w:shd w:val="clear" w:color="auto" w:fill="auto"/>
          </w:tcPr>
          <w:p w14:paraId="1775C58F"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נמוכה</w:t>
            </w:r>
          </w:p>
        </w:tc>
        <w:tc>
          <w:tcPr>
            <w:tcW w:w="0" w:type="auto"/>
            <w:shd w:val="clear" w:color="auto" w:fill="auto"/>
          </w:tcPr>
          <w:p w14:paraId="1C28B05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600154E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2E22888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אין</w:t>
            </w:r>
          </w:p>
        </w:tc>
        <w:tc>
          <w:tcPr>
            <w:tcW w:w="0" w:type="auto"/>
            <w:shd w:val="clear" w:color="auto" w:fill="auto"/>
          </w:tcPr>
          <w:p w14:paraId="7DDC1A0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3 </w:t>
            </w:r>
          </w:p>
        </w:tc>
        <w:tc>
          <w:tcPr>
            <w:tcW w:w="0" w:type="auto"/>
            <w:shd w:val="clear" w:color="auto" w:fill="auto"/>
          </w:tcPr>
          <w:p w14:paraId="7FE0465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(בן זוג) + חברות</w:t>
            </w:r>
          </w:p>
        </w:tc>
      </w:tr>
      <w:tr w:rsidR="00343299" w14:paraId="0AC4A3F5" w14:textId="77777777">
        <w:tc>
          <w:tcPr>
            <w:tcW w:w="0" w:type="auto"/>
            <w:shd w:val="clear" w:color="auto" w:fill="auto"/>
          </w:tcPr>
          <w:p w14:paraId="1523E08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13. </w:t>
            </w:r>
          </w:p>
        </w:tc>
        <w:tc>
          <w:tcPr>
            <w:tcW w:w="0" w:type="auto"/>
            <w:shd w:val="clear" w:color="auto" w:fill="auto"/>
          </w:tcPr>
          <w:p w14:paraId="1C68D34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7C7D8AB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75</w:t>
            </w:r>
          </w:p>
        </w:tc>
        <w:tc>
          <w:tcPr>
            <w:tcW w:w="0" w:type="auto"/>
            <w:shd w:val="clear" w:color="auto" w:fill="auto"/>
          </w:tcPr>
          <w:p w14:paraId="773FF628"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בינונית</w:t>
            </w:r>
          </w:p>
        </w:tc>
        <w:tc>
          <w:tcPr>
            <w:tcW w:w="0" w:type="auto"/>
            <w:shd w:val="clear" w:color="auto" w:fill="auto"/>
          </w:tcPr>
          <w:p w14:paraId="6BD34EA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תיכונית</w:t>
            </w:r>
          </w:p>
        </w:tc>
        <w:tc>
          <w:tcPr>
            <w:tcW w:w="0" w:type="auto"/>
            <w:shd w:val="clear" w:color="auto" w:fill="auto"/>
          </w:tcPr>
          <w:p w14:paraId="247D025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נשואה</w:t>
            </w:r>
          </w:p>
        </w:tc>
        <w:tc>
          <w:tcPr>
            <w:tcW w:w="0" w:type="auto"/>
            <w:shd w:val="clear" w:color="auto" w:fill="auto"/>
          </w:tcPr>
          <w:p w14:paraId="6AD044F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52F34EEA"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4</w:t>
            </w:r>
          </w:p>
        </w:tc>
        <w:tc>
          <w:tcPr>
            <w:tcW w:w="0" w:type="auto"/>
            <w:shd w:val="clear" w:color="auto" w:fill="auto"/>
          </w:tcPr>
          <w:p w14:paraId="5B27390E"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(בן זוג + ילדים)</w:t>
            </w:r>
          </w:p>
        </w:tc>
      </w:tr>
      <w:tr w:rsidR="00343299" w14:paraId="74C8B4B7" w14:textId="77777777">
        <w:tc>
          <w:tcPr>
            <w:tcW w:w="0" w:type="auto"/>
            <w:shd w:val="clear" w:color="auto" w:fill="auto"/>
          </w:tcPr>
          <w:p w14:paraId="34D2A7A0"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 xml:space="preserve">14. </w:t>
            </w:r>
          </w:p>
        </w:tc>
        <w:tc>
          <w:tcPr>
            <w:tcW w:w="0" w:type="auto"/>
            <w:shd w:val="clear" w:color="auto" w:fill="auto"/>
          </w:tcPr>
          <w:p w14:paraId="107572C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04C0107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73</w:t>
            </w:r>
          </w:p>
        </w:tc>
        <w:tc>
          <w:tcPr>
            <w:tcW w:w="0" w:type="auto"/>
            <w:shd w:val="clear" w:color="auto" w:fill="auto"/>
          </w:tcPr>
          <w:p w14:paraId="57452BA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13A79D6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204D36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נשוי </w:t>
            </w:r>
          </w:p>
        </w:tc>
        <w:tc>
          <w:tcPr>
            <w:tcW w:w="0" w:type="auto"/>
            <w:shd w:val="clear" w:color="auto" w:fill="auto"/>
          </w:tcPr>
          <w:p w14:paraId="4D2549E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5</w:t>
            </w:r>
          </w:p>
        </w:tc>
        <w:tc>
          <w:tcPr>
            <w:tcW w:w="0" w:type="auto"/>
            <w:shd w:val="clear" w:color="auto" w:fill="auto"/>
          </w:tcPr>
          <w:p w14:paraId="2A91C531"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3546B63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(בת זוג + ילדים)</w:t>
            </w:r>
          </w:p>
        </w:tc>
      </w:tr>
      <w:tr w:rsidR="00343299" w14:paraId="72425FF7" w14:textId="77777777">
        <w:tc>
          <w:tcPr>
            <w:tcW w:w="0" w:type="auto"/>
            <w:shd w:val="clear" w:color="auto" w:fill="auto"/>
          </w:tcPr>
          <w:p w14:paraId="52C9C9CA"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 xml:space="preserve">15. </w:t>
            </w:r>
          </w:p>
        </w:tc>
        <w:tc>
          <w:tcPr>
            <w:tcW w:w="0" w:type="auto"/>
            <w:shd w:val="clear" w:color="auto" w:fill="auto"/>
          </w:tcPr>
          <w:p w14:paraId="224F273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גבר</w:t>
            </w:r>
          </w:p>
        </w:tc>
        <w:tc>
          <w:tcPr>
            <w:tcW w:w="0" w:type="auto"/>
            <w:shd w:val="clear" w:color="auto" w:fill="auto"/>
          </w:tcPr>
          <w:p w14:paraId="51A06B3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71</w:t>
            </w:r>
          </w:p>
        </w:tc>
        <w:tc>
          <w:tcPr>
            <w:tcW w:w="0" w:type="auto"/>
            <w:shd w:val="clear" w:color="auto" w:fill="auto"/>
          </w:tcPr>
          <w:p w14:paraId="123D9E4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60ED00D3"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7F4576F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נשוי</w:t>
            </w:r>
          </w:p>
        </w:tc>
        <w:tc>
          <w:tcPr>
            <w:tcW w:w="0" w:type="auto"/>
            <w:shd w:val="clear" w:color="auto" w:fill="auto"/>
          </w:tcPr>
          <w:p w14:paraId="26F2CE09"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3</w:t>
            </w:r>
          </w:p>
        </w:tc>
        <w:tc>
          <w:tcPr>
            <w:tcW w:w="0" w:type="auto"/>
            <w:shd w:val="clear" w:color="auto" w:fill="auto"/>
          </w:tcPr>
          <w:p w14:paraId="4BD6E82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0E9481C0"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(בת זוג + ילדים)</w:t>
            </w:r>
          </w:p>
        </w:tc>
      </w:tr>
      <w:tr w:rsidR="00343299" w14:paraId="085956A8" w14:textId="77777777">
        <w:tc>
          <w:tcPr>
            <w:tcW w:w="0" w:type="auto"/>
            <w:shd w:val="clear" w:color="auto" w:fill="auto"/>
          </w:tcPr>
          <w:p w14:paraId="77686FED" w14:textId="77777777" w:rsidR="0042081B" w:rsidRDefault="0042081B">
            <w:pPr>
              <w:spacing w:before="40" w:after="40"/>
              <w:rPr>
                <w:rFonts w:ascii="Georgia" w:eastAsia="Calibri" w:hAnsi="Georgia"/>
                <w:sz w:val="18"/>
                <w:szCs w:val="20"/>
                <w:rtl/>
              </w:rPr>
            </w:pPr>
            <w:r>
              <w:rPr>
                <w:rFonts w:ascii="Georgia" w:eastAsia="Calibri" w:hAnsi="Georgia" w:hint="cs"/>
                <w:sz w:val="18"/>
                <w:szCs w:val="20"/>
                <w:rtl/>
              </w:rPr>
              <w:t>16</w:t>
            </w:r>
          </w:p>
        </w:tc>
        <w:tc>
          <w:tcPr>
            <w:tcW w:w="0" w:type="auto"/>
            <w:shd w:val="clear" w:color="auto" w:fill="auto"/>
          </w:tcPr>
          <w:p w14:paraId="7C9AD832"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אישה</w:t>
            </w:r>
          </w:p>
        </w:tc>
        <w:tc>
          <w:tcPr>
            <w:tcW w:w="0" w:type="auto"/>
            <w:shd w:val="clear" w:color="auto" w:fill="auto"/>
          </w:tcPr>
          <w:p w14:paraId="5B64F52B"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79</w:t>
            </w:r>
          </w:p>
        </w:tc>
        <w:tc>
          <w:tcPr>
            <w:tcW w:w="0" w:type="auto"/>
            <w:shd w:val="clear" w:color="auto" w:fill="auto"/>
          </w:tcPr>
          <w:p w14:paraId="4B1E47F7"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גבוהה</w:t>
            </w:r>
          </w:p>
        </w:tc>
        <w:tc>
          <w:tcPr>
            <w:tcW w:w="0" w:type="auto"/>
            <w:shd w:val="clear" w:color="auto" w:fill="auto"/>
          </w:tcPr>
          <w:p w14:paraId="63BBA44C"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אקדמית</w:t>
            </w:r>
          </w:p>
        </w:tc>
        <w:tc>
          <w:tcPr>
            <w:tcW w:w="0" w:type="auto"/>
            <w:shd w:val="clear" w:color="auto" w:fill="auto"/>
          </w:tcPr>
          <w:p w14:paraId="309AE215"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אלמנה</w:t>
            </w:r>
          </w:p>
        </w:tc>
        <w:tc>
          <w:tcPr>
            <w:tcW w:w="0" w:type="auto"/>
            <w:shd w:val="clear" w:color="auto" w:fill="auto"/>
          </w:tcPr>
          <w:p w14:paraId="40E01DB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 xml:space="preserve">2 </w:t>
            </w:r>
          </w:p>
        </w:tc>
        <w:tc>
          <w:tcPr>
            <w:tcW w:w="0" w:type="auto"/>
            <w:shd w:val="clear" w:color="auto" w:fill="auto"/>
          </w:tcPr>
          <w:p w14:paraId="70E1BAE4"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2</w:t>
            </w:r>
          </w:p>
        </w:tc>
        <w:tc>
          <w:tcPr>
            <w:tcW w:w="0" w:type="auto"/>
            <w:shd w:val="clear" w:color="auto" w:fill="auto"/>
          </w:tcPr>
          <w:p w14:paraId="1ECBB7DD" w14:textId="77777777" w:rsidR="0042081B" w:rsidRDefault="0042081B">
            <w:pPr>
              <w:spacing w:before="40" w:after="40"/>
              <w:rPr>
                <w:rFonts w:ascii="Georgia" w:eastAsia="Calibri" w:hAnsi="Georgia"/>
                <w:sz w:val="16"/>
                <w:szCs w:val="18"/>
                <w:rtl/>
              </w:rPr>
            </w:pPr>
            <w:r>
              <w:rPr>
                <w:rFonts w:ascii="Georgia" w:eastAsia="Calibri" w:hAnsi="Georgia" w:hint="cs"/>
                <w:sz w:val="16"/>
                <w:szCs w:val="18"/>
                <w:rtl/>
              </w:rPr>
              <w:t>קרבה ראשונה (ילדים)</w:t>
            </w:r>
          </w:p>
        </w:tc>
      </w:tr>
    </w:tbl>
    <w:p w14:paraId="665E1570" w14:textId="77777777" w:rsidR="0042081B" w:rsidRPr="0042081B" w:rsidRDefault="0042081B" w:rsidP="008B5BE0">
      <w:pPr>
        <w:spacing w:before="120" w:after="180" w:line="280" w:lineRule="exact"/>
        <w:jc w:val="both"/>
        <w:rPr>
          <w:rFonts w:ascii="Georgia" w:eastAsia="Calibri" w:hAnsi="Georgia"/>
          <w:sz w:val="18"/>
          <w:szCs w:val="20"/>
          <w:rtl/>
        </w:rPr>
      </w:pPr>
    </w:p>
    <w:p w14:paraId="4269628C" w14:textId="7DE26AAE"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כלי המחקר</w:t>
      </w:r>
    </w:p>
    <w:p w14:paraId="5FF66E2C"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כלי המחקר היה ראיונות עומק מובנים למחצה, מכווני נושא, אשר אפשרו למרואיינים לספק תיאור עשיר ומפורט ככל האפשר של החוויה שלהם, שממנו ניתן יהיה להבין את המשמעות </w:t>
      </w:r>
      <w:r w:rsidRPr="0042081B">
        <w:rPr>
          <w:rFonts w:ascii="Georgia" w:hAnsi="Georgia" w:hint="cs"/>
          <w:sz w:val="18"/>
          <w:szCs w:val="20"/>
          <w:rtl/>
        </w:rPr>
        <w:lastRenderedPageBreak/>
        <w:t xml:space="preserve">שהם מעניקים לחוויה באופן האותנטי והמלא ביותר (שקדי, 2003; </w:t>
      </w:r>
      <w:r w:rsidRPr="0042081B">
        <w:rPr>
          <w:rFonts w:ascii="Georgia" w:hAnsi="Georgia"/>
          <w:sz w:val="18"/>
          <w:szCs w:val="20"/>
        </w:rPr>
        <w:t>Becker, 1992</w:t>
      </w:r>
      <w:r w:rsidRPr="0042081B">
        <w:rPr>
          <w:rFonts w:ascii="Georgia" w:hAnsi="Georgia" w:hint="cs"/>
          <w:sz w:val="18"/>
          <w:szCs w:val="20"/>
          <w:rtl/>
        </w:rPr>
        <w:t>). מדריך הריאיו</w:t>
      </w:r>
      <w:r w:rsidRPr="0042081B">
        <w:rPr>
          <w:rFonts w:ascii="Georgia" w:hAnsi="Georgia" w:hint="eastAsia"/>
          <w:sz w:val="18"/>
          <w:szCs w:val="20"/>
          <w:rtl/>
        </w:rPr>
        <w:t>ן</w:t>
      </w:r>
      <w:r w:rsidRPr="0042081B">
        <w:rPr>
          <w:rFonts w:ascii="Georgia" w:hAnsi="Georgia" w:hint="cs"/>
          <w:sz w:val="18"/>
          <w:szCs w:val="20"/>
          <w:rtl/>
        </w:rPr>
        <w:t xml:space="preserve"> הורכב מארבעה עולמות תוכן שכללו את כל שלבי תהליך ביצוע ייפוי הכוח המתמשך, החל מהרקע והמניעים לקבלת ההחלטה לבצעו, וכלה בתובנות ובמבט רטרוספקטיבי ופרוספקטיבי על התהליך. כך, למשל, המרואיינים התבקשו לתאר מתי ובאיזה אופן שמעו לראשונה על הכלי, ומה היו הציפיות שלהם ממנו בשלב שבו שקלו לעשותו; לתאר את תהליך הכנת ייפוי הכוח המתמשך; להתייחס לאתגרים שנדרשו להתמודד עימם במהלכו; ולשתף, במבט לאחור, בתובנות שלהם מתהליך ביצוע הכלי. </w:t>
      </w:r>
    </w:p>
    <w:p w14:paraId="47C175BA" w14:textId="77777777" w:rsidR="008B5BE0" w:rsidRPr="0042081B" w:rsidRDefault="008B5BE0" w:rsidP="0042081B">
      <w:pPr>
        <w:spacing w:after="180" w:line="280" w:lineRule="exact"/>
        <w:jc w:val="both"/>
        <w:rPr>
          <w:rFonts w:ascii="Georgia" w:hAnsi="Georgia"/>
          <w:sz w:val="18"/>
          <w:szCs w:val="20"/>
          <w:rtl/>
        </w:rPr>
      </w:pPr>
    </w:p>
    <w:p w14:paraId="0BED7B9C" w14:textId="7223847A"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הליך המחקר ואמינותו</w:t>
      </w:r>
    </w:p>
    <w:p w14:paraId="30ABB92F"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מאחר שייפוי הכוח המתמשך הוא כלי משפטי חדש בישראל, ובהינתן שיעורי השימוש הנמוכים בכלי תכנון ומניעה משפטיים בכלל, איתור משתתפים במחקר היה כרוך בהסתייעות בגורמים מתווכים. בהתאם לכך, משתתפי המחקר אותרו בסיועם של עורכי דין העוסקים בעריכת ייפויי כוח מתמשכים ושל מכרים אחרים. עוד יצוין בהקשר זה כי הליך איתור המשתתפים נתקל בקשיים גם משום שהחל מעט </w:t>
      </w:r>
      <w:r w:rsidRPr="0042081B">
        <w:rPr>
          <w:rFonts w:ascii="Georgia" w:hAnsi="Georgia" w:hint="eastAsia"/>
          <w:sz w:val="18"/>
          <w:szCs w:val="20"/>
          <w:rtl/>
        </w:rPr>
        <w:t>לפני</w:t>
      </w:r>
      <w:r w:rsidRPr="0042081B">
        <w:rPr>
          <w:rFonts w:ascii="Georgia" w:hAnsi="Georgia" w:hint="cs"/>
          <w:sz w:val="18"/>
          <w:szCs w:val="20"/>
          <w:rtl/>
        </w:rPr>
        <w:t xml:space="preserve"> פרוץ מגפת הקורונה, אשר במסגרתה הוגדרו אזרחים ותיקים אוכלוסייה בסיכון, ועל האוכלוסייה הכללית כולה הושתו מגבלות תנועה ודרישות לשמירה על ריחוק חברתי. נסיבות אלה אף הביאו לכך ששלב ביצוע הראיונות במחקר התארך מעבר לצפוי. </w:t>
      </w:r>
    </w:p>
    <w:p w14:paraId="46EC0BAD"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ההשתתפות במחקר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על בסיס הסכמה חופשית. בהתאם לכך, כל אחד מהמשתתפים חתם על "טופס הסכמה מדעת" המאשר את נכונותו להשתתף במחקר. טרם שחתמו המשתתפים על טופס ההסכמה מדעת הובהר להם כי השתתפותם במחקר תהיה אנונימית, ופרטיותם תישמר. בהתאם לכך, הדוח המסכם של המחקר, וכן פרסומים המבוססים עליו, אינם כוללים פרטים מזהים של המשתתפים. הראיונות התקיימו פנים אל פנים, ומיקום הריאיון נבחר על ידי כל מרואיין (</w:t>
      </w:r>
      <w:r w:rsidRPr="0042081B">
        <w:rPr>
          <w:rFonts w:ascii="Georgia" w:hAnsi="Georgia"/>
          <w:sz w:val="18"/>
          <w:szCs w:val="20"/>
        </w:rPr>
        <w:t>Becker, 1992</w:t>
      </w:r>
      <w:r w:rsidRPr="0042081B">
        <w:rPr>
          <w:rFonts w:ascii="Georgia" w:hAnsi="Georgia" w:hint="cs"/>
          <w:sz w:val="18"/>
          <w:szCs w:val="20"/>
          <w:rtl/>
        </w:rPr>
        <w:t xml:space="preserve">). משך הזמן שתוכנן לכל ריאיון היה כשעה וחצי, במטרה לאפשר למרואיינים את הזמן הדרוש להבנות ולתאר את החוויה שלהם, בלי להלאותם (שקדי, 2003). הראיונות הוקלטו, </w:t>
      </w:r>
      <w:proofErr w:type="spellStart"/>
      <w:r w:rsidRPr="0042081B">
        <w:rPr>
          <w:rFonts w:ascii="Georgia" w:hAnsi="Georgia" w:hint="cs"/>
          <w:sz w:val="18"/>
          <w:szCs w:val="20"/>
          <w:rtl/>
        </w:rPr>
        <w:t>ותומללו</w:t>
      </w:r>
      <w:proofErr w:type="spellEnd"/>
      <w:r w:rsidRPr="0042081B">
        <w:rPr>
          <w:rFonts w:ascii="Georgia" w:hAnsi="Georgia" w:hint="cs"/>
          <w:sz w:val="18"/>
          <w:szCs w:val="20"/>
          <w:rtl/>
        </w:rPr>
        <w:t xml:space="preserve"> סמוך לעריכתם.</w:t>
      </w:r>
    </w:p>
    <w:p w14:paraId="6888D040"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בהתאם לגישה המקובלת במחקר איכותני, וכדי להבטיח את אמינותו של המחקר </w:t>
      </w:r>
      <w:r w:rsidRPr="0042081B">
        <w:rPr>
          <w:rFonts w:ascii="Georgia" w:hAnsi="Georgia"/>
          <w:sz w:val="18"/>
          <w:szCs w:val="20"/>
          <w:rtl/>
        </w:rPr>
        <w:t>(</w:t>
      </w:r>
      <w:r w:rsidRPr="0042081B">
        <w:rPr>
          <w:rFonts w:ascii="Georgia" w:hAnsi="Georgia"/>
          <w:sz w:val="18"/>
          <w:szCs w:val="20"/>
        </w:rPr>
        <w:t>Lincoln &amp; Guba, 1985</w:t>
      </w:r>
      <w:r w:rsidRPr="0042081B">
        <w:rPr>
          <w:rFonts w:ascii="Georgia" w:hAnsi="Georgia"/>
          <w:sz w:val="18"/>
          <w:szCs w:val="20"/>
          <w:rtl/>
        </w:rPr>
        <w:t>)</w:t>
      </w:r>
      <w:r w:rsidRPr="0042081B">
        <w:rPr>
          <w:rFonts w:ascii="Georgia" w:hAnsi="Georgia" w:hint="cs"/>
          <w:sz w:val="18"/>
          <w:szCs w:val="20"/>
          <w:rtl/>
        </w:rPr>
        <w:t xml:space="preserve">, נשמר תיעוד של כל שלבי המחקר, ובדוח המסכם שולבו ציטוטים ותיאורים נרחבים של הנתונים וההקשרים. כן התקיים לאורך עבודת המחקר תהליך רפלקטיבי מקובל של תפקיד החוקרת </w:t>
      </w:r>
      <w:r w:rsidRPr="0042081B">
        <w:rPr>
          <w:rFonts w:ascii="Georgia" w:hAnsi="Georgia"/>
          <w:sz w:val="18"/>
          <w:szCs w:val="20"/>
          <w:rtl/>
        </w:rPr>
        <w:t>(</w:t>
      </w:r>
      <w:r w:rsidRPr="0042081B">
        <w:rPr>
          <w:rFonts w:ascii="Georgia" w:hAnsi="Georgia"/>
          <w:sz w:val="18"/>
          <w:szCs w:val="20"/>
        </w:rPr>
        <w:t>Mason, 1996</w:t>
      </w:r>
      <w:r w:rsidRPr="0042081B">
        <w:rPr>
          <w:rFonts w:ascii="Georgia" w:hAnsi="Georgia"/>
          <w:sz w:val="18"/>
          <w:szCs w:val="20"/>
          <w:rtl/>
        </w:rPr>
        <w:t>)</w:t>
      </w:r>
      <w:r w:rsidRPr="0042081B">
        <w:rPr>
          <w:rFonts w:ascii="Georgia" w:hAnsi="Georgia" w:hint="cs"/>
          <w:sz w:val="18"/>
          <w:szCs w:val="20"/>
          <w:rtl/>
        </w:rPr>
        <w:t xml:space="preserve">, אשר נועד למנוע השפעה של תפיסות קודמות אפשריות בנוגע לכלי ייפוי הכוח המתמשך על ניתוח הממצאים ופרשנותם. </w:t>
      </w:r>
    </w:p>
    <w:p w14:paraId="63AA105F"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המחקר קיבל את אישור ועדת האתיקה של אוניברסיטת חיפה, שמספרו 103/20.</w:t>
      </w:r>
    </w:p>
    <w:p w14:paraId="79280560" w14:textId="77777777" w:rsidR="008B5BE0" w:rsidRPr="0042081B" w:rsidRDefault="008B5BE0" w:rsidP="0042081B">
      <w:pPr>
        <w:spacing w:after="180" w:line="280" w:lineRule="exact"/>
        <w:jc w:val="both"/>
        <w:rPr>
          <w:rFonts w:ascii="Georgia" w:hAnsi="Georgia"/>
          <w:sz w:val="18"/>
          <w:szCs w:val="20"/>
          <w:rtl/>
        </w:rPr>
      </w:pPr>
    </w:p>
    <w:p w14:paraId="0E4306A6" w14:textId="579E327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lastRenderedPageBreak/>
        <w:t>ניתוח הנתונים</w:t>
      </w:r>
    </w:p>
    <w:p w14:paraId="3C62C4A1"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בהתאם למקובל בניתוח נתונים במחקר איכותני, גם במקרה זה ניתוח הנתונים נעשה בכמה שלבים. תחילה נעשתה קריאה הוליסטית של הראיונות, כדי להבין ולהתרשם מתמונת החוויה העולה מהם. בהמשך הנתונים מופו וקודדו, וזוהו קטגוריות נושאים. קידוד הנתונים וזיהוי הקטגוריות נעשו באמצעו</w:t>
      </w:r>
      <w:r w:rsidRPr="0042081B">
        <w:rPr>
          <w:rFonts w:ascii="Georgia" w:hAnsi="Georgia" w:hint="eastAsia"/>
          <w:sz w:val="18"/>
          <w:szCs w:val="20"/>
          <w:rtl/>
        </w:rPr>
        <w:t>ת</w:t>
      </w:r>
      <w:r w:rsidRPr="0042081B">
        <w:rPr>
          <w:rFonts w:ascii="Georgia" w:hAnsi="Georgia" w:hint="cs"/>
          <w:sz w:val="18"/>
          <w:szCs w:val="20"/>
          <w:rtl/>
        </w:rPr>
        <w:t xml:space="preserve"> פירוק של הטקסט ליחידות קטנות, והתעמקות בהן. לאחר מכן התבצעה הבניה מחדש של הנתונים המקודדים לכדי תמונה מאורגנת אחת, באמצעות המשגה תאורטית של הנתונים המקודדים. לבסוף בוצעה קריאה חוזרת של הממצאים ובחינה שלהם אל מול הנתונים הגולמיים, במטרה לוודא שההמשגה התאורטית אכן משקפת נכונה את החוויה של המרואיינים (</w:t>
      </w:r>
      <w:proofErr w:type="spellStart"/>
      <w:r w:rsidRPr="0042081B">
        <w:rPr>
          <w:rFonts w:ascii="Georgia" w:hAnsi="Georgia" w:hint="cs"/>
          <w:sz w:val="18"/>
          <w:szCs w:val="20"/>
          <w:rtl/>
        </w:rPr>
        <w:t>קסן</w:t>
      </w:r>
      <w:proofErr w:type="spellEnd"/>
      <w:r w:rsidRPr="0042081B">
        <w:rPr>
          <w:rFonts w:ascii="Georgia" w:hAnsi="Georgia" w:hint="cs"/>
          <w:sz w:val="18"/>
          <w:szCs w:val="20"/>
          <w:rtl/>
        </w:rPr>
        <w:t xml:space="preserve"> </w:t>
      </w:r>
      <w:proofErr w:type="spellStart"/>
      <w:r w:rsidRPr="0042081B">
        <w:rPr>
          <w:rFonts w:ascii="Georgia" w:hAnsi="Georgia" w:hint="cs"/>
          <w:sz w:val="18"/>
          <w:szCs w:val="20"/>
          <w:rtl/>
        </w:rPr>
        <w:t>וקרומר</w:t>
      </w:r>
      <w:proofErr w:type="spellEnd"/>
      <w:r w:rsidRPr="0042081B">
        <w:rPr>
          <w:rFonts w:ascii="Georgia" w:hAnsi="Georgia" w:hint="cs"/>
          <w:sz w:val="18"/>
          <w:szCs w:val="20"/>
          <w:rtl/>
        </w:rPr>
        <w:t xml:space="preserve">-נבו, 2010). </w:t>
      </w:r>
    </w:p>
    <w:p w14:paraId="698FEF14" w14:textId="77777777" w:rsidR="008B5BE0" w:rsidRDefault="008B5BE0" w:rsidP="008B5BE0">
      <w:pPr>
        <w:spacing w:line="280" w:lineRule="exact"/>
        <w:jc w:val="both"/>
        <w:rPr>
          <w:rFonts w:ascii="Georgia" w:hAnsi="Georgia"/>
          <w:sz w:val="18"/>
          <w:szCs w:val="20"/>
          <w:rtl/>
        </w:rPr>
      </w:pPr>
    </w:p>
    <w:p w14:paraId="45EABB04" w14:textId="77777777" w:rsidR="008B5BE0" w:rsidRPr="0042081B" w:rsidRDefault="008B5BE0" w:rsidP="008B5BE0">
      <w:pPr>
        <w:spacing w:line="280" w:lineRule="exact"/>
        <w:jc w:val="both"/>
        <w:rPr>
          <w:rFonts w:ascii="Georgia" w:hAnsi="Georgia"/>
          <w:sz w:val="18"/>
          <w:szCs w:val="20"/>
          <w:rtl/>
        </w:rPr>
      </w:pPr>
    </w:p>
    <w:p w14:paraId="341E226A" w14:textId="376914B6"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 xml:space="preserve">ממצאים </w:t>
      </w:r>
    </w:p>
    <w:p w14:paraId="031B12C1" w14:textId="77777777" w:rsidR="0042081B" w:rsidRDefault="0042081B" w:rsidP="0042081B">
      <w:pPr>
        <w:spacing w:after="180" w:line="280" w:lineRule="exact"/>
        <w:jc w:val="both"/>
        <w:rPr>
          <w:rFonts w:ascii="Georgia" w:hAnsi="Georgia"/>
          <w:sz w:val="18"/>
          <w:szCs w:val="20"/>
          <w:rtl/>
        </w:rPr>
      </w:pPr>
      <w:r w:rsidRPr="0042081B">
        <w:rPr>
          <w:rFonts w:ascii="Georgia" w:hAnsi="Georgia" w:hint="eastAsia"/>
          <w:sz w:val="18"/>
          <w:szCs w:val="20"/>
          <w:rtl/>
        </w:rPr>
        <w:t>הממצאים</w:t>
      </w:r>
      <w:r w:rsidRPr="0042081B">
        <w:rPr>
          <w:rFonts w:ascii="Georgia" w:hAnsi="Georgia" w:hint="cs"/>
          <w:sz w:val="18"/>
          <w:szCs w:val="20"/>
          <w:rtl/>
        </w:rPr>
        <w:t xml:space="preserve"> חשפו</w:t>
      </w:r>
      <w:r w:rsidRPr="0042081B">
        <w:rPr>
          <w:rFonts w:ascii="Georgia" w:hAnsi="Georgia"/>
          <w:sz w:val="18"/>
          <w:szCs w:val="20"/>
          <w:rtl/>
        </w:rPr>
        <w:t xml:space="preserve"> שתי </w:t>
      </w:r>
      <w:r w:rsidRPr="0042081B">
        <w:rPr>
          <w:rFonts w:ascii="Georgia" w:hAnsi="Georgia" w:hint="eastAsia"/>
          <w:sz w:val="18"/>
          <w:szCs w:val="20"/>
          <w:rtl/>
        </w:rPr>
        <w:t>תמות</w:t>
      </w:r>
      <w:r w:rsidRPr="0042081B">
        <w:rPr>
          <w:rFonts w:ascii="Georgia" w:hAnsi="Georgia" w:hint="cs"/>
          <w:sz w:val="18"/>
          <w:szCs w:val="20"/>
          <w:rtl/>
        </w:rPr>
        <w:t xml:space="preserve"> מרכזיות שנגעו בהיבטים של בחירת מיופה הכוח במסגרת ביצוע ייפוי כוח מתמשך על ידי אזרחים ותיקים. התמה האחת עסקה בבחירה בבני המשפחה לתפקיד, והתמה האחרת עמדה על שיקולי התאמה כלליים לתפקיד מיופה הכוח. </w:t>
      </w:r>
    </w:p>
    <w:p w14:paraId="35B2BD43" w14:textId="77777777" w:rsidR="008B5BE0" w:rsidRPr="0042081B" w:rsidRDefault="008B5BE0" w:rsidP="0042081B">
      <w:pPr>
        <w:spacing w:after="180" w:line="280" w:lineRule="exact"/>
        <w:jc w:val="both"/>
        <w:rPr>
          <w:rFonts w:ascii="Georgia" w:hAnsi="Georgia"/>
          <w:b/>
          <w:bCs/>
          <w:sz w:val="18"/>
          <w:szCs w:val="20"/>
        </w:rPr>
      </w:pPr>
    </w:p>
    <w:p w14:paraId="40AB2C36" w14:textId="1C8C124C" w:rsidR="0042081B" w:rsidRPr="008B5BE0" w:rsidRDefault="0042081B" w:rsidP="008B5BE0">
      <w:pPr>
        <w:pStyle w:val="KOT5"/>
        <w:spacing w:after="0"/>
        <w:ind w:right="0"/>
        <w:outlineLvl w:val="2"/>
        <w:rPr>
          <w:rFonts w:cs="Guttman Aharoni"/>
          <w:color w:val="BA2A16"/>
        </w:rPr>
      </w:pPr>
      <w:r w:rsidRPr="008B5BE0">
        <w:rPr>
          <w:rFonts w:cs="Guttman Aharoni" w:hint="cs"/>
          <w:color w:val="BA2A16"/>
          <w:rtl/>
        </w:rPr>
        <w:t xml:space="preserve">בחירה בבני משפחה לתפקיד </w:t>
      </w:r>
    </w:p>
    <w:p w14:paraId="01CBF302"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כל המרואיינים בחרו בבני משפחה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במסגרת ייפוי הכוח המתמשך. בשני מקרים שבהם נבחרו מיופי כוח שאינם קרובי משפחה, אלא חברים, הם נבחרו לתפקיד לצד בני משפחה שמונו גם הם, והמרואיינים עמדו בדבריהם על החברות הממושכת והקרובה המתקיימת בינם לבין מיופי כוחם העתידיים, ועל כך שחברים אלה נתפסים על ידם כבני משפחה של ממש. מהראיונות עלו תובנותיהם של המרואיינים באשר לסדר העדיפויות של בחירת מיופי הכוח העתידיים, ולטעמים למינו</w:t>
      </w:r>
      <w:r w:rsidRPr="0042081B">
        <w:rPr>
          <w:rFonts w:ascii="Georgia" w:hAnsi="Georgia"/>
          <w:sz w:val="18"/>
          <w:szCs w:val="20"/>
          <w:rtl/>
        </w:rPr>
        <w:t>יָ</w:t>
      </w:r>
      <w:r w:rsidRPr="0042081B">
        <w:rPr>
          <w:rFonts w:ascii="Georgia" w:hAnsi="Georgia" w:hint="cs"/>
          <w:sz w:val="18"/>
          <w:szCs w:val="20"/>
          <w:rtl/>
        </w:rPr>
        <w:t>ם או לאי מינו</w:t>
      </w:r>
      <w:r w:rsidRPr="0042081B">
        <w:rPr>
          <w:rFonts w:ascii="Georgia" w:hAnsi="Georgia"/>
          <w:sz w:val="18"/>
          <w:szCs w:val="20"/>
          <w:rtl/>
        </w:rPr>
        <w:t>יָ</w:t>
      </w:r>
      <w:r w:rsidRPr="0042081B">
        <w:rPr>
          <w:rFonts w:ascii="Georgia" w:hAnsi="Georgia" w:hint="cs"/>
          <w:sz w:val="18"/>
          <w:szCs w:val="20"/>
          <w:rtl/>
        </w:rPr>
        <w:t xml:space="preserve">ם של בני המשפחה לתפקיד. </w:t>
      </w:r>
    </w:p>
    <w:p w14:paraId="4947A61A" w14:textId="77777777" w:rsidR="008B5BE0" w:rsidRPr="0042081B" w:rsidRDefault="008B5BE0" w:rsidP="0042081B">
      <w:pPr>
        <w:spacing w:after="180" w:line="280" w:lineRule="exact"/>
        <w:jc w:val="both"/>
        <w:rPr>
          <w:rFonts w:ascii="Georgia" w:hAnsi="Georgia"/>
          <w:sz w:val="18"/>
          <w:szCs w:val="20"/>
          <w:rtl/>
        </w:rPr>
      </w:pPr>
    </w:p>
    <w:p w14:paraId="0836409D" w14:textId="4267E3E2" w:rsidR="0042081B" w:rsidRPr="008B5BE0" w:rsidRDefault="0042081B" w:rsidP="008B5BE0">
      <w:pPr>
        <w:keepNext/>
        <w:keepLines/>
        <w:spacing w:line="280" w:lineRule="exact"/>
        <w:jc w:val="both"/>
        <w:outlineLvl w:val="3"/>
        <w:rPr>
          <w:b/>
          <w:bCs/>
          <w:color w:val="BA2A16"/>
          <w:sz w:val="20"/>
          <w:szCs w:val="22"/>
        </w:rPr>
      </w:pPr>
      <w:r w:rsidRPr="008B5BE0">
        <w:rPr>
          <w:rFonts w:hint="cs"/>
          <w:b/>
          <w:bCs/>
          <w:color w:val="BA2A16"/>
          <w:sz w:val="20"/>
          <w:szCs w:val="22"/>
          <w:rtl/>
        </w:rPr>
        <w:t>סדר העדיפויות של בחירת מיופה הכוח העתידי</w:t>
      </w:r>
    </w:p>
    <w:p w14:paraId="245972F3" w14:textId="77777777" w:rsidR="0042081B" w:rsidRPr="0042081B" w:rsidRDefault="0042081B" w:rsidP="0042081B">
      <w:pPr>
        <w:spacing w:after="180" w:line="280" w:lineRule="exact"/>
        <w:jc w:val="both"/>
        <w:rPr>
          <w:rFonts w:ascii="Georgia" w:hAnsi="Georgia"/>
          <w:b/>
          <w:bCs/>
          <w:sz w:val="18"/>
          <w:szCs w:val="20"/>
          <w:rtl/>
        </w:rPr>
      </w:pPr>
      <w:r w:rsidRPr="0042081B">
        <w:rPr>
          <w:rFonts w:ascii="Georgia" w:hAnsi="Georgia" w:hint="cs"/>
          <w:sz w:val="18"/>
          <w:szCs w:val="20"/>
          <w:rtl/>
        </w:rPr>
        <w:t xml:space="preserve">הבחירה של כל המרואיינים למנות בני משפחה לתפקיד מיופי הכוח העתידיים שיקפה את הציפייה של המרואיינים לסולידריות עתידית של בני המשפחה אם יהיה צורך בהפעלת ייפוי הכוח המתמשך, והיא תוארה על ידי המרואיינים כהעדפה הראשונה שלהם, כפי שמדגימים דבריה של אחת המרואיינות: </w:t>
      </w:r>
    </w:p>
    <w:p w14:paraId="169B8952" w14:textId="1C0095DB"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 xml:space="preserve">אם צריך יהיה לקחת עזרה, אם חלילה צריך לקחת עזרה נוספת, אם צריך לקחת פיזיותרפיה, אם צריך לחשוב על מוסד, אם צריך יהיה לבחור מוסד, מישהו צריך לטפל בזה. אני מעדיפה שתעשה את זה בתי במקום, </w:t>
      </w:r>
      <w:r w:rsidRPr="0042081B">
        <w:rPr>
          <w:rFonts w:ascii="Georgia" w:hAnsi="Georgia" w:hint="eastAsia"/>
          <w:sz w:val="18"/>
          <w:szCs w:val="20"/>
          <w:rtl/>
        </w:rPr>
        <w:t>זאת</w:t>
      </w:r>
      <w:r w:rsidRPr="0042081B">
        <w:rPr>
          <w:rFonts w:ascii="Georgia" w:hAnsi="Georgia"/>
          <w:sz w:val="18"/>
          <w:szCs w:val="20"/>
          <w:rtl/>
        </w:rPr>
        <w:t xml:space="preserve"> </w:t>
      </w:r>
      <w:r w:rsidRPr="0042081B">
        <w:rPr>
          <w:rFonts w:ascii="Georgia" w:hAnsi="Georgia" w:hint="eastAsia"/>
          <w:sz w:val="18"/>
          <w:szCs w:val="20"/>
          <w:rtl/>
        </w:rPr>
        <w:t>אומרת</w:t>
      </w:r>
      <w:r w:rsidRPr="0042081B">
        <w:rPr>
          <w:rFonts w:ascii="Georgia" w:hAnsi="Georgia"/>
          <w:sz w:val="18"/>
          <w:szCs w:val="20"/>
          <w:rtl/>
        </w:rPr>
        <w:t xml:space="preserve">, שהשיקולים יהיו של הבת ולא של בן אדם זר </w:t>
      </w:r>
      <w:r w:rsidRPr="0042081B">
        <w:rPr>
          <w:rFonts w:ascii="Georgia" w:hAnsi="Georgia" w:hint="cs"/>
          <w:sz w:val="18"/>
          <w:szCs w:val="20"/>
          <w:rtl/>
        </w:rPr>
        <w:t>(מרואיינת 7, בת 86)</w:t>
      </w:r>
      <w:r w:rsidR="00873B49">
        <w:rPr>
          <w:rFonts w:ascii="Georgia" w:hAnsi="Georgia" w:hint="cs"/>
          <w:sz w:val="18"/>
          <w:szCs w:val="20"/>
          <w:rtl/>
        </w:rPr>
        <w:t>.</w:t>
      </w:r>
    </w:p>
    <w:p w14:paraId="67EFCA18"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הראיונות חשפו כי בכל המקרים אחד לפחות </w:t>
      </w:r>
      <w:proofErr w:type="spellStart"/>
      <w:r w:rsidRPr="0042081B">
        <w:rPr>
          <w:rFonts w:ascii="Georgia" w:hAnsi="Georgia" w:hint="cs"/>
          <w:sz w:val="18"/>
          <w:szCs w:val="20"/>
          <w:rtl/>
        </w:rPr>
        <w:t>ממיופי</w:t>
      </w:r>
      <w:proofErr w:type="spellEnd"/>
      <w:r w:rsidRPr="0042081B">
        <w:rPr>
          <w:rFonts w:ascii="Georgia" w:hAnsi="Georgia" w:hint="cs"/>
          <w:sz w:val="18"/>
          <w:szCs w:val="20"/>
          <w:rtl/>
        </w:rPr>
        <w:t xml:space="preserve"> הכוח שנבחרו היה בן משפחה מקרבה ראשונה, וברוב המקרים כל מיופי הכוח היו כאלה. ההעדפה הברורה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למינוי של הילדים, או של בני הזוג והילדים, כולם או חלקם. מהראיונות ניכר היה שהמרואיינים התייחסו לבחירה בבני משפחה מקרבה ראשונה כבחירה הטבעית והברורה מאליה, כפי שהסבירה אחת המרואיינות, אלמנה שמינתה את ילדיה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כוחה: "את מי אני אמנה, אם לא את הילדים? לא, זה היה לי טבעי. טבעי מאוד. שהם יהיו אלה שיהיו איתי וידאגו לי" (מרואיינת 3, בת 73).</w:t>
      </w:r>
    </w:p>
    <w:p w14:paraId="7528DEDC"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זאת ועוד, העדפתם של בני המשפחה לתפקיד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נעוצה לא אחת בהנחתם של מרואיינים כי קיימת מוסכמה חברתית מקובלת, ולפיה בני משפחה הם שצריכים לעזור זה לזה. הנחת קיומה של מוסכמה חברתית בעניין זה עלתה בקנה אחד הן עם הטבעיות שבה התייחסו המרואיינים לבחירתם בבני משפחה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הן עם כך שחלק מהם העידו שלא הרגישו צורך לפנות לבני המשפחה שהם מייעדים לשמש בתפקיד בבקשה לעשות זאת, אלא הודיעו להם על רצונם ועל כוונתם למנות אותם. </w:t>
      </w:r>
    </w:p>
    <w:p w14:paraId="23E15759" w14:textId="77777777" w:rsidR="008B5BE0" w:rsidRPr="0042081B" w:rsidRDefault="008B5BE0" w:rsidP="0042081B">
      <w:pPr>
        <w:spacing w:after="180" w:line="280" w:lineRule="exact"/>
        <w:jc w:val="both"/>
        <w:rPr>
          <w:rFonts w:ascii="Georgia" w:hAnsi="Georgia"/>
          <w:sz w:val="18"/>
          <w:szCs w:val="20"/>
          <w:rtl/>
        </w:rPr>
      </w:pPr>
    </w:p>
    <w:p w14:paraId="3BFA81E0" w14:textId="02717EF0" w:rsidR="0042081B" w:rsidRPr="008B5BE0" w:rsidRDefault="0042081B" w:rsidP="008B5BE0">
      <w:pPr>
        <w:keepNext/>
        <w:keepLines/>
        <w:spacing w:line="280" w:lineRule="exact"/>
        <w:jc w:val="both"/>
        <w:outlineLvl w:val="3"/>
        <w:rPr>
          <w:b/>
          <w:bCs/>
          <w:color w:val="BA2A16"/>
          <w:sz w:val="20"/>
          <w:szCs w:val="22"/>
          <w:rtl/>
        </w:rPr>
      </w:pPr>
      <w:r w:rsidRPr="008B5BE0">
        <w:rPr>
          <w:rFonts w:hint="eastAsia"/>
          <w:b/>
          <w:bCs/>
          <w:color w:val="BA2A16"/>
          <w:sz w:val="20"/>
          <w:szCs w:val="22"/>
          <w:rtl/>
        </w:rPr>
        <w:t>טעמים</w:t>
      </w:r>
      <w:r w:rsidRPr="008B5BE0">
        <w:rPr>
          <w:b/>
          <w:bCs/>
          <w:color w:val="BA2A16"/>
          <w:sz w:val="20"/>
          <w:szCs w:val="22"/>
          <w:rtl/>
        </w:rPr>
        <w:t xml:space="preserve"> </w:t>
      </w:r>
      <w:r w:rsidRPr="008B5BE0">
        <w:rPr>
          <w:rFonts w:hint="eastAsia"/>
          <w:b/>
          <w:bCs/>
          <w:color w:val="BA2A16"/>
          <w:sz w:val="20"/>
          <w:szCs w:val="22"/>
          <w:rtl/>
        </w:rPr>
        <w:t>לבחירת</w:t>
      </w:r>
      <w:r w:rsidRPr="008B5BE0">
        <w:rPr>
          <w:rFonts w:hint="cs"/>
          <w:b/>
          <w:bCs/>
          <w:color w:val="BA2A16"/>
          <w:sz w:val="20"/>
          <w:szCs w:val="22"/>
          <w:rtl/>
        </w:rPr>
        <w:t>ם או לאי בחירתם</w:t>
      </w:r>
      <w:r w:rsidRPr="008B5BE0">
        <w:rPr>
          <w:b/>
          <w:bCs/>
          <w:color w:val="BA2A16"/>
          <w:sz w:val="20"/>
          <w:szCs w:val="22"/>
          <w:rtl/>
        </w:rPr>
        <w:t xml:space="preserve"> </w:t>
      </w:r>
      <w:r w:rsidRPr="008B5BE0">
        <w:rPr>
          <w:rFonts w:hint="eastAsia"/>
          <w:b/>
          <w:bCs/>
          <w:color w:val="BA2A16"/>
          <w:sz w:val="20"/>
          <w:szCs w:val="22"/>
          <w:rtl/>
        </w:rPr>
        <w:t>בני</w:t>
      </w:r>
      <w:r w:rsidRPr="008B5BE0">
        <w:rPr>
          <w:b/>
          <w:bCs/>
          <w:color w:val="BA2A16"/>
          <w:sz w:val="20"/>
          <w:szCs w:val="22"/>
          <w:rtl/>
        </w:rPr>
        <w:t xml:space="preserve"> </w:t>
      </w:r>
      <w:r w:rsidRPr="008B5BE0">
        <w:rPr>
          <w:rFonts w:hint="eastAsia"/>
          <w:b/>
          <w:bCs/>
          <w:color w:val="BA2A16"/>
          <w:sz w:val="20"/>
          <w:szCs w:val="22"/>
          <w:rtl/>
        </w:rPr>
        <w:t>משפחה</w:t>
      </w:r>
      <w:r w:rsidRPr="008B5BE0">
        <w:rPr>
          <w:b/>
          <w:bCs/>
          <w:color w:val="BA2A16"/>
          <w:sz w:val="20"/>
          <w:szCs w:val="22"/>
          <w:rtl/>
        </w:rPr>
        <w:t xml:space="preserve"> </w:t>
      </w:r>
      <w:r w:rsidRPr="008B5BE0">
        <w:rPr>
          <w:rFonts w:hint="eastAsia"/>
          <w:b/>
          <w:bCs/>
          <w:color w:val="BA2A16"/>
          <w:sz w:val="20"/>
          <w:szCs w:val="22"/>
          <w:rtl/>
        </w:rPr>
        <w:t>לתפקיד</w:t>
      </w:r>
    </w:p>
    <w:p w14:paraId="60643852" w14:textId="77777777" w:rsidR="00873B49"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t>האמון שנתנו הממנים בבני משפחתם עלה כטעם המרכזי לבחירתם לתפקיד. ראשית, הראיונות הצביעו על כך שמינוי מיופה כוח במסגרת של ייפוי כוח מתמשך דורש מידה רבה של אמון בין הממנה לבין מיופה הכוח העתידי, כפי שתיארה זאת אחת המרואיינות: "</w:t>
      </w:r>
      <w:r w:rsidRPr="0042081B">
        <w:rPr>
          <w:rFonts w:ascii="Georgia" w:hAnsi="Georgia"/>
          <w:sz w:val="18"/>
          <w:szCs w:val="20"/>
          <w:rtl/>
        </w:rPr>
        <w:t xml:space="preserve">אתה נותן ייפוי כוח כזה, לא דווקא בייפוי כוח מתמשך, ייפוי כוח בבנק, ועוד כל מיני דברים כאלה </w:t>
      </w:r>
      <w:r w:rsidRPr="00EF3558">
        <w:rPr>
          <w:rFonts w:ascii="Georgia" w:hAnsi="Georgia"/>
          <w:spacing w:val="-2"/>
          <w:sz w:val="18"/>
          <w:szCs w:val="20"/>
          <w:rtl/>
        </w:rPr>
        <w:t>ואתה צריך מספיק רמת ביטחון בשביל להגיד לעצמך רק טוב יצא מזה</w:t>
      </w:r>
      <w:r w:rsidRPr="00EF3558">
        <w:rPr>
          <w:rFonts w:ascii="Georgia" w:hAnsi="Georgia" w:hint="cs"/>
          <w:spacing w:val="-2"/>
          <w:sz w:val="18"/>
          <w:szCs w:val="20"/>
          <w:rtl/>
        </w:rPr>
        <w:t>"</w:t>
      </w:r>
      <w:r w:rsidRPr="00EF3558">
        <w:rPr>
          <w:rFonts w:ascii="Georgia" w:hAnsi="Georgia"/>
          <w:spacing w:val="-2"/>
          <w:sz w:val="18"/>
          <w:szCs w:val="20"/>
          <w:rtl/>
        </w:rPr>
        <w:t xml:space="preserve"> </w:t>
      </w:r>
      <w:r w:rsidRPr="00EF3558">
        <w:rPr>
          <w:rFonts w:ascii="Georgia" w:hAnsi="Georgia" w:hint="cs"/>
          <w:spacing w:val="-2"/>
          <w:sz w:val="18"/>
          <w:szCs w:val="20"/>
          <w:rtl/>
        </w:rPr>
        <w:t>(מרואיינת 9, בת 72).</w:t>
      </w:r>
      <w:r w:rsidR="00873B49">
        <w:rPr>
          <w:rFonts w:ascii="Georgia" w:hAnsi="Georgia" w:hint="cs"/>
          <w:sz w:val="18"/>
          <w:szCs w:val="20"/>
          <w:rtl/>
        </w:rPr>
        <w:t xml:space="preserve"> </w:t>
      </w:r>
      <w:r w:rsidRPr="0042081B">
        <w:rPr>
          <w:rFonts w:ascii="Georgia" w:hAnsi="Georgia" w:hint="cs"/>
          <w:sz w:val="18"/>
          <w:szCs w:val="20"/>
          <w:rtl/>
        </w:rPr>
        <w:t xml:space="preserve">מהדברים עולה כי נדרש אמון רב בעיקר בכך שהסמכויות הנרחבות הנמסרות בידי מיופה הכוח העתידי לא ינוצלו לרעה, וקיומו של אמון זה הוא המאפשר את הבחירה בכלי ייפוי הכוח המתמשך מלכתחילה. </w:t>
      </w:r>
    </w:p>
    <w:p w14:paraId="288C22F6" w14:textId="51A92102" w:rsidR="0042081B" w:rsidRPr="0042081B"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t>היבט נוסף של האמון שנותנים הממנים בבני משפחתם נגע לאמון בכך שבני המשפחה ידאגו להם וישמרו עליהם אם ייפוי הכוח המתמשך יופעל. כך, למשל, הסבירה מרואיינת שמינתה לתפקיד את בן זוגה וילדיה:</w:t>
      </w:r>
    </w:p>
    <w:p w14:paraId="2326099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זה הדבר הכי אמין והכי נכון. לא אדם זר. בשביל אדם זר אני לא צריכה את זה. בני המשפחה, הילדים, בני המשפחה הם אלה, הם הגרעין שבעצם ישמור עליי. עליי או על בן זוגי, אני יודעת? הם איך אומרים? האמינות מספר אחת. ההתייחסות שלהם. וזה לא תמיד כך. לפעמים יש, זה אחרת, אבל במקרה שלי יש 100% נאמנות ואמינות (מרואיינת 13, בת 75).</w:t>
      </w:r>
    </w:p>
    <w:p w14:paraId="0549BD1F" w14:textId="389DD176" w:rsidR="0042081B" w:rsidRPr="0042081B" w:rsidRDefault="0042081B" w:rsidP="00873B49">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לאמון בבני המשפחה, ובייחוד בבני משפחה מקרבה ראשונה, התלוותה לעיתים גם התפיסה </w:t>
      </w:r>
      <w:proofErr w:type="spellStart"/>
      <w:r w:rsidRPr="0042081B">
        <w:rPr>
          <w:rFonts w:ascii="Georgia" w:hAnsi="Georgia" w:hint="cs"/>
          <w:sz w:val="18"/>
          <w:szCs w:val="20"/>
          <w:rtl/>
        </w:rPr>
        <w:t>שכמיופי</w:t>
      </w:r>
      <w:proofErr w:type="spellEnd"/>
      <w:r w:rsidRPr="0042081B">
        <w:rPr>
          <w:rFonts w:ascii="Georgia" w:hAnsi="Georgia" w:hint="cs"/>
          <w:sz w:val="18"/>
          <w:szCs w:val="20"/>
          <w:rtl/>
        </w:rPr>
        <w:t xml:space="preserve"> הכוח בני משפחה אלה ידעו כיצד נכון לפעול. הדברים הבאים של מרואיינת שמינתה את בתה </w:t>
      </w:r>
      <w:proofErr w:type="spellStart"/>
      <w:r w:rsidRPr="0042081B">
        <w:rPr>
          <w:rFonts w:ascii="Georgia" w:hAnsi="Georgia" w:hint="cs"/>
          <w:sz w:val="18"/>
          <w:szCs w:val="20"/>
          <w:rtl/>
        </w:rPr>
        <w:t>למיופת</w:t>
      </w:r>
      <w:proofErr w:type="spellEnd"/>
      <w:r w:rsidRPr="0042081B">
        <w:rPr>
          <w:rFonts w:ascii="Georgia" w:hAnsi="Georgia" w:hint="cs"/>
          <w:sz w:val="18"/>
          <w:szCs w:val="20"/>
          <w:rtl/>
        </w:rPr>
        <w:t xml:space="preserve"> כוחה העתידית מדגימים זאת:</w:t>
      </w:r>
    </w:p>
    <w:p w14:paraId="78E8FFA3" w14:textId="77777777" w:rsidR="0042081B" w:rsidRPr="008B5BE0" w:rsidRDefault="0042081B" w:rsidP="008B5BE0">
      <w:pPr>
        <w:spacing w:after="180"/>
        <w:ind w:left="567"/>
        <w:jc w:val="both"/>
        <w:rPr>
          <w:rFonts w:ascii="Georgia" w:hAnsi="Georgia"/>
          <w:spacing w:val="-2"/>
          <w:sz w:val="18"/>
          <w:szCs w:val="20"/>
          <w:rtl/>
        </w:rPr>
      </w:pPr>
      <w:r w:rsidRPr="008B5BE0">
        <w:rPr>
          <w:rFonts w:ascii="Georgia" w:hAnsi="Georgia"/>
          <w:spacing w:val="-2"/>
          <w:sz w:val="18"/>
          <w:szCs w:val="20"/>
          <w:rtl/>
        </w:rPr>
        <w:t xml:space="preserve">רציתי שההחלטות תהיינה בידי מי שאני סומכת עליו. </w:t>
      </w:r>
      <w:r w:rsidRPr="008B5BE0">
        <w:rPr>
          <w:rFonts w:ascii="Georgia" w:hAnsi="Georgia" w:hint="cs"/>
          <w:spacing w:val="-2"/>
          <w:sz w:val="18"/>
          <w:szCs w:val="20"/>
          <w:rtl/>
        </w:rPr>
        <w:t>זאת אומרת</w:t>
      </w:r>
      <w:r w:rsidRPr="008B5BE0">
        <w:rPr>
          <w:rFonts w:ascii="Georgia" w:hAnsi="Georgia"/>
          <w:spacing w:val="-2"/>
          <w:sz w:val="18"/>
          <w:szCs w:val="20"/>
          <w:rtl/>
        </w:rPr>
        <w:t xml:space="preserve"> זה, סומכת עליו שאני יודעת שיעשה את הדברים בצורה הנכונה ביותר לי. אולי אובייקטיבית זה יהיה שונה, אבל היא [הבת]</w:t>
      </w:r>
      <w:r w:rsidRPr="008B5BE0">
        <w:rPr>
          <w:rFonts w:ascii="Georgia" w:hAnsi="Georgia" w:hint="cs"/>
          <w:spacing w:val="-2"/>
          <w:sz w:val="18"/>
          <w:szCs w:val="20"/>
          <w:rtl/>
        </w:rPr>
        <w:t xml:space="preserve"> </w:t>
      </w:r>
      <w:r w:rsidRPr="008B5BE0">
        <w:rPr>
          <w:rFonts w:ascii="Georgia" w:hAnsi="Georgia"/>
          <w:spacing w:val="-2"/>
          <w:sz w:val="18"/>
          <w:szCs w:val="20"/>
          <w:rtl/>
        </w:rPr>
        <w:t>יודעת בדיוק מה צריך שיהיה טוב לי</w:t>
      </w:r>
      <w:r w:rsidRPr="008B5BE0">
        <w:rPr>
          <w:rFonts w:ascii="Georgia" w:hAnsi="Georgia" w:hint="cs"/>
          <w:spacing w:val="-2"/>
          <w:sz w:val="18"/>
          <w:szCs w:val="20"/>
          <w:rtl/>
        </w:rPr>
        <w:t xml:space="preserve"> (מרואיינת 7, בת 86).</w:t>
      </w:r>
    </w:p>
    <w:p w14:paraId="1DA404F5"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לצד העדפתם המובהקת של המרואיינים למינוי של בני משפחה מקרבה ראשונה לתפקיד מיופי כוחם העתידיים, הראיונות חשפו גם מצבים של אי-נאותות ערכית או אי-נאותות פונקציונלית לתפקיד, אשר הובילו אותם שלא לבחור בבן משפחה מסוים למיופה הכוח, ולהעדיף על פניו בן משפחה אחר (מקרבה ראשונה, או ממעגלים משפחתיים רחבים יותר), או אפילו אדם שאיננו בן משפחה. אי-נאותות ערכית לתפקיד באה לידי ביטוי בראיונות במצבים שבהם התקיימו פערים מהותיים ועקרוניים בתפיסות העולם ובערכים בין הממנה לבין מי מבני משפחתו</w:t>
      </w:r>
      <w:r w:rsidRPr="0042081B">
        <w:rPr>
          <w:rFonts w:ascii="Georgia" w:hAnsi="Georgia"/>
          <w:sz w:val="18"/>
          <w:szCs w:val="20"/>
        </w:rPr>
        <w:t xml:space="preserve"> </w:t>
      </w:r>
      <w:r w:rsidRPr="0042081B">
        <w:rPr>
          <w:rFonts w:ascii="Georgia" w:hAnsi="Georgia" w:hint="cs"/>
          <w:sz w:val="18"/>
          <w:szCs w:val="20"/>
          <w:rtl/>
        </w:rPr>
        <w:t xml:space="preserve">מקרבה ראשונה. כך, למשל, אחד המרואיינים סיפר כי עשה את ייפוי הכוח המתמשך מאחר שאשתו, שחזרה בתשובה, כבר איננה חולקת </w:t>
      </w:r>
      <w:proofErr w:type="spellStart"/>
      <w:r w:rsidRPr="0042081B">
        <w:rPr>
          <w:rFonts w:ascii="Georgia" w:hAnsi="Georgia" w:hint="cs"/>
          <w:sz w:val="18"/>
          <w:szCs w:val="20"/>
          <w:rtl/>
        </w:rPr>
        <w:t>איתו</w:t>
      </w:r>
      <w:proofErr w:type="spellEnd"/>
      <w:r w:rsidRPr="0042081B">
        <w:rPr>
          <w:rFonts w:ascii="Georgia" w:hAnsi="Georgia" w:hint="cs"/>
          <w:sz w:val="18"/>
          <w:szCs w:val="20"/>
          <w:rtl/>
        </w:rPr>
        <w:t xml:space="preserve"> את אותו עולם ערכים, והשקפותיה כיום שונות מאוד משלו:</w:t>
      </w:r>
    </w:p>
    <w:p w14:paraId="385EDE7B"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השתכנענו ועשינו את זה בגלל צורת החיים שלנו, בגלל מהפכים שהיו בתוך הבית, שזה אומר שאשתי לפני עשר, יותר, משהו כזה, עשר שנים, התחרדה. היינו חילונים לחלוטין ובאיזה שהוא מקום, אחרי כמה שנים שזה קרה, כל מיני דברים אצלי השתנו, ומה שהיא מבינה לגבי העתיד זה לא בדרך שלי (מרואיין 2, בן 74).</w:t>
      </w:r>
    </w:p>
    <w:p w14:paraId="2A89E65B"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המרואיין ביקש להבטיח שאם יאבד את כשירותו, החלטות עתידיות בעניינו יתקבלו בהתאם לרצונותיו ולערכיו. לפיכך לא מינה לתפקיד את אשתו אלא את בתו, ובעניינים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מינה גם חבר טוב, בעל מומחיות בענייני כספים. </w:t>
      </w:r>
    </w:p>
    <w:p w14:paraId="07570A74"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אי-נאותות פונקציונלית באה לידי ביטוי בראיונות במצבים שבהם המרואיינים סברו שמי מבני משפחתם מקרבה ראשונה יתקשה עד מאוד למלא את תפקיד מיופה הכוח, בכל או בחלק מהעניינים שהכלי מאפשר להסדיר (קרי: 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רפואיים ואישיים). כך, למשל, מרואיינת שעמדה על כך שילדיה יתקשו מאוד לנהל את ענייניה הכלכליים אם יצטרכו לעשות זאת, בחרה שלא למנותם לתפקיד, והסבירה:</w:t>
      </w:r>
    </w:p>
    <w:p w14:paraId="3138AC0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hint="cs"/>
          <w:sz w:val="18"/>
          <w:szCs w:val="20"/>
          <w:rtl/>
        </w:rPr>
        <w:t>לא שאני לא סומכת על הילדים שלי בשיקולים איך לטפל בי ומה לעשות, כאילו גם בחוויה שלי, אם קורה לי משהו מאוד מטפלים בי, ומאוד עוזרים לי. אין לי חוויה כזאת שאני, שהם לא יטפלו בי. כן יש לי, ברור לי שהם לא יעמדו בניהול, בניהול הכספי (מרואיינת 10, בת 71).</w:t>
      </w:r>
    </w:p>
    <w:p w14:paraId="662B6E1D"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ואילו מרואיינת אחרת הסבירה את בחירתה למנות למיופה כוח יחיד לעניינים הרפואיים את בנה, מאחר שבתה תתקשה להתמודד עם קבלת החלטות רפואיות בעניינה של האם: "</w:t>
      </w:r>
      <w:r w:rsidRPr="0042081B">
        <w:rPr>
          <w:rFonts w:ascii="Georgia" w:hAnsi="Georgia"/>
          <w:sz w:val="18"/>
          <w:szCs w:val="20"/>
          <w:rtl/>
        </w:rPr>
        <w:t xml:space="preserve">הבן </w:t>
      </w:r>
      <w:r w:rsidRPr="0042081B">
        <w:rPr>
          <w:rFonts w:ascii="Georgia" w:hAnsi="Georgia"/>
          <w:sz w:val="18"/>
          <w:szCs w:val="20"/>
          <w:rtl/>
        </w:rPr>
        <w:lastRenderedPageBreak/>
        <w:t>שלי אחראי על זה, כי הבת שלי התחילה לבכות</w:t>
      </w:r>
      <w:r w:rsidRPr="0042081B">
        <w:rPr>
          <w:rFonts w:ascii="Georgia" w:hAnsi="Georgia" w:hint="cs"/>
          <w:sz w:val="18"/>
          <w:szCs w:val="20"/>
          <w:rtl/>
        </w:rPr>
        <w:t>,</w:t>
      </w:r>
      <w:r w:rsidRPr="0042081B">
        <w:rPr>
          <w:rFonts w:ascii="Georgia" w:hAnsi="Georgia"/>
          <w:sz w:val="18"/>
          <w:szCs w:val="20"/>
          <w:rtl/>
        </w:rPr>
        <w:t xml:space="preserve"> חס ושלום לא לדבר על הבריאות שלי</w:t>
      </w:r>
      <w:r w:rsidRPr="0042081B">
        <w:rPr>
          <w:rFonts w:ascii="Georgia" w:hAnsi="Georgia" w:hint="cs"/>
          <w:sz w:val="18"/>
          <w:szCs w:val="20"/>
          <w:rtl/>
        </w:rPr>
        <w:t>" (מרואיינת 3, בת 73).</w:t>
      </w:r>
    </w:p>
    <w:p w14:paraId="2B2C40E1"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בהקשר זה יצוין כי ניכר היה שבאותם מקרים שבהם מרואיינים נמנעו ממינוי של בני משפחה מקרבה ראשונה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מטעם של אי-נאותות פונקציונלית, שירתה הימנעות זו תפקיד כפול: אפשרות יישומו של ייפוי הכוח המתמשך בהתאם לרצונותיו של הממנה מחד גיסא, והקלה על בני המשפחה מאידך גיסא. </w:t>
      </w:r>
    </w:p>
    <w:p w14:paraId="16C564D8" w14:textId="77777777" w:rsidR="008B5BE0" w:rsidRPr="0042081B" w:rsidRDefault="008B5BE0" w:rsidP="0042081B">
      <w:pPr>
        <w:spacing w:after="180" w:line="280" w:lineRule="exact"/>
        <w:jc w:val="both"/>
        <w:rPr>
          <w:rFonts w:ascii="Georgia" w:hAnsi="Georgia"/>
          <w:sz w:val="18"/>
          <w:szCs w:val="20"/>
          <w:rtl/>
        </w:rPr>
      </w:pPr>
    </w:p>
    <w:p w14:paraId="5BC1B242" w14:textId="6B0383C1"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שיקולים כלליים של התאמה לתפקיד</w:t>
      </w:r>
    </w:p>
    <w:p w14:paraId="30E0627F" w14:textId="77777777" w:rsidR="0042081B" w:rsidRDefault="0042081B" w:rsidP="008B5BE0">
      <w:pPr>
        <w:spacing w:after="180" w:line="280" w:lineRule="exact"/>
        <w:jc w:val="both"/>
        <w:rPr>
          <w:rFonts w:ascii="Georgia" w:hAnsi="Georgia"/>
          <w:sz w:val="18"/>
          <w:szCs w:val="20"/>
          <w:rtl/>
        </w:rPr>
      </w:pPr>
      <w:r w:rsidRPr="0042081B">
        <w:rPr>
          <w:rFonts w:ascii="Georgia" w:hAnsi="Georgia" w:hint="cs"/>
          <w:sz w:val="18"/>
          <w:szCs w:val="20"/>
          <w:rtl/>
        </w:rPr>
        <w:t xml:space="preserve">התמה השנייה שעלתה מהראיונות בנוגע לסוגיית </w:t>
      </w:r>
      <w:r w:rsidRPr="008B5BE0">
        <w:rPr>
          <w:rFonts w:ascii="Georgia" w:hAnsi="Georgia" w:hint="cs"/>
          <w:sz w:val="18"/>
          <w:szCs w:val="20"/>
          <w:rtl/>
        </w:rPr>
        <w:t>הבחירה</w:t>
      </w:r>
      <w:r w:rsidRPr="0042081B">
        <w:rPr>
          <w:rFonts w:ascii="Georgia" w:hAnsi="Georgia" w:hint="cs"/>
          <w:sz w:val="18"/>
          <w:szCs w:val="20"/>
          <w:rtl/>
        </w:rPr>
        <w:t xml:space="preserve"> של מיופה הכוח עסקה בשיקולי ההתאמה לתפקיד. הגם ששיקולים אלה עלו ברוב המקרים בהקשר של מינוי בני משפחה לתפקיד, הרי בסופו של דבר אלה הם שיקולים כלליים שאינם קשורים בהכרח למינוי של בני המשפחה לתפקיד, אלא משמשים אינדיקציה ליכולתו של מיופה הכוח הנבחר לבצע את התפקיד באופן מיטבי. בהקשר זה בלטו בדברי המרואיינים האמון ביכולתו של מיופה הכוח הנבחר לפעול בהתאם להוראות הממנה ולרצונותיו, תכונות </w:t>
      </w:r>
      <w:r w:rsidRPr="008B5BE0">
        <w:rPr>
          <w:rFonts w:ascii="Georgia" w:hAnsi="Georgia" w:hint="cs"/>
          <w:sz w:val="18"/>
          <w:szCs w:val="20"/>
          <w:rtl/>
        </w:rPr>
        <w:t xml:space="preserve">ומאפיינים של מיופי הכוח הנבחרים, והעדפה למינוי של יותר ממיופה כוח אחד. </w:t>
      </w:r>
    </w:p>
    <w:p w14:paraId="31D8D38D" w14:textId="77777777" w:rsidR="008B5BE0" w:rsidRPr="008B5BE0" w:rsidRDefault="008B5BE0" w:rsidP="008B5BE0">
      <w:pPr>
        <w:spacing w:after="180" w:line="280" w:lineRule="exact"/>
        <w:jc w:val="both"/>
        <w:rPr>
          <w:rFonts w:ascii="Georgia" w:hAnsi="Georgia"/>
          <w:sz w:val="18"/>
          <w:szCs w:val="20"/>
          <w:rtl/>
        </w:rPr>
      </w:pPr>
    </w:p>
    <w:p w14:paraId="2B2F77C8" w14:textId="571F7B3A"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יכולתו של מיופה הכוח לפעול בהתאם להוראות הממנה ולרצונותיו</w:t>
      </w:r>
    </w:p>
    <w:p w14:paraId="5712FEBC"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מן הראיונות עולה כי שיקול מרכזי בבחירת מיופה הכוח העתידי היה האמון ביכולתו לפעול בהתאם להוראות הממנה בייפוי הכוח המתמשך, ובכך לממש את רצונותיו. שיקול זה מודגם בדברים אלה: "</w:t>
      </w:r>
      <w:r w:rsidRPr="0042081B">
        <w:rPr>
          <w:rFonts w:ascii="Georgia" w:hAnsi="Georgia"/>
          <w:sz w:val="18"/>
          <w:szCs w:val="20"/>
          <w:rtl/>
        </w:rPr>
        <w:t>אני סומכת מאוד על הבנים שלי שהם יעשו מה שאני, מה שביקשתי. ולכן אני</w:t>
      </w:r>
      <w:r w:rsidRPr="0042081B">
        <w:rPr>
          <w:rFonts w:ascii="Georgia" w:hAnsi="Georgia" w:hint="cs"/>
          <w:sz w:val="18"/>
          <w:szCs w:val="20"/>
          <w:rtl/>
        </w:rPr>
        <w:t xml:space="preserve">, </w:t>
      </w:r>
      <w:r w:rsidRPr="0042081B">
        <w:rPr>
          <w:rFonts w:ascii="Georgia" w:hAnsi="Georgia"/>
          <w:sz w:val="18"/>
          <w:szCs w:val="20"/>
          <w:rtl/>
        </w:rPr>
        <w:t>יש לי</w:t>
      </w:r>
      <w:r w:rsidRPr="0042081B">
        <w:rPr>
          <w:rFonts w:ascii="Georgia" w:hAnsi="Georgia" w:hint="cs"/>
          <w:sz w:val="18"/>
          <w:szCs w:val="20"/>
          <w:rtl/>
        </w:rPr>
        <w:t xml:space="preserve">, </w:t>
      </w:r>
      <w:r w:rsidRPr="0042081B">
        <w:rPr>
          <w:rFonts w:ascii="Georgia" w:hAnsi="Georgia"/>
          <w:sz w:val="18"/>
          <w:szCs w:val="20"/>
          <w:rtl/>
        </w:rPr>
        <w:t>אני בטוחה</w:t>
      </w:r>
      <w:r w:rsidRPr="0042081B">
        <w:rPr>
          <w:rFonts w:ascii="Georgia" w:hAnsi="Georgia" w:hint="cs"/>
          <w:sz w:val="18"/>
          <w:szCs w:val="20"/>
          <w:rtl/>
        </w:rPr>
        <w:t>,</w:t>
      </w:r>
      <w:r w:rsidRPr="0042081B">
        <w:rPr>
          <w:rFonts w:ascii="Georgia" w:hAnsi="Georgia"/>
          <w:sz w:val="18"/>
          <w:szCs w:val="20"/>
          <w:rtl/>
        </w:rPr>
        <w:t xml:space="preserve"> אז אין לי חשש. לא. אני יודעת שזה יהיה להם מאוד מאוד קשה, הם יעשו את זה</w:t>
      </w:r>
      <w:r w:rsidRPr="0042081B">
        <w:rPr>
          <w:rFonts w:ascii="Georgia" w:hAnsi="Georgia" w:hint="cs"/>
          <w:sz w:val="18"/>
          <w:szCs w:val="20"/>
          <w:rtl/>
        </w:rPr>
        <w:t xml:space="preserve">" (מרואיינת 5, בת 75). המרואיינת, אלמנה שמינתה את שני בניה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כוחה, ציינה בדבריה את החשיבות שהיא מייחסת לכך שמיופי כוחה יפעלו בהתאם לרצונותיה, בעיקר בהקשרים הרפואיים של ייפוי הכוח המתמשך, ולאמון שיש לה בבניה שיעשו זאת על אף הקושי הכרוך בכך עבורם. </w:t>
      </w:r>
    </w:p>
    <w:p w14:paraId="0EC34C4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לעיתים, כמודגם לעיל, הציפייה שהובעה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שמיופי הכוח יפעלו בהתאם להנחיות הממנה כפי שהללו ניתנו במסגרת ייפוי הכוח המתמשך. לעיתים הציפייה שהביעו המרואיינים בהקשר זה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מורכבת יותר, וטמנה בחובה צורך בהיכרות ממשית ואינטימית עם הממנה, כפי שעלה, למשל, מדבריו של מרואיין אחר: "אני מבין שאני צריך לתת לו הנחיות איך אני רוצה לראות אותו מתנהג כשאני במצב שאני לא מסוגל לקבל החלטות. זאת אומרת, כמובן שהוא, שהוא יפרש את החיים בצורה הוגנת כמו שאני, כמו שאני מבין" (מרואיין 14, בן 73). היכולת הנדרשת ממיופה הכוח, כפי שהיא עולה מדבריו של מרואיין זה, אינה רק </w:t>
      </w:r>
      <w:r w:rsidRPr="0042081B">
        <w:rPr>
          <w:rFonts w:ascii="Georgia" w:hAnsi="Georgia" w:hint="cs"/>
          <w:sz w:val="18"/>
          <w:szCs w:val="20"/>
          <w:rtl/>
        </w:rPr>
        <w:lastRenderedPageBreak/>
        <w:t>למלא הוראות מפורשות בעניין כזה או אחר, אלא גם לזהות מה היה הממנה מחליט בסיטואציה מסוימת לו היה כשיר לעשות כן, לאור ערכיו והשקפת עולמו.</w:t>
      </w:r>
    </w:p>
    <w:p w14:paraId="75526C20"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לעניין שיקול זה יוער עוד כי היו מרואיינים שציינו שאם מיופי כוחם לא יפעלו בהתאם לרצונותיהם במקרה שיופעל ייפוי הכוח המתמשך, הם יראו בכך כישלון של המסמך. </w:t>
      </w:r>
    </w:p>
    <w:p w14:paraId="23B14861" w14:textId="77777777" w:rsidR="008B5BE0" w:rsidRPr="0042081B" w:rsidRDefault="008B5BE0" w:rsidP="0042081B">
      <w:pPr>
        <w:spacing w:after="180" w:line="280" w:lineRule="exact"/>
        <w:jc w:val="both"/>
        <w:rPr>
          <w:rFonts w:ascii="Georgia" w:hAnsi="Georgia"/>
          <w:sz w:val="18"/>
          <w:szCs w:val="20"/>
          <w:rtl/>
        </w:rPr>
      </w:pPr>
    </w:p>
    <w:p w14:paraId="760AFF22" w14:textId="6DC74932"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תכונות ומאפיינים של מיופי הכוח הנבחרים</w:t>
      </w:r>
    </w:p>
    <w:p w14:paraId="1EEAB0C4" w14:textId="3C9B522E" w:rsidR="0042081B" w:rsidRPr="0042081B" w:rsidRDefault="0042081B" w:rsidP="00285EC6">
      <w:pPr>
        <w:spacing w:after="180" w:line="280" w:lineRule="exact"/>
        <w:jc w:val="both"/>
        <w:rPr>
          <w:rFonts w:ascii="Georgia" w:hAnsi="Georgia"/>
          <w:sz w:val="18"/>
          <w:szCs w:val="20"/>
          <w:rtl/>
        </w:rPr>
      </w:pPr>
      <w:r w:rsidRPr="0042081B">
        <w:rPr>
          <w:rFonts w:ascii="Georgia" w:hAnsi="Georgia" w:hint="cs"/>
          <w:sz w:val="18"/>
          <w:szCs w:val="20"/>
          <w:rtl/>
        </w:rPr>
        <w:t xml:space="preserve">המרואיינים התייחסו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שבחרו באמצעות ציון תכונות דוגמת אחריות, יושרה ואמינות. הבחירה בתכונות אלה לתיאור מיופי הכוח עלתה בקנה אחד עם האמון הרב שנותנים המרואיינים במי שהם בחרו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לצד זאת, הראיונות חשפו שלושה מאפיינים נוספים שהשפיעו על הבחירה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תחומי מומחיות רלוונטיי</w:t>
      </w:r>
      <w:r w:rsidRPr="0042081B">
        <w:rPr>
          <w:rFonts w:ascii="Georgia" w:hAnsi="Georgia" w:hint="eastAsia"/>
          <w:sz w:val="18"/>
          <w:szCs w:val="20"/>
          <w:rtl/>
        </w:rPr>
        <w:t>ם</w:t>
      </w:r>
      <w:r w:rsidRPr="0042081B">
        <w:rPr>
          <w:rFonts w:ascii="Georgia" w:hAnsi="Georgia" w:hint="cs"/>
          <w:sz w:val="18"/>
          <w:szCs w:val="20"/>
          <w:rtl/>
        </w:rPr>
        <w:t xml:space="preserve">; העדפה למגורים בקרבה גיאוגרפית; והעדפה לבחירת באדם שכבר כיום מסייע לממנה. </w:t>
      </w:r>
    </w:p>
    <w:p w14:paraId="2C8C1AF5" w14:textId="374F3E73" w:rsidR="0042081B" w:rsidRPr="0042081B" w:rsidRDefault="0042081B" w:rsidP="00285EC6">
      <w:pPr>
        <w:spacing w:after="180" w:line="280" w:lineRule="exact"/>
        <w:jc w:val="both"/>
        <w:rPr>
          <w:rFonts w:ascii="Georgia" w:hAnsi="Georgia"/>
          <w:sz w:val="18"/>
          <w:szCs w:val="20"/>
          <w:rtl/>
        </w:rPr>
      </w:pPr>
      <w:r w:rsidRPr="0042081B">
        <w:rPr>
          <w:rFonts w:ascii="Georgia" w:hAnsi="Georgia" w:hint="cs"/>
          <w:sz w:val="18"/>
          <w:szCs w:val="20"/>
          <w:rtl/>
        </w:rPr>
        <w:t>מומחיות רלוונטית של מיופה הכוח העתידי הוזכרה לא אחת כשיקול בבחירתו. כך, למשל, סיפרה אחת המרואיינות מה השיבה לחברתה ששיתפה אותה בהתלבטות במי מילדיה לבחור למיופה כוחה אם תעשה ייפוי כוח מתמשך:</w:t>
      </w:r>
    </w:p>
    <w:p w14:paraId="15F2F4FC"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את יכולה להטיל על כל אחד במה שהוא מבין. יש לך בן כלכלן, תטילי עליו את הנושא הכלכלי. יש לך בת שהיא אחות והיא רופאה, תטילי את הנושא הרפואי. את יכולה לעשות גם חלוקה. את גם יכולה להטיל, לדעתי, על כולם יחד. אבל אז, עוד פעם דין ודב</w:t>
      </w:r>
      <w:r w:rsidRPr="0042081B">
        <w:rPr>
          <w:rFonts w:ascii="Georgia" w:hAnsi="Georgia" w:hint="cs"/>
          <w:sz w:val="18"/>
          <w:szCs w:val="20"/>
          <w:rtl/>
        </w:rPr>
        <w:t>רים (מרואיינת 4, בת 73).</w:t>
      </w:r>
    </w:p>
    <w:p w14:paraId="24AD2211"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בהתאם לכך, המרואיינת ציינה בדבריה כי הרקע הרפואי של בתה היה שיקול למינויה </w:t>
      </w:r>
      <w:proofErr w:type="spellStart"/>
      <w:r w:rsidRPr="0042081B">
        <w:rPr>
          <w:rFonts w:ascii="Georgia" w:hAnsi="Georgia" w:hint="cs"/>
          <w:sz w:val="18"/>
          <w:szCs w:val="20"/>
          <w:rtl/>
        </w:rPr>
        <w:t>למיופת</w:t>
      </w:r>
      <w:proofErr w:type="spellEnd"/>
      <w:r w:rsidRPr="0042081B">
        <w:rPr>
          <w:rFonts w:ascii="Georgia" w:hAnsi="Georgia" w:hint="cs"/>
          <w:sz w:val="18"/>
          <w:szCs w:val="20"/>
          <w:rtl/>
        </w:rPr>
        <w:t xml:space="preserve"> כוח בהקשרים הרפואיים. עוד עלה מדבריה כי בחירה במיופה כוח לממונה בתחום מסוים שיש לו מומחיות בו עשויה להיות אסטרטגיה למניעת חילוקי דעות עתידיים בין בני המשפחה, על רקע הצורך בקבלת החלטות עבור הממנה אם יופעל ייפוי הכוח המתמשך. </w:t>
      </w:r>
    </w:p>
    <w:p w14:paraId="2100BAB2"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הראיונות הצביעו על הבדל מסוים בין מינוי מיופה כוח לתחום </w:t>
      </w:r>
      <w:proofErr w:type="spellStart"/>
      <w:r w:rsidRPr="0042081B">
        <w:rPr>
          <w:rFonts w:ascii="Georgia" w:hAnsi="Georgia" w:hint="cs"/>
          <w:sz w:val="18"/>
          <w:szCs w:val="20"/>
          <w:rtl/>
        </w:rPr>
        <w:t>הרכושי</w:t>
      </w:r>
      <w:proofErr w:type="spellEnd"/>
      <w:r w:rsidRPr="0042081B">
        <w:rPr>
          <w:rFonts w:ascii="Georgia" w:hAnsi="Georgia" w:hint="cs"/>
          <w:sz w:val="18"/>
          <w:szCs w:val="20"/>
          <w:rtl/>
        </w:rPr>
        <w:t xml:space="preserve"> לבין מינוי מיופה כוח לעניינים רפואיים. בהקשרים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היו מרואיינים שהעדיפו למנות למיופה כוח אדם בעל מומחיות והבנה בענייני כספים, גם אם הוא איננו בן משפחה מקרבה ראשונה. כך, למשל, הסביר אחד המרואיינים כי בהקשר </w:t>
      </w:r>
      <w:proofErr w:type="spellStart"/>
      <w:r w:rsidRPr="0042081B">
        <w:rPr>
          <w:rFonts w:ascii="Georgia" w:hAnsi="Georgia" w:hint="cs"/>
          <w:sz w:val="18"/>
          <w:szCs w:val="20"/>
          <w:rtl/>
        </w:rPr>
        <w:t>הרכושי</w:t>
      </w:r>
      <w:proofErr w:type="spellEnd"/>
      <w:r w:rsidRPr="0042081B">
        <w:rPr>
          <w:rFonts w:ascii="Georgia" w:hAnsi="Georgia" w:hint="cs"/>
          <w:sz w:val="18"/>
          <w:szCs w:val="20"/>
          <w:rtl/>
        </w:rPr>
        <w:t xml:space="preserve"> הוא מינה לצד בתו גם חבר קרוב בעל מומחיות בענייני כספים, הגם שילדיו הביעו מורת רוח ממינויו של אדם שאיננו בן משפחה לתפקיד. עם זאת, המרואיין הקפיד לציין כי בעניינים הרפואיים הוא הותיר את קבלת ההחלטות "בתוך המשפחה":</w:t>
      </w:r>
    </w:p>
    <w:p w14:paraId="3407144F" w14:textId="77777777" w:rsidR="0042081B" w:rsidRPr="008B5BE0" w:rsidRDefault="0042081B" w:rsidP="008B5BE0">
      <w:pPr>
        <w:spacing w:after="180"/>
        <w:ind w:left="567"/>
        <w:jc w:val="both"/>
        <w:rPr>
          <w:rFonts w:ascii="Georgia" w:hAnsi="Georgia"/>
          <w:spacing w:val="-2"/>
          <w:sz w:val="18"/>
          <w:szCs w:val="20"/>
          <w:rtl/>
        </w:rPr>
      </w:pPr>
      <w:r w:rsidRPr="008B5BE0">
        <w:rPr>
          <w:rFonts w:ascii="Georgia" w:hAnsi="Georgia"/>
          <w:spacing w:val="-2"/>
          <w:sz w:val="18"/>
          <w:szCs w:val="20"/>
          <w:rtl/>
        </w:rPr>
        <w:t>אולי הילדים אמרו איזה מילה או משהו. אחד הדברים, אמרתי לך</w:t>
      </w:r>
      <w:r w:rsidRPr="008B5BE0">
        <w:rPr>
          <w:rFonts w:ascii="Georgia" w:hAnsi="Georgia" w:hint="cs"/>
          <w:spacing w:val="-2"/>
          <w:sz w:val="18"/>
          <w:szCs w:val="20"/>
          <w:rtl/>
        </w:rPr>
        <w:t>,</w:t>
      </w:r>
      <w:r w:rsidRPr="008B5BE0">
        <w:rPr>
          <w:rFonts w:ascii="Georgia" w:hAnsi="Georgia"/>
          <w:spacing w:val="-2"/>
          <w:sz w:val="18"/>
          <w:szCs w:val="20"/>
          <w:rtl/>
        </w:rPr>
        <w:t xml:space="preserve"> שהפריע להם, שכאילו החבר שלנו, החבר שלי ביחד איתם, אבל רק בקטעים שנוגעים לכלכלה וכספים וכאלה דברים, לא בשום שטח מעבר לזה כשסך </w:t>
      </w:r>
      <w:proofErr w:type="spellStart"/>
      <w:r w:rsidRPr="008B5BE0">
        <w:rPr>
          <w:rFonts w:ascii="Georgia" w:hAnsi="Georgia"/>
          <w:spacing w:val="-2"/>
          <w:sz w:val="18"/>
          <w:szCs w:val="20"/>
          <w:rtl/>
        </w:rPr>
        <w:t>הכל</w:t>
      </w:r>
      <w:proofErr w:type="spellEnd"/>
      <w:r w:rsidRPr="008B5BE0">
        <w:rPr>
          <w:rFonts w:ascii="Georgia" w:hAnsi="Georgia"/>
          <w:spacing w:val="-2"/>
          <w:sz w:val="18"/>
          <w:szCs w:val="20"/>
          <w:rtl/>
        </w:rPr>
        <w:t xml:space="preserve"> היותר חמור זה כל מה שמעבר</w:t>
      </w:r>
      <w:r w:rsidRPr="008B5BE0">
        <w:rPr>
          <w:rFonts w:ascii="Georgia" w:hAnsi="Georgia" w:hint="cs"/>
          <w:spacing w:val="-2"/>
          <w:sz w:val="18"/>
          <w:szCs w:val="20"/>
          <w:rtl/>
        </w:rPr>
        <w:t>,</w:t>
      </w:r>
      <w:r w:rsidRPr="008B5BE0">
        <w:rPr>
          <w:rFonts w:ascii="Georgia" w:hAnsi="Georgia"/>
          <w:spacing w:val="-2"/>
          <w:sz w:val="18"/>
          <w:szCs w:val="20"/>
          <w:rtl/>
        </w:rPr>
        <w:t xml:space="preserve"> וזה כאילו עליהם </w:t>
      </w:r>
      <w:r w:rsidRPr="008B5BE0">
        <w:rPr>
          <w:rFonts w:ascii="Georgia" w:hAnsi="Georgia" w:hint="cs"/>
          <w:spacing w:val="-2"/>
          <w:sz w:val="18"/>
          <w:szCs w:val="20"/>
          <w:rtl/>
        </w:rPr>
        <w:t>ה</w:t>
      </w:r>
      <w:r w:rsidRPr="008B5BE0">
        <w:rPr>
          <w:rFonts w:ascii="Georgia" w:hAnsi="Georgia"/>
          <w:spacing w:val="-2"/>
          <w:sz w:val="18"/>
          <w:szCs w:val="20"/>
          <w:rtl/>
        </w:rPr>
        <w:t>נושא הבריאותי, החיים, ההחלטות</w:t>
      </w:r>
      <w:r w:rsidRPr="008B5BE0">
        <w:rPr>
          <w:rFonts w:ascii="Georgia" w:hAnsi="Georgia" w:hint="cs"/>
          <w:spacing w:val="-2"/>
          <w:sz w:val="18"/>
          <w:szCs w:val="20"/>
          <w:rtl/>
        </w:rPr>
        <w:t xml:space="preserve"> (מרואיין 2, בן 74).</w:t>
      </w:r>
    </w:p>
    <w:p w14:paraId="0EA2E5C8"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lastRenderedPageBreak/>
        <w:t xml:space="preserve">העדפת מיופה כוח המתגורר בקרבה גיאוגרפית לממנה עלתה גם היא מהראיונות כשיקול רלוונטי בתהליך הבחירה. בהקשר זה, היו מרואיינים שסיפרו כי מגורים של מי מילדיהם בחו"ל היוו חסם למינוים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העתידיים.</w:t>
      </w:r>
    </w:p>
    <w:p w14:paraId="1A55DD49"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ההעדפה לבחירה באדם שכבר כיום מסייע לממנה עלתה בראיונות הן כשיקול לבחירת מיופה הכוח מבין בני המשפחה מקרבה ראשונה, הן למינוי מיופה כוח שאיננו בן משפחה מקרבה ראשונה. מרואיינים שהתייחסו לכך תיארו סיוע אינסטרומנטלי, תמיכה רגשית או ייעוץ, בעיקר בעניינים כספיים. הסיוע שמספק כבר כיום מיופה הכוח הנבחר לממנה היווה עבור מרואיינים אלה אינדיקציה ליכולתו ולנכונותו למלא את התפקיד, אם יופעל ייפוי הכוח המתמשך. </w:t>
      </w:r>
    </w:p>
    <w:p w14:paraId="6E466E20" w14:textId="77777777" w:rsidR="008B5BE0" w:rsidRPr="0042081B" w:rsidRDefault="008B5BE0" w:rsidP="0042081B">
      <w:pPr>
        <w:spacing w:after="180" w:line="280" w:lineRule="exact"/>
        <w:jc w:val="both"/>
        <w:rPr>
          <w:rFonts w:ascii="Georgia" w:hAnsi="Georgia"/>
          <w:sz w:val="18"/>
          <w:szCs w:val="20"/>
          <w:rtl/>
        </w:rPr>
      </w:pPr>
    </w:p>
    <w:p w14:paraId="6B16F2C3" w14:textId="114FEDF1" w:rsidR="0042081B" w:rsidRPr="008B5BE0" w:rsidRDefault="0042081B" w:rsidP="008B5BE0">
      <w:pPr>
        <w:keepNext/>
        <w:keepLines/>
        <w:spacing w:line="280" w:lineRule="exact"/>
        <w:jc w:val="both"/>
        <w:outlineLvl w:val="3"/>
        <w:rPr>
          <w:b/>
          <w:bCs/>
          <w:color w:val="BA2A16"/>
          <w:sz w:val="20"/>
          <w:szCs w:val="22"/>
          <w:rtl/>
        </w:rPr>
      </w:pPr>
      <w:r w:rsidRPr="008B5BE0">
        <w:rPr>
          <w:rFonts w:hint="cs"/>
          <w:b/>
          <w:bCs/>
          <w:color w:val="BA2A16"/>
          <w:sz w:val="20"/>
          <w:szCs w:val="22"/>
          <w:rtl/>
        </w:rPr>
        <w:t>העדפה למינוי של יותר ממיופה כוח אחד</w:t>
      </w:r>
    </w:p>
    <w:p w14:paraId="6A6C1A59"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הראיונות גילו העדפה ברורה של המרואיינים למינוי של יותר ממיופה כוח אחד במסגרת ייפוי הכוח המתמשך (13 מתוך 16 מן המשתתפים מינו יותר ממיופה כוח אחד), וכן כמה נימוקים עיקריים להעדפה זו. הנימוק האחד היה נעוץ בשיקולי מומחיות של מיופה הכוח הנוסף, כאמור לעיל. כך, שניים מהמרואיינים מינו </w:t>
      </w:r>
      <w:r w:rsidRPr="0042081B">
        <w:rPr>
          <w:rFonts w:ascii="Georgia" w:hAnsi="Georgia" w:hint="eastAsia"/>
          <w:sz w:val="18"/>
          <w:szCs w:val="20"/>
          <w:rtl/>
        </w:rPr>
        <w:t>–</w:t>
      </w:r>
      <w:r w:rsidRPr="0042081B">
        <w:rPr>
          <w:rFonts w:ascii="Georgia" w:hAnsi="Georgia" w:hint="cs"/>
          <w:sz w:val="18"/>
          <w:szCs w:val="20"/>
          <w:rtl/>
        </w:rPr>
        <w:t xml:space="preserve"> לצד בני משפחה מקרבה ראשונה </w:t>
      </w:r>
      <w:r w:rsidRPr="0042081B">
        <w:rPr>
          <w:rFonts w:ascii="Georgia" w:hAnsi="Georgia" w:hint="eastAsia"/>
          <w:sz w:val="18"/>
          <w:szCs w:val="20"/>
          <w:rtl/>
        </w:rPr>
        <w:t>–</w:t>
      </w:r>
      <w:r w:rsidRPr="0042081B">
        <w:rPr>
          <w:rFonts w:ascii="Georgia" w:hAnsi="Georgia" w:hint="cs"/>
          <w:sz w:val="18"/>
          <w:szCs w:val="20"/>
          <w:rtl/>
        </w:rPr>
        <w:t xml:space="preserve"> גם מיופה כוח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שאיננו מקרבה ראשונה, בשל מומחיותו והבנתו בענייני כספים. </w:t>
      </w:r>
    </w:p>
    <w:p w14:paraId="503BBDB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השני התייחס לכך שמינוי של כמה מיופי כוח יאפשר קבלת החלטות משותפת שתהיה טובה יותר עבור הממנה. כפי שסיפרה אחת המרואיינות:</w:t>
      </w:r>
    </w:p>
    <w:p w14:paraId="1EEB1411" w14:textId="77777777" w:rsidR="0042081B" w:rsidRPr="0042081B" w:rsidRDefault="0042081B" w:rsidP="008B5BE0">
      <w:pPr>
        <w:spacing w:after="180"/>
        <w:ind w:left="567"/>
        <w:jc w:val="both"/>
        <w:rPr>
          <w:rFonts w:ascii="Georgia" w:hAnsi="Georgia"/>
          <w:sz w:val="18"/>
          <w:szCs w:val="20"/>
          <w:rtl/>
        </w:rPr>
      </w:pPr>
      <w:r w:rsidRPr="0042081B">
        <w:rPr>
          <w:rFonts w:ascii="Georgia" w:hAnsi="Georgia"/>
          <w:sz w:val="18"/>
          <w:szCs w:val="20"/>
          <w:rtl/>
        </w:rPr>
        <w:t>היה לי חשוב שהם יקבלו את זה ביחד, לא כי הם לא סומכים אחד על השני, כי שניים זה תמיד יותר מאחד. והיות שהם שניהם מאוד, אני מאוד אובייקטיבית [צוחקת], שניהם מאוד חכמים, ובאמת כל אחד רואה זווית אחרת ומציע דברים</w:t>
      </w:r>
      <w:r w:rsidRPr="0042081B">
        <w:rPr>
          <w:rFonts w:ascii="Georgia" w:hAnsi="Georgia" w:hint="cs"/>
          <w:sz w:val="18"/>
          <w:szCs w:val="20"/>
          <w:rtl/>
        </w:rPr>
        <w:t xml:space="preserve"> (מרואיינת 9, בת 72). </w:t>
      </w:r>
    </w:p>
    <w:p w14:paraId="3B6D952F"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השלישי התייחס למינוי של יותר ממיופה כוח אחד כאסטרטגיה המונעת ריכוז של כלל הסמכויות בידיו של אדם אחד, ומצמצמת את הסיכון לניצולו של הכלי לרעה.</w:t>
      </w:r>
      <w:r w:rsidRPr="0042081B">
        <w:rPr>
          <w:rStyle w:val="FootnoteReference"/>
          <w:rFonts w:ascii="Georgia" w:hAnsi="Georgia"/>
          <w:sz w:val="18"/>
          <w:szCs w:val="20"/>
          <w:rtl/>
        </w:rPr>
        <w:footnoteReference w:id="19"/>
      </w:r>
      <w:r w:rsidRPr="0042081B">
        <w:rPr>
          <w:rFonts w:ascii="Georgia" w:hAnsi="Georgia" w:hint="cs"/>
          <w:sz w:val="18"/>
          <w:szCs w:val="20"/>
          <w:rtl/>
        </w:rPr>
        <w:t xml:space="preserve"> בהקשר זה, אחד המרואיינים הסביר כי עבורו מינוי של יותר ממיופה כוח אחד מרתיע פחות מהאפשרות של מתן כל הסמכויות בעניינו, במצב שבו לא יהיה כשיר לקבל החלטות עבור עצמו, לאדם אחד בלבד:</w:t>
      </w:r>
    </w:p>
    <w:p w14:paraId="76011113" w14:textId="77777777" w:rsidR="0042081B" w:rsidRPr="008B5BE0" w:rsidRDefault="0042081B" w:rsidP="00DF3289">
      <w:pPr>
        <w:spacing w:after="180"/>
        <w:ind w:left="567"/>
        <w:jc w:val="both"/>
        <w:rPr>
          <w:rFonts w:ascii="Georgia" w:hAnsi="Georgia"/>
          <w:spacing w:val="-2"/>
          <w:sz w:val="18"/>
          <w:szCs w:val="20"/>
          <w:rtl/>
        </w:rPr>
      </w:pPr>
      <w:r w:rsidRPr="008B5BE0">
        <w:rPr>
          <w:rFonts w:ascii="Georgia" w:hAnsi="Georgia" w:hint="cs"/>
          <w:spacing w:val="-2"/>
          <w:sz w:val="18"/>
          <w:szCs w:val="20"/>
          <w:rtl/>
        </w:rPr>
        <w:t xml:space="preserve">אתה רוצה מישהו שקרוב אליך, אוהב אותך, חשוב לו, חשוב לו ממך, עד כמה שאתה יכול. אבל בגלל זה, בגלל שהיה פה אלמנט של נקרא לזה מציאות, או שיקול מציאותי, </w:t>
      </w:r>
      <w:r w:rsidRPr="008B5BE0">
        <w:rPr>
          <w:rFonts w:ascii="Georgia" w:hAnsi="Georgia" w:hint="cs"/>
          <w:spacing w:val="-2"/>
          <w:sz w:val="18"/>
          <w:szCs w:val="20"/>
          <w:rtl/>
        </w:rPr>
        <w:lastRenderedPageBreak/>
        <w:t>אז, אז שאלתי אותם, שאלתי את העורך דין אם זה בסדר לעשות ועדה כזאת, אז אין שום בעיה, זה בסדר גמור. כי הרגיש לי יותר נכון (מרואיין 14, בן 73).</w:t>
      </w:r>
    </w:p>
    <w:p w14:paraId="21F9006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הנימוק הרביעי היה הרצון להקל על מיופי הכוח העתידיים, ולחלק ביניהם את הנטל הכרוך בביצוע התפקיד, מתוך הבנה שתפקיד מיופה הכוח עלול להיות תובעני וממושך. </w:t>
      </w:r>
    </w:p>
    <w:p w14:paraId="68919562"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הנימוק החמישי נגע לרצון להבטיח שאם בעתיד אחד </w:t>
      </w:r>
      <w:proofErr w:type="spellStart"/>
      <w:r w:rsidRPr="0042081B">
        <w:rPr>
          <w:rFonts w:ascii="Georgia" w:hAnsi="Georgia" w:hint="cs"/>
          <w:sz w:val="18"/>
          <w:szCs w:val="20"/>
          <w:rtl/>
        </w:rPr>
        <w:t>ממיופי</w:t>
      </w:r>
      <w:proofErr w:type="spellEnd"/>
      <w:r w:rsidRPr="0042081B">
        <w:rPr>
          <w:rFonts w:ascii="Georgia" w:hAnsi="Georgia" w:hint="cs"/>
          <w:sz w:val="18"/>
          <w:szCs w:val="20"/>
          <w:rtl/>
        </w:rPr>
        <w:t xml:space="preserve"> הכוח לא יוכל למלא את תפקידו, לא יהיה צורך במינוי של אפוטרופוס. כך, למשל, מרואיינת שמינתה את בן זוגה ושתי חברות קרובות למיופות כוחה הסבירה את בחירתה: "</w:t>
      </w:r>
      <w:r w:rsidRPr="0042081B">
        <w:rPr>
          <w:rFonts w:ascii="Georgia" w:hAnsi="Georgia" w:hint="eastAsia"/>
          <w:sz w:val="18"/>
          <w:szCs w:val="20"/>
          <w:rtl/>
        </w:rPr>
        <w:t>או</w:t>
      </w:r>
      <w:r w:rsidRPr="0042081B">
        <w:rPr>
          <w:rFonts w:ascii="Georgia" w:hAnsi="Georgia"/>
          <w:sz w:val="18"/>
          <w:szCs w:val="20"/>
          <w:rtl/>
        </w:rPr>
        <w:t xml:space="preserve"> </w:t>
      </w:r>
      <w:r w:rsidRPr="0042081B">
        <w:rPr>
          <w:rFonts w:ascii="Georgia" w:hAnsi="Georgia" w:hint="eastAsia"/>
          <w:sz w:val="18"/>
          <w:szCs w:val="20"/>
          <w:rtl/>
        </w:rPr>
        <w:t>שאני</w:t>
      </w:r>
      <w:r w:rsidRPr="0042081B">
        <w:rPr>
          <w:rFonts w:ascii="Georgia" w:hAnsi="Georgia"/>
          <w:sz w:val="18"/>
          <w:szCs w:val="20"/>
          <w:rtl/>
        </w:rPr>
        <w:t xml:space="preserve"> </w:t>
      </w:r>
      <w:r w:rsidRPr="0042081B">
        <w:rPr>
          <w:rFonts w:ascii="Georgia" w:hAnsi="Georgia" w:hint="eastAsia"/>
          <w:sz w:val="18"/>
          <w:szCs w:val="20"/>
          <w:rtl/>
        </w:rPr>
        <w:t>עליו</w:t>
      </w:r>
      <w:r w:rsidRPr="0042081B">
        <w:rPr>
          <w:rFonts w:ascii="Georgia" w:hAnsi="Georgia"/>
          <w:sz w:val="18"/>
          <w:szCs w:val="20"/>
          <w:rtl/>
        </w:rPr>
        <w:t xml:space="preserve"> </w:t>
      </w:r>
      <w:r w:rsidRPr="0042081B">
        <w:rPr>
          <w:rFonts w:ascii="Georgia" w:hAnsi="Georgia" w:hint="eastAsia"/>
          <w:sz w:val="18"/>
          <w:szCs w:val="20"/>
          <w:rtl/>
        </w:rPr>
        <w:t>או</w:t>
      </w:r>
      <w:r w:rsidRPr="0042081B">
        <w:rPr>
          <w:rFonts w:ascii="Georgia" w:hAnsi="Georgia"/>
          <w:sz w:val="18"/>
          <w:szCs w:val="20"/>
          <w:rtl/>
        </w:rPr>
        <w:t xml:space="preserve"> </w:t>
      </w:r>
      <w:r w:rsidRPr="0042081B">
        <w:rPr>
          <w:rFonts w:ascii="Georgia" w:hAnsi="Georgia" w:hint="eastAsia"/>
          <w:sz w:val="18"/>
          <w:szCs w:val="20"/>
          <w:rtl/>
        </w:rPr>
        <w:t>שהוא</w:t>
      </w:r>
      <w:r w:rsidRPr="0042081B">
        <w:rPr>
          <w:rFonts w:ascii="Georgia" w:hAnsi="Georgia"/>
          <w:sz w:val="18"/>
          <w:szCs w:val="20"/>
          <w:rtl/>
        </w:rPr>
        <w:t xml:space="preserve"> </w:t>
      </w:r>
      <w:r w:rsidRPr="0042081B">
        <w:rPr>
          <w:rFonts w:ascii="Georgia" w:hAnsi="Georgia" w:hint="eastAsia"/>
          <w:sz w:val="18"/>
          <w:szCs w:val="20"/>
          <w:rtl/>
        </w:rPr>
        <w:t>עלי</w:t>
      </w:r>
      <w:r w:rsidRPr="0042081B">
        <w:rPr>
          <w:rFonts w:ascii="Georgia" w:hAnsi="Georgia" w:hint="cs"/>
          <w:sz w:val="18"/>
          <w:szCs w:val="20"/>
          <w:rtl/>
        </w:rPr>
        <w:t>י</w:t>
      </w:r>
      <w:r w:rsidRPr="0042081B">
        <w:rPr>
          <w:rFonts w:ascii="Georgia" w:hAnsi="Georgia"/>
          <w:sz w:val="18"/>
          <w:szCs w:val="20"/>
          <w:rtl/>
        </w:rPr>
        <w:t xml:space="preserve">, </w:t>
      </w:r>
      <w:r w:rsidRPr="0042081B">
        <w:rPr>
          <w:rFonts w:ascii="Georgia" w:hAnsi="Georgia" w:hint="eastAsia"/>
          <w:sz w:val="18"/>
          <w:szCs w:val="20"/>
          <w:rtl/>
        </w:rPr>
        <w:t>א</w:t>
      </w:r>
      <w:r w:rsidRPr="0042081B">
        <w:rPr>
          <w:rFonts w:ascii="Georgia" w:hAnsi="Georgia" w:hint="cs"/>
          <w:sz w:val="18"/>
          <w:szCs w:val="20"/>
          <w:rtl/>
        </w:rPr>
        <w:t>לא אם כן, אלא אם כן, ש</w:t>
      </w:r>
      <w:r w:rsidRPr="0042081B">
        <w:rPr>
          <w:rFonts w:ascii="Georgia" w:hAnsi="Georgia" w:hint="eastAsia"/>
          <w:sz w:val="18"/>
          <w:szCs w:val="20"/>
          <w:rtl/>
        </w:rPr>
        <w:t>לא</w:t>
      </w:r>
      <w:r w:rsidRPr="0042081B">
        <w:rPr>
          <w:rFonts w:ascii="Georgia" w:hAnsi="Georgia"/>
          <w:sz w:val="18"/>
          <w:szCs w:val="20"/>
          <w:rtl/>
        </w:rPr>
        <w:t xml:space="preserve"> נדע, יש לנו תאונת דרכים ושנינו יוצאים לא כשירים לקבל בכלל החלטה אז כן, אז </w:t>
      </w:r>
      <w:r w:rsidRPr="0042081B">
        <w:rPr>
          <w:rFonts w:ascii="Georgia" w:hAnsi="Georgia" w:hint="cs"/>
          <w:sz w:val="18"/>
          <w:szCs w:val="20"/>
          <w:rtl/>
        </w:rPr>
        <w:t>[החברות]</w:t>
      </w:r>
      <w:r w:rsidRPr="0042081B">
        <w:rPr>
          <w:rFonts w:ascii="Georgia" w:hAnsi="Georgia"/>
          <w:sz w:val="18"/>
          <w:szCs w:val="20"/>
          <w:rtl/>
        </w:rPr>
        <w:t xml:space="preserve"> יכולות לקבל עלינו החלטות</w:t>
      </w:r>
      <w:r w:rsidRPr="0042081B">
        <w:rPr>
          <w:rFonts w:ascii="Georgia" w:hAnsi="Georgia" w:hint="cs"/>
          <w:sz w:val="18"/>
          <w:szCs w:val="20"/>
          <w:rtl/>
        </w:rPr>
        <w:t>" (מרואיינת 12, בת 70).</w:t>
      </w:r>
    </w:p>
    <w:p w14:paraId="341CB741"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הנימוק השישי הצביע על כך שמינוי של יותר ממיופה כוח אחד יכול להוות אסטרטגיה למניעת קונפליקטים במשפחה על רקע ביצוע ייפוי הכוח המתמשך, כפי שהסביר אחד המרואיינים:</w:t>
      </w:r>
    </w:p>
    <w:p w14:paraId="4CAF0C9C" w14:textId="77777777" w:rsidR="0042081B" w:rsidRPr="0042081B" w:rsidRDefault="0042081B" w:rsidP="00DF3289">
      <w:pPr>
        <w:spacing w:after="180"/>
        <w:ind w:left="567"/>
        <w:jc w:val="both"/>
        <w:rPr>
          <w:rFonts w:ascii="Georgia" w:hAnsi="Georgia"/>
          <w:sz w:val="18"/>
          <w:szCs w:val="20"/>
          <w:rtl/>
        </w:rPr>
      </w:pPr>
      <w:r w:rsidRPr="0042081B">
        <w:rPr>
          <w:rFonts w:ascii="Georgia" w:hAnsi="Georgia"/>
          <w:sz w:val="18"/>
          <w:szCs w:val="20"/>
          <w:rtl/>
        </w:rPr>
        <w:t>יש משפחות שיכולים להרוג אחד את השני אחר כך. פתאום מסתבר שהאבא נתן לבן הזה, או לשני הבנים האלה, או לבן והבת הזו את הייפוי כוח הזה, ויש עוד חמישה ילדים במשפחה, או עוד ילד אחד, לא חשוב, שיגיד: מה, הם יחליטו עכשיו אם למכור את הדירה של ההורים או לא, או אם, מה עם האוטו של האבא, למי הוא ילך</w:t>
      </w:r>
      <w:r w:rsidRPr="0042081B">
        <w:rPr>
          <w:rFonts w:ascii="Georgia" w:hAnsi="Georgia" w:hint="cs"/>
          <w:sz w:val="18"/>
          <w:szCs w:val="20"/>
          <w:rtl/>
        </w:rPr>
        <w:t xml:space="preserve"> (מרואיין 1, בן 81).</w:t>
      </w:r>
      <w:r w:rsidRPr="0042081B">
        <w:rPr>
          <w:rFonts w:ascii="Georgia" w:hAnsi="Georgia"/>
          <w:sz w:val="18"/>
          <w:szCs w:val="20"/>
          <w:rtl/>
        </w:rPr>
        <w:t xml:space="preserve"> </w:t>
      </w:r>
    </w:p>
    <w:p w14:paraId="728387E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המרואיין עמד, למעשה, על אחת מהאפשרויות להיווצרותם של קונפליקטים עתידיים סביב סוגיית מינוי מיופה הכוח בייפוי כוח מתמשך. מאחר שייפוי הכוח המתמשך מסמיך את מיופה הכוח הנבחר לקבל החלטות בעלות השלכות אפשריות לא רק על הממנה עצמו, אלא גם על שאר בני המשפחה, דוגמת יורשים עתידיים, הרי מצבים שבהם לא כל בני המשפחה המושפעים מהחלטות מיופה הכוח מעורבים בתהליך קבלת ההחלטות עלולים להוביל לקונפליקטים. בדומה לכך, קונפליקטים עלולים להיווצר גם במצבים שבהם בני משפחה מסוימים הועדפו לתפקיד מיופי הכוח, ובני משפחה אחרים מצאו עצמם נפגעים מבחירה זו. מענה אפשרי לקונפליקטים עתידיים מעין אלה יכול שיהיה באמצעות מינוי של יותר ממיופה כוח אחד.</w:t>
      </w:r>
      <w:r w:rsidRPr="0042081B">
        <w:rPr>
          <w:rStyle w:val="FootnoteReference"/>
          <w:rFonts w:ascii="Georgia" w:hAnsi="Georgia"/>
          <w:sz w:val="18"/>
          <w:szCs w:val="20"/>
          <w:rtl/>
        </w:rPr>
        <w:footnoteReference w:id="20"/>
      </w:r>
      <w:r w:rsidRPr="0042081B">
        <w:rPr>
          <w:rFonts w:ascii="Georgia" w:hAnsi="Georgia" w:hint="cs"/>
          <w:sz w:val="18"/>
          <w:szCs w:val="20"/>
          <w:rtl/>
        </w:rPr>
        <w:t xml:space="preserve"> </w:t>
      </w:r>
    </w:p>
    <w:p w14:paraId="3B016A7B" w14:textId="77777777"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יצוין עוד כי מהראיונות עלה שנימוקים שונים עשויים להתקיים זה לצד זה, ולהסביר יחדיו את הבחירה למנות יותר ממיופה כוח אחד. יתרה מזאת, חלק לא מבוטל מן המרואיינים הצביעו על קיומו של איזון עדין בין היתרונות שבמינוי כמה מיופי כוח לבין החסרונות שבמינוי מיופי כוח רבים מדי. מצב כזה עלול להכביד על פעילותם השוטפת אם מופעל ייפוי </w:t>
      </w:r>
      <w:r w:rsidRPr="0042081B">
        <w:rPr>
          <w:rFonts w:ascii="Georgia" w:hAnsi="Georgia" w:hint="cs"/>
          <w:sz w:val="18"/>
          <w:szCs w:val="20"/>
          <w:rtl/>
        </w:rPr>
        <w:lastRenderedPageBreak/>
        <w:t xml:space="preserve">הכוח המתמשך, ועלול, בפני עצמו, לעורר מחלוקות בין מיופי הכוח על רקע הצורך בקבלת החלטות עבור הממנה. </w:t>
      </w:r>
    </w:p>
    <w:p w14:paraId="1EA065D3" w14:textId="77777777" w:rsidR="00DF3289" w:rsidRDefault="00DF3289" w:rsidP="00DF3289">
      <w:pPr>
        <w:spacing w:line="280" w:lineRule="exact"/>
        <w:jc w:val="both"/>
        <w:rPr>
          <w:rFonts w:ascii="Georgia" w:hAnsi="Georgia"/>
          <w:sz w:val="18"/>
          <w:szCs w:val="20"/>
          <w:rtl/>
        </w:rPr>
      </w:pPr>
    </w:p>
    <w:p w14:paraId="601717D0" w14:textId="77777777" w:rsidR="00DF3289" w:rsidRPr="0042081B" w:rsidRDefault="00DF3289" w:rsidP="00DF3289">
      <w:pPr>
        <w:spacing w:line="280" w:lineRule="exact"/>
        <w:jc w:val="both"/>
        <w:rPr>
          <w:rFonts w:ascii="Georgia" w:hAnsi="Georgia"/>
          <w:sz w:val="18"/>
          <w:szCs w:val="20"/>
          <w:rtl/>
        </w:rPr>
      </w:pPr>
    </w:p>
    <w:p w14:paraId="405EC820" w14:textId="554C5DBC"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דיון ומסקנות</w:t>
      </w:r>
    </w:p>
    <w:p w14:paraId="0F304C7E" w14:textId="77777777" w:rsidR="0042081B" w:rsidRPr="0042081B" w:rsidRDefault="0042081B" w:rsidP="0042081B">
      <w:pPr>
        <w:spacing w:after="180" w:line="280" w:lineRule="exact"/>
        <w:jc w:val="both"/>
        <w:rPr>
          <w:rFonts w:ascii="Georgia" w:hAnsi="Georgia"/>
          <w:sz w:val="18"/>
          <w:szCs w:val="20"/>
          <w:rtl/>
        </w:rPr>
      </w:pPr>
      <w:bookmarkStart w:id="8" w:name="_Hlk150492692"/>
      <w:r w:rsidRPr="0042081B">
        <w:rPr>
          <w:rFonts w:ascii="Georgia" w:hAnsi="Georgia" w:hint="cs"/>
          <w:sz w:val="18"/>
          <w:szCs w:val="20"/>
          <w:rtl/>
        </w:rPr>
        <w:t xml:space="preserve">המחקר, שבחן את החוויה והמשמעות של ביצוע ייפוי כוח מתמשך על ידי אזרחים ותיקים, חשף את מקומה המשמעותי של המשפחה בתהליך, ואת הפוטנציאל הטמון בכלי תכנון זה להפחתת אמביוולנטיות בין-דורית ולקידום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(דורון ודורון, 2022). בחירתו של מיופה הכוח העתידי במסגרת של ביצוע ייפוי כוח מתמשך היא מהסוגיות המרכזיות והחשובות (אם לא החשובה שבהן) שהממנה צריך לתת עליהן את הדעת, שכן במצב שבו הוא יאבד את כשירותו, מיופה הכוח הנבחר הוא שיהיה אמון על קבלת ההחלטות עבורו ועל הוצאתם לפועל של רצונותיו. התלות הצפויה של אדם במיופה כוחו העתידי במקרה של אובדן כשירות לקבל החלטות באופן עצמאי היא בלתי נמנעת, אולם ניתן לחוות אותה בצורה חיובית יותר או שלילית יותר, בהתאם למידה שבה האדם תופס את שליטתו בבחירת מיופה הכוח העתידי (</w:t>
      </w:r>
      <w:r w:rsidRPr="0042081B">
        <w:rPr>
          <w:rFonts w:ascii="Georgia" w:hAnsi="Georgia"/>
          <w:sz w:val="18"/>
          <w:szCs w:val="20"/>
        </w:rPr>
        <w:t>Baltes, 1996; Moorman &amp; Boerner, 2018</w:t>
      </w:r>
      <w:r w:rsidRPr="0042081B">
        <w:rPr>
          <w:rFonts w:ascii="Georgia" w:hAnsi="Georgia" w:hint="cs"/>
          <w:sz w:val="18"/>
          <w:szCs w:val="20"/>
          <w:rtl/>
        </w:rPr>
        <w:t>). כלי ייפוי הכוח המתמשך נועד לאפשר לאדם את האוטונומיה לבחור בעצמו את מיופה כוחו העתידי, וכפועל יוצא מכך הוא בעל פוטנציאל לקדם חוויה חיובית יותר של התלות הבלתי נמנעת במיופה הכוח במצב של הידרדרות התפקודים.</w:t>
      </w:r>
    </w:p>
    <w:p w14:paraId="4AF34195" w14:textId="77777777" w:rsidR="0042081B" w:rsidRDefault="0042081B" w:rsidP="0042081B">
      <w:pPr>
        <w:spacing w:after="180" w:line="280" w:lineRule="exact"/>
        <w:jc w:val="both"/>
        <w:rPr>
          <w:rFonts w:ascii="Georgia" w:hAnsi="Georgia"/>
          <w:sz w:val="18"/>
          <w:szCs w:val="20"/>
          <w:rtl/>
        </w:rPr>
      </w:pPr>
      <w:bookmarkStart w:id="9" w:name="_Hlk151010744"/>
      <w:r w:rsidRPr="0042081B">
        <w:rPr>
          <w:rFonts w:ascii="Georgia" w:hAnsi="Georgia" w:hint="cs"/>
          <w:sz w:val="18"/>
          <w:szCs w:val="20"/>
          <w:rtl/>
        </w:rPr>
        <w:t xml:space="preserve">שני מודלים תאורטיים מרכזיים מעולם המחקר הגרונטולוגי המסבירים את האופן שבו זקנים מבקשים ומקבלים תמיכה וסיוע שופכים אור גם על ממצאי המחקר על בחירת מיופה כוח במסגרת ייפוי כוח מתמשך. המודל האחד הוא </w:t>
      </w:r>
      <w:r w:rsidRPr="0042081B">
        <w:rPr>
          <w:rFonts w:ascii="Georgia" w:hAnsi="Georgia" w:hint="cs"/>
          <w:b/>
          <w:bCs/>
          <w:sz w:val="18"/>
          <w:szCs w:val="20"/>
          <w:rtl/>
        </w:rPr>
        <w:t>המודל ההיררכי המפצה</w:t>
      </w:r>
      <w:r w:rsidRPr="0042081B">
        <w:rPr>
          <w:rFonts w:ascii="Georgia" w:hAnsi="Georgia" w:hint="cs"/>
          <w:sz w:val="18"/>
          <w:szCs w:val="20"/>
          <w:rtl/>
        </w:rPr>
        <w:t xml:space="preserve"> (</w:t>
      </w:r>
      <w:r w:rsidRPr="0042081B">
        <w:rPr>
          <w:rFonts w:ascii="Georgia" w:hAnsi="Georgia"/>
          <w:sz w:val="18"/>
          <w:szCs w:val="20"/>
        </w:rPr>
        <w:t>The hierarchical compensatory model</w:t>
      </w:r>
      <w:r w:rsidRPr="0042081B">
        <w:rPr>
          <w:rFonts w:ascii="Georgia" w:hAnsi="Georgia" w:hint="cs"/>
          <w:sz w:val="18"/>
          <w:szCs w:val="20"/>
          <w:rtl/>
        </w:rPr>
        <w:t>) (</w:t>
      </w:r>
      <w:r w:rsidRPr="0042081B">
        <w:rPr>
          <w:rFonts w:ascii="Georgia" w:hAnsi="Georgia"/>
          <w:sz w:val="18"/>
          <w:szCs w:val="20"/>
        </w:rPr>
        <w:t>Cantor, 1979</w:t>
      </w:r>
      <w:r w:rsidRPr="0042081B">
        <w:rPr>
          <w:rFonts w:ascii="Georgia" w:hAnsi="Georgia" w:hint="cs"/>
          <w:sz w:val="18"/>
          <w:szCs w:val="20"/>
          <w:rtl/>
        </w:rPr>
        <w:t>). זהו מודל בעל אוריינטציה פנימית, ביחס לאדם עצמו, המתמקד באופן שבו זקנים קובעים את העדפותיהם בקבלת סיוע ותמיכה מרשתות התמיכה הבלתי פורמליות והפורמליות העומדות לרשותם (</w:t>
      </w:r>
      <w:r w:rsidRPr="0042081B">
        <w:rPr>
          <w:rFonts w:ascii="Georgia" w:hAnsi="Georgia"/>
          <w:sz w:val="18"/>
          <w:szCs w:val="20"/>
        </w:rPr>
        <w:t>Cantor &amp; Brennan-Ing, 2000</w:t>
      </w:r>
      <w:r w:rsidRPr="0042081B">
        <w:rPr>
          <w:rFonts w:ascii="Georgia" w:hAnsi="Georgia" w:hint="cs"/>
          <w:sz w:val="18"/>
          <w:szCs w:val="20"/>
          <w:rtl/>
        </w:rPr>
        <w:t xml:space="preserve">). המודל השני הוא </w:t>
      </w:r>
      <w:r w:rsidRPr="0042081B">
        <w:rPr>
          <w:rFonts w:ascii="Georgia" w:hAnsi="Georgia" w:hint="cs"/>
          <w:b/>
          <w:bCs/>
          <w:sz w:val="18"/>
          <w:szCs w:val="20"/>
          <w:rtl/>
        </w:rPr>
        <w:t>מודל המשימה הייחודית</w:t>
      </w:r>
      <w:r w:rsidRPr="0042081B">
        <w:rPr>
          <w:rFonts w:ascii="Georgia" w:hAnsi="Georgia" w:hint="cs"/>
          <w:sz w:val="18"/>
          <w:szCs w:val="20"/>
          <w:rtl/>
        </w:rPr>
        <w:t xml:space="preserve"> (</w:t>
      </w:r>
      <w:r w:rsidRPr="0042081B">
        <w:rPr>
          <w:rFonts w:ascii="Georgia" w:hAnsi="Georgia"/>
          <w:sz w:val="18"/>
          <w:szCs w:val="20"/>
        </w:rPr>
        <w:t>The task-specific model</w:t>
      </w:r>
      <w:r w:rsidRPr="0042081B">
        <w:rPr>
          <w:rFonts w:ascii="Georgia" w:hAnsi="Georgia" w:hint="cs"/>
          <w:sz w:val="18"/>
          <w:szCs w:val="20"/>
          <w:rtl/>
        </w:rPr>
        <w:t>) (</w:t>
      </w:r>
      <w:r w:rsidRPr="0042081B">
        <w:rPr>
          <w:rFonts w:ascii="Georgia" w:hAnsi="Georgia"/>
          <w:sz w:val="18"/>
          <w:szCs w:val="20"/>
        </w:rPr>
        <w:t>Litwak, 1985</w:t>
      </w:r>
      <w:r w:rsidRPr="0042081B">
        <w:rPr>
          <w:rFonts w:ascii="Georgia" w:hAnsi="Georgia" w:hint="cs"/>
          <w:sz w:val="18"/>
          <w:szCs w:val="20"/>
          <w:rtl/>
        </w:rPr>
        <w:t>). מודל זה הוא בעל אוריינטציה חיצונית, הקשורה בהתאמה ובהיתכנות של הסתייעות בגורמים מסוימים למשימה הנדרשת (</w:t>
      </w:r>
      <w:r w:rsidRPr="0042081B">
        <w:rPr>
          <w:rFonts w:ascii="Georgia" w:hAnsi="Georgia"/>
          <w:sz w:val="18"/>
          <w:szCs w:val="20"/>
        </w:rPr>
        <w:t>Cantor &amp; Brennan-Ing, 2000</w:t>
      </w:r>
      <w:r w:rsidRPr="0042081B">
        <w:rPr>
          <w:rFonts w:ascii="Georgia" w:hAnsi="Georgia" w:hint="cs"/>
          <w:sz w:val="18"/>
          <w:szCs w:val="20"/>
          <w:rtl/>
        </w:rPr>
        <w:t xml:space="preserve">). כפי שיובהר להלן, שילובם של שני מודלים אלה מאפשר להציג תמונה רחבה ומלאה יותר של האופן שבו ממצאי המחקר מלמדים על העדפותיהם של המרואיינים בבחירת מיופי הכוח העתידיים, ועל מערך השיקולים שהביאו בחשבון בתהליך ביצוע הכלי. </w:t>
      </w:r>
      <w:bookmarkEnd w:id="9"/>
    </w:p>
    <w:p w14:paraId="2C08F435" w14:textId="77777777" w:rsidR="00DF3289" w:rsidRPr="0042081B" w:rsidRDefault="00DF3289" w:rsidP="0042081B">
      <w:pPr>
        <w:spacing w:after="180" w:line="280" w:lineRule="exact"/>
        <w:jc w:val="both"/>
        <w:rPr>
          <w:rFonts w:ascii="Georgia" w:hAnsi="Georgia"/>
          <w:sz w:val="18"/>
          <w:szCs w:val="20"/>
          <w:rtl/>
        </w:rPr>
      </w:pPr>
    </w:p>
    <w:p w14:paraId="7127D9BA" w14:textId="269E2AD2" w:rsidR="0042081B" w:rsidRPr="0042081B" w:rsidRDefault="0042081B" w:rsidP="0042081B">
      <w:pPr>
        <w:pStyle w:val="KOT5"/>
        <w:spacing w:after="0"/>
        <w:ind w:right="0"/>
        <w:outlineLvl w:val="2"/>
        <w:rPr>
          <w:rFonts w:cs="Guttman Aharoni"/>
          <w:color w:val="BA2A16"/>
          <w:rtl/>
        </w:rPr>
      </w:pPr>
      <w:r w:rsidRPr="0042081B">
        <w:rPr>
          <w:rFonts w:cs="Guttman Aharoni" w:hint="eastAsia"/>
          <w:color w:val="BA2A16"/>
          <w:rtl/>
        </w:rPr>
        <w:lastRenderedPageBreak/>
        <w:t>המודל</w:t>
      </w:r>
      <w:r w:rsidRPr="0042081B">
        <w:rPr>
          <w:rFonts w:cs="Guttman Aharoni"/>
          <w:color w:val="BA2A16"/>
          <w:rtl/>
        </w:rPr>
        <w:t xml:space="preserve"> </w:t>
      </w:r>
      <w:r w:rsidRPr="0042081B">
        <w:rPr>
          <w:rFonts w:cs="Guttman Aharoni" w:hint="eastAsia"/>
          <w:color w:val="BA2A16"/>
          <w:rtl/>
        </w:rPr>
        <w:t>ההיררכי</w:t>
      </w:r>
      <w:r w:rsidRPr="0042081B">
        <w:rPr>
          <w:rFonts w:cs="Guttman Aharoni"/>
          <w:color w:val="BA2A16"/>
          <w:rtl/>
        </w:rPr>
        <w:t xml:space="preserve"> </w:t>
      </w:r>
      <w:r w:rsidRPr="0042081B">
        <w:rPr>
          <w:rFonts w:cs="Guttman Aharoni" w:hint="eastAsia"/>
          <w:color w:val="BA2A16"/>
          <w:rtl/>
        </w:rPr>
        <w:t>המפצה</w:t>
      </w:r>
    </w:p>
    <w:p w14:paraId="20D8A44A" w14:textId="77777777" w:rsidR="0042081B" w:rsidRPr="0042081B" w:rsidRDefault="0042081B" w:rsidP="0042081B">
      <w:pPr>
        <w:spacing w:after="180" w:line="280" w:lineRule="exact"/>
        <w:jc w:val="both"/>
        <w:rPr>
          <w:rFonts w:ascii="Georgia" w:hAnsi="Georgia"/>
          <w:sz w:val="18"/>
          <w:szCs w:val="20"/>
          <w:rtl/>
        </w:rPr>
      </w:pPr>
      <w:r w:rsidRPr="00DF3289">
        <w:rPr>
          <w:rFonts w:ascii="Georgia" w:hAnsi="Georgia" w:hint="cs"/>
          <w:spacing w:val="-2"/>
          <w:sz w:val="18"/>
          <w:szCs w:val="20"/>
          <w:rtl/>
        </w:rPr>
        <w:t xml:space="preserve">הממצאים המלמדים כי העדפתם של כל המרואיינים </w:t>
      </w:r>
      <w:proofErr w:type="spellStart"/>
      <w:r w:rsidRPr="00DF3289">
        <w:rPr>
          <w:rFonts w:ascii="Georgia" w:hAnsi="Georgia" w:hint="cs"/>
          <w:spacing w:val="-2"/>
          <w:sz w:val="18"/>
          <w:szCs w:val="20"/>
          <w:rtl/>
        </w:rPr>
        <w:t>היתה</w:t>
      </w:r>
      <w:proofErr w:type="spellEnd"/>
      <w:r w:rsidRPr="00DF3289">
        <w:rPr>
          <w:rFonts w:ascii="Georgia" w:hAnsi="Georgia" w:hint="cs"/>
          <w:spacing w:val="-2"/>
          <w:sz w:val="18"/>
          <w:szCs w:val="20"/>
          <w:rtl/>
        </w:rPr>
        <w:t xml:space="preserve"> מינוי של בני משפחה מקרבה ראשונה, ובמיוחד בני זוג וילדים,</w:t>
      </w:r>
      <w:r w:rsidRPr="00DF3289">
        <w:rPr>
          <w:rFonts w:ascii="Georgia" w:hAnsi="Georgia"/>
          <w:spacing w:val="-2"/>
          <w:sz w:val="18"/>
          <w:szCs w:val="20"/>
        </w:rPr>
        <w:t xml:space="preserve"> </w:t>
      </w:r>
      <w:r w:rsidRPr="00DF3289">
        <w:rPr>
          <w:rFonts w:ascii="Georgia" w:hAnsi="Georgia" w:hint="cs"/>
          <w:spacing w:val="-2"/>
          <w:sz w:val="18"/>
          <w:szCs w:val="20"/>
          <w:rtl/>
        </w:rPr>
        <w:t>עולים בקנה אחד עם מחקרים אחרים שעסקו בהעדפותיהם של זקנים בנוגע למקבלי החלטות חלופיים (</w:t>
      </w:r>
      <w:r w:rsidRPr="00DF3289">
        <w:rPr>
          <w:rFonts w:ascii="Georgia" w:hAnsi="Georgia"/>
          <w:spacing w:val="-2"/>
          <w:sz w:val="18"/>
          <w:szCs w:val="20"/>
        </w:rPr>
        <w:t>High &amp; Turner, 2021</w:t>
      </w:r>
      <w:r w:rsidRPr="00DF3289">
        <w:rPr>
          <w:rFonts w:ascii="Georgia" w:hAnsi="Georgia" w:hint="cs"/>
          <w:spacing w:val="-2"/>
          <w:sz w:val="18"/>
          <w:szCs w:val="20"/>
          <w:rtl/>
        </w:rPr>
        <w:t xml:space="preserve">), ואפשר </w:t>
      </w:r>
      <w:r w:rsidRPr="0042081B">
        <w:rPr>
          <w:rFonts w:ascii="Georgia" w:hAnsi="Georgia" w:hint="cs"/>
          <w:sz w:val="18"/>
          <w:szCs w:val="20"/>
          <w:rtl/>
        </w:rPr>
        <w:t>להבין אותם באמצעות המסגרת המארגנת של המודל ההיררכי המפצה (</w:t>
      </w:r>
      <w:r w:rsidRPr="0042081B">
        <w:rPr>
          <w:rFonts w:ascii="Georgia" w:hAnsi="Georgia"/>
          <w:sz w:val="18"/>
          <w:szCs w:val="20"/>
        </w:rPr>
        <w:t xml:space="preserve">Barnett &amp; Cantu, 2021; Carr &amp; </w:t>
      </w:r>
      <w:proofErr w:type="spellStart"/>
      <w:r w:rsidRPr="0042081B">
        <w:rPr>
          <w:rFonts w:ascii="Georgia" w:hAnsi="Georgia"/>
          <w:sz w:val="18"/>
          <w:szCs w:val="20"/>
        </w:rPr>
        <w:t>Khodyakov</w:t>
      </w:r>
      <w:proofErr w:type="spellEnd"/>
      <w:r w:rsidRPr="0042081B">
        <w:rPr>
          <w:rFonts w:ascii="Georgia" w:hAnsi="Georgia"/>
          <w:sz w:val="18"/>
          <w:szCs w:val="20"/>
        </w:rPr>
        <w:t>, 2007; Moorman &amp; Boerner, 2018</w:t>
      </w:r>
      <w:r w:rsidRPr="0042081B">
        <w:rPr>
          <w:rFonts w:ascii="Georgia" w:hAnsi="Georgia" w:hint="cs"/>
          <w:sz w:val="18"/>
          <w:szCs w:val="20"/>
          <w:rtl/>
        </w:rPr>
        <w:t xml:space="preserve">). המודל מבקש להסביר העדפות של </w:t>
      </w:r>
      <w:r w:rsidRPr="00DF3289">
        <w:rPr>
          <w:rFonts w:ascii="Georgia" w:hAnsi="Georgia" w:hint="cs"/>
          <w:spacing w:val="-2"/>
          <w:sz w:val="18"/>
          <w:szCs w:val="20"/>
          <w:rtl/>
        </w:rPr>
        <w:t>זקנים בנוגע לקבלת סיוע, תמיכה וטיפול, ולפיו סדר העדיפויות של הזקנים בקבלת עזרה הוא היררכי, ונקבע על פי טיבה של מערכת היחסים בין האדם הזקן לבין גורם שיספק את העזרה הנחוצה (</w:t>
      </w:r>
      <w:r w:rsidRPr="00DF3289">
        <w:rPr>
          <w:rFonts w:ascii="Georgia" w:hAnsi="Georgia"/>
          <w:spacing w:val="-2"/>
          <w:sz w:val="18"/>
          <w:szCs w:val="20"/>
        </w:rPr>
        <w:t>Cantor, 1979</w:t>
      </w:r>
      <w:r w:rsidRPr="00DF3289">
        <w:rPr>
          <w:rFonts w:ascii="Georgia" w:hAnsi="Georgia" w:hint="cs"/>
          <w:spacing w:val="-2"/>
          <w:sz w:val="18"/>
          <w:szCs w:val="20"/>
          <w:rtl/>
        </w:rPr>
        <w:t>). סידורן ההיררכי של העדיפויות נעשה בהתאם לערכים</w:t>
      </w:r>
      <w:r w:rsidRPr="0042081B">
        <w:rPr>
          <w:rFonts w:ascii="Georgia" w:hAnsi="Georgia" w:hint="cs"/>
          <w:sz w:val="18"/>
          <w:szCs w:val="20"/>
          <w:rtl/>
        </w:rPr>
        <w:t xml:space="preserve"> החברתיים המשותפים באשר לשאלה מי אמור לספק את העזרה הנדרשת (</w:t>
      </w:r>
      <w:r w:rsidRPr="0042081B">
        <w:rPr>
          <w:rFonts w:ascii="Georgia" w:hAnsi="Georgia"/>
          <w:sz w:val="18"/>
          <w:szCs w:val="20"/>
        </w:rPr>
        <w:t>Dykstra, 2015</w:t>
      </w:r>
      <w:r w:rsidRPr="0042081B">
        <w:rPr>
          <w:rFonts w:ascii="Georgia" w:hAnsi="Georgia" w:hint="cs"/>
          <w:sz w:val="18"/>
          <w:szCs w:val="20"/>
          <w:rtl/>
        </w:rPr>
        <w:t>), ועל בסיס מאפיינים של אינטימיות ומעורבות אישית (</w:t>
      </w:r>
      <w:r w:rsidRPr="0042081B">
        <w:rPr>
          <w:rFonts w:ascii="Georgia" w:hAnsi="Georgia"/>
          <w:sz w:val="18"/>
          <w:szCs w:val="20"/>
        </w:rPr>
        <w:t>Cantor &amp; Brennan-Ing, 2000</w:t>
      </w:r>
      <w:r w:rsidRPr="0042081B">
        <w:rPr>
          <w:rFonts w:ascii="Georgia" w:hAnsi="Georgia" w:hint="cs"/>
          <w:sz w:val="18"/>
          <w:szCs w:val="20"/>
          <w:rtl/>
        </w:rPr>
        <w:t>), ואילו שיקולים בדבר טיב העזרה הנדרשת הם משניים בחשיבותם (</w:t>
      </w:r>
      <w:r w:rsidRPr="0042081B">
        <w:rPr>
          <w:rFonts w:ascii="Georgia" w:hAnsi="Georgia"/>
          <w:sz w:val="18"/>
          <w:szCs w:val="20"/>
        </w:rPr>
        <w:t>Cantor, 1979; Penning, 1990</w:t>
      </w:r>
      <w:r w:rsidRPr="0042081B">
        <w:rPr>
          <w:rFonts w:ascii="Georgia" w:hAnsi="Georgia" w:hint="cs"/>
          <w:sz w:val="18"/>
          <w:szCs w:val="20"/>
          <w:rtl/>
        </w:rPr>
        <w:t>). בהתאם לכך, ומכיוון שאנשים נוטים לתפוס את רשת התמיכה הבלתי פורמלית של בני המשפחה, ובייחוד בני משפחה מקרבה ראשונה, כשלוחות טבעיות של עצמם, וכמקור הנאות ביותר לתמיכה סוציאלית ברוב המצבים (</w:t>
      </w:r>
      <w:r w:rsidRPr="0042081B">
        <w:rPr>
          <w:rFonts w:ascii="Georgia" w:hAnsi="Georgia"/>
          <w:sz w:val="18"/>
          <w:szCs w:val="20"/>
        </w:rPr>
        <w:t>Cantor &amp; Brennan-Ing, 2000</w:t>
      </w:r>
      <w:r w:rsidRPr="0042081B">
        <w:rPr>
          <w:rFonts w:ascii="Georgia" w:hAnsi="Georgia" w:hint="cs"/>
          <w:sz w:val="18"/>
          <w:szCs w:val="20"/>
          <w:rtl/>
        </w:rPr>
        <w:t xml:space="preserve">), זקנים יפנו תחילה לבני משפחה </w:t>
      </w:r>
      <w:r w:rsidRPr="0042081B">
        <w:rPr>
          <w:rFonts w:ascii="Georgia" w:hAnsi="Georgia"/>
          <w:sz w:val="18"/>
          <w:szCs w:val="20"/>
          <w:rtl/>
        </w:rPr>
        <w:t>–</w:t>
      </w:r>
      <w:r w:rsidRPr="0042081B">
        <w:rPr>
          <w:rFonts w:ascii="Georgia" w:hAnsi="Georgia" w:hint="cs"/>
          <w:sz w:val="18"/>
          <w:szCs w:val="20"/>
          <w:rtl/>
        </w:rPr>
        <w:t xml:space="preserve"> ויעדיפו לפנות לבני הזוג ולילדים. רק אם רשת התמיכה הבלתי פורמלית שלהם אינה כוללת בני משפחה, או שמסיבה כלשהי אי אפשר להסתייע בהם, הם יפנו לחברים ולשכנים. בתחתית סדר העדיפויות יימצאו ארגונים וגורמים פורמליים המספקים סיוע ותמיכה (</w:t>
      </w:r>
      <w:r w:rsidRPr="0042081B">
        <w:rPr>
          <w:rFonts w:ascii="Georgia" w:hAnsi="Georgia"/>
          <w:sz w:val="18"/>
          <w:szCs w:val="20"/>
        </w:rPr>
        <w:t>Cantor, 1979; Cantor &amp; Brennan-Ing, 2000</w:t>
      </w:r>
      <w:bookmarkEnd w:id="8"/>
      <w:r w:rsidRPr="0042081B">
        <w:rPr>
          <w:rFonts w:ascii="Georgia" w:hAnsi="Georgia" w:hint="cs"/>
          <w:sz w:val="18"/>
          <w:szCs w:val="20"/>
          <w:rtl/>
        </w:rPr>
        <w:t xml:space="preserve">). </w:t>
      </w:r>
    </w:p>
    <w:p w14:paraId="32237E21" w14:textId="32B41C3E" w:rsidR="0042081B" w:rsidRPr="0042081B" w:rsidRDefault="0042081B" w:rsidP="002C260B">
      <w:pPr>
        <w:spacing w:after="180" w:line="280" w:lineRule="exact"/>
        <w:jc w:val="both"/>
        <w:rPr>
          <w:rFonts w:ascii="Georgia" w:hAnsi="Georgia"/>
          <w:sz w:val="18"/>
          <w:szCs w:val="20"/>
        </w:rPr>
      </w:pPr>
      <w:bookmarkStart w:id="10" w:name="_Hlk150579177"/>
      <w:r w:rsidRPr="0042081B">
        <w:rPr>
          <w:rFonts w:ascii="Georgia" w:hAnsi="Georgia" w:hint="cs"/>
          <w:sz w:val="18"/>
          <w:szCs w:val="20"/>
          <w:rtl/>
        </w:rPr>
        <w:t xml:space="preserve">בהלימה למודל זה, כל המרואיינים העדיפו מינוי של בני משפחה מקרבה ראשונה לתפקיד מיופי הכוח העתידיים. בני משפחה מהמעגל הרחוק יותר, וחברים, נבחרו לתפקיד רק כאשר הממנים חשבו שלא ניתן יהיה לקבל מענה מהמעגל המשפחתי הקרוב. הבחירה בבני המשפחה מקרבה ראשונה נתפסה על ידי המרואיינים כבחירה הטבעית, הראויה והרצויה ביותר להתמודדות עם המתח שבין הרצון העז לשמור על עצמאות לבין התלות הצפויה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העתידיים ובאחרים אם יופעל בעתיד ייפוי הכוח המתמשך, והיא משקפת את הפוטנציאל הטמון בכלי להפחתת אמביוולנטיות בין-דורית (דורון ודורון, 2022; </w:t>
      </w:r>
      <w:r w:rsidRPr="0042081B">
        <w:rPr>
          <w:rFonts w:ascii="Georgia" w:hAnsi="Georgia"/>
          <w:sz w:val="18"/>
          <w:szCs w:val="20"/>
        </w:rPr>
        <w:t>Cantor &amp; Brennan-Ing, 2000</w:t>
      </w:r>
      <w:r w:rsidRPr="0042081B">
        <w:rPr>
          <w:rFonts w:ascii="Georgia" w:hAnsi="Georgia" w:hint="cs"/>
          <w:sz w:val="18"/>
          <w:szCs w:val="20"/>
          <w:rtl/>
        </w:rPr>
        <w:t>). האמון הרב שהביעו כל המרואיינים בבני המשפחה בכלל, ובבני המשפחה שנבחרו להיות מיופי כוחם בפרט, והתפיסה שהתלוותה לעיתים לאמון זה, ולפיה בני המשפחה ידעו כיצד נכון לפעול במקרה הצורך, עולים בקנה אחד עם הרעיון שאנשים נוטים לתפוס בני משפחה כשלוחה טבעית של עצמם, כאמור לעיל. ההנחה שנחשפה בחלק מהראיונות בדבר קיומה של מוסכמה חברתית ולפיה בני המשפחה צריכים לדאוג זה לזה מבטאת את תפיסתם של בני המשפחה כמי שיש להם אחריות לשמש בתפקיד (</w:t>
      </w:r>
      <w:r w:rsidRPr="0042081B">
        <w:rPr>
          <w:rFonts w:ascii="Georgia" w:hAnsi="Georgia"/>
          <w:sz w:val="18"/>
          <w:szCs w:val="20"/>
        </w:rPr>
        <w:t>High,1990</w:t>
      </w:r>
      <w:r w:rsidRPr="0042081B">
        <w:rPr>
          <w:rFonts w:ascii="Georgia" w:hAnsi="Georgia" w:hint="cs"/>
          <w:sz w:val="18"/>
          <w:szCs w:val="20"/>
          <w:rtl/>
        </w:rPr>
        <w:t xml:space="preserve">). זאת ועוד, על אף השלכות שונות של תהליכי המודרניזציה, למשפחה יש מקום חשוב בחייהם של אזרחים ותיקים בחברה הישראלית, ובתקופת </w:t>
      </w:r>
      <w:proofErr w:type="spellStart"/>
      <w:r w:rsidRPr="0042081B">
        <w:rPr>
          <w:rFonts w:ascii="Georgia" w:hAnsi="Georgia" w:hint="cs"/>
          <w:sz w:val="18"/>
          <w:szCs w:val="20"/>
          <w:rtl/>
        </w:rPr>
        <w:t>הזיקנה</w:t>
      </w:r>
      <w:proofErr w:type="spellEnd"/>
      <w:r w:rsidRPr="0042081B">
        <w:rPr>
          <w:rFonts w:ascii="Georgia" w:hAnsi="Georgia" w:hint="cs"/>
          <w:sz w:val="18"/>
          <w:szCs w:val="20"/>
          <w:rtl/>
        </w:rPr>
        <w:t xml:space="preserve"> היא מקור מרכזי למשמעות בחיים ולתמיכה (</w:t>
      </w:r>
      <w:r w:rsidRPr="0042081B">
        <w:rPr>
          <w:rFonts w:ascii="Georgia" w:hAnsi="Georgia"/>
          <w:sz w:val="18"/>
          <w:szCs w:val="20"/>
        </w:rPr>
        <w:t>Halperin, 2015</w:t>
      </w:r>
      <w:r w:rsidRPr="0042081B">
        <w:rPr>
          <w:rFonts w:ascii="Georgia" w:hAnsi="Georgia" w:hint="cs"/>
          <w:sz w:val="18"/>
          <w:szCs w:val="20"/>
          <w:rtl/>
        </w:rPr>
        <w:t xml:space="preserve">). במובן זה, ובהלימה לספרות המחקר בתחום, ניתן לומר </w:t>
      </w:r>
      <w:r w:rsidRPr="0042081B">
        <w:rPr>
          <w:rFonts w:ascii="Georgia" w:hAnsi="Georgia" w:hint="cs"/>
          <w:sz w:val="18"/>
          <w:szCs w:val="20"/>
          <w:rtl/>
        </w:rPr>
        <w:lastRenderedPageBreak/>
        <w:t xml:space="preserve">כי העדפתם של המרואיינים מבוססת גם על ערכים חברתיים משותפים בנוגע לשאלה מי נכון וראוי שיבצע את התפקיד. </w:t>
      </w:r>
    </w:p>
    <w:p w14:paraId="16AA8A43" w14:textId="241A9CBA" w:rsidR="0042081B" w:rsidRPr="0042081B" w:rsidRDefault="0042081B" w:rsidP="002C260B">
      <w:pPr>
        <w:spacing w:after="180" w:line="280" w:lineRule="exact"/>
        <w:jc w:val="both"/>
        <w:rPr>
          <w:rFonts w:ascii="Georgia" w:hAnsi="Georgia"/>
          <w:sz w:val="18"/>
          <w:szCs w:val="20"/>
          <w:rtl/>
        </w:rPr>
      </w:pPr>
      <w:r w:rsidRPr="0042081B">
        <w:rPr>
          <w:rFonts w:ascii="Georgia" w:hAnsi="Georgia" w:hint="cs"/>
          <w:sz w:val="18"/>
          <w:szCs w:val="20"/>
          <w:rtl/>
        </w:rPr>
        <w:t xml:space="preserve">עם זאת, מבין בני המשפחה מקרבה ראשונה, לא תמיד נבחרו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 בני הזוג, ובניגוד להנחת המודל ההיררכי המפצה, לא תמיד הם עמדו בראש סדר העדיפויות (</w:t>
      </w:r>
      <w:r w:rsidRPr="0042081B">
        <w:rPr>
          <w:rFonts w:ascii="Georgia" w:hAnsi="Georgia"/>
          <w:sz w:val="18"/>
          <w:szCs w:val="20"/>
        </w:rPr>
        <w:t>Cantor &amp; Brennan-Ing, 2000</w:t>
      </w:r>
      <w:r w:rsidRPr="0042081B">
        <w:rPr>
          <w:rFonts w:ascii="Georgia" w:hAnsi="Georgia" w:hint="cs"/>
          <w:sz w:val="18"/>
          <w:szCs w:val="20"/>
          <w:rtl/>
        </w:rPr>
        <w:t>). כך למשל, חלק מהמרואיינים שיש להם בני זוג, ובמסגרת הריאיון לא הוצג כל חסם למינו</w:t>
      </w:r>
      <w:r w:rsidRPr="0042081B">
        <w:rPr>
          <w:rFonts w:ascii="Georgia" w:hAnsi="Georgia"/>
          <w:sz w:val="18"/>
          <w:szCs w:val="20"/>
          <w:rtl/>
        </w:rPr>
        <w:t>יָ</w:t>
      </w:r>
      <w:r w:rsidRPr="0042081B">
        <w:rPr>
          <w:rFonts w:ascii="Georgia" w:hAnsi="Georgia" w:hint="cs"/>
          <w:sz w:val="18"/>
          <w:szCs w:val="20"/>
          <w:rtl/>
        </w:rPr>
        <w:t xml:space="preserve">ם, לא בחרו בבני הזוג לתפקיד, ומינו את ילדיהם (כולם או חלקם)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כוחם העתידיים. היו גם מרואיינים שבחרו למנות לצד בני הזוג את ילדיהם (כולם או חלקם). ממצא זה מתיישב עם ממצאים קודמים שהוצגו בספרות המחקר בנוגע להעדפותיהם של זקנים בבחירת מיופי כוח עתידיים לעניינים רפואיים (</w:t>
      </w:r>
      <w:r w:rsidRPr="0042081B">
        <w:rPr>
          <w:rFonts w:ascii="Georgia" w:hAnsi="Georgia"/>
          <w:sz w:val="18"/>
          <w:szCs w:val="20"/>
        </w:rPr>
        <w:t>Hopp, 2000</w:t>
      </w:r>
      <w:r w:rsidRPr="0042081B">
        <w:rPr>
          <w:rFonts w:ascii="Georgia" w:hAnsi="Georgia" w:hint="cs"/>
          <w:sz w:val="18"/>
          <w:szCs w:val="20"/>
          <w:rtl/>
        </w:rPr>
        <w:t xml:space="preserve">). הסבר אפשרי לכך הוא שבעת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הממנים מביאים בחשבון שיקולים צופי פני עתיד דוגמת האפשרות של אובדן עתידי של בני הזוג, או הידרדרות אפשרית בתפקודיהם אשר לא תאפשר להם למלא את התפקיד בבוא העת. זאת ועוד, ליבו של ייפוי הכוח המתמשך הוא קבלת החלטות חלופיות אשר כרוכות בגורמי לחץ ייחודיים (</w:t>
      </w:r>
      <w:r w:rsidRPr="0042081B">
        <w:rPr>
          <w:rFonts w:ascii="Georgia" w:hAnsi="Georgia"/>
          <w:sz w:val="18"/>
          <w:szCs w:val="20"/>
        </w:rPr>
        <w:t xml:space="preserve">Carr &amp; </w:t>
      </w:r>
      <w:proofErr w:type="spellStart"/>
      <w:r w:rsidRPr="0042081B">
        <w:rPr>
          <w:rFonts w:ascii="Georgia" w:hAnsi="Georgia"/>
          <w:sz w:val="18"/>
          <w:szCs w:val="20"/>
        </w:rPr>
        <w:t>Khodyakov</w:t>
      </w:r>
      <w:proofErr w:type="spellEnd"/>
      <w:r w:rsidRPr="0042081B">
        <w:rPr>
          <w:rFonts w:ascii="Georgia" w:hAnsi="Georgia"/>
          <w:sz w:val="18"/>
          <w:szCs w:val="20"/>
        </w:rPr>
        <w:t>, 2007</w:t>
      </w:r>
      <w:r w:rsidRPr="0042081B">
        <w:rPr>
          <w:rFonts w:ascii="Georgia" w:hAnsi="Georgia" w:hint="cs"/>
          <w:sz w:val="18"/>
          <w:szCs w:val="20"/>
          <w:rtl/>
        </w:rPr>
        <w:t xml:space="preserve">), הן עבור הממנה הן עבור מיופה הכוח העתידי הנבחר, וגם לכך עשויה להיות השפעה בשיקולים בבחירת מיופה הכוח. </w:t>
      </w:r>
      <w:bookmarkEnd w:id="10"/>
    </w:p>
    <w:p w14:paraId="2786F0C0" w14:textId="77777777" w:rsidR="0042081B" w:rsidRDefault="0042081B" w:rsidP="0042081B">
      <w:pPr>
        <w:spacing w:after="180" w:line="280" w:lineRule="exact"/>
        <w:jc w:val="both"/>
        <w:rPr>
          <w:rFonts w:ascii="Georgia" w:hAnsi="Georgia"/>
          <w:sz w:val="18"/>
          <w:szCs w:val="20"/>
          <w:rtl/>
        </w:rPr>
      </w:pPr>
      <w:bookmarkStart w:id="11" w:name="_Hlk151010790"/>
      <w:r w:rsidRPr="0042081B">
        <w:rPr>
          <w:rFonts w:ascii="Georgia" w:hAnsi="Georgia" w:hint="cs"/>
          <w:sz w:val="18"/>
          <w:szCs w:val="20"/>
          <w:rtl/>
        </w:rPr>
        <w:t xml:space="preserve">חריגה מתבנית הבחירה הכללית שמציע המודל ההיררכי המפצה נמצאה בקרב מקצת המרואיינים גם בהקשרים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ייפוי הכוח המתמשך. בעוד בחירת </w:t>
      </w:r>
      <w:bookmarkEnd w:id="11"/>
      <w:r w:rsidRPr="0042081B">
        <w:rPr>
          <w:rFonts w:ascii="Georgia" w:hAnsi="Georgia" w:hint="cs"/>
          <w:sz w:val="18"/>
          <w:szCs w:val="20"/>
          <w:rtl/>
        </w:rPr>
        <w:t xml:space="preserve">המרואיינים בבני משפחה מקרבה ראשונה לתפקיד מיופי הכוח </w:t>
      </w:r>
      <w:proofErr w:type="spellStart"/>
      <w:r w:rsidRPr="0042081B">
        <w:rPr>
          <w:rFonts w:ascii="Georgia" w:hAnsi="Georgia" w:hint="cs"/>
          <w:sz w:val="18"/>
          <w:szCs w:val="20"/>
          <w:rtl/>
        </w:rPr>
        <w:t>היתה</w:t>
      </w:r>
      <w:proofErr w:type="spellEnd"/>
      <w:r w:rsidRPr="0042081B">
        <w:rPr>
          <w:rFonts w:ascii="Georgia" w:hAnsi="Georgia" w:hint="cs"/>
          <w:sz w:val="18"/>
          <w:szCs w:val="20"/>
          <w:rtl/>
        </w:rPr>
        <w:t xml:space="preserve"> כמעט מוחלטת בהקשרים האישיים והרפואיים של ייפוי הכוח התמשך, הרי היו מרואיינים אשר לעניינים </w:t>
      </w:r>
      <w:proofErr w:type="spellStart"/>
      <w:r w:rsidRPr="0042081B">
        <w:rPr>
          <w:rFonts w:ascii="Georgia" w:hAnsi="Georgia" w:hint="cs"/>
          <w:sz w:val="18"/>
          <w:szCs w:val="20"/>
          <w:rtl/>
        </w:rPr>
        <w:t>רכושיים</w:t>
      </w:r>
      <w:proofErr w:type="spellEnd"/>
      <w:r w:rsidRPr="0042081B">
        <w:rPr>
          <w:rFonts w:ascii="Georgia" w:hAnsi="Georgia" w:hint="cs"/>
          <w:sz w:val="18"/>
          <w:szCs w:val="20"/>
          <w:rtl/>
        </w:rPr>
        <w:t xml:space="preserve"> בחרו למנות בני משפחה מהמעגל הרחב יותר או חברים, משום שסברו שבני משפחתם מקרבה ראשונה חסרים את המומחיות הנדרשת לניהול עניינים אלה. ממצא זה עולה גם הוא בקנה אחד עם ספרות המחקר על המודל ההיררכי המפצה, ולפיה החשיבות של תפקיד המשפחה ממותנת על ידי השאיפה העזה של זקנים להישאר עצמאיים מבחינה כלכלית ולהימנע מלהפוך לנטל על ילדיהם (</w:t>
      </w:r>
      <w:r w:rsidRPr="0042081B">
        <w:rPr>
          <w:rFonts w:ascii="Georgia" w:hAnsi="Georgia"/>
          <w:sz w:val="18"/>
          <w:szCs w:val="20"/>
        </w:rPr>
        <w:t>Cantor, 1979</w:t>
      </w:r>
      <w:r w:rsidRPr="0042081B">
        <w:rPr>
          <w:rFonts w:ascii="Georgia" w:hAnsi="Georgia" w:hint="cs"/>
          <w:sz w:val="18"/>
          <w:szCs w:val="20"/>
          <w:rtl/>
        </w:rPr>
        <w:t xml:space="preserve">). זאת ועוד, נראה שגם בהקשר זה נכון להביא בחשבון את אופיו הייחודי של כלי ייפוי הכוח המתמשך בהשוואה לצורות שונות אחרות של קבלת עזרה ותמיכה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הצורך להבטיח שמיופה הכוח ימלא את תפקידו כראוי במצב שבו הממנה לא יוכל לפקח על פעולותיו או לפעול בעצמו לשינוי המצב (ככל שמיופה הכוח לא יבצע את תפקידו כמצופה), לצד השלכותיהם של ההיבטים </w:t>
      </w:r>
      <w:proofErr w:type="spellStart"/>
      <w:r w:rsidRPr="0042081B">
        <w:rPr>
          <w:rFonts w:ascii="Georgia" w:hAnsi="Georgia" w:hint="cs"/>
          <w:sz w:val="18"/>
          <w:szCs w:val="20"/>
          <w:rtl/>
        </w:rPr>
        <w:t>הרכושיים</w:t>
      </w:r>
      <w:proofErr w:type="spellEnd"/>
      <w:r w:rsidRPr="0042081B">
        <w:rPr>
          <w:rFonts w:ascii="Georgia" w:hAnsi="Georgia" w:hint="cs"/>
          <w:sz w:val="18"/>
          <w:szCs w:val="20"/>
          <w:rtl/>
        </w:rPr>
        <w:t xml:space="preserve"> של ייפוי הכוח המתמשך על כל תחומי חייו של הממנה, יכולים להסביר את החריגה המתוארת מתבנית ההעדפות שמציע המודל ההיררכי המפצה. </w:t>
      </w:r>
    </w:p>
    <w:p w14:paraId="4022DD77" w14:textId="77777777" w:rsidR="00DF3289" w:rsidRPr="0042081B" w:rsidRDefault="00DF3289" w:rsidP="0042081B">
      <w:pPr>
        <w:spacing w:after="180" w:line="280" w:lineRule="exact"/>
        <w:jc w:val="both"/>
        <w:rPr>
          <w:rFonts w:ascii="Georgia" w:hAnsi="Georgia"/>
          <w:sz w:val="18"/>
          <w:szCs w:val="20"/>
          <w:rtl/>
        </w:rPr>
      </w:pPr>
    </w:p>
    <w:p w14:paraId="7ECEC95E" w14:textId="1CDD8C57"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מודל המשימה הייחודית ושיקולי התאמה לתפקיד</w:t>
      </w:r>
    </w:p>
    <w:p w14:paraId="5E101043"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לצד מקומן המרכזי של העדפות המרואיינים בבחירת מיופי הכוח במסגרת ביצוע ייפוי כוח מתמשך, הממצאים מצביעים על כך שמקומם של שיקולי התאמה לתפקיד לא נפקד </w:t>
      </w:r>
      <w:r w:rsidRPr="0042081B">
        <w:rPr>
          <w:rFonts w:ascii="Georgia" w:hAnsi="Georgia" w:hint="cs"/>
          <w:sz w:val="18"/>
          <w:szCs w:val="20"/>
          <w:rtl/>
        </w:rPr>
        <w:lastRenderedPageBreak/>
        <w:t>מהתהליך. התבוננות בממצאים מנקודת המבט של מודל המשימה הייחודית, המתמקד בהתאמה שבין העזרה הנדרשת לבין מקורות התמיכה המסוגלים, מבחינת מאפייניהם המבניים, לספק אותה (</w:t>
      </w:r>
      <w:r w:rsidRPr="0042081B">
        <w:rPr>
          <w:rFonts w:ascii="Georgia" w:hAnsi="Georgia"/>
          <w:sz w:val="18"/>
          <w:szCs w:val="20"/>
        </w:rPr>
        <w:t xml:space="preserve">Litwak, 1985; </w:t>
      </w:r>
      <w:proofErr w:type="spellStart"/>
      <w:r w:rsidRPr="0042081B">
        <w:rPr>
          <w:rFonts w:ascii="Georgia" w:hAnsi="Georgia"/>
          <w:sz w:val="18"/>
          <w:szCs w:val="20"/>
        </w:rPr>
        <w:t>Messeri</w:t>
      </w:r>
      <w:proofErr w:type="spellEnd"/>
      <w:r w:rsidRPr="0042081B">
        <w:rPr>
          <w:rFonts w:ascii="Georgia" w:hAnsi="Georgia"/>
          <w:sz w:val="18"/>
          <w:szCs w:val="20"/>
        </w:rPr>
        <w:t xml:space="preserve"> et al., 1993</w:t>
      </w:r>
      <w:r w:rsidRPr="0042081B">
        <w:rPr>
          <w:rFonts w:ascii="Georgia" w:hAnsi="Georgia" w:hint="cs"/>
          <w:sz w:val="18"/>
          <w:szCs w:val="20"/>
          <w:rtl/>
        </w:rPr>
        <w:t xml:space="preserve">), מסייעת בהבנת הממצאים הנוגעים לשיקולים אלה, ומספקת הסבר נוסף לחריגות מתבנית ההעדפה שמציע המודל ההיררכי המפצה. </w:t>
      </w:r>
    </w:p>
    <w:p w14:paraId="294CB096" w14:textId="73FAF10C" w:rsidR="0042081B" w:rsidRPr="00DF3289" w:rsidRDefault="0042081B" w:rsidP="0042081B">
      <w:pPr>
        <w:spacing w:after="180" w:line="280" w:lineRule="exact"/>
        <w:jc w:val="both"/>
        <w:rPr>
          <w:rFonts w:ascii="Georgia" w:hAnsi="Georgia"/>
          <w:spacing w:val="-2"/>
          <w:sz w:val="18"/>
          <w:szCs w:val="20"/>
          <w:rtl/>
        </w:rPr>
      </w:pPr>
      <w:r w:rsidRPr="0042081B">
        <w:rPr>
          <w:rFonts w:ascii="Georgia" w:hAnsi="Georgia" w:hint="cs"/>
          <w:sz w:val="18"/>
          <w:szCs w:val="20"/>
          <w:rtl/>
        </w:rPr>
        <w:t xml:space="preserve">בהתאם למודל המשימה הייחודית, התאמה בין מבנה הקבוצה התומכת לבין </w:t>
      </w:r>
      <w:r w:rsidR="009B5201">
        <w:rPr>
          <w:rFonts w:ascii="Georgia" w:hAnsi="Georgia" w:hint="cs"/>
          <w:sz w:val="18"/>
          <w:szCs w:val="20"/>
          <w:rtl/>
        </w:rPr>
        <w:t>ה</w:t>
      </w:r>
      <w:r w:rsidRPr="0042081B">
        <w:rPr>
          <w:rFonts w:ascii="Georgia" w:hAnsi="Georgia" w:hint="cs"/>
          <w:sz w:val="18"/>
          <w:szCs w:val="20"/>
          <w:rtl/>
        </w:rPr>
        <w:t>משימה היא דרישת סף לתמיכה. לכן, מי שנמנים עם קבוצה שהמבנה שלה איננו מתאים לביצוע משימה מסוימת ייחשבו לבלתי מסוגלים להחליף גורמי תמיכה מקבוצה אחרת באותה משימה, אלא אם כן מדובר בפרטים שבאופן חריג אוחזים במאפיינים חיוניים של חברי הקבוצה המתאימה ביותר לביצוע המשימה (</w:t>
      </w:r>
      <w:r w:rsidRPr="0042081B">
        <w:rPr>
          <w:rFonts w:ascii="Georgia" w:hAnsi="Georgia"/>
          <w:sz w:val="18"/>
          <w:szCs w:val="20"/>
        </w:rPr>
        <w:t>Penning, 1990</w:t>
      </w:r>
      <w:r w:rsidRPr="0042081B">
        <w:rPr>
          <w:rFonts w:ascii="Georgia" w:hAnsi="Georgia" w:hint="cs"/>
          <w:sz w:val="18"/>
          <w:szCs w:val="20"/>
          <w:rtl/>
        </w:rPr>
        <w:t xml:space="preserve">). בהתאם לכך, נראה כי בחירתם של כל המרואיינים בבני משפחה לתפקיד מיופי הכוח העתידיים עולה בקנה אחד עם מודל המשימה הייחודית, מאחר שהתפקיד מערב אינטימיות רבה ויכול להיתרם באופן מהותי מקיומה של היסטוריה משותפת ארוכת טווח בין הממנה לבין מיופה הכוח הנבחר </w:t>
      </w:r>
      <w:r w:rsidRPr="0042081B">
        <w:rPr>
          <w:rFonts w:ascii="Georgia" w:hAnsi="Georgia"/>
          <w:sz w:val="18"/>
          <w:szCs w:val="20"/>
          <w:rtl/>
        </w:rPr>
        <w:t>–</w:t>
      </w:r>
      <w:r w:rsidRPr="0042081B">
        <w:rPr>
          <w:rFonts w:ascii="Georgia" w:hAnsi="Georgia" w:hint="cs"/>
          <w:sz w:val="18"/>
          <w:szCs w:val="20"/>
          <w:rtl/>
        </w:rPr>
        <w:t xml:space="preserve"> מאפיינים מבניים המתקיימים באופן טבעי במעטפת המשפחתית של הזקן (</w:t>
      </w:r>
      <w:r w:rsidRPr="0042081B">
        <w:rPr>
          <w:rFonts w:ascii="Georgia" w:hAnsi="Georgia"/>
          <w:sz w:val="18"/>
          <w:szCs w:val="20"/>
        </w:rPr>
        <w:t>Cantor &amp; Brennan-Ing, 2000</w:t>
      </w:r>
      <w:r w:rsidRPr="0042081B">
        <w:rPr>
          <w:rFonts w:ascii="Georgia" w:hAnsi="Georgia" w:hint="cs"/>
          <w:sz w:val="18"/>
          <w:szCs w:val="20"/>
          <w:rtl/>
        </w:rPr>
        <w:t xml:space="preserve">). נוסף על כך, התפקיד דורש מידה גבוהה של מחויבות </w:t>
      </w:r>
      <w:r w:rsidRPr="0042081B">
        <w:rPr>
          <w:rFonts w:ascii="Georgia" w:hAnsi="Georgia" w:hint="eastAsia"/>
          <w:sz w:val="18"/>
          <w:szCs w:val="20"/>
          <w:rtl/>
        </w:rPr>
        <w:t>–</w:t>
      </w:r>
      <w:r w:rsidRPr="0042081B">
        <w:rPr>
          <w:rFonts w:ascii="Georgia" w:hAnsi="Georgia" w:hint="cs"/>
          <w:sz w:val="18"/>
          <w:szCs w:val="20"/>
          <w:rtl/>
        </w:rPr>
        <w:t xml:space="preserve"> הן לפעול </w:t>
      </w:r>
      <w:r w:rsidRPr="00DF3289">
        <w:rPr>
          <w:rFonts w:ascii="Georgia" w:hAnsi="Georgia" w:hint="cs"/>
          <w:spacing w:val="-2"/>
          <w:sz w:val="18"/>
          <w:szCs w:val="20"/>
          <w:rtl/>
        </w:rPr>
        <w:t xml:space="preserve">בהתאם לרצונותיו והוראותיו של הממנה, הן למלא את התפקיד מבחינה פונקציונלית </w:t>
      </w:r>
      <w:r w:rsidRPr="00DF3289">
        <w:rPr>
          <w:rFonts w:ascii="Georgia" w:hAnsi="Georgia" w:hint="eastAsia"/>
          <w:spacing w:val="-2"/>
          <w:sz w:val="18"/>
          <w:szCs w:val="20"/>
          <w:rtl/>
        </w:rPr>
        <w:t>–</w:t>
      </w:r>
      <w:r w:rsidRPr="00DF3289">
        <w:rPr>
          <w:rFonts w:ascii="Georgia" w:hAnsi="Georgia" w:hint="cs"/>
          <w:spacing w:val="-2"/>
          <w:sz w:val="18"/>
          <w:szCs w:val="20"/>
          <w:rtl/>
        </w:rPr>
        <w:t xml:space="preserve"> אשר גם היא מאפיין מבני של קבוצת בני המשפחה. המודל מספק הסבר גם לשני המקרים שבהם נבחרו לתפקיד גם חברים, שכן המרואיינים תיארו אותם כחברים המלווים אותם כבר שנים ארוכות, מידת הקרבה אליהם היא רבה, והם נתפסים על ידם כבני משפחה של ממש. </w:t>
      </w:r>
    </w:p>
    <w:p w14:paraId="7E1F2096" w14:textId="05BC8D2E" w:rsidR="0042081B" w:rsidRPr="0042081B" w:rsidRDefault="0042081B" w:rsidP="009B5201">
      <w:pPr>
        <w:spacing w:after="180" w:line="280" w:lineRule="exact"/>
        <w:jc w:val="both"/>
        <w:rPr>
          <w:rFonts w:ascii="Georgia" w:hAnsi="Georgia"/>
          <w:sz w:val="18"/>
          <w:szCs w:val="20"/>
          <w:rtl/>
        </w:rPr>
      </w:pPr>
      <w:r w:rsidRPr="0042081B">
        <w:rPr>
          <w:rFonts w:ascii="Georgia" w:hAnsi="Georgia" w:hint="cs"/>
          <w:sz w:val="18"/>
          <w:szCs w:val="20"/>
          <w:rtl/>
        </w:rPr>
        <w:t>להבדיל מהמודל ההיררכי המפצה, מודל המשימה הייחודית מאפשר להעדיף בחירה בבן המשפחה אשר יכול להתאים לתפקיד באופן מיטבי גם אם הוא איננו בן המשפחה הקרוב ביותר (</w:t>
      </w:r>
      <w:r w:rsidRPr="0042081B">
        <w:rPr>
          <w:rFonts w:ascii="Georgia" w:hAnsi="Georgia"/>
          <w:sz w:val="18"/>
          <w:szCs w:val="20"/>
        </w:rPr>
        <w:t>Moorman &amp; Boerner, 2018</w:t>
      </w:r>
      <w:r w:rsidRPr="0042081B">
        <w:rPr>
          <w:rFonts w:ascii="Georgia" w:hAnsi="Georgia" w:hint="cs"/>
          <w:sz w:val="18"/>
          <w:szCs w:val="20"/>
          <w:rtl/>
        </w:rPr>
        <w:t xml:space="preserve">). ביטוי לכך </w:t>
      </w:r>
      <w:r w:rsidR="009B5201">
        <w:rPr>
          <w:rFonts w:ascii="Georgia" w:hAnsi="Georgia" w:hint="cs"/>
          <w:sz w:val="18"/>
          <w:szCs w:val="20"/>
          <w:rtl/>
        </w:rPr>
        <w:t>מופיע</w:t>
      </w:r>
      <w:r w:rsidRPr="0042081B">
        <w:rPr>
          <w:rFonts w:ascii="Georgia" w:hAnsi="Georgia" w:hint="cs"/>
          <w:sz w:val="18"/>
          <w:szCs w:val="20"/>
          <w:rtl/>
        </w:rPr>
        <w:t xml:space="preserve"> בממצאים המצביעים על העדפה למינוי של יותר ממיופה כוח אחד מטעמים של מומחיותו של מיופה הכוח הנוסף, או מטעמים של הרצון לאפשר חשיבה משותפת של מיופי הכוח וקבלת החלטות טובה יותר עבור הממנה; תכונות האופי שיוחסו </w:t>
      </w:r>
      <w:proofErr w:type="spellStart"/>
      <w:r w:rsidRPr="0042081B">
        <w:rPr>
          <w:rFonts w:ascii="Georgia" w:hAnsi="Georgia" w:hint="cs"/>
          <w:sz w:val="18"/>
          <w:szCs w:val="20"/>
          <w:rtl/>
        </w:rPr>
        <w:t>למיופי</w:t>
      </w:r>
      <w:proofErr w:type="spellEnd"/>
      <w:r w:rsidRPr="0042081B">
        <w:rPr>
          <w:rFonts w:ascii="Georgia" w:hAnsi="Georgia" w:hint="cs"/>
          <w:sz w:val="18"/>
          <w:szCs w:val="20"/>
          <w:rtl/>
        </w:rPr>
        <w:t xml:space="preserve"> הכוח הנבחרים וצוינו כשיקול לבחירתם; בחירתם של בני משפחה אשר יוכלו להוציא לפועל את רצונותיהם של הממנים; העדפתם של בני משפחה המתגוררים בקרבת הממנים,</w:t>
      </w:r>
      <w:r w:rsidRPr="0042081B">
        <w:rPr>
          <w:rStyle w:val="FootnoteReference"/>
          <w:rFonts w:ascii="Georgia" w:hAnsi="Georgia"/>
          <w:sz w:val="18"/>
          <w:szCs w:val="20"/>
          <w:rtl/>
        </w:rPr>
        <w:footnoteReference w:id="21"/>
      </w:r>
      <w:r w:rsidRPr="0042081B">
        <w:rPr>
          <w:rFonts w:ascii="Georgia" w:hAnsi="Georgia" w:hint="cs"/>
          <w:sz w:val="18"/>
          <w:szCs w:val="20"/>
          <w:rtl/>
        </w:rPr>
        <w:t xml:space="preserve"> ובני משפחה שכבר מסייעים לממנים כיום. </w:t>
      </w:r>
    </w:p>
    <w:p w14:paraId="0B32203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בדומה לכך, גם הטעמים אשר עלו בראיונות לאי מינו</w:t>
      </w:r>
      <w:r w:rsidRPr="0042081B">
        <w:rPr>
          <w:rFonts w:ascii="Georgia" w:hAnsi="Georgia"/>
          <w:sz w:val="18"/>
          <w:szCs w:val="20"/>
          <w:rtl/>
        </w:rPr>
        <w:t>יָ</w:t>
      </w:r>
      <w:r w:rsidRPr="0042081B">
        <w:rPr>
          <w:rFonts w:ascii="Georgia" w:hAnsi="Georgia" w:hint="cs"/>
          <w:sz w:val="18"/>
          <w:szCs w:val="20"/>
          <w:rtl/>
        </w:rPr>
        <w:t>ם של בני משפחה קרובים לתפקיד הצביעו, למעשה, על אי התאמתם של אותם בני משפחה לביצוע התפקיד באופן מיטבי. פערים משמעותיים בתפיסות העולם, או קשיים אינדיבידואליי</w:t>
      </w:r>
      <w:r w:rsidRPr="0042081B">
        <w:rPr>
          <w:rFonts w:ascii="Georgia" w:hAnsi="Georgia" w:hint="eastAsia"/>
          <w:sz w:val="18"/>
          <w:szCs w:val="20"/>
          <w:rtl/>
        </w:rPr>
        <w:t>ם</w:t>
      </w:r>
      <w:r w:rsidRPr="0042081B">
        <w:rPr>
          <w:rFonts w:ascii="Georgia" w:hAnsi="Georgia" w:hint="cs"/>
          <w:sz w:val="18"/>
          <w:szCs w:val="20"/>
          <w:rtl/>
        </w:rPr>
        <w:t xml:space="preserve"> אחרים אשר המרואיינים </w:t>
      </w:r>
      <w:r w:rsidRPr="0042081B">
        <w:rPr>
          <w:rFonts w:ascii="Georgia" w:hAnsi="Georgia" w:hint="cs"/>
          <w:sz w:val="18"/>
          <w:szCs w:val="20"/>
          <w:rtl/>
        </w:rPr>
        <w:lastRenderedPageBreak/>
        <w:t xml:space="preserve">העריכו שעלולים למנוע מבני משפחותיהם להוציא לפועל את רצונותיהם כפי שהללו באים לידי ביטוי בייפוי הכוח המתמשך, חותרים תחת הרציונל של מינוי מיופה כוח שיסייע לאזרח הוותיק לשמור על עצמאותו ככל האפשר, גם במצב של הידרדרות התפקודים. </w:t>
      </w:r>
    </w:p>
    <w:p w14:paraId="1D0BA6D8" w14:textId="77777777" w:rsidR="0042081B" w:rsidRDefault="0042081B" w:rsidP="0042081B">
      <w:pPr>
        <w:spacing w:after="180" w:line="280" w:lineRule="exact"/>
        <w:jc w:val="both"/>
        <w:rPr>
          <w:rFonts w:ascii="Georgia" w:hAnsi="Georgia"/>
          <w:spacing w:val="-2"/>
          <w:sz w:val="18"/>
          <w:szCs w:val="20"/>
          <w:rtl/>
        </w:rPr>
      </w:pPr>
      <w:r w:rsidRPr="00DF3289">
        <w:rPr>
          <w:rFonts w:ascii="Georgia" w:hAnsi="Georgia" w:hint="cs"/>
          <w:spacing w:val="-2"/>
          <w:sz w:val="18"/>
          <w:szCs w:val="20"/>
          <w:rtl/>
        </w:rPr>
        <w:t xml:space="preserve">ניתן לסכם ולומר כי ממצאי המחקר מצביעים על כך שהמרואיינים בחרו </w:t>
      </w:r>
      <w:proofErr w:type="spellStart"/>
      <w:r w:rsidRPr="00DF3289">
        <w:rPr>
          <w:rFonts w:ascii="Georgia" w:hAnsi="Georgia" w:hint="cs"/>
          <w:spacing w:val="-2"/>
          <w:sz w:val="18"/>
          <w:szCs w:val="20"/>
          <w:rtl/>
        </w:rPr>
        <w:t>במיופי</w:t>
      </w:r>
      <w:proofErr w:type="spellEnd"/>
      <w:r w:rsidRPr="00DF3289">
        <w:rPr>
          <w:rFonts w:ascii="Georgia" w:hAnsi="Georgia" w:hint="cs"/>
          <w:spacing w:val="-2"/>
          <w:sz w:val="18"/>
          <w:szCs w:val="20"/>
          <w:rtl/>
        </w:rPr>
        <w:t xml:space="preserve"> הכוח העתידיים בדומה לאופן שבו זקנים מבקשים לעצמם סוגים שונים של תמיכה וסיוע (</w:t>
      </w:r>
      <w:r w:rsidRPr="00DF3289">
        <w:rPr>
          <w:rFonts w:ascii="Georgia" w:hAnsi="Georgia"/>
          <w:spacing w:val="-2"/>
          <w:sz w:val="18"/>
          <w:szCs w:val="20"/>
        </w:rPr>
        <w:t>Barnett &amp; Cantu, 2021</w:t>
      </w:r>
      <w:r w:rsidRPr="00DF3289">
        <w:rPr>
          <w:rFonts w:ascii="Georgia" w:hAnsi="Georgia" w:hint="cs"/>
          <w:spacing w:val="-2"/>
          <w:sz w:val="18"/>
          <w:szCs w:val="20"/>
          <w:rtl/>
        </w:rPr>
        <w:t xml:space="preserve">), וכי בהלימה למודל ההיררכי המפצה, </w:t>
      </w:r>
      <w:r w:rsidRPr="00DF3289">
        <w:rPr>
          <w:rFonts w:ascii="Georgia" w:hAnsi="Georgia"/>
          <w:spacing w:val="-2"/>
          <w:sz w:val="18"/>
          <w:szCs w:val="20"/>
          <w:rtl/>
        </w:rPr>
        <w:t>העדפתם הראשונה היית</w:t>
      </w:r>
      <w:r w:rsidRPr="00DF3289">
        <w:rPr>
          <w:rFonts w:ascii="Georgia" w:hAnsi="Georgia" w:hint="cs"/>
          <w:spacing w:val="-2"/>
          <w:sz w:val="18"/>
          <w:szCs w:val="20"/>
          <w:rtl/>
        </w:rPr>
        <w:t>ה</w:t>
      </w:r>
      <w:r w:rsidRPr="00DF3289">
        <w:rPr>
          <w:rFonts w:ascii="Georgia" w:hAnsi="Georgia"/>
          <w:spacing w:val="-2"/>
          <w:sz w:val="18"/>
          <w:szCs w:val="20"/>
          <w:rtl/>
        </w:rPr>
        <w:t xml:space="preserve"> למנות בני משפחה מקרבה ראשונה לתפקיד </w:t>
      </w:r>
      <w:r w:rsidRPr="00DF3289">
        <w:rPr>
          <w:rFonts w:ascii="Georgia" w:hAnsi="Georgia" w:hint="cs"/>
          <w:spacing w:val="-2"/>
          <w:sz w:val="18"/>
          <w:szCs w:val="20"/>
          <w:rtl/>
        </w:rPr>
        <w:t xml:space="preserve">אשר כרוך באמון רב בין הצדדים ובמחויבות ממושכת, ומתאפיין באינטימיות רבה. עם זאת, ועל אף סדרי העדיפויות המובהקים שנחשפו בראיונות, שיקולים בדבר מידת ההתאמה בין הפרטים הנמנים עם הקבוצה המועדפת לתפקיד לבין טבעה הצפוי של המשימה היו חלק בלתי נפרד מהתהליך. מודל המשימה הייחודית שופך אור על האופן שבו שיקולים של התאמה לתפקיד וקידום הביצוע המיטבי שלו סייעו למרואיינים לבחור </w:t>
      </w:r>
      <w:proofErr w:type="spellStart"/>
      <w:r w:rsidRPr="00DF3289">
        <w:rPr>
          <w:rFonts w:ascii="Georgia" w:hAnsi="Georgia" w:hint="cs"/>
          <w:spacing w:val="-2"/>
          <w:sz w:val="18"/>
          <w:szCs w:val="20"/>
          <w:rtl/>
        </w:rPr>
        <w:t>במיופי</w:t>
      </w:r>
      <w:proofErr w:type="spellEnd"/>
      <w:r w:rsidRPr="00DF3289">
        <w:rPr>
          <w:rFonts w:ascii="Georgia" w:hAnsi="Georgia" w:hint="cs"/>
          <w:spacing w:val="-2"/>
          <w:sz w:val="18"/>
          <w:szCs w:val="20"/>
          <w:rtl/>
        </w:rPr>
        <w:t xml:space="preserve"> הכוח המתאימים לנסיבותיהם המשפחתיות, לערכיהם ולהשקפות עולמם </w:t>
      </w:r>
      <w:r w:rsidRPr="00DF3289">
        <w:rPr>
          <w:rFonts w:ascii="Georgia" w:hAnsi="Georgia" w:hint="eastAsia"/>
          <w:spacing w:val="-2"/>
          <w:sz w:val="18"/>
          <w:szCs w:val="20"/>
          <w:rtl/>
        </w:rPr>
        <w:t>–</w:t>
      </w:r>
      <w:r w:rsidRPr="00DF3289">
        <w:rPr>
          <w:rFonts w:ascii="Georgia" w:hAnsi="Georgia" w:hint="cs"/>
          <w:spacing w:val="-2"/>
          <w:sz w:val="18"/>
          <w:szCs w:val="20"/>
          <w:rtl/>
        </w:rPr>
        <w:t xml:space="preserve"> מתוך המעטפת המשפחתית, ולעיתים אף מחוץ לה. </w:t>
      </w:r>
    </w:p>
    <w:p w14:paraId="3CB61D26" w14:textId="77777777" w:rsidR="00DF3289" w:rsidRPr="00DF3289" w:rsidRDefault="00DF3289" w:rsidP="0042081B">
      <w:pPr>
        <w:spacing w:after="180" w:line="280" w:lineRule="exact"/>
        <w:jc w:val="both"/>
        <w:rPr>
          <w:rFonts w:ascii="Georgia" w:hAnsi="Georgia"/>
          <w:spacing w:val="-2"/>
          <w:sz w:val="18"/>
          <w:szCs w:val="20"/>
          <w:rtl/>
        </w:rPr>
      </w:pPr>
    </w:p>
    <w:p w14:paraId="630C6869" w14:textId="7A5D951B" w:rsidR="0042081B" w:rsidRPr="0042081B" w:rsidRDefault="0042081B" w:rsidP="0042081B">
      <w:pPr>
        <w:pStyle w:val="KOT5"/>
        <w:spacing w:after="0"/>
        <w:ind w:right="0"/>
        <w:outlineLvl w:val="2"/>
        <w:rPr>
          <w:rFonts w:cs="Guttman Aharoni"/>
          <w:color w:val="BA2A16"/>
          <w:rtl/>
        </w:rPr>
      </w:pPr>
      <w:r w:rsidRPr="0042081B">
        <w:rPr>
          <w:rFonts w:cs="Guttman Aharoni" w:hint="cs"/>
          <w:color w:val="BA2A16"/>
          <w:rtl/>
        </w:rPr>
        <w:t>החשש מפני ניצולו לרעה של הכלי</w:t>
      </w:r>
    </w:p>
    <w:p w14:paraId="6E0E69F8" w14:textId="77777777" w:rsidR="0042081B" w:rsidRPr="0042081B" w:rsidRDefault="0042081B" w:rsidP="0042081B">
      <w:pPr>
        <w:spacing w:after="180" w:line="280" w:lineRule="exact"/>
        <w:jc w:val="both"/>
        <w:rPr>
          <w:rFonts w:ascii="Georgia" w:hAnsi="Georgia"/>
          <w:sz w:val="18"/>
          <w:szCs w:val="20"/>
          <w:rtl/>
        </w:rPr>
      </w:pPr>
      <w:bookmarkStart w:id="12" w:name="_Hlk151712573"/>
      <w:r w:rsidRPr="0042081B">
        <w:rPr>
          <w:rFonts w:ascii="Georgia" w:hAnsi="Georgia" w:hint="cs"/>
          <w:sz w:val="18"/>
          <w:szCs w:val="20"/>
          <w:rtl/>
        </w:rPr>
        <w:t xml:space="preserve">לשם השלמת התמונה, נכון יהיה להאיר היבט הנוגע לבחירת מיופה הכוח בייפוי כוח מתמשך אך נעדר מהראיונות כמעט לגמרי. אף שהאפשרות לנצל את ייפוי הכוח המתמשך לרעה היא מחולשותיו המרכזיות של הכלי, החשש מפניה כמעט שלא עלה בראיונות. רק שני מרואיינים התייחסו לנושא במרומז ובקצרה, ומדבריהם עלה שהם תופסים אפשרות זו כחשש מרוחק ובלתי סביר. אחד מהם בחר להתמודד עם החשש באמצעות מינוי של יותר ממיופה כוח אחד, כאמור לעיל, והמרואיינת האחרת התמודדה עימו באמצעות קביעה כי שתי בנותיה שלא מונו למיופות כוחה יהיו מיודעות בפעולות מיופה הכוח. </w:t>
      </w:r>
    </w:p>
    <w:p w14:paraId="3A044987" w14:textId="77777777" w:rsidR="0042081B" w:rsidRDefault="0042081B" w:rsidP="0042081B">
      <w:pPr>
        <w:spacing w:after="180" w:line="280" w:lineRule="exact"/>
        <w:jc w:val="both"/>
        <w:rPr>
          <w:rFonts w:ascii="Georgia" w:hAnsi="Georgia"/>
          <w:spacing w:val="-2"/>
          <w:sz w:val="18"/>
          <w:szCs w:val="20"/>
          <w:rtl/>
        </w:rPr>
      </w:pPr>
      <w:r w:rsidRPr="0042081B">
        <w:rPr>
          <w:rFonts w:ascii="Georgia" w:hAnsi="Georgia" w:hint="cs"/>
          <w:sz w:val="18"/>
          <w:szCs w:val="20"/>
          <w:rtl/>
        </w:rPr>
        <w:t xml:space="preserve">הסבר אפשרי לכך הוא שכפי שעלה מהראיונות, ביצוע ייפוי כוח מתמשך דורש מלכתחילה רמת אמון גבוהה מאוד בין הממנה לבין מיופה הכוח העתידי, ורמת אמון גבוהה שכזו ככלל מאיינת מבחינת הממנה את המחשבה על אפשרות ניצולו של הכלי לרעה. עוד יצוין כי היעדר החשש מהאפשרות שייפוי הכוח המתמשך ינוצל לרעה משקף את התהליך הרגשי שחוו המרואיינים במסגרת ביצועו, ואת הפוטנציאל הטמון בכלי לקידום הרווחה הרגשית </w:t>
      </w:r>
      <w:r w:rsidRPr="00DF3289">
        <w:rPr>
          <w:rFonts w:ascii="Georgia" w:hAnsi="Georgia" w:hint="cs"/>
          <w:spacing w:val="-2"/>
          <w:sz w:val="18"/>
          <w:szCs w:val="20"/>
          <w:rtl/>
        </w:rPr>
        <w:t xml:space="preserve">והפסיכולוגית </w:t>
      </w:r>
      <w:proofErr w:type="spellStart"/>
      <w:r w:rsidRPr="00DF3289">
        <w:rPr>
          <w:rFonts w:ascii="Georgia" w:hAnsi="Georgia" w:hint="cs"/>
          <w:spacing w:val="-2"/>
          <w:sz w:val="18"/>
          <w:szCs w:val="20"/>
          <w:rtl/>
        </w:rPr>
        <w:t>בזיקנה</w:t>
      </w:r>
      <w:proofErr w:type="spellEnd"/>
      <w:r w:rsidRPr="00DF3289">
        <w:rPr>
          <w:rFonts w:ascii="Georgia" w:hAnsi="Georgia" w:hint="cs"/>
          <w:spacing w:val="-2"/>
          <w:sz w:val="18"/>
          <w:szCs w:val="20"/>
          <w:rtl/>
        </w:rPr>
        <w:t>, כפי שהללו נחשפו במסגרת המחקר (דורון ודורון, 2022). עם זאת, הממצאים המצביעים על היעדר חשש כאמור, לצד חולשתו הנתונה של הכלי, מעצימים את החשיבות שיש בהקשר זה לתפקידם של עורכי הדין העורכים את המסמך, כפי שיובהר להלן.</w:t>
      </w:r>
    </w:p>
    <w:p w14:paraId="72FDEEB5" w14:textId="77777777" w:rsidR="00DF3289" w:rsidRDefault="00DF3289" w:rsidP="00DF3289">
      <w:pPr>
        <w:spacing w:line="280" w:lineRule="exact"/>
        <w:jc w:val="both"/>
        <w:rPr>
          <w:rFonts w:ascii="Georgia" w:hAnsi="Georgia"/>
          <w:spacing w:val="-2"/>
          <w:sz w:val="18"/>
          <w:szCs w:val="20"/>
          <w:rtl/>
        </w:rPr>
      </w:pPr>
    </w:p>
    <w:p w14:paraId="3D10BC3E" w14:textId="77777777" w:rsidR="00DF3289" w:rsidRPr="00DF3289" w:rsidRDefault="00DF3289" w:rsidP="00DF3289">
      <w:pPr>
        <w:spacing w:line="280" w:lineRule="exact"/>
        <w:jc w:val="both"/>
        <w:rPr>
          <w:rFonts w:ascii="Georgia" w:hAnsi="Georgia"/>
          <w:spacing w:val="-2"/>
          <w:sz w:val="18"/>
          <w:szCs w:val="20"/>
          <w:rtl/>
        </w:rPr>
      </w:pPr>
    </w:p>
    <w:p w14:paraId="51859263" w14:textId="6DB4EA68"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lastRenderedPageBreak/>
        <w:t>יישומים והשלכות</w:t>
      </w:r>
    </w:p>
    <w:p w14:paraId="0C4DD1B6"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בחירה של מיופה כוח במסגרת ייפוי כוח מתמשך היא אחת ההחלטות המרכזיות והחשובות שהממנה נדרש לעשות במסגרת תהליך ביצוע ייפוי הכוח המתמשך. בחירה זהירה ומדויקת של מיופה הכוח העתידי עשויה להעצים את השפעותיו התרפויטיות של הכלי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ככלי המקדם רווחה רגשית ופסיכולוגית. לעיתים יהיה ברור לאזרחים הוותיקים את מי הם מבקשים למנות לתפקיד, ולעיתים הם יתקשו להחליט (</w:t>
      </w:r>
      <w:proofErr w:type="spellStart"/>
      <w:r w:rsidRPr="0042081B">
        <w:rPr>
          <w:rFonts w:ascii="Georgia" w:hAnsi="Georgia" w:hint="cs"/>
          <w:sz w:val="18"/>
          <w:szCs w:val="20"/>
          <w:rtl/>
        </w:rPr>
        <w:t>רזניצקי</w:t>
      </w:r>
      <w:proofErr w:type="spellEnd"/>
      <w:r w:rsidRPr="0042081B">
        <w:rPr>
          <w:rFonts w:ascii="Georgia" w:hAnsi="Georgia" w:hint="cs"/>
          <w:sz w:val="18"/>
          <w:szCs w:val="20"/>
          <w:rtl/>
        </w:rPr>
        <w:t xml:space="preserve"> ואח', 2022) ויוכלו להסתייע בהכוונה בנושא. במובן זה, לעורכי הדין העורכים את המסמך יש תפקיד חשוב בתהליך, ואפשרות לסייע לאזרחים ותיקים לדייק את בחירתם: להסביר, בהתאם לצורך, שיקולים שונים שחשוב להביא בחשבון, ולהדגיש בפניהם את ההזדמנו</w:t>
      </w:r>
      <w:r w:rsidRPr="0042081B">
        <w:rPr>
          <w:rFonts w:ascii="Georgia" w:hAnsi="Georgia" w:hint="eastAsia"/>
          <w:sz w:val="18"/>
          <w:szCs w:val="20"/>
          <w:rtl/>
        </w:rPr>
        <w:t>ת</w:t>
      </w:r>
      <w:r w:rsidRPr="0042081B">
        <w:rPr>
          <w:rFonts w:ascii="Georgia" w:hAnsi="Georgia" w:hint="cs"/>
          <w:sz w:val="18"/>
          <w:szCs w:val="20"/>
          <w:rtl/>
        </w:rPr>
        <w:t xml:space="preserve"> לבחור מיופי כוח שיוכלו לייצג את ערכיהם והשקפות עולמם ולממש את רצונותיהם. מקומם של עורכי הדין בסוגיית הבחירה במיופה הכוח חשוב במיוחד בהקשר של החשש מפני ניצול לרעה של ייפוי הכוח המתמשך. חשוב לפיכך לנסות ולעמוד על טיב מערכת היחסים בין הממנה לבין מיופה כוחו המיועד, להעריך את יכולותיו של מיופה הכוח המיועד לבצע את תפקידו כראוי</w:t>
      </w:r>
      <w:bookmarkEnd w:id="12"/>
      <w:r w:rsidRPr="0042081B">
        <w:rPr>
          <w:rFonts w:ascii="Georgia" w:hAnsi="Georgia" w:hint="cs"/>
          <w:sz w:val="18"/>
          <w:szCs w:val="20"/>
          <w:rtl/>
        </w:rPr>
        <w:t xml:space="preserve"> (</w:t>
      </w:r>
      <w:r w:rsidRPr="0042081B">
        <w:rPr>
          <w:rFonts w:ascii="Georgia" w:hAnsi="Georgia"/>
          <w:sz w:val="18"/>
          <w:szCs w:val="20"/>
        </w:rPr>
        <w:t>Ries, 2022</w:t>
      </w:r>
      <w:r w:rsidRPr="0042081B">
        <w:rPr>
          <w:rFonts w:ascii="Georgia" w:hAnsi="Georgia" w:hint="cs"/>
          <w:sz w:val="18"/>
          <w:szCs w:val="20"/>
          <w:rtl/>
        </w:rPr>
        <w:t>), ובהתאם לצורך להעלות את הדברים בפני הממנה. זאת ועוד, תפקידם של עורכי הדין בתהליך ומיומנויותיה</w:t>
      </w:r>
      <w:r w:rsidRPr="0042081B">
        <w:rPr>
          <w:rFonts w:ascii="Georgia" w:hAnsi="Georgia" w:hint="eastAsia"/>
          <w:sz w:val="18"/>
          <w:szCs w:val="20"/>
          <w:rtl/>
        </w:rPr>
        <w:t>ם</w:t>
      </w:r>
      <w:r w:rsidRPr="0042081B">
        <w:rPr>
          <w:rFonts w:ascii="Georgia" w:hAnsi="Georgia" w:hint="cs"/>
          <w:sz w:val="18"/>
          <w:szCs w:val="20"/>
          <w:rtl/>
        </w:rPr>
        <w:t xml:space="preserve"> המקצועיות מאפשרים להם להציג בפני הממנים את מגוון המנגנונים שהוסדרו בחוק לצמצום החשש מפני ניצולו של הכלי בעתיד, ובכלל זה האפשרות למינוי של יותר ממיופה כוח אחד; האפשרות למינוי אדם מיודע; מתן הוראות מקדימות ברורות, המבהירות למיופה הכוח את רצונותיו של הממנה בעניינים השונים שמסדיר ייפוי הכוח המתמשך; ועוד. </w:t>
      </w:r>
    </w:p>
    <w:p w14:paraId="2072DC41" w14:textId="75E82685"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זאת ועוד, נכון יהיה להכיר ברגישויות המתלוות לבחירת מיופה כוח במסגרת ביצוע ייפוי כוח מתמשך, ובאתגרים העלולים לעמוד בפני האזרחים הוותיקים בהקשר זה: קושי להכיר בכך שחלק מבני המשפחה הקרובים אינם מתאימים לשמש בתפקיד; קושי להטיל את התפקיד על חלק מבני המשפחה מקרבה ראשונה ולהשאיר אחרים "מחוץ לתמונה"; קושי להכיר באפשרות שדברים ישתבשו, וכיו"ב. כן יש מקום לתת את הדעת לחשיבות הגדולה שיש ליכולתו של מיופה הכוח העתידי להוציא לפועל את הנחיותיו ורצונותיו של הממנה, במיוחד לאור הממצא המלמד כי זו עשויה להוות עבור הממנים אינדיקציה להצלחתו או לכישלונו הצפוי של ייפוי הכוח המתמשך. שיח פתוח בנושא בין עורכי הדין לבין לקוחותיהם, אשר ילמד את עורכי הדין על מטרותיהם וערכיהם של האזרחים הוותיקים, המוטיבציות שהניעו אותם לבצע ייפוי כוח מתמשך והחששות המתלווים לתהליך</w:t>
      </w:r>
      <w:r w:rsidR="000F2C49">
        <w:rPr>
          <w:rFonts w:ascii="Georgia" w:hAnsi="Georgia" w:hint="cs"/>
          <w:sz w:val="18"/>
          <w:szCs w:val="20"/>
          <w:rtl/>
        </w:rPr>
        <w:t>,</w:t>
      </w:r>
      <w:r w:rsidRPr="0042081B">
        <w:rPr>
          <w:rFonts w:ascii="Georgia" w:hAnsi="Georgia" w:hint="cs"/>
          <w:sz w:val="18"/>
          <w:szCs w:val="20"/>
          <w:rtl/>
        </w:rPr>
        <w:t xml:space="preserve"> יאפשר לעורכי הדין לגבש מסמך שיקדם את תחושות הביטחון והשקט הנפשי של האזרחים הוותיקים (דורון ודורון, 2022), ולהתאים לכל מקרה ומקרה מגוון רב יותר של פתרונות שיוכלו להעצים את הפוטנציאל התרפויטי הטמון בכלי. </w:t>
      </w:r>
    </w:p>
    <w:p w14:paraId="717878BC" w14:textId="1D2B032E" w:rsid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לבסוף, בראיונות נחשפה העדפה למינוי של יותר ממיופה כוח אחד. העדפה זאת היא בעלת יתרונות מגוונים לממנה ולמיופה הכוח גם יחד, ואף עשויה, כאמור, לשמש אסטרטגיה למניעת ניצולו לרעה של ייפוי הכוח המתמשך. לצד זאת, מינוי של יותר ממיופה כוח אחד גם </w:t>
      </w:r>
      <w:r w:rsidRPr="0042081B">
        <w:rPr>
          <w:rFonts w:ascii="Georgia" w:hAnsi="Georgia" w:hint="cs"/>
          <w:sz w:val="18"/>
          <w:szCs w:val="20"/>
          <w:rtl/>
        </w:rPr>
        <w:lastRenderedPageBreak/>
        <w:t xml:space="preserve">מעלה את החשש להיווצרותם של קונפליקטים וחוסר הסכמות בין מיופי הכוח </w:t>
      </w:r>
      <w:r w:rsidR="00CD77F7">
        <w:rPr>
          <w:rFonts w:ascii="Georgia" w:hAnsi="Georgia"/>
          <w:sz w:val="18"/>
          <w:szCs w:val="20"/>
        </w:rPr>
        <w:br/>
      </w:r>
      <w:r w:rsidRPr="0042081B">
        <w:rPr>
          <w:rFonts w:ascii="Georgia" w:hAnsi="Georgia" w:hint="cs"/>
          <w:sz w:val="18"/>
          <w:szCs w:val="20"/>
          <w:rtl/>
        </w:rPr>
        <w:t>(</w:t>
      </w:r>
      <w:r w:rsidRPr="0042081B">
        <w:rPr>
          <w:rFonts w:ascii="Georgia" w:hAnsi="Georgia"/>
          <w:sz w:val="18"/>
          <w:szCs w:val="20"/>
        </w:rPr>
        <w:t>High, 1988; High &amp; Turner, 1987</w:t>
      </w:r>
      <w:r w:rsidRPr="0042081B">
        <w:rPr>
          <w:rFonts w:ascii="Georgia" w:hAnsi="Georgia" w:hint="cs"/>
          <w:sz w:val="18"/>
          <w:szCs w:val="20"/>
          <w:rtl/>
        </w:rPr>
        <w:t>), ויוצר צורך שיש להיות ערים לו להבטיח מראש את יכולתם של מיופי הכוח לעבוד יחדיו (</w:t>
      </w:r>
      <w:r w:rsidRPr="0042081B">
        <w:rPr>
          <w:rFonts w:ascii="Georgia" w:hAnsi="Georgia"/>
          <w:sz w:val="18"/>
          <w:szCs w:val="20"/>
        </w:rPr>
        <w:t>Ries, 2022</w:t>
      </w:r>
      <w:r w:rsidRPr="0042081B">
        <w:rPr>
          <w:rFonts w:ascii="Georgia" w:hAnsi="Georgia" w:hint="cs"/>
          <w:sz w:val="18"/>
          <w:szCs w:val="20"/>
          <w:rtl/>
        </w:rPr>
        <w:t>).</w:t>
      </w:r>
    </w:p>
    <w:p w14:paraId="30C70548" w14:textId="77777777" w:rsidR="00DF3289" w:rsidRDefault="00DF3289" w:rsidP="00DF3289">
      <w:pPr>
        <w:spacing w:line="280" w:lineRule="exact"/>
        <w:jc w:val="both"/>
        <w:rPr>
          <w:rFonts w:ascii="Georgia" w:hAnsi="Georgia"/>
          <w:sz w:val="18"/>
          <w:szCs w:val="20"/>
          <w:rtl/>
        </w:rPr>
      </w:pPr>
    </w:p>
    <w:p w14:paraId="69348039" w14:textId="77777777" w:rsidR="00DF3289" w:rsidRPr="0042081B" w:rsidRDefault="00DF3289" w:rsidP="00DF3289">
      <w:pPr>
        <w:spacing w:line="280" w:lineRule="exact"/>
        <w:jc w:val="both"/>
        <w:rPr>
          <w:rFonts w:ascii="Georgia" w:hAnsi="Georgia"/>
          <w:sz w:val="18"/>
          <w:szCs w:val="20"/>
          <w:rtl/>
        </w:rPr>
      </w:pPr>
    </w:p>
    <w:p w14:paraId="35BCBD4F" w14:textId="50919450"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מגבלות המחקר והמלצות למחקר עתידי</w:t>
      </w:r>
    </w:p>
    <w:p w14:paraId="24B740AA"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eastAsia"/>
          <w:sz w:val="18"/>
          <w:szCs w:val="20"/>
          <w:rtl/>
        </w:rPr>
        <w:t>המחקר</w:t>
      </w:r>
      <w:r w:rsidRPr="0042081B">
        <w:rPr>
          <w:rFonts w:ascii="Georgia" w:hAnsi="Georgia"/>
          <w:sz w:val="18"/>
          <w:szCs w:val="20"/>
          <w:rtl/>
        </w:rPr>
        <w:t xml:space="preserve"> </w:t>
      </w:r>
      <w:r w:rsidRPr="0042081B">
        <w:rPr>
          <w:rFonts w:ascii="Georgia" w:hAnsi="Georgia" w:hint="cs"/>
          <w:sz w:val="18"/>
          <w:szCs w:val="20"/>
          <w:rtl/>
        </w:rPr>
        <w:t xml:space="preserve">שבוצע ביקש להתחקות אחר החוויה של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ולשם כך החוויה נבחנה לעומקה בקרב משתתפי המחקר. עם זאת, גודל המדגם מגביל את האפשרות להכליל את הממצאים על כל </w:t>
      </w:r>
      <w:r w:rsidRPr="0042081B">
        <w:rPr>
          <w:rFonts w:ascii="Georgia" w:hAnsi="Georgia" w:hint="eastAsia"/>
          <w:sz w:val="18"/>
          <w:szCs w:val="20"/>
          <w:rtl/>
        </w:rPr>
        <w:t>אוכלוסיית</w:t>
      </w:r>
      <w:r w:rsidRPr="0042081B">
        <w:rPr>
          <w:rFonts w:ascii="Georgia" w:hAnsi="Georgia"/>
          <w:sz w:val="18"/>
          <w:szCs w:val="20"/>
          <w:rtl/>
        </w:rPr>
        <w:t xml:space="preserve"> </w:t>
      </w:r>
      <w:r w:rsidRPr="0042081B">
        <w:rPr>
          <w:rFonts w:ascii="Georgia" w:hAnsi="Georgia" w:hint="eastAsia"/>
          <w:sz w:val="18"/>
          <w:szCs w:val="20"/>
          <w:rtl/>
        </w:rPr>
        <w:t>האזרחים</w:t>
      </w:r>
      <w:r w:rsidRPr="0042081B">
        <w:rPr>
          <w:rFonts w:ascii="Georgia" w:hAnsi="Georgia"/>
          <w:sz w:val="18"/>
          <w:szCs w:val="20"/>
          <w:rtl/>
        </w:rPr>
        <w:t xml:space="preserve"> </w:t>
      </w:r>
      <w:r w:rsidRPr="0042081B">
        <w:rPr>
          <w:rFonts w:ascii="Georgia" w:hAnsi="Georgia" w:hint="eastAsia"/>
          <w:sz w:val="18"/>
          <w:szCs w:val="20"/>
          <w:rtl/>
        </w:rPr>
        <w:t>הוותיקים</w:t>
      </w:r>
      <w:r w:rsidRPr="0042081B">
        <w:rPr>
          <w:rFonts w:ascii="Georgia" w:hAnsi="Georgia"/>
          <w:sz w:val="18"/>
          <w:szCs w:val="20"/>
          <w:rtl/>
        </w:rPr>
        <w:t xml:space="preserve">. </w:t>
      </w:r>
      <w:r w:rsidRPr="0042081B">
        <w:rPr>
          <w:rFonts w:ascii="Georgia" w:hAnsi="Georgia" w:hint="cs"/>
          <w:sz w:val="18"/>
          <w:szCs w:val="20"/>
          <w:rtl/>
        </w:rPr>
        <w:t xml:space="preserve">כמו כן, הקשיים אשר ליוו את איתור המשתתפים במחקר השליכו על מידת ההטרוגניות שלהם. </w:t>
      </w:r>
    </w:p>
    <w:p w14:paraId="25387FBE" w14:textId="77777777" w:rsidR="0042081B" w:rsidRPr="0042081B" w:rsidRDefault="0042081B" w:rsidP="0042081B">
      <w:pPr>
        <w:spacing w:after="180" w:line="280" w:lineRule="exact"/>
        <w:jc w:val="both"/>
        <w:rPr>
          <w:rFonts w:ascii="Georgia" w:hAnsi="Georgia"/>
          <w:sz w:val="18"/>
          <w:szCs w:val="20"/>
          <w:rtl/>
        </w:rPr>
      </w:pPr>
      <w:r w:rsidRPr="0042081B">
        <w:rPr>
          <w:rFonts w:ascii="Georgia" w:hAnsi="Georgia" w:hint="cs"/>
          <w:sz w:val="18"/>
          <w:szCs w:val="20"/>
          <w:rtl/>
        </w:rPr>
        <w:t xml:space="preserve">מאחר שייפוי הכוח המתמשך הוא כלי משפטי חדש בישראל, המחקר העוסק בו הוא בראשיתו, ומזמן אפשרויות מגוונות למחקרים עתידיים, גם באשר לסוגיית הבחירה במיופה הכוח. כך, למשל, ובעקבות ממצאי המחקר הנוכחי, יש מקום למחקר כמותני אשר יעמיק את הבנתנו בדבר סוגיית הבחירה במיופה כוח במסגרת ביצוע ייפוי כוח מתמשך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כן יש מקום למחקר המשך בסוגיית החשש מפני ניצולו לרעה של הכלי בהקשר של בחירת מיופה כוח, כאמור לעיל. בדומה לכך, מחקרים שיבחנו היבטים מגדריים של הבחירה </w:t>
      </w:r>
      <w:proofErr w:type="spellStart"/>
      <w:r w:rsidRPr="0042081B">
        <w:rPr>
          <w:rFonts w:ascii="Georgia" w:hAnsi="Georgia" w:hint="cs"/>
          <w:sz w:val="18"/>
          <w:szCs w:val="20"/>
          <w:rtl/>
        </w:rPr>
        <w:t>במיופי</w:t>
      </w:r>
      <w:proofErr w:type="spellEnd"/>
      <w:r w:rsidRPr="0042081B">
        <w:rPr>
          <w:rFonts w:ascii="Georgia" w:hAnsi="Georgia" w:hint="cs"/>
          <w:sz w:val="18"/>
          <w:szCs w:val="20"/>
          <w:rtl/>
        </w:rPr>
        <w:t xml:space="preserve"> הכוח העתידיים, ומחקרים שיבחנו חסמים לביצוע ייפוי כוח מתמשך בהקשר של בחירת מיופה הכוח, יהיו משמעותיים אף הם להבנת הכלי ולמימוש הפוטנציאל הטמון בו לקידום הרווחה הרגשית והפסיכולוגית </w:t>
      </w:r>
      <w:proofErr w:type="spellStart"/>
      <w:r w:rsidRPr="0042081B">
        <w:rPr>
          <w:rFonts w:ascii="Georgia" w:hAnsi="Georgia" w:hint="cs"/>
          <w:sz w:val="18"/>
          <w:szCs w:val="20"/>
          <w:rtl/>
        </w:rPr>
        <w:t>בזיקנה</w:t>
      </w:r>
      <w:proofErr w:type="spellEnd"/>
      <w:r w:rsidRPr="0042081B">
        <w:rPr>
          <w:rFonts w:ascii="Georgia" w:hAnsi="Georgia" w:hint="cs"/>
          <w:sz w:val="18"/>
          <w:szCs w:val="20"/>
          <w:rtl/>
        </w:rPr>
        <w:t xml:space="preserve">. </w:t>
      </w:r>
    </w:p>
    <w:p w14:paraId="6C2F7132" w14:textId="77777777" w:rsidR="00DF3289" w:rsidRDefault="00DF3289" w:rsidP="00DF3289">
      <w:pPr>
        <w:spacing w:line="280" w:lineRule="exact"/>
        <w:jc w:val="both"/>
        <w:rPr>
          <w:rFonts w:ascii="Georgia" w:hAnsi="Georgia"/>
          <w:sz w:val="18"/>
          <w:szCs w:val="20"/>
          <w:rtl/>
        </w:rPr>
      </w:pPr>
    </w:p>
    <w:p w14:paraId="7316757C" w14:textId="77777777" w:rsidR="00DF3289" w:rsidRPr="0042081B" w:rsidRDefault="00DF3289" w:rsidP="00DF3289">
      <w:pPr>
        <w:spacing w:line="280" w:lineRule="exact"/>
        <w:jc w:val="both"/>
        <w:rPr>
          <w:rFonts w:ascii="Georgia" w:hAnsi="Georgia"/>
          <w:sz w:val="18"/>
          <w:szCs w:val="20"/>
          <w:rtl/>
        </w:rPr>
      </w:pPr>
    </w:p>
    <w:p w14:paraId="03896887" w14:textId="0DDD82C0" w:rsidR="0042081B" w:rsidRPr="0042081B" w:rsidRDefault="0042081B" w:rsidP="0042081B">
      <w:pPr>
        <w:pStyle w:val="KOT4"/>
        <w:spacing w:after="0"/>
        <w:ind w:left="397" w:right="0" w:hanging="397"/>
        <w:rPr>
          <w:rFonts w:cs="Guttman Aharoni"/>
          <w:color w:val="2A8E8C"/>
          <w:sz w:val="32"/>
          <w:szCs w:val="32"/>
          <w:rtl/>
        </w:rPr>
      </w:pPr>
      <w:r w:rsidRPr="0042081B">
        <w:rPr>
          <w:rFonts w:cs="Guttman Aharoni" w:hint="cs"/>
          <w:color w:val="2A8E8C"/>
          <w:sz w:val="32"/>
          <w:szCs w:val="32"/>
          <w:rtl/>
        </w:rPr>
        <w:t xml:space="preserve">מקורות </w:t>
      </w:r>
    </w:p>
    <w:p w14:paraId="497BC7FA" w14:textId="77777777" w:rsidR="0042081B" w:rsidRPr="0042081B" w:rsidRDefault="0042081B" w:rsidP="00DF3289">
      <w:pPr>
        <w:spacing w:after="180"/>
        <w:ind w:left="397" w:hanging="397"/>
        <w:jc w:val="both"/>
        <w:rPr>
          <w:rFonts w:ascii="Georgia" w:hAnsi="Georgia"/>
          <w:sz w:val="18"/>
          <w:szCs w:val="20"/>
          <w:rtl/>
        </w:rPr>
      </w:pPr>
      <w:bookmarkStart w:id="13" w:name="OLE_LINK26"/>
      <w:bookmarkStart w:id="14" w:name="OLE_LINK27"/>
      <w:proofErr w:type="spellStart"/>
      <w:r w:rsidRPr="0042081B">
        <w:rPr>
          <w:rFonts w:ascii="Georgia" w:hAnsi="Georgia"/>
          <w:sz w:val="18"/>
          <w:szCs w:val="20"/>
          <w:rtl/>
        </w:rPr>
        <w:t>בראל</w:t>
      </w:r>
      <w:proofErr w:type="spellEnd"/>
      <w:r w:rsidRPr="0042081B">
        <w:rPr>
          <w:rFonts w:ascii="Georgia" w:hAnsi="Georgia"/>
          <w:sz w:val="18"/>
          <w:szCs w:val="20"/>
          <w:rtl/>
        </w:rPr>
        <w:t xml:space="preserve">, מ', דורון, י' </w:t>
      </w:r>
      <w:proofErr w:type="spellStart"/>
      <w:r w:rsidRPr="0042081B">
        <w:rPr>
          <w:rFonts w:ascii="Georgia" w:hAnsi="Georgia"/>
          <w:sz w:val="18"/>
          <w:szCs w:val="20"/>
          <w:rtl/>
        </w:rPr>
        <w:t>וסטריאר</w:t>
      </w:r>
      <w:proofErr w:type="spellEnd"/>
      <w:r w:rsidRPr="0042081B">
        <w:rPr>
          <w:rFonts w:ascii="Georgia" w:hAnsi="Georgia"/>
          <w:sz w:val="18"/>
          <w:szCs w:val="20"/>
          <w:rtl/>
        </w:rPr>
        <w:t>, ר' (2015). אפוטרופסות</w:t>
      </w:r>
      <w:r w:rsidRPr="0042081B">
        <w:rPr>
          <w:rFonts w:ascii="Georgia" w:hAnsi="Georgia" w:hint="cs"/>
          <w:sz w:val="18"/>
          <w:szCs w:val="20"/>
          <w:rtl/>
        </w:rPr>
        <w:t xml:space="preserve">: </w:t>
      </w:r>
      <w:r w:rsidRPr="0042081B">
        <w:rPr>
          <w:rFonts w:ascii="Georgia" w:hAnsi="Georgia"/>
          <w:sz w:val="18"/>
          <w:szCs w:val="20"/>
          <w:rtl/>
        </w:rPr>
        <w:t xml:space="preserve">סקירה ביקורתית. </w:t>
      </w:r>
      <w:r w:rsidRPr="0042081B">
        <w:rPr>
          <w:rFonts w:ascii="Georgia" w:hAnsi="Georgia"/>
          <w:b/>
          <w:bCs/>
          <w:sz w:val="18"/>
          <w:szCs w:val="20"/>
          <w:rtl/>
        </w:rPr>
        <w:t>ביטחון סוציאלי</w:t>
      </w:r>
      <w:r w:rsidRPr="0042081B">
        <w:rPr>
          <w:rFonts w:ascii="Georgia" w:hAnsi="Georgia"/>
          <w:sz w:val="18"/>
          <w:szCs w:val="20"/>
          <w:rtl/>
        </w:rPr>
        <w:t>,</w:t>
      </w:r>
      <w:r w:rsidRPr="0042081B">
        <w:rPr>
          <w:rFonts w:ascii="Georgia" w:hAnsi="Georgia"/>
          <w:b/>
          <w:bCs/>
          <w:sz w:val="18"/>
          <w:szCs w:val="20"/>
          <w:rtl/>
        </w:rPr>
        <w:t xml:space="preserve"> 96</w:t>
      </w:r>
      <w:r w:rsidRPr="0042081B">
        <w:rPr>
          <w:rFonts w:ascii="Georgia" w:hAnsi="Georgia"/>
          <w:sz w:val="18"/>
          <w:szCs w:val="20"/>
          <w:rtl/>
        </w:rPr>
        <w:t>, 55–85.</w:t>
      </w:r>
    </w:p>
    <w:p w14:paraId="2CB39FDB"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דורון, י</w:t>
      </w:r>
      <w:r w:rsidRPr="0042081B">
        <w:rPr>
          <w:rFonts w:ascii="Georgia" w:hAnsi="Georgia" w:hint="cs"/>
          <w:sz w:val="18"/>
          <w:szCs w:val="20"/>
          <w:rtl/>
        </w:rPr>
        <w:t>'</w:t>
      </w:r>
      <w:r w:rsidRPr="0042081B">
        <w:rPr>
          <w:rFonts w:ascii="Georgia" w:hAnsi="Georgia"/>
          <w:sz w:val="18"/>
          <w:szCs w:val="20"/>
          <w:rtl/>
        </w:rPr>
        <w:t xml:space="preserve"> (2002). החוק וההגנה על זכויות הזקנים בישראל: מודל רב-ממדי. </w:t>
      </w:r>
      <w:r w:rsidRPr="0042081B">
        <w:rPr>
          <w:rFonts w:ascii="Georgia" w:hAnsi="Georgia"/>
          <w:b/>
          <w:bCs/>
          <w:sz w:val="18"/>
          <w:szCs w:val="20"/>
          <w:rtl/>
        </w:rPr>
        <w:t>גרונטולוגיה</w:t>
      </w:r>
      <w:r w:rsidRPr="0042081B">
        <w:rPr>
          <w:rFonts w:ascii="Georgia" w:hAnsi="Georgia"/>
          <w:sz w:val="18"/>
          <w:szCs w:val="20"/>
          <w:rtl/>
        </w:rPr>
        <w:t>,</w:t>
      </w:r>
      <w:r w:rsidRPr="0042081B">
        <w:rPr>
          <w:rFonts w:ascii="Georgia" w:hAnsi="Georgia"/>
          <w:b/>
          <w:bCs/>
          <w:sz w:val="18"/>
          <w:szCs w:val="20"/>
          <w:rtl/>
        </w:rPr>
        <w:t xml:space="preserve"> 29</w:t>
      </w:r>
      <w:r w:rsidRPr="0042081B">
        <w:rPr>
          <w:rFonts w:ascii="Georgia" w:hAnsi="Georgia"/>
          <w:sz w:val="18"/>
          <w:szCs w:val="20"/>
          <w:rtl/>
        </w:rPr>
        <w:t xml:space="preserve">(3), 37–54. </w:t>
      </w:r>
    </w:p>
    <w:bookmarkEnd w:id="13"/>
    <w:bookmarkEnd w:id="14"/>
    <w:p w14:paraId="02086CD4"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דורון, י</w:t>
      </w:r>
      <w:r w:rsidRPr="0042081B">
        <w:rPr>
          <w:rFonts w:ascii="Georgia" w:hAnsi="Georgia" w:hint="cs"/>
          <w:sz w:val="18"/>
          <w:szCs w:val="20"/>
          <w:rtl/>
        </w:rPr>
        <w:t>'</w:t>
      </w:r>
      <w:r w:rsidRPr="0042081B">
        <w:rPr>
          <w:rFonts w:ascii="Georgia" w:hAnsi="Georgia"/>
          <w:sz w:val="18"/>
          <w:szCs w:val="20"/>
          <w:rtl/>
        </w:rPr>
        <w:t xml:space="preserve"> וגל, ע</w:t>
      </w:r>
      <w:r w:rsidRPr="0042081B">
        <w:rPr>
          <w:rFonts w:ascii="Georgia" w:hAnsi="Georgia" w:hint="cs"/>
          <w:sz w:val="18"/>
          <w:szCs w:val="20"/>
          <w:rtl/>
        </w:rPr>
        <w:t>'</w:t>
      </w:r>
      <w:r w:rsidRPr="0042081B">
        <w:rPr>
          <w:rFonts w:ascii="Georgia" w:hAnsi="Georgia"/>
          <w:sz w:val="18"/>
          <w:szCs w:val="20"/>
          <w:rtl/>
        </w:rPr>
        <w:t xml:space="preserve"> (2003). </w:t>
      </w:r>
      <w:bookmarkStart w:id="15" w:name="OLE_LINK15"/>
      <w:bookmarkStart w:id="16" w:name="OLE_LINK8"/>
      <w:r w:rsidRPr="0042081B">
        <w:rPr>
          <w:rFonts w:ascii="Georgia" w:hAnsi="Georgia"/>
          <w:sz w:val="18"/>
          <w:szCs w:val="20"/>
          <w:rtl/>
        </w:rPr>
        <w:t>מניעה ותכנון משפטי בזקנה</w:t>
      </w:r>
      <w:bookmarkEnd w:id="15"/>
      <w:bookmarkEnd w:id="16"/>
      <w:r w:rsidRPr="0042081B">
        <w:rPr>
          <w:rFonts w:ascii="Georgia" w:hAnsi="Georgia"/>
          <w:sz w:val="18"/>
          <w:szCs w:val="20"/>
          <w:rtl/>
        </w:rPr>
        <w:t>.</w:t>
      </w:r>
      <w:r w:rsidRPr="0042081B">
        <w:rPr>
          <w:rFonts w:ascii="Georgia" w:hAnsi="Georgia"/>
          <w:b/>
          <w:bCs/>
          <w:sz w:val="18"/>
          <w:szCs w:val="20"/>
          <w:rtl/>
        </w:rPr>
        <w:t xml:space="preserve"> המשפט</w:t>
      </w:r>
      <w:r w:rsidRPr="0042081B">
        <w:rPr>
          <w:rFonts w:ascii="Georgia" w:hAnsi="Georgia"/>
          <w:sz w:val="18"/>
          <w:szCs w:val="20"/>
          <w:rtl/>
        </w:rPr>
        <w:t>,</w:t>
      </w:r>
      <w:r w:rsidRPr="0042081B">
        <w:rPr>
          <w:rFonts w:ascii="Georgia" w:hAnsi="Georgia"/>
          <w:b/>
          <w:bCs/>
          <w:sz w:val="18"/>
          <w:szCs w:val="20"/>
          <w:rtl/>
        </w:rPr>
        <w:t xml:space="preserve"> ט</w:t>
      </w:r>
      <w:r w:rsidRPr="0042081B">
        <w:rPr>
          <w:rFonts w:ascii="Georgia" w:hAnsi="Georgia"/>
          <w:sz w:val="18"/>
          <w:szCs w:val="20"/>
          <w:rtl/>
        </w:rPr>
        <w:t>, 427–448.</w:t>
      </w:r>
    </w:p>
    <w:p w14:paraId="1843B372" w14:textId="77777777" w:rsidR="0042081B" w:rsidRPr="0042081B" w:rsidRDefault="0042081B" w:rsidP="00DF3289">
      <w:pPr>
        <w:spacing w:after="180"/>
        <w:ind w:left="397" w:hanging="397"/>
        <w:jc w:val="both"/>
        <w:rPr>
          <w:rFonts w:ascii="Georgia" w:hAnsi="Georgia"/>
          <w:sz w:val="18"/>
          <w:szCs w:val="20"/>
        </w:rPr>
      </w:pPr>
      <w:r w:rsidRPr="0042081B">
        <w:rPr>
          <w:rFonts w:ascii="Georgia" w:hAnsi="Georgia"/>
          <w:sz w:val="18"/>
          <w:szCs w:val="20"/>
          <w:rtl/>
        </w:rPr>
        <w:t xml:space="preserve">דורון, מ' ודורון, י' (2022). ביצוע ייפוי כוח מתמשך על ידי אזרחים ותיקים: חוויה ומשמעות.‏ </w:t>
      </w:r>
      <w:r w:rsidRPr="0042081B">
        <w:rPr>
          <w:rFonts w:ascii="Georgia" w:hAnsi="Georgia"/>
          <w:b/>
          <w:bCs/>
          <w:sz w:val="18"/>
          <w:szCs w:val="20"/>
          <w:rtl/>
        </w:rPr>
        <w:t>גרונטולוגיה וגריאטריה</w:t>
      </w:r>
      <w:r w:rsidRPr="0042081B">
        <w:rPr>
          <w:rFonts w:ascii="Georgia" w:hAnsi="Georgia"/>
          <w:sz w:val="18"/>
          <w:szCs w:val="20"/>
          <w:rtl/>
        </w:rPr>
        <w:t xml:space="preserve">, </w:t>
      </w:r>
      <w:r w:rsidRPr="0042081B">
        <w:rPr>
          <w:rFonts w:ascii="Georgia" w:hAnsi="Georgia"/>
          <w:b/>
          <w:bCs/>
          <w:sz w:val="18"/>
          <w:szCs w:val="20"/>
          <w:rtl/>
        </w:rPr>
        <w:t>מט</w:t>
      </w:r>
      <w:r w:rsidRPr="0042081B">
        <w:rPr>
          <w:rFonts w:ascii="Georgia" w:hAnsi="Georgia"/>
          <w:sz w:val="18"/>
          <w:szCs w:val="20"/>
          <w:rtl/>
        </w:rPr>
        <w:t>(3), 65–86.</w:t>
      </w:r>
    </w:p>
    <w:p w14:paraId="7847D941"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t>חוק החולה הנוטה למות, התשס"ו-2005, ס"ח תשס"ו 2039</w:t>
      </w:r>
      <w:r w:rsidRPr="0042081B">
        <w:rPr>
          <w:rFonts w:ascii="Georgia" w:hAnsi="Georgia"/>
          <w:sz w:val="18"/>
          <w:szCs w:val="20"/>
          <w:rtl/>
        </w:rPr>
        <w:t>.</w:t>
      </w:r>
    </w:p>
    <w:p w14:paraId="77669656"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t>חוק הכשרות המשפטית והאפוטרופסות, התשכ"ב-1962, ס"ח תשכ"ב 380</w:t>
      </w:r>
      <w:r w:rsidRPr="0042081B">
        <w:rPr>
          <w:rFonts w:ascii="Georgia" w:hAnsi="Georgia"/>
          <w:sz w:val="18"/>
          <w:szCs w:val="20"/>
          <w:rtl/>
        </w:rPr>
        <w:t>.</w:t>
      </w:r>
    </w:p>
    <w:p w14:paraId="35A247AC"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r w:rsidRPr="0042081B">
        <w:rPr>
          <w:rFonts w:ascii="Georgia" w:hAnsi="Georgia"/>
          <w:b/>
          <w:bCs/>
          <w:sz w:val="18"/>
          <w:szCs w:val="20"/>
          <w:rtl/>
        </w:rPr>
        <w:lastRenderedPageBreak/>
        <w:t>חוק זכויות החולה, התשנ"ו-1996, ס"ח תשנ"ו-1951</w:t>
      </w:r>
      <w:r w:rsidRPr="0042081B">
        <w:rPr>
          <w:rFonts w:ascii="Georgia" w:hAnsi="Georgia"/>
          <w:sz w:val="18"/>
          <w:szCs w:val="20"/>
          <w:rtl/>
        </w:rPr>
        <w:t xml:space="preserve">. </w:t>
      </w:r>
    </w:p>
    <w:p w14:paraId="2DA450A6"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proofErr w:type="spellStart"/>
      <w:r w:rsidRPr="0042081B">
        <w:rPr>
          <w:rFonts w:ascii="Georgia" w:hAnsi="Georgia"/>
          <w:sz w:val="18"/>
          <w:szCs w:val="20"/>
          <w:rtl/>
        </w:rPr>
        <w:t>טולוב</w:t>
      </w:r>
      <w:proofErr w:type="spellEnd"/>
      <w:r w:rsidRPr="0042081B">
        <w:rPr>
          <w:rFonts w:ascii="Georgia" w:hAnsi="Georgia"/>
          <w:sz w:val="18"/>
          <w:szCs w:val="20"/>
          <w:rtl/>
        </w:rPr>
        <w:t xml:space="preserve">, י' </w:t>
      </w:r>
      <w:proofErr w:type="spellStart"/>
      <w:r w:rsidRPr="0042081B">
        <w:rPr>
          <w:rFonts w:ascii="Georgia" w:hAnsi="Georgia"/>
          <w:sz w:val="18"/>
          <w:szCs w:val="20"/>
          <w:rtl/>
        </w:rPr>
        <w:t>ושלומאי</w:t>
      </w:r>
      <w:proofErr w:type="spellEnd"/>
      <w:r w:rsidRPr="0042081B">
        <w:rPr>
          <w:rFonts w:ascii="Georgia" w:hAnsi="Georgia"/>
          <w:sz w:val="18"/>
          <w:szCs w:val="20"/>
          <w:rtl/>
        </w:rPr>
        <w:t xml:space="preserve">, א' (2020). "לא בטיפול": מעבר משיח טיפולי לשיח של אוטונומיה וזכויות אדם בהליך מינוי אפוטרופוס לאדם: בעקבות חקיקת חוק הכשרות המשפטית והאפוטרופסות (תיקון מס' 18), התשע"ו-2016. </w:t>
      </w:r>
      <w:r w:rsidRPr="0042081B">
        <w:rPr>
          <w:rFonts w:ascii="Georgia" w:hAnsi="Georgia"/>
          <w:b/>
          <w:bCs/>
          <w:sz w:val="18"/>
          <w:szCs w:val="20"/>
          <w:rtl/>
        </w:rPr>
        <w:t>מחקרי משפט</w:t>
      </w:r>
      <w:r w:rsidRPr="0042081B">
        <w:rPr>
          <w:rFonts w:ascii="Georgia" w:hAnsi="Georgia"/>
          <w:sz w:val="18"/>
          <w:szCs w:val="20"/>
          <w:rtl/>
        </w:rPr>
        <w:t xml:space="preserve">, </w:t>
      </w:r>
      <w:r w:rsidRPr="0042081B">
        <w:rPr>
          <w:rFonts w:ascii="Georgia" w:hAnsi="Georgia"/>
          <w:b/>
          <w:bCs/>
          <w:sz w:val="18"/>
          <w:szCs w:val="20"/>
          <w:rtl/>
        </w:rPr>
        <w:t>לב</w:t>
      </w:r>
      <w:r w:rsidRPr="0042081B">
        <w:rPr>
          <w:rFonts w:ascii="Georgia" w:hAnsi="Georgia"/>
          <w:sz w:val="18"/>
          <w:szCs w:val="20"/>
          <w:rtl/>
        </w:rPr>
        <w:t>(3), 1049–1094.</w:t>
      </w:r>
    </w:p>
    <w:p w14:paraId="13B6CEDE" w14:textId="77777777"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סגל, מ</w:t>
      </w:r>
      <w:r w:rsidRPr="0042081B">
        <w:rPr>
          <w:rFonts w:ascii="Georgia" w:hAnsi="Georgia" w:hint="cs"/>
          <w:sz w:val="18"/>
          <w:szCs w:val="20"/>
          <w:rtl/>
        </w:rPr>
        <w:t>'</w:t>
      </w:r>
      <w:r w:rsidRPr="0042081B">
        <w:rPr>
          <w:rFonts w:ascii="Georgia" w:hAnsi="Georgia"/>
          <w:sz w:val="18"/>
          <w:szCs w:val="20"/>
          <w:rtl/>
        </w:rPr>
        <w:t>, מור, ש</w:t>
      </w:r>
      <w:r w:rsidRPr="0042081B">
        <w:rPr>
          <w:rFonts w:ascii="Georgia" w:hAnsi="Georgia" w:hint="cs"/>
          <w:sz w:val="18"/>
          <w:szCs w:val="20"/>
          <w:rtl/>
        </w:rPr>
        <w:t>'</w:t>
      </w:r>
      <w:r w:rsidRPr="0042081B">
        <w:rPr>
          <w:rFonts w:ascii="Georgia" w:hAnsi="Georgia"/>
          <w:sz w:val="18"/>
          <w:szCs w:val="20"/>
          <w:rtl/>
        </w:rPr>
        <w:t xml:space="preserve"> והנטמן, ש</w:t>
      </w:r>
      <w:r w:rsidRPr="0042081B">
        <w:rPr>
          <w:rFonts w:ascii="Georgia" w:hAnsi="Georgia" w:hint="cs"/>
          <w:sz w:val="18"/>
          <w:szCs w:val="20"/>
          <w:rtl/>
        </w:rPr>
        <w:t>'</w:t>
      </w:r>
      <w:r w:rsidRPr="0042081B">
        <w:rPr>
          <w:rFonts w:ascii="Georgia" w:hAnsi="Georgia"/>
          <w:sz w:val="18"/>
          <w:szCs w:val="20"/>
          <w:rtl/>
        </w:rPr>
        <w:t xml:space="preserve"> (2014). עמדותיהם של זקנים כלפי מערכת החוק ובתי משפט במדינת ישראל: סוגיות בנושא נגישות, אמון </w:t>
      </w:r>
      <w:proofErr w:type="spellStart"/>
      <w:r w:rsidRPr="0042081B">
        <w:rPr>
          <w:rFonts w:ascii="Georgia" w:hAnsi="Georgia"/>
          <w:sz w:val="18"/>
          <w:szCs w:val="20"/>
          <w:rtl/>
        </w:rPr>
        <w:t>וגילנות</w:t>
      </w:r>
      <w:proofErr w:type="spellEnd"/>
      <w:r w:rsidRPr="0042081B">
        <w:rPr>
          <w:rFonts w:ascii="Georgia" w:hAnsi="Georgia" w:hint="cs"/>
          <w:sz w:val="18"/>
          <w:szCs w:val="20"/>
          <w:rtl/>
        </w:rPr>
        <w:t>.</w:t>
      </w:r>
      <w:r w:rsidRPr="0042081B">
        <w:rPr>
          <w:rFonts w:ascii="Georgia" w:hAnsi="Georgia" w:hint="cs"/>
          <w:b/>
          <w:bCs/>
          <w:sz w:val="18"/>
          <w:szCs w:val="20"/>
          <w:rtl/>
        </w:rPr>
        <w:t xml:space="preserve"> </w:t>
      </w:r>
      <w:r w:rsidRPr="0042081B">
        <w:rPr>
          <w:rFonts w:ascii="Georgia" w:hAnsi="Georgia"/>
          <w:b/>
          <w:bCs/>
          <w:sz w:val="18"/>
          <w:szCs w:val="20"/>
          <w:rtl/>
        </w:rPr>
        <w:t>גרונטולוגיה וגריאטריה</w:t>
      </w:r>
      <w:r w:rsidRPr="0042081B">
        <w:rPr>
          <w:rFonts w:ascii="Georgia" w:hAnsi="Georgia"/>
          <w:sz w:val="18"/>
          <w:szCs w:val="20"/>
          <w:rtl/>
        </w:rPr>
        <w:t>,</w:t>
      </w:r>
      <w:r w:rsidRPr="0042081B">
        <w:rPr>
          <w:rFonts w:ascii="Georgia" w:hAnsi="Georgia"/>
          <w:b/>
          <w:bCs/>
          <w:sz w:val="18"/>
          <w:szCs w:val="20"/>
          <w:rtl/>
        </w:rPr>
        <w:t xml:space="preserve"> </w:t>
      </w:r>
      <w:proofErr w:type="spellStart"/>
      <w:r w:rsidRPr="0042081B">
        <w:rPr>
          <w:rFonts w:ascii="Georgia" w:hAnsi="Georgia"/>
          <w:b/>
          <w:bCs/>
          <w:sz w:val="18"/>
          <w:szCs w:val="20"/>
          <w:rtl/>
        </w:rPr>
        <w:t>מא</w:t>
      </w:r>
      <w:proofErr w:type="spellEnd"/>
      <w:r w:rsidRPr="0042081B">
        <w:rPr>
          <w:rFonts w:ascii="Georgia" w:hAnsi="Georgia"/>
          <w:sz w:val="18"/>
          <w:szCs w:val="20"/>
          <w:rtl/>
        </w:rPr>
        <w:t xml:space="preserve">(3), 51–70. </w:t>
      </w:r>
    </w:p>
    <w:p w14:paraId="672AD6F7" w14:textId="4E19CA82" w:rsidR="0042081B" w:rsidRPr="0042081B" w:rsidRDefault="0042081B" w:rsidP="00DF3289">
      <w:pPr>
        <w:spacing w:after="180"/>
        <w:ind w:left="397" w:hanging="397"/>
        <w:jc w:val="both"/>
        <w:rPr>
          <w:rFonts w:ascii="Georgia" w:hAnsi="Georgia"/>
          <w:sz w:val="18"/>
          <w:szCs w:val="20"/>
          <w:rtl/>
        </w:rPr>
      </w:pPr>
      <w:r w:rsidRPr="0042081B">
        <w:rPr>
          <w:rFonts w:ascii="Georgia" w:hAnsi="Georgia"/>
          <w:sz w:val="18"/>
          <w:szCs w:val="20"/>
          <w:rtl/>
        </w:rPr>
        <w:t xml:space="preserve">סגל-רייך, מ' ושינדלר, מ' (2015). אפקט הפרפר: מפרקטיקה של אפוטרופסות </w:t>
      </w:r>
      <w:proofErr w:type="spellStart"/>
      <w:r w:rsidRPr="0042081B">
        <w:rPr>
          <w:rFonts w:ascii="Georgia" w:hAnsi="Georgia"/>
          <w:sz w:val="18"/>
          <w:szCs w:val="20"/>
          <w:rtl/>
        </w:rPr>
        <w:t>בזיקנה</w:t>
      </w:r>
      <w:proofErr w:type="spellEnd"/>
      <w:r w:rsidRPr="0042081B">
        <w:rPr>
          <w:rFonts w:ascii="Georgia" w:hAnsi="Georgia"/>
          <w:sz w:val="18"/>
          <w:szCs w:val="20"/>
          <w:rtl/>
        </w:rPr>
        <w:t xml:space="preserve"> אל קבלת החלטות נתמכת באמצעות עריכת דין לשינוי חברתי.</w:t>
      </w:r>
      <w:r w:rsidR="00DF3289">
        <w:rPr>
          <w:rFonts w:ascii="Georgia" w:hAnsi="Georgia" w:hint="cs"/>
          <w:sz w:val="18"/>
          <w:szCs w:val="20"/>
          <w:rtl/>
        </w:rPr>
        <w:t xml:space="preserve"> </w:t>
      </w:r>
      <w:r w:rsidRPr="0042081B">
        <w:rPr>
          <w:rFonts w:ascii="Georgia" w:hAnsi="Georgia"/>
          <w:b/>
          <w:bCs/>
          <w:sz w:val="18"/>
          <w:szCs w:val="20"/>
          <w:rtl/>
        </w:rPr>
        <w:t>מעשי משפט</w:t>
      </w:r>
      <w:r w:rsidRPr="0042081B">
        <w:rPr>
          <w:rFonts w:ascii="Georgia" w:hAnsi="Georgia"/>
          <w:sz w:val="18"/>
          <w:szCs w:val="20"/>
          <w:rtl/>
        </w:rPr>
        <w:t>,</w:t>
      </w:r>
      <w:r w:rsidR="00DF3289">
        <w:rPr>
          <w:rFonts w:ascii="Georgia" w:hAnsi="Georgia" w:hint="cs"/>
          <w:sz w:val="18"/>
          <w:szCs w:val="20"/>
          <w:rtl/>
        </w:rPr>
        <w:t xml:space="preserve"> </w:t>
      </w:r>
      <w:r w:rsidRPr="0042081B">
        <w:rPr>
          <w:rFonts w:ascii="Georgia" w:hAnsi="Georgia"/>
          <w:b/>
          <w:bCs/>
          <w:sz w:val="18"/>
          <w:szCs w:val="20"/>
          <w:rtl/>
        </w:rPr>
        <w:t>ז</w:t>
      </w:r>
      <w:r w:rsidRPr="0042081B">
        <w:rPr>
          <w:rFonts w:ascii="Georgia" w:hAnsi="Georgia"/>
          <w:sz w:val="18"/>
          <w:szCs w:val="20"/>
          <w:rtl/>
        </w:rPr>
        <w:t xml:space="preserve">, </w:t>
      </w:r>
      <w:r w:rsidR="00DF3289">
        <w:rPr>
          <w:rFonts w:ascii="Georgia" w:hAnsi="Georgia"/>
          <w:sz w:val="18"/>
          <w:szCs w:val="20"/>
          <w:rtl/>
        </w:rPr>
        <w:br/>
      </w:r>
      <w:r w:rsidRPr="0042081B">
        <w:rPr>
          <w:rFonts w:ascii="Georgia" w:hAnsi="Georgia"/>
          <w:sz w:val="18"/>
          <w:szCs w:val="20"/>
          <w:rtl/>
        </w:rPr>
        <w:t>129–147.</w:t>
      </w:r>
    </w:p>
    <w:p w14:paraId="7185A409" w14:textId="644B2A65" w:rsidR="0042081B" w:rsidRPr="0042081B" w:rsidRDefault="0042081B" w:rsidP="00DF3289">
      <w:pPr>
        <w:spacing w:after="180"/>
        <w:ind w:left="397" w:hanging="397"/>
        <w:jc w:val="both"/>
        <w:rPr>
          <w:rFonts w:ascii="Georgia" w:hAnsi="Georgia"/>
          <w:sz w:val="18"/>
          <w:szCs w:val="20"/>
          <w:rtl/>
        </w:rPr>
      </w:pPr>
      <w:proofErr w:type="spellStart"/>
      <w:r w:rsidRPr="0042081B">
        <w:rPr>
          <w:rFonts w:ascii="Georgia" w:hAnsi="Georgia"/>
          <w:sz w:val="18"/>
          <w:szCs w:val="20"/>
          <w:rtl/>
        </w:rPr>
        <w:t>קסן</w:t>
      </w:r>
      <w:proofErr w:type="spellEnd"/>
      <w:r w:rsidRPr="0042081B">
        <w:rPr>
          <w:rFonts w:ascii="Georgia" w:hAnsi="Georgia"/>
          <w:sz w:val="18"/>
          <w:szCs w:val="20"/>
          <w:rtl/>
        </w:rPr>
        <w:t>, ל</w:t>
      </w:r>
      <w:r w:rsidRPr="0042081B">
        <w:rPr>
          <w:rFonts w:ascii="Georgia" w:hAnsi="Georgia" w:hint="cs"/>
          <w:sz w:val="18"/>
          <w:szCs w:val="20"/>
          <w:rtl/>
        </w:rPr>
        <w:t>'</w:t>
      </w:r>
      <w:r w:rsidRPr="0042081B">
        <w:rPr>
          <w:rFonts w:ascii="Georgia" w:hAnsi="Georgia"/>
          <w:sz w:val="18"/>
          <w:szCs w:val="20"/>
          <w:rtl/>
        </w:rPr>
        <w:t xml:space="preserve"> </w:t>
      </w:r>
      <w:proofErr w:type="spellStart"/>
      <w:r w:rsidRPr="0042081B">
        <w:rPr>
          <w:rFonts w:ascii="Georgia" w:hAnsi="Georgia"/>
          <w:sz w:val="18"/>
          <w:szCs w:val="20"/>
          <w:rtl/>
        </w:rPr>
        <w:t>וקרומר</w:t>
      </w:r>
      <w:proofErr w:type="spellEnd"/>
      <w:r w:rsidRPr="0042081B">
        <w:rPr>
          <w:rFonts w:ascii="Georgia" w:hAnsi="Georgia"/>
          <w:sz w:val="18"/>
          <w:szCs w:val="20"/>
          <w:rtl/>
        </w:rPr>
        <w:t>-נבו, מ</w:t>
      </w:r>
      <w:r w:rsidRPr="0042081B">
        <w:rPr>
          <w:rFonts w:ascii="Georgia" w:hAnsi="Georgia" w:hint="cs"/>
          <w:sz w:val="18"/>
          <w:szCs w:val="20"/>
          <w:rtl/>
        </w:rPr>
        <w:t>'</w:t>
      </w:r>
      <w:r w:rsidRPr="0042081B">
        <w:rPr>
          <w:rFonts w:ascii="Georgia" w:hAnsi="Georgia"/>
          <w:sz w:val="18"/>
          <w:szCs w:val="20"/>
          <w:rtl/>
        </w:rPr>
        <w:t xml:space="preserve"> (עורכות) (2010). </w:t>
      </w:r>
      <w:r w:rsidRPr="0042081B">
        <w:rPr>
          <w:rFonts w:ascii="Georgia" w:hAnsi="Georgia"/>
          <w:b/>
          <w:bCs/>
          <w:sz w:val="18"/>
          <w:szCs w:val="20"/>
          <w:rtl/>
        </w:rPr>
        <w:t>ניתוח נתונים במחקר איכותני</w:t>
      </w:r>
      <w:r w:rsidRPr="0042081B">
        <w:rPr>
          <w:rFonts w:ascii="Georgia" w:hAnsi="Georgia"/>
          <w:sz w:val="18"/>
          <w:szCs w:val="20"/>
          <w:rtl/>
        </w:rPr>
        <w:t xml:space="preserve">. אוניברסיטת </w:t>
      </w:r>
      <w:r w:rsidR="00C342DC">
        <w:rPr>
          <w:rFonts w:ascii="Georgia" w:hAnsi="Georgia"/>
          <w:sz w:val="18"/>
          <w:szCs w:val="20"/>
          <w:rtl/>
        </w:rPr>
        <w:br/>
      </w:r>
      <w:r w:rsidRPr="0042081B">
        <w:rPr>
          <w:rFonts w:ascii="Georgia" w:hAnsi="Georgia"/>
          <w:sz w:val="18"/>
          <w:szCs w:val="20"/>
          <w:rtl/>
        </w:rPr>
        <w:t xml:space="preserve">בן-גוריון בנגב. </w:t>
      </w:r>
    </w:p>
    <w:p w14:paraId="2EF2D319" w14:textId="77777777" w:rsidR="0042081B" w:rsidRPr="0042081B" w:rsidRDefault="0042081B" w:rsidP="00DF3289">
      <w:pPr>
        <w:autoSpaceDE w:val="0"/>
        <w:autoSpaceDN w:val="0"/>
        <w:adjustRightInd w:val="0"/>
        <w:spacing w:after="180"/>
        <w:ind w:left="397" w:hanging="397"/>
        <w:jc w:val="both"/>
        <w:rPr>
          <w:rFonts w:ascii="Georgia" w:hAnsi="Georgia"/>
          <w:sz w:val="18"/>
          <w:szCs w:val="20"/>
          <w:rtl/>
        </w:rPr>
      </w:pPr>
      <w:proofErr w:type="spellStart"/>
      <w:r w:rsidRPr="0042081B">
        <w:rPr>
          <w:rFonts w:ascii="Georgia" w:hAnsi="Georgia"/>
          <w:sz w:val="18"/>
          <w:szCs w:val="20"/>
          <w:rtl/>
        </w:rPr>
        <w:t>רזניצקי</w:t>
      </w:r>
      <w:proofErr w:type="spellEnd"/>
      <w:r w:rsidRPr="0042081B">
        <w:rPr>
          <w:rFonts w:ascii="Georgia" w:hAnsi="Georgia"/>
          <w:sz w:val="18"/>
          <w:szCs w:val="20"/>
          <w:rtl/>
        </w:rPr>
        <w:t>, ש', קרמל-</w:t>
      </w:r>
      <w:proofErr w:type="spellStart"/>
      <w:r w:rsidRPr="0042081B">
        <w:rPr>
          <w:rFonts w:ascii="Georgia" w:hAnsi="Georgia"/>
          <w:sz w:val="18"/>
          <w:szCs w:val="20"/>
          <w:rtl/>
        </w:rPr>
        <w:t>שיפמן</w:t>
      </w:r>
      <w:proofErr w:type="spellEnd"/>
      <w:r w:rsidRPr="0042081B">
        <w:rPr>
          <w:rFonts w:ascii="Georgia" w:hAnsi="Georgia"/>
          <w:sz w:val="18"/>
          <w:szCs w:val="20"/>
          <w:rtl/>
        </w:rPr>
        <w:t xml:space="preserve">, א' </w:t>
      </w:r>
      <w:proofErr w:type="spellStart"/>
      <w:r w:rsidRPr="0042081B">
        <w:rPr>
          <w:rFonts w:ascii="Georgia" w:hAnsi="Georgia"/>
          <w:sz w:val="18"/>
          <w:szCs w:val="20"/>
          <w:rtl/>
        </w:rPr>
        <w:t>וזבלוצקי</w:t>
      </w:r>
      <w:proofErr w:type="spellEnd"/>
      <w:r w:rsidRPr="0042081B">
        <w:rPr>
          <w:rFonts w:ascii="Georgia" w:hAnsi="Georgia"/>
          <w:sz w:val="18"/>
          <w:szCs w:val="20"/>
          <w:rtl/>
        </w:rPr>
        <w:t xml:space="preserve">, א' (2022). </w:t>
      </w:r>
      <w:r w:rsidRPr="0042081B">
        <w:rPr>
          <w:rFonts w:ascii="Georgia" w:hAnsi="Georgia"/>
          <w:b/>
          <w:bCs/>
          <w:sz w:val="18"/>
          <w:szCs w:val="20"/>
          <w:rtl/>
        </w:rPr>
        <w:t>ייפוי כוח מתמשך לזקנים ולאנשים עם ירידה קוגניטיבית: בחינת יישום תיקון 18 לחוק הכשרות המשפטית והאפוטרופסות</w:t>
      </w:r>
      <w:r w:rsidRPr="0042081B">
        <w:rPr>
          <w:rFonts w:ascii="Georgia" w:hAnsi="Georgia"/>
          <w:b/>
          <w:bCs/>
          <w:i/>
          <w:iCs/>
          <w:sz w:val="18"/>
          <w:szCs w:val="20"/>
          <w:rtl/>
        </w:rPr>
        <w:t>.</w:t>
      </w:r>
      <w:r w:rsidRPr="0042081B">
        <w:rPr>
          <w:rFonts w:ascii="Georgia" w:hAnsi="Georgia"/>
          <w:i/>
          <w:iCs/>
          <w:sz w:val="18"/>
          <w:szCs w:val="20"/>
          <w:rtl/>
        </w:rPr>
        <w:t xml:space="preserve"> </w:t>
      </w:r>
      <w:r w:rsidRPr="0042081B">
        <w:rPr>
          <w:rFonts w:ascii="Georgia" w:hAnsi="Georgia"/>
          <w:b/>
          <w:bCs/>
          <w:sz w:val="18"/>
          <w:szCs w:val="20"/>
          <w:rtl/>
        </w:rPr>
        <w:t>מ-22-203</w:t>
      </w:r>
      <w:r w:rsidRPr="0042081B">
        <w:rPr>
          <w:rFonts w:ascii="Georgia" w:hAnsi="Georgia"/>
          <w:i/>
          <w:iCs/>
          <w:sz w:val="18"/>
          <w:szCs w:val="20"/>
          <w:rtl/>
        </w:rPr>
        <w:t>.</w:t>
      </w:r>
      <w:r w:rsidRPr="0042081B">
        <w:rPr>
          <w:rFonts w:ascii="Georgia" w:hAnsi="Georgia"/>
          <w:sz w:val="18"/>
          <w:szCs w:val="20"/>
          <w:rtl/>
        </w:rPr>
        <w:t xml:space="preserve"> מכון </w:t>
      </w:r>
      <w:proofErr w:type="spellStart"/>
      <w:r w:rsidRPr="0042081B">
        <w:rPr>
          <w:rFonts w:ascii="Georgia" w:hAnsi="Georgia"/>
          <w:sz w:val="18"/>
          <w:szCs w:val="20"/>
          <w:rtl/>
        </w:rPr>
        <w:t>מאיירס</w:t>
      </w:r>
      <w:proofErr w:type="spellEnd"/>
      <w:r w:rsidRPr="0042081B">
        <w:rPr>
          <w:rFonts w:ascii="Georgia" w:hAnsi="Georgia"/>
          <w:sz w:val="18"/>
          <w:szCs w:val="20"/>
          <w:rtl/>
        </w:rPr>
        <w:t>-ג'וינט-</w:t>
      </w:r>
      <w:proofErr w:type="spellStart"/>
      <w:r w:rsidRPr="0042081B">
        <w:rPr>
          <w:rFonts w:ascii="Georgia" w:hAnsi="Georgia"/>
          <w:sz w:val="18"/>
          <w:szCs w:val="20"/>
          <w:rtl/>
        </w:rPr>
        <w:t>ברוקדייל</w:t>
      </w:r>
      <w:proofErr w:type="spellEnd"/>
      <w:r w:rsidRPr="0042081B">
        <w:rPr>
          <w:rFonts w:ascii="Georgia" w:hAnsi="Georgia"/>
          <w:sz w:val="18"/>
          <w:szCs w:val="20"/>
          <w:rtl/>
        </w:rPr>
        <w:t>.</w:t>
      </w:r>
    </w:p>
    <w:p w14:paraId="34993A3A" w14:textId="77777777" w:rsidR="0042081B" w:rsidRPr="0042081B" w:rsidRDefault="0042081B" w:rsidP="00DF3289">
      <w:pPr>
        <w:spacing w:after="180"/>
        <w:ind w:left="397" w:hanging="397"/>
        <w:jc w:val="both"/>
        <w:rPr>
          <w:rFonts w:ascii="Georgia" w:hAnsi="Georgia"/>
          <w:sz w:val="18"/>
          <w:szCs w:val="20"/>
        </w:rPr>
      </w:pPr>
      <w:r w:rsidRPr="0042081B">
        <w:rPr>
          <w:rFonts w:ascii="Georgia" w:hAnsi="Georgia"/>
          <w:sz w:val="18"/>
          <w:szCs w:val="20"/>
          <w:rtl/>
        </w:rPr>
        <w:t>שקדי, א</w:t>
      </w:r>
      <w:r w:rsidRPr="0042081B">
        <w:rPr>
          <w:rFonts w:ascii="Georgia" w:hAnsi="Georgia" w:hint="cs"/>
          <w:sz w:val="18"/>
          <w:szCs w:val="20"/>
          <w:rtl/>
        </w:rPr>
        <w:t>'</w:t>
      </w:r>
      <w:r w:rsidRPr="0042081B">
        <w:rPr>
          <w:rFonts w:ascii="Georgia" w:hAnsi="Georgia"/>
          <w:sz w:val="18"/>
          <w:szCs w:val="20"/>
          <w:rtl/>
        </w:rPr>
        <w:t xml:space="preserve"> (2003). </w:t>
      </w:r>
      <w:r w:rsidRPr="0042081B">
        <w:rPr>
          <w:rFonts w:ascii="Georgia" w:hAnsi="Georgia"/>
          <w:b/>
          <w:bCs/>
          <w:sz w:val="18"/>
          <w:szCs w:val="20"/>
          <w:rtl/>
        </w:rPr>
        <w:t>מילים המנסות לגעת: מחקר איכותני – תיאוריה ויישום</w:t>
      </w:r>
      <w:r w:rsidRPr="0042081B">
        <w:rPr>
          <w:rFonts w:ascii="Georgia" w:hAnsi="Georgia"/>
          <w:sz w:val="18"/>
          <w:szCs w:val="20"/>
          <w:rtl/>
        </w:rPr>
        <w:t>. רמות.</w:t>
      </w:r>
    </w:p>
    <w:p w14:paraId="7ED5FECB" w14:textId="77777777" w:rsidR="00DF3289" w:rsidRDefault="0042081B" w:rsidP="00262AE4">
      <w:pPr>
        <w:keepNext/>
        <w:bidi w:val="0"/>
        <w:ind w:left="397" w:hanging="397"/>
        <w:jc w:val="both"/>
        <w:rPr>
          <w:rFonts w:ascii="Georgia" w:hAnsi="Georgia"/>
          <w:sz w:val="18"/>
          <w:szCs w:val="20"/>
        </w:rPr>
      </w:pPr>
      <w:r w:rsidRPr="0042081B">
        <w:rPr>
          <w:rFonts w:ascii="Georgia" w:hAnsi="Georgia"/>
          <w:color w:val="212121"/>
          <w:sz w:val="18"/>
          <w:szCs w:val="20"/>
          <w:shd w:val="clear" w:color="auto" w:fill="FFFFFF"/>
        </w:rPr>
        <w:t xml:space="preserve">Alano, G. J., </w:t>
      </w:r>
      <w:proofErr w:type="spellStart"/>
      <w:r w:rsidRPr="0042081B">
        <w:rPr>
          <w:rFonts w:ascii="Georgia" w:hAnsi="Georgia"/>
          <w:color w:val="212121"/>
          <w:sz w:val="18"/>
          <w:szCs w:val="20"/>
          <w:shd w:val="clear" w:color="auto" w:fill="FFFFFF"/>
        </w:rPr>
        <w:t>Pekmezaris</w:t>
      </w:r>
      <w:proofErr w:type="spellEnd"/>
      <w:r w:rsidRPr="0042081B">
        <w:rPr>
          <w:rFonts w:ascii="Georgia" w:hAnsi="Georgia"/>
          <w:color w:val="212121"/>
          <w:sz w:val="18"/>
          <w:szCs w:val="20"/>
          <w:shd w:val="clear" w:color="auto" w:fill="FFFFFF"/>
        </w:rPr>
        <w:t>, R., Tai, J. Y., Hussain, M. J., Jeune, J., Louis, B., El-Kass, G., Ashraf, M. S., Reddy, R., Lesser, M., &amp; Wolf-Klein, G. P.</w:t>
      </w:r>
      <w:r w:rsidRPr="0042081B">
        <w:rPr>
          <w:rFonts w:ascii="Georgia" w:hAnsi="Georgia"/>
          <w:sz w:val="18"/>
          <w:szCs w:val="20"/>
        </w:rPr>
        <w:t xml:space="preserve"> (2010). Factors influencing older adults to complete </w:t>
      </w:r>
      <w:proofErr w:type="gramStart"/>
      <w:r w:rsidRPr="0042081B">
        <w:rPr>
          <w:rFonts w:ascii="Georgia" w:hAnsi="Georgia"/>
          <w:sz w:val="18"/>
          <w:szCs w:val="20"/>
        </w:rPr>
        <w:t>advance</w:t>
      </w:r>
      <w:proofErr w:type="gramEnd"/>
      <w:r w:rsidRPr="0042081B">
        <w:rPr>
          <w:rFonts w:ascii="Georgia" w:hAnsi="Georgia"/>
          <w:sz w:val="18"/>
          <w:szCs w:val="20"/>
        </w:rPr>
        <w:t xml:space="preserve"> directives. </w:t>
      </w:r>
      <w:r w:rsidRPr="0042081B">
        <w:rPr>
          <w:rFonts w:ascii="Georgia" w:hAnsi="Georgia"/>
          <w:i/>
          <w:iCs/>
          <w:sz w:val="18"/>
          <w:szCs w:val="20"/>
        </w:rPr>
        <w:t>Palliative &amp; Supportive Care</w:t>
      </w:r>
      <w:r w:rsidRPr="0042081B">
        <w:rPr>
          <w:rFonts w:ascii="Georgia" w:hAnsi="Georgia"/>
          <w:sz w:val="18"/>
          <w:szCs w:val="20"/>
        </w:rPr>
        <w:t>,</w:t>
      </w:r>
      <w:r w:rsidRPr="0042081B">
        <w:rPr>
          <w:rFonts w:ascii="Georgia" w:hAnsi="Georgia"/>
          <w:i/>
          <w:iCs/>
          <w:sz w:val="18"/>
          <w:szCs w:val="20"/>
        </w:rPr>
        <w:t xml:space="preserve"> 8</w:t>
      </w:r>
      <w:r w:rsidRPr="0042081B">
        <w:rPr>
          <w:rFonts w:ascii="Georgia" w:hAnsi="Georgia"/>
          <w:sz w:val="18"/>
          <w:szCs w:val="20"/>
        </w:rPr>
        <w:t xml:space="preserve">(3), 267–275. </w:t>
      </w:r>
    </w:p>
    <w:p w14:paraId="755B9C3B" w14:textId="5E8AD22B" w:rsidR="0042081B" w:rsidRPr="0042081B" w:rsidRDefault="00DF3289" w:rsidP="00DF3289">
      <w:pPr>
        <w:bidi w:val="0"/>
        <w:spacing w:after="180"/>
        <w:ind w:left="397"/>
        <w:jc w:val="both"/>
        <w:rPr>
          <w:rFonts w:ascii="Georgia" w:hAnsi="Georgia"/>
          <w:color w:val="212121"/>
          <w:sz w:val="18"/>
          <w:szCs w:val="20"/>
          <w:shd w:val="clear" w:color="auto" w:fill="FFFFFF"/>
        </w:rPr>
      </w:pPr>
      <w:hyperlink w:history="1">
        <w:r w:rsidRPr="00927D84">
          <w:rPr>
            <w:rStyle w:val="Hyperlink"/>
            <w:rFonts w:ascii="Georgia" w:hAnsi="Georgia"/>
            <w:sz w:val="18"/>
            <w:szCs w:val="20"/>
            <w:shd w:val="clear" w:color="auto" w:fill="FFFFFF"/>
          </w:rPr>
          <w:t>https://doi.org/10.1017/S1478951510000064</w:t>
        </w:r>
      </w:hyperlink>
    </w:p>
    <w:p w14:paraId="5685897B"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Baltes, M. M. (1996). </w:t>
      </w:r>
      <w:r w:rsidRPr="0042081B">
        <w:rPr>
          <w:rFonts w:ascii="Georgia" w:hAnsi="Georgia"/>
          <w:i/>
          <w:iCs/>
          <w:sz w:val="18"/>
          <w:szCs w:val="20"/>
        </w:rPr>
        <w:t>The many faces of dependency in old age</w:t>
      </w:r>
      <w:r w:rsidRPr="0042081B">
        <w:rPr>
          <w:rFonts w:ascii="Georgia" w:hAnsi="Georgia"/>
          <w:sz w:val="18"/>
          <w:szCs w:val="20"/>
        </w:rPr>
        <w:t>. Cambridge University Press.</w:t>
      </w:r>
    </w:p>
    <w:p w14:paraId="30AF6493"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Barnett, M. D., &amp; Cantu, C. (2021). Choice of and comfort with health care proxy among older adults: Hierarchical compensation and perceived similarity in values.</w:t>
      </w:r>
      <w:r w:rsidR="00DF3289">
        <w:rPr>
          <w:rFonts w:ascii="Georgia" w:hAnsi="Georgia"/>
          <w:sz w:val="18"/>
          <w:szCs w:val="20"/>
        </w:rPr>
        <w:t xml:space="preserve"> </w:t>
      </w:r>
      <w:r w:rsidRPr="0042081B">
        <w:rPr>
          <w:rFonts w:ascii="Georgia" w:hAnsi="Georgia"/>
          <w:i/>
          <w:iCs/>
          <w:sz w:val="18"/>
          <w:szCs w:val="20"/>
        </w:rPr>
        <w:t>Death Studies</w:t>
      </w:r>
      <w:r w:rsidRPr="0042081B">
        <w:rPr>
          <w:rFonts w:ascii="Georgia" w:hAnsi="Georgia"/>
          <w:sz w:val="18"/>
          <w:szCs w:val="20"/>
        </w:rPr>
        <w:t xml:space="preserve">, </w:t>
      </w:r>
      <w:r w:rsidRPr="0042081B">
        <w:rPr>
          <w:rFonts w:ascii="Georgia" w:hAnsi="Georgia"/>
          <w:i/>
          <w:iCs/>
          <w:sz w:val="18"/>
          <w:szCs w:val="20"/>
        </w:rPr>
        <w:t>45</w:t>
      </w:r>
      <w:r w:rsidRPr="0042081B">
        <w:rPr>
          <w:rFonts w:ascii="Georgia" w:hAnsi="Georgia"/>
          <w:sz w:val="18"/>
          <w:szCs w:val="20"/>
        </w:rPr>
        <w:t xml:space="preserve">(3), 202–208. </w:t>
      </w:r>
    </w:p>
    <w:p w14:paraId="5BF80BDF" w14:textId="242E2375"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10.1080/07481187.2019.1626940</w:t>
        </w:r>
      </w:hyperlink>
    </w:p>
    <w:p w14:paraId="55EC6232"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Becker, C. S. (1992). </w:t>
      </w:r>
      <w:r w:rsidRPr="0042081B">
        <w:rPr>
          <w:rFonts w:ascii="Georgia" w:hAnsi="Georgia"/>
          <w:i/>
          <w:iCs/>
          <w:sz w:val="18"/>
          <w:szCs w:val="20"/>
        </w:rPr>
        <w:t>Living and relating: An introduction to phenomenology.</w:t>
      </w:r>
      <w:r w:rsidRPr="0042081B">
        <w:rPr>
          <w:rFonts w:ascii="Georgia" w:hAnsi="Georgia"/>
          <w:sz w:val="18"/>
          <w:szCs w:val="20"/>
        </w:rPr>
        <w:t xml:space="preserve"> SAGE.</w:t>
      </w:r>
    </w:p>
    <w:p w14:paraId="57E76569"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 xml:space="preserve">Bloom, D. E., Canning, D., &amp; </w:t>
      </w:r>
      <w:proofErr w:type="spellStart"/>
      <w:r w:rsidRPr="0042081B">
        <w:rPr>
          <w:rFonts w:ascii="Georgia" w:hAnsi="Georgia"/>
          <w:sz w:val="18"/>
          <w:szCs w:val="20"/>
        </w:rPr>
        <w:t>Lubet</w:t>
      </w:r>
      <w:proofErr w:type="spellEnd"/>
      <w:r w:rsidRPr="0042081B">
        <w:rPr>
          <w:rFonts w:ascii="Georgia" w:hAnsi="Georgia"/>
          <w:sz w:val="18"/>
          <w:szCs w:val="20"/>
        </w:rPr>
        <w:t xml:space="preserve">, A. (2015). Global population aging: Facts, challenges, solutions &amp; perspectives. </w:t>
      </w:r>
      <w:r w:rsidRPr="0042081B">
        <w:rPr>
          <w:rFonts w:ascii="Georgia" w:hAnsi="Georgia"/>
          <w:i/>
          <w:iCs/>
          <w:sz w:val="18"/>
          <w:szCs w:val="20"/>
        </w:rPr>
        <w:t>Daedalus</w:t>
      </w:r>
      <w:r w:rsidRPr="0042081B">
        <w:rPr>
          <w:rFonts w:ascii="Georgia" w:hAnsi="Georgia"/>
          <w:sz w:val="18"/>
          <w:szCs w:val="20"/>
        </w:rPr>
        <w:t xml:space="preserve">, </w:t>
      </w:r>
      <w:r w:rsidRPr="0042081B">
        <w:rPr>
          <w:rFonts w:ascii="Georgia" w:hAnsi="Georgia"/>
          <w:i/>
          <w:iCs/>
          <w:sz w:val="18"/>
          <w:szCs w:val="20"/>
        </w:rPr>
        <w:t>144</w:t>
      </w:r>
      <w:r w:rsidRPr="0042081B">
        <w:rPr>
          <w:rFonts w:ascii="Georgia" w:hAnsi="Georgia"/>
          <w:sz w:val="18"/>
          <w:szCs w:val="20"/>
        </w:rPr>
        <w:t xml:space="preserve">(2), 80–92. </w:t>
      </w:r>
    </w:p>
    <w:p w14:paraId="687FFF7D" w14:textId="0A5A2419" w:rsidR="0042081B" w:rsidRPr="0042081B" w:rsidRDefault="00DF3289" w:rsidP="00DF3289">
      <w:pPr>
        <w:bidi w:val="0"/>
        <w:spacing w:after="180"/>
        <w:ind w:left="397"/>
        <w:jc w:val="both"/>
        <w:rPr>
          <w:rStyle w:val="Hyperlink"/>
          <w:rFonts w:ascii="Georgia" w:hAnsi="Georgia"/>
          <w:sz w:val="18"/>
          <w:szCs w:val="20"/>
          <w:rtl/>
        </w:rPr>
      </w:pPr>
      <w:hyperlink w:history="1">
        <w:r w:rsidRPr="00927D84">
          <w:rPr>
            <w:rStyle w:val="Hyperlink"/>
            <w:rFonts w:ascii="Georgia" w:hAnsi="Georgia"/>
            <w:sz w:val="18"/>
            <w:szCs w:val="20"/>
          </w:rPr>
          <w:t>https://doi.org/10.1162/DAED_a_00332</w:t>
        </w:r>
      </w:hyperlink>
    </w:p>
    <w:p w14:paraId="11794AC2" w14:textId="53CEBD61"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Boerner, K., Carr, D., &amp; Moorman, S. (2013). Family relationships and advance care planning: Do supportive and critical relations encourage or hinder </w:t>
      </w:r>
      <w:r w:rsidRPr="0042081B">
        <w:rPr>
          <w:rFonts w:ascii="Georgia" w:hAnsi="Georgia"/>
          <w:sz w:val="18"/>
          <w:szCs w:val="20"/>
        </w:rPr>
        <w:lastRenderedPageBreak/>
        <w:t xml:space="preserve">planning? </w:t>
      </w:r>
      <w:r w:rsidRPr="0042081B">
        <w:rPr>
          <w:rFonts w:ascii="Georgia" w:hAnsi="Georgia"/>
          <w:i/>
          <w:iCs/>
          <w:sz w:val="18"/>
          <w:szCs w:val="20"/>
        </w:rPr>
        <w:t>Journals of Gerontology Series B: Psychological Sciences and Social Sciences</w:t>
      </w:r>
      <w:r w:rsidRPr="0042081B">
        <w:rPr>
          <w:rFonts w:ascii="Georgia" w:hAnsi="Georgia"/>
          <w:sz w:val="18"/>
          <w:szCs w:val="20"/>
        </w:rPr>
        <w:t xml:space="preserve">, </w:t>
      </w:r>
      <w:r w:rsidRPr="0042081B">
        <w:rPr>
          <w:rFonts w:ascii="Georgia" w:hAnsi="Georgia"/>
          <w:i/>
          <w:iCs/>
          <w:sz w:val="18"/>
          <w:szCs w:val="20"/>
        </w:rPr>
        <w:t>68</w:t>
      </w:r>
      <w:r w:rsidRPr="0042081B">
        <w:rPr>
          <w:rFonts w:ascii="Georgia" w:hAnsi="Georgia"/>
          <w:sz w:val="18"/>
          <w:szCs w:val="20"/>
        </w:rPr>
        <w:t>(2), 246–256.</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rPr>
          <w:t>https://doi.org/10.1093/geronb/gbs161</w:t>
        </w:r>
      </w:hyperlink>
    </w:p>
    <w:p w14:paraId="76764E19" w14:textId="4722A29C"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Boerner, K., Moorman, S. M., Carr, D., &amp; Ornstein, K. A. (2021). Insufficient advance care planning? Correlates of planning without personal conversations.</w:t>
      </w:r>
      <w:r w:rsidR="00262AE4">
        <w:rPr>
          <w:rFonts w:ascii="Georgia" w:hAnsi="Georgia"/>
          <w:sz w:val="18"/>
          <w:szCs w:val="20"/>
        </w:rPr>
        <w:t xml:space="preserve"> </w:t>
      </w:r>
      <w:r w:rsidRPr="0042081B">
        <w:rPr>
          <w:rFonts w:ascii="Georgia" w:hAnsi="Georgia"/>
          <w:i/>
          <w:iCs/>
          <w:sz w:val="18"/>
          <w:szCs w:val="20"/>
        </w:rPr>
        <w:t>The Journals of Gerontology: Series B</w:t>
      </w:r>
      <w:r w:rsidRPr="0042081B">
        <w:rPr>
          <w:rFonts w:ascii="Georgia" w:hAnsi="Georgia"/>
          <w:sz w:val="18"/>
          <w:szCs w:val="20"/>
        </w:rPr>
        <w:t xml:space="preserve">, </w:t>
      </w:r>
      <w:r w:rsidRPr="0042081B">
        <w:rPr>
          <w:rFonts w:ascii="Georgia" w:hAnsi="Georgia"/>
          <w:i/>
          <w:iCs/>
          <w:sz w:val="18"/>
          <w:szCs w:val="20"/>
        </w:rPr>
        <w:t>76</w:t>
      </w:r>
      <w:r w:rsidRPr="0042081B">
        <w:rPr>
          <w:rFonts w:ascii="Georgia" w:hAnsi="Georgia"/>
          <w:sz w:val="18"/>
          <w:szCs w:val="20"/>
        </w:rPr>
        <w:t xml:space="preserve">(1), 104–108. </w:t>
      </w:r>
    </w:p>
    <w:p w14:paraId="7535C0FA" w14:textId="78BE462A" w:rsidR="0042081B" w:rsidRPr="0042081B" w:rsidRDefault="0042081B" w:rsidP="00DF3289">
      <w:pPr>
        <w:bidi w:val="0"/>
        <w:spacing w:after="180"/>
        <w:ind w:left="397"/>
        <w:jc w:val="both"/>
        <w:rPr>
          <w:rStyle w:val="Hyperlink"/>
          <w:rFonts w:ascii="Georgia" w:hAnsi="Georgia"/>
          <w:sz w:val="18"/>
          <w:szCs w:val="20"/>
        </w:rPr>
      </w:pPr>
      <w:hyperlink w:history="1">
        <w:r w:rsidRPr="0042081B">
          <w:rPr>
            <w:rStyle w:val="Hyperlink"/>
            <w:rFonts w:ascii="Georgia" w:hAnsi="Georgia"/>
            <w:sz w:val="18"/>
            <w:szCs w:val="20"/>
          </w:rPr>
          <w:t>https://doi.org/10.1093/geronb/gbaa076</w:t>
        </w:r>
      </w:hyperlink>
    </w:p>
    <w:p w14:paraId="6CDEB6EE" w14:textId="3575629C" w:rsidR="0042081B" w:rsidRPr="0042081B" w:rsidRDefault="0042081B" w:rsidP="00262AE4">
      <w:pPr>
        <w:bidi w:val="0"/>
        <w:spacing w:after="180"/>
        <w:ind w:left="397" w:hanging="397"/>
        <w:jc w:val="both"/>
        <w:rPr>
          <w:rStyle w:val="Hyperlink"/>
          <w:rFonts w:ascii="Georgia" w:hAnsi="Georgia"/>
          <w:sz w:val="18"/>
          <w:szCs w:val="20"/>
        </w:rPr>
      </w:pPr>
      <w:proofErr w:type="spellStart"/>
      <w:r w:rsidRPr="0042081B">
        <w:rPr>
          <w:rFonts w:ascii="Georgia" w:hAnsi="Georgia"/>
          <w:sz w:val="18"/>
          <w:szCs w:val="20"/>
        </w:rPr>
        <w:t>Bogutz</w:t>
      </w:r>
      <w:proofErr w:type="spellEnd"/>
      <w:r w:rsidRPr="0042081B">
        <w:rPr>
          <w:rFonts w:ascii="Georgia" w:hAnsi="Georgia"/>
          <w:sz w:val="18"/>
          <w:szCs w:val="20"/>
        </w:rPr>
        <w:t xml:space="preserve">, A. D. (2009). Elder law: A personal perspective. In I. Doron (Ed.), </w:t>
      </w:r>
      <w:r w:rsidRPr="0042081B">
        <w:rPr>
          <w:rFonts w:ascii="Georgia" w:hAnsi="Georgia"/>
          <w:i/>
          <w:iCs/>
          <w:sz w:val="18"/>
          <w:szCs w:val="20"/>
        </w:rPr>
        <w:t>Theories on law and ageing: The jurisprudence of elder law</w:t>
      </w:r>
      <w:r w:rsidRPr="0042081B">
        <w:rPr>
          <w:rFonts w:ascii="Georgia" w:hAnsi="Georgia"/>
          <w:b/>
          <w:bCs/>
          <w:sz w:val="18"/>
          <w:szCs w:val="20"/>
        </w:rPr>
        <w:t xml:space="preserve"> </w:t>
      </w:r>
      <w:r w:rsidRPr="0042081B">
        <w:rPr>
          <w:rFonts w:ascii="Georgia" w:hAnsi="Georgia"/>
          <w:sz w:val="18"/>
          <w:szCs w:val="20"/>
        </w:rPr>
        <w:t>(pp.</w:t>
      </w:r>
      <w:r w:rsidR="00C342DC">
        <w:rPr>
          <w:rFonts w:ascii="Georgia" w:hAnsi="Georgia"/>
          <w:sz w:val="18"/>
          <w:szCs w:val="20"/>
        </w:rPr>
        <w:t xml:space="preserve"> </w:t>
      </w:r>
      <w:r w:rsidRPr="0042081B">
        <w:rPr>
          <w:rFonts w:ascii="Georgia" w:hAnsi="Georgia"/>
          <w:sz w:val="18"/>
          <w:szCs w:val="20"/>
        </w:rPr>
        <w:t xml:space="preserve">1–10). Springer. </w:t>
      </w:r>
      <w:hyperlink w:history="1">
        <w:r w:rsidR="00DF3289" w:rsidRPr="00927D84">
          <w:rPr>
            <w:rStyle w:val="Hyperlink"/>
            <w:rFonts w:ascii="Georgia" w:hAnsi="Georgia"/>
            <w:sz w:val="18"/>
            <w:szCs w:val="20"/>
          </w:rPr>
          <w:t>https://doi.org/10.1007/978-3-540-78954-3</w:t>
        </w:r>
      </w:hyperlink>
    </w:p>
    <w:p w14:paraId="534331EA" w14:textId="77777777" w:rsidR="00DF3289" w:rsidRDefault="0042081B" w:rsidP="00262AE4">
      <w:pPr>
        <w:keepNext/>
        <w:bidi w:val="0"/>
        <w:ind w:left="397" w:hanging="397"/>
        <w:jc w:val="both"/>
        <w:rPr>
          <w:rFonts w:ascii="Georgia" w:hAnsi="Georgia"/>
          <w:sz w:val="18"/>
          <w:szCs w:val="20"/>
        </w:rPr>
      </w:pPr>
      <w:r w:rsidRPr="0042081B">
        <w:rPr>
          <w:rFonts w:ascii="Georgia" w:hAnsi="Georgia"/>
          <w:sz w:val="18"/>
          <w:szCs w:val="20"/>
        </w:rPr>
        <w:t xml:space="preserve">Cantor, M. H. (1979). Neighbors and friends: An overlooked resource in the informal support system. </w:t>
      </w:r>
      <w:r w:rsidRPr="0042081B">
        <w:rPr>
          <w:rFonts w:ascii="Georgia" w:hAnsi="Georgia"/>
          <w:i/>
          <w:iCs/>
          <w:sz w:val="18"/>
          <w:szCs w:val="20"/>
        </w:rPr>
        <w:t>Research on Aging</w:t>
      </w:r>
      <w:r w:rsidRPr="0042081B">
        <w:rPr>
          <w:rFonts w:ascii="Georgia" w:hAnsi="Georgia"/>
          <w:sz w:val="18"/>
          <w:szCs w:val="20"/>
        </w:rPr>
        <w:t xml:space="preserve">, </w:t>
      </w:r>
      <w:r w:rsidRPr="0042081B">
        <w:rPr>
          <w:rFonts w:ascii="Georgia" w:hAnsi="Georgia"/>
          <w:i/>
          <w:iCs/>
          <w:sz w:val="18"/>
          <w:szCs w:val="20"/>
        </w:rPr>
        <w:t>1</w:t>
      </w:r>
      <w:r w:rsidRPr="0042081B">
        <w:rPr>
          <w:rFonts w:ascii="Georgia" w:hAnsi="Georgia"/>
          <w:sz w:val="18"/>
          <w:szCs w:val="20"/>
        </w:rPr>
        <w:t>(4), 434–463.</w:t>
      </w:r>
      <w:r w:rsidRPr="0042081B">
        <w:rPr>
          <w:rFonts w:ascii="Georgia" w:hAnsi="Georgia"/>
          <w:sz w:val="18"/>
          <w:szCs w:val="20"/>
          <w:rtl/>
        </w:rPr>
        <w:t>‏</w:t>
      </w:r>
      <w:r w:rsidRPr="0042081B">
        <w:rPr>
          <w:rFonts w:ascii="Georgia" w:hAnsi="Georgia"/>
          <w:sz w:val="18"/>
          <w:szCs w:val="20"/>
        </w:rPr>
        <w:t xml:space="preserve"> </w:t>
      </w:r>
    </w:p>
    <w:p w14:paraId="371CC717" w14:textId="756E06DC"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rPr>
          <w:t>https://doi.org/10.1177/016402757914002</w:t>
        </w:r>
      </w:hyperlink>
    </w:p>
    <w:p w14:paraId="660E964B"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Cantor, M. H., &amp; Brennan-Ing, M. (2000). </w:t>
      </w:r>
      <w:r w:rsidRPr="0042081B">
        <w:rPr>
          <w:rFonts w:ascii="Georgia" w:hAnsi="Georgia"/>
          <w:i/>
          <w:iCs/>
          <w:sz w:val="18"/>
          <w:szCs w:val="20"/>
        </w:rPr>
        <w:t xml:space="preserve">Social care </w:t>
      </w:r>
      <w:proofErr w:type="gramStart"/>
      <w:r w:rsidRPr="0042081B">
        <w:rPr>
          <w:rFonts w:ascii="Georgia" w:hAnsi="Georgia"/>
          <w:i/>
          <w:iCs/>
          <w:sz w:val="18"/>
          <w:szCs w:val="20"/>
        </w:rPr>
        <w:t>of</w:t>
      </w:r>
      <w:proofErr w:type="gramEnd"/>
      <w:r w:rsidRPr="0042081B">
        <w:rPr>
          <w:rFonts w:ascii="Georgia" w:hAnsi="Georgia"/>
          <w:i/>
          <w:iCs/>
          <w:sz w:val="18"/>
          <w:szCs w:val="20"/>
        </w:rPr>
        <w:t xml:space="preserve"> the elderly: The effects of ethnicity, class, and culture</w:t>
      </w:r>
      <w:r w:rsidRPr="0042081B">
        <w:rPr>
          <w:rFonts w:ascii="Georgia" w:hAnsi="Georgia"/>
          <w:sz w:val="18"/>
          <w:szCs w:val="20"/>
        </w:rPr>
        <w:t>. Springer.</w:t>
      </w:r>
    </w:p>
    <w:p w14:paraId="58A8AC63" w14:textId="1C38E8C9"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Carr, D., &amp; </w:t>
      </w:r>
      <w:proofErr w:type="spellStart"/>
      <w:r w:rsidRPr="0042081B">
        <w:rPr>
          <w:rFonts w:ascii="Georgia" w:hAnsi="Georgia"/>
          <w:sz w:val="18"/>
          <w:szCs w:val="20"/>
        </w:rPr>
        <w:t>Khodyakov</w:t>
      </w:r>
      <w:proofErr w:type="spellEnd"/>
      <w:r w:rsidRPr="0042081B">
        <w:rPr>
          <w:rFonts w:ascii="Georgia" w:hAnsi="Georgia"/>
          <w:sz w:val="18"/>
          <w:szCs w:val="20"/>
        </w:rPr>
        <w:t xml:space="preserve">, D. (2007). Health care proxies: Whom do young old adults choose and why? </w:t>
      </w:r>
      <w:r w:rsidRPr="0042081B">
        <w:rPr>
          <w:rFonts w:ascii="Georgia" w:hAnsi="Georgia"/>
          <w:i/>
          <w:iCs/>
          <w:sz w:val="18"/>
          <w:szCs w:val="20"/>
        </w:rPr>
        <w:t>Journal of Health and Social Behavior</w:t>
      </w:r>
      <w:r w:rsidRPr="0042081B">
        <w:rPr>
          <w:rFonts w:ascii="Georgia" w:hAnsi="Georgia"/>
          <w:sz w:val="18"/>
          <w:szCs w:val="20"/>
        </w:rPr>
        <w:t xml:space="preserve">, </w:t>
      </w:r>
      <w:r w:rsidRPr="0042081B">
        <w:rPr>
          <w:rFonts w:ascii="Georgia" w:hAnsi="Georgia"/>
          <w:i/>
          <w:iCs/>
          <w:sz w:val="18"/>
          <w:szCs w:val="20"/>
        </w:rPr>
        <w:t>48</w:t>
      </w:r>
      <w:r w:rsidRPr="0042081B">
        <w:rPr>
          <w:rFonts w:ascii="Georgia" w:hAnsi="Georgia"/>
          <w:sz w:val="18"/>
          <w:szCs w:val="20"/>
        </w:rPr>
        <w:t xml:space="preserve">(2), </w:t>
      </w:r>
      <w:r w:rsidR="00DF3289">
        <w:rPr>
          <w:rFonts w:ascii="Georgia" w:hAnsi="Georgia"/>
          <w:sz w:val="18"/>
          <w:szCs w:val="20"/>
        </w:rPr>
        <w:br/>
      </w:r>
      <w:r w:rsidRPr="0042081B">
        <w:rPr>
          <w:rFonts w:ascii="Georgia" w:hAnsi="Georgia"/>
          <w:sz w:val="18"/>
          <w:szCs w:val="20"/>
        </w:rPr>
        <w:t>180–194.</w:t>
      </w:r>
      <w:r w:rsidR="00DF3289">
        <w:rPr>
          <w:rFonts w:ascii="Georgia" w:hAnsi="Georgia"/>
          <w:color w:val="333333"/>
          <w:sz w:val="18"/>
          <w:szCs w:val="20"/>
          <w:shd w:val="clear" w:color="auto" w:fill="FFFFFF"/>
        </w:rPr>
        <w:t xml:space="preserve"> </w:t>
      </w:r>
      <w:hyperlink w:history="1">
        <w:r w:rsidRPr="0042081B">
          <w:rPr>
            <w:rStyle w:val="Hyperlink"/>
            <w:rFonts w:ascii="Georgia" w:hAnsi="Georgia"/>
            <w:sz w:val="18"/>
            <w:szCs w:val="20"/>
          </w:rPr>
          <w:t>https://doi.org/10.1177/002214650704800206</w:t>
        </w:r>
      </w:hyperlink>
    </w:p>
    <w:p w14:paraId="59EA3671" w14:textId="4E471ED7"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sz w:val="18"/>
          <w:szCs w:val="20"/>
        </w:rPr>
        <w:t xml:space="preserve">Carr, D., Moorman, S. M., &amp; Boerner, K. (2013). End-of-life planning in a family context: Does relationship quality affect whether (and with whom) older adults plan? </w:t>
      </w:r>
      <w:r w:rsidRPr="0042081B">
        <w:rPr>
          <w:rFonts w:ascii="Georgia" w:hAnsi="Georgia"/>
          <w:i/>
          <w:iCs/>
          <w:sz w:val="18"/>
          <w:szCs w:val="20"/>
        </w:rPr>
        <w:t>Journals of Gerontology Series B: Psychological Sciences and Social Sciences</w:t>
      </w:r>
      <w:r w:rsidRPr="0042081B">
        <w:rPr>
          <w:rFonts w:ascii="Georgia" w:hAnsi="Georgia"/>
          <w:sz w:val="18"/>
          <w:szCs w:val="20"/>
        </w:rPr>
        <w:t xml:space="preserve">, </w:t>
      </w:r>
      <w:r w:rsidRPr="0042081B">
        <w:rPr>
          <w:rFonts w:ascii="Georgia" w:hAnsi="Georgia"/>
          <w:i/>
          <w:iCs/>
          <w:sz w:val="18"/>
          <w:szCs w:val="20"/>
        </w:rPr>
        <w:t>68</w:t>
      </w:r>
      <w:r w:rsidRPr="0042081B">
        <w:rPr>
          <w:rFonts w:ascii="Georgia" w:hAnsi="Georgia"/>
          <w:sz w:val="18"/>
          <w:szCs w:val="20"/>
        </w:rPr>
        <w:t>(4), 586–592.</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rPr>
          <w:t>https://doi.org/10.1093/geronb/gbt034</w:t>
        </w:r>
      </w:hyperlink>
    </w:p>
    <w:p w14:paraId="09377D26" w14:textId="23C75F36"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Carter, E. (2023). A good death: Personal autonomy and medical decision making in Louisiana.</w:t>
      </w:r>
      <w:r w:rsidR="00262AE4">
        <w:rPr>
          <w:rFonts w:ascii="Georgia" w:hAnsi="Georgia"/>
          <w:sz w:val="18"/>
          <w:szCs w:val="20"/>
        </w:rPr>
        <w:t xml:space="preserve"> </w:t>
      </w:r>
      <w:r w:rsidRPr="0042081B">
        <w:rPr>
          <w:rFonts w:ascii="Georgia" w:hAnsi="Georgia"/>
          <w:i/>
          <w:iCs/>
          <w:sz w:val="18"/>
          <w:szCs w:val="20"/>
        </w:rPr>
        <w:t>Louisiana Law Review</w:t>
      </w:r>
      <w:r w:rsidRPr="0042081B">
        <w:rPr>
          <w:rFonts w:ascii="Georgia" w:hAnsi="Georgia"/>
          <w:sz w:val="18"/>
          <w:szCs w:val="20"/>
        </w:rPr>
        <w:t>,</w:t>
      </w:r>
      <w:r w:rsidR="00DF3289">
        <w:rPr>
          <w:rFonts w:ascii="Georgia" w:hAnsi="Georgia"/>
          <w:sz w:val="18"/>
          <w:szCs w:val="20"/>
        </w:rPr>
        <w:t xml:space="preserve"> </w:t>
      </w:r>
      <w:r w:rsidRPr="0042081B">
        <w:rPr>
          <w:rFonts w:ascii="Georgia" w:hAnsi="Georgia"/>
          <w:i/>
          <w:iCs/>
          <w:sz w:val="18"/>
          <w:szCs w:val="20"/>
        </w:rPr>
        <w:t>83</w:t>
      </w:r>
      <w:r w:rsidRPr="0042081B">
        <w:rPr>
          <w:rFonts w:ascii="Georgia" w:hAnsi="Georgia"/>
          <w:sz w:val="18"/>
          <w:szCs w:val="20"/>
        </w:rPr>
        <w:t>(4), 1295–1360.</w:t>
      </w:r>
    </w:p>
    <w:p w14:paraId="30C8C417" w14:textId="77777777" w:rsidR="0042081B" w:rsidRPr="0042081B" w:rsidRDefault="0042081B" w:rsidP="00DF3289">
      <w:pPr>
        <w:bidi w:val="0"/>
        <w:spacing w:after="180"/>
        <w:ind w:left="397" w:hanging="397"/>
        <w:jc w:val="both"/>
        <w:rPr>
          <w:rFonts w:ascii="Georgia" w:hAnsi="Georgia"/>
          <w:sz w:val="18"/>
          <w:szCs w:val="20"/>
          <w:rtl/>
        </w:rPr>
      </w:pPr>
      <w:r w:rsidRPr="0042081B">
        <w:rPr>
          <w:rFonts w:ascii="Georgia" w:hAnsi="Georgia"/>
          <w:color w:val="222222"/>
          <w:sz w:val="18"/>
          <w:szCs w:val="20"/>
          <w:shd w:val="clear" w:color="auto" w:fill="FFFFFF"/>
        </w:rPr>
        <w:t xml:space="preserve">Conroy, A. (2009). Curbing the </w:t>
      </w:r>
      <w:r w:rsidRPr="0042081B">
        <w:rPr>
          <w:rFonts w:ascii="Georgia" w:hAnsi="Georgia"/>
          <w:sz w:val="18"/>
          <w:szCs w:val="20"/>
        </w:rPr>
        <w:t xml:space="preserve">license to steal: A discussion of English law and possible reforms for the durable power of attorney. </w:t>
      </w:r>
      <w:r w:rsidRPr="0042081B">
        <w:rPr>
          <w:rFonts w:ascii="Georgia" w:hAnsi="Georgia"/>
          <w:i/>
          <w:iCs/>
          <w:sz w:val="18"/>
          <w:szCs w:val="20"/>
        </w:rPr>
        <w:t>Real Property, Trust and Estate Law Journal</w:t>
      </w:r>
      <w:r w:rsidRPr="0042081B">
        <w:rPr>
          <w:rFonts w:ascii="Georgia" w:hAnsi="Georgia"/>
          <w:sz w:val="18"/>
          <w:szCs w:val="20"/>
        </w:rPr>
        <w:t xml:space="preserve">, </w:t>
      </w:r>
      <w:r w:rsidRPr="0042081B">
        <w:rPr>
          <w:rFonts w:ascii="Georgia" w:hAnsi="Georgia"/>
          <w:i/>
          <w:iCs/>
          <w:sz w:val="18"/>
          <w:szCs w:val="20"/>
        </w:rPr>
        <w:t>44</w:t>
      </w:r>
      <w:r w:rsidRPr="0042081B">
        <w:rPr>
          <w:rFonts w:ascii="Georgia" w:hAnsi="Georgia"/>
          <w:sz w:val="18"/>
          <w:szCs w:val="20"/>
        </w:rPr>
        <w:t xml:space="preserve">(1), 31–54. </w:t>
      </w:r>
    </w:p>
    <w:p w14:paraId="1BDAD4C9" w14:textId="77777777" w:rsidR="00DF3289" w:rsidRDefault="0042081B" w:rsidP="00262AE4">
      <w:pPr>
        <w:keepNext/>
        <w:bidi w:val="0"/>
        <w:ind w:left="397" w:hanging="397"/>
        <w:jc w:val="both"/>
        <w:rPr>
          <w:rFonts w:ascii="Georgia" w:hAnsi="Georgia"/>
          <w:color w:val="3A3A3A"/>
          <w:sz w:val="18"/>
          <w:szCs w:val="20"/>
          <w:shd w:val="clear" w:color="auto" w:fill="FFFFFF"/>
        </w:rPr>
      </w:pPr>
      <w:r w:rsidRPr="0042081B">
        <w:rPr>
          <w:rFonts w:ascii="Georgia" w:hAnsi="Georgia"/>
          <w:color w:val="3A3A3A"/>
          <w:sz w:val="18"/>
          <w:szCs w:val="20"/>
          <w:shd w:val="clear" w:color="auto" w:fill="FFFFFF"/>
        </w:rPr>
        <w:t xml:space="preserve">Davies, N., De Souza, T., Rait, G., Meehan, J., &amp; Sampson, E. L. (2021). Developing an applied model for making decisions towards the end of life about </w:t>
      </w:r>
      <w:proofErr w:type="gramStart"/>
      <w:r w:rsidRPr="0042081B">
        <w:rPr>
          <w:rFonts w:ascii="Georgia" w:hAnsi="Georgia"/>
          <w:color w:val="3A3A3A"/>
          <w:sz w:val="18"/>
          <w:szCs w:val="20"/>
          <w:shd w:val="clear" w:color="auto" w:fill="FFFFFF"/>
        </w:rPr>
        <w:t>care</w:t>
      </w:r>
      <w:proofErr w:type="gramEnd"/>
      <w:r w:rsidRPr="0042081B">
        <w:rPr>
          <w:rFonts w:ascii="Georgia" w:hAnsi="Georgia"/>
          <w:color w:val="3A3A3A"/>
          <w:sz w:val="18"/>
          <w:szCs w:val="20"/>
          <w:shd w:val="clear" w:color="auto" w:fill="FFFFFF"/>
        </w:rPr>
        <w:t xml:space="preserve"> for someone with dementia. </w:t>
      </w:r>
      <w:proofErr w:type="spellStart"/>
      <w:r w:rsidRPr="0042081B">
        <w:rPr>
          <w:rFonts w:ascii="Georgia" w:hAnsi="Georgia"/>
          <w:i/>
          <w:iCs/>
          <w:color w:val="3A3A3A"/>
          <w:sz w:val="18"/>
          <w:szCs w:val="20"/>
          <w:shd w:val="clear" w:color="auto" w:fill="FFFFFF"/>
        </w:rPr>
        <w:t>PLoS</w:t>
      </w:r>
      <w:proofErr w:type="spellEnd"/>
      <w:r w:rsidRPr="0042081B">
        <w:rPr>
          <w:rFonts w:ascii="Georgia" w:hAnsi="Georgia"/>
          <w:i/>
          <w:iCs/>
          <w:color w:val="3A3A3A"/>
          <w:sz w:val="18"/>
          <w:szCs w:val="20"/>
          <w:shd w:val="clear" w:color="auto" w:fill="FFFFFF"/>
        </w:rPr>
        <w:t xml:space="preserve"> One</w:t>
      </w:r>
      <w:r w:rsidRPr="0042081B">
        <w:rPr>
          <w:rFonts w:ascii="Georgia" w:hAnsi="Georgia"/>
          <w:color w:val="3A3A3A"/>
          <w:sz w:val="18"/>
          <w:szCs w:val="20"/>
          <w:shd w:val="clear" w:color="auto" w:fill="FFFFFF"/>
        </w:rPr>
        <w:t xml:space="preserve">, </w:t>
      </w:r>
      <w:r w:rsidRPr="0042081B">
        <w:rPr>
          <w:rFonts w:ascii="Georgia" w:hAnsi="Georgia"/>
          <w:i/>
          <w:iCs/>
          <w:color w:val="3A3A3A"/>
          <w:sz w:val="18"/>
          <w:szCs w:val="20"/>
          <w:shd w:val="clear" w:color="auto" w:fill="FFFFFF"/>
        </w:rPr>
        <w:t>16</w:t>
      </w:r>
      <w:r w:rsidRPr="0042081B">
        <w:rPr>
          <w:rFonts w:ascii="Georgia" w:hAnsi="Georgia"/>
          <w:color w:val="3A3A3A"/>
          <w:sz w:val="18"/>
          <w:szCs w:val="20"/>
          <w:shd w:val="clear" w:color="auto" w:fill="FFFFFF"/>
        </w:rPr>
        <w:t>(5), e0252464.</w:t>
      </w:r>
      <w:r w:rsidRPr="0042081B">
        <w:rPr>
          <w:rFonts w:ascii="Georgia" w:hAnsi="Georgia"/>
          <w:color w:val="3A3A3A"/>
          <w:sz w:val="18"/>
          <w:szCs w:val="20"/>
          <w:shd w:val="clear" w:color="auto" w:fill="FFFFFF"/>
          <w:rtl/>
        </w:rPr>
        <w:t>‏</w:t>
      </w:r>
      <w:r w:rsidRPr="0042081B">
        <w:rPr>
          <w:rFonts w:ascii="Georgia" w:hAnsi="Georgia"/>
          <w:color w:val="3A3A3A"/>
          <w:sz w:val="18"/>
          <w:szCs w:val="20"/>
          <w:shd w:val="clear" w:color="auto" w:fill="FFFFFF"/>
        </w:rPr>
        <w:t xml:space="preserve"> </w:t>
      </w:r>
    </w:p>
    <w:p w14:paraId="2117836B" w14:textId="19EFFFB2"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https://doi.org/10.1371/journal.pone.0252464</w:t>
        </w:r>
      </w:hyperlink>
    </w:p>
    <w:p w14:paraId="5DFEB274"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Dykstra, P. A. (2015). Aging and social support. In G. Ritzer (Ed.), </w:t>
      </w:r>
      <w:r w:rsidRPr="0042081B">
        <w:rPr>
          <w:rFonts w:ascii="Georgia" w:hAnsi="Georgia"/>
          <w:i/>
          <w:iCs/>
          <w:color w:val="222222"/>
          <w:sz w:val="18"/>
          <w:szCs w:val="20"/>
          <w:shd w:val="clear" w:color="auto" w:fill="FFFFFF"/>
        </w:rPr>
        <w:t>The Blackwell Encyclopedia of Sociology</w:t>
      </w:r>
      <w:r w:rsidRPr="0042081B">
        <w:rPr>
          <w:rFonts w:ascii="Georgia" w:hAnsi="Georgia"/>
          <w:color w:val="222222"/>
          <w:sz w:val="18"/>
          <w:szCs w:val="20"/>
          <w:shd w:val="clear" w:color="auto" w:fill="FFFFFF"/>
        </w:rPr>
        <w:t xml:space="preserve">. John Wiley &amp; Sons, Ltd. </w:t>
      </w:r>
    </w:p>
    <w:p w14:paraId="1E196A47" w14:textId="3F8D819C"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https://doi.org/10.1002/9781405165518</w:t>
        </w:r>
      </w:hyperlink>
    </w:p>
    <w:p w14:paraId="500EE76E" w14:textId="31783FE0"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color w:val="222222"/>
          <w:sz w:val="18"/>
          <w:szCs w:val="20"/>
          <w:shd w:val="clear" w:color="auto" w:fill="FFFFFF"/>
        </w:rPr>
        <w:lastRenderedPageBreak/>
        <w:t>Edwards, S. J., Brown, P., Twyman, M. A., Christie, D., &amp; Rakow, T. (2011). A qualitative investigation of selecting surrogate decision-makers.</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Journal of Medical Ethics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37</w:t>
      </w:r>
      <w:r w:rsidRPr="0042081B">
        <w:rPr>
          <w:rFonts w:ascii="Georgia" w:hAnsi="Georgia"/>
          <w:color w:val="222222"/>
          <w:sz w:val="18"/>
          <w:szCs w:val="20"/>
          <w:shd w:val="clear" w:color="auto" w:fill="FFFFFF"/>
        </w:rPr>
        <w:t>(10), 601</w:t>
      </w:r>
      <w:r w:rsidRPr="0042081B">
        <w:rPr>
          <w:rFonts w:ascii="Georgia" w:hAnsi="Georgia"/>
          <w:sz w:val="18"/>
          <w:szCs w:val="20"/>
        </w:rPr>
        <w:t>–</w:t>
      </w:r>
      <w:r w:rsidRPr="0042081B">
        <w:rPr>
          <w:rFonts w:ascii="Georgia" w:hAnsi="Georgia"/>
          <w:color w:val="222222"/>
          <w:sz w:val="18"/>
          <w:szCs w:val="20"/>
          <w:shd w:val="clear" w:color="auto" w:fill="FFFFFF"/>
        </w:rPr>
        <w:t>605.</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hyperlink w:tgtFrame="_new" w:history="1">
        <w:r w:rsidRPr="0042081B">
          <w:rPr>
            <w:rStyle w:val="Hyperlink"/>
            <w:rFonts w:ascii="Georgia" w:hAnsi="Georgia"/>
            <w:sz w:val="18"/>
            <w:szCs w:val="20"/>
            <w:shd w:val="clear" w:color="auto" w:fill="FFFFFF"/>
          </w:rPr>
          <w:t>https://doi.org/10.1136/jme.2010.037978</w:t>
        </w:r>
      </w:hyperlink>
    </w:p>
    <w:p w14:paraId="56EAB416"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Fan, S., Sung, H., &amp; Wang, S. (2019). The experience of advance care planning discussion among older residents in a long-term care institution: A qualitative study. </w:t>
      </w:r>
      <w:r w:rsidRPr="0042081B">
        <w:rPr>
          <w:rFonts w:ascii="Georgia" w:hAnsi="Georgia"/>
          <w:i/>
          <w:iCs/>
          <w:color w:val="222222"/>
          <w:sz w:val="18"/>
          <w:szCs w:val="20"/>
          <w:shd w:val="clear" w:color="auto" w:fill="FFFFFF"/>
        </w:rPr>
        <w:t>Journal of Clinical Nursing</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28</w:t>
      </w:r>
      <w:r w:rsidRPr="0042081B">
        <w:rPr>
          <w:rFonts w:ascii="Georgia" w:hAnsi="Georgia"/>
          <w:color w:val="222222"/>
          <w:sz w:val="18"/>
          <w:szCs w:val="20"/>
          <w:shd w:val="clear" w:color="auto" w:fill="FFFFFF"/>
        </w:rPr>
        <w:t>(19</w:t>
      </w:r>
      <w:r w:rsidRPr="0042081B">
        <w:rPr>
          <w:rFonts w:ascii="Georgia" w:hAnsi="Georgia"/>
          <w:sz w:val="18"/>
          <w:szCs w:val="20"/>
        </w:rPr>
        <w:t>–</w:t>
      </w:r>
      <w:r w:rsidRPr="0042081B">
        <w:rPr>
          <w:rFonts w:ascii="Georgia" w:hAnsi="Georgia"/>
          <w:color w:val="222222"/>
          <w:sz w:val="18"/>
          <w:szCs w:val="20"/>
          <w:shd w:val="clear" w:color="auto" w:fill="FFFFFF"/>
        </w:rPr>
        <w:t>20), 3451</w:t>
      </w:r>
      <w:r w:rsidRPr="0042081B">
        <w:rPr>
          <w:rFonts w:ascii="Georgia" w:hAnsi="Georgia"/>
          <w:sz w:val="18"/>
          <w:szCs w:val="20"/>
        </w:rPr>
        <w:t>–</w:t>
      </w:r>
      <w:r w:rsidRPr="0042081B">
        <w:rPr>
          <w:rFonts w:ascii="Georgia" w:hAnsi="Georgia"/>
          <w:color w:val="222222"/>
          <w:sz w:val="18"/>
          <w:szCs w:val="20"/>
          <w:shd w:val="clear" w:color="auto" w:fill="FFFFFF"/>
        </w:rPr>
        <w:t xml:space="preserve">3458. </w:t>
      </w:r>
    </w:p>
    <w:p w14:paraId="66D1454B" w14:textId="26BE4A95"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https://doi.org/10.1111/jocn.14936</w:t>
        </w:r>
      </w:hyperlink>
    </w:p>
    <w:p w14:paraId="055C4264" w14:textId="1870C3D6" w:rsidR="0042081B" w:rsidRPr="0042081B" w:rsidRDefault="0042081B" w:rsidP="00DF3289">
      <w:pPr>
        <w:bidi w:val="0"/>
        <w:spacing w:after="180"/>
        <w:ind w:left="397" w:hanging="397"/>
        <w:jc w:val="both"/>
        <w:rPr>
          <w:rFonts w:ascii="Georgia" w:hAnsi="Georgia"/>
          <w:color w:val="212121"/>
          <w:sz w:val="18"/>
          <w:szCs w:val="20"/>
          <w:shd w:val="clear" w:color="auto" w:fill="FFFFFF"/>
        </w:rPr>
      </w:pPr>
      <w:r w:rsidRPr="0042081B">
        <w:rPr>
          <w:rFonts w:ascii="Georgia" w:hAnsi="Georgia"/>
          <w:color w:val="222222"/>
          <w:sz w:val="18"/>
          <w:szCs w:val="20"/>
          <w:shd w:val="clear" w:color="auto" w:fill="FFFFFF"/>
        </w:rPr>
        <w:t xml:space="preserve">Fried, T. R., </w:t>
      </w:r>
      <w:r w:rsidRPr="0042081B">
        <w:rPr>
          <w:rFonts w:ascii="Georgia" w:hAnsi="Georgia"/>
          <w:color w:val="222222"/>
          <w:sz w:val="18"/>
          <w:szCs w:val="20"/>
        </w:rPr>
        <w:t xml:space="preserve">Zenoni, M., Iannone, L., O'Leary, J., &amp; Fenton, B. T. (2017). Engagement in advance care planning and surrogates’ knowledge of patients’ treatment goals. </w:t>
      </w:r>
      <w:r w:rsidRPr="0042081B">
        <w:rPr>
          <w:rFonts w:ascii="Georgia" w:hAnsi="Georgia"/>
          <w:i/>
          <w:iCs/>
          <w:color w:val="222222"/>
          <w:sz w:val="18"/>
          <w:szCs w:val="20"/>
        </w:rPr>
        <w:t>Journal of the American Geriatrics Society</w:t>
      </w:r>
      <w:r w:rsidRPr="0042081B">
        <w:rPr>
          <w:rFonts w:ascii="Georgia" w:hAnsi="Georgia"/>
          <w:color w:val="222222"/>
          <w:sz w:val="18"/>
          <w:szCs w:val="20"/>
        </w:rPr>
        <w:t xml:space="preserve">, </w:t>
      </w:r>
      <w:r w:rsidRPr="0042081B">
        <w:rPr>
          <w:rFonts w:ascii="Georgia" w:hAnsi="Georgia"/>
          <w:i/>
          <w:iCs/>
          <w:color w:val="222222"/>
          <w:sz w:val="18"/>
          <w:szCs w:val="20"/>
        </w:rPr>
        <w:t>65</w:t>
      </w:r>
      <w:r w:rsidRPr="0042081B">
        <w:rPr>
          <w:rFonts w:ascii="Georgia" w:hAnsi="Georgia"/>
          <w:color w:val="222222"/>
          <w:sz w:val="18"/>
          <w:szCs w:val="20"/>
        </w:rPr>
        <w:t xml:space="preserve">(8), </w:t>
      </w:r>
      <w:r w:rsidR="00C342DC">
        <w:rPr>
          <w:rFonts w:ascii="Georgia" w:hAnsi="Georgia"/>
          <w:color w:val="222222"/>
          <w:sz w:val="18"/>
          <w:szCs w:val="20"/>
        </w:rPr>
        <w:br/>
      </w:r>
      <w:r w:rsidRPr="0042081B">
        <w:rPr>
          <w:rFonts w:ascii="Georgia" w:hAnsi="Georgia"/>
          <w:color w:val="222222"/>
          <w:sz w:val="18"/>
          <w:szCs w:val="20"/>
        </w:rPr>
        <w:t>1712</w:t>
      </w:r>
      <w:r w:rsidRPr="0042081B">
        <w:rPr>
          <w:rFonts w:ascii="Georgia" w:hAnsi="Georgia"/>
          <w:sz w:val="18"/>
          <w:szCs w:val="20"/>
        </w:rPr>
        <w:t>–</w:t>
      </w:r>
      <w:r w:rsidRPr="0042081B">
        <w:rPr>
          <w:rFonts w:ascii="Georgia" w:hAnsi="Georgia"/>
          <w:color w:val="222222"/>
          <w:sz w:val="18"/>
          <w:szCs w:val="20"/>
        </w:rPr>
        <w:t xml:space="preserve">1718. </w:t>
      </w:r>
      <w:hyperlink w:history="1">
        <w:r w:rsidRPr="0042081B">
          <w:rPr>
            <w:rStyle w:val="Hyperlink"/>
            <w:rFonts w:ascii="Georgia" w:hAnsi="Georgia"/>
            <w:sz w:val="18"/>
            <w:szCs w:val="20"/>
            <w:shd w:val="clear" w:color="auto" w:fill="FFFFFF"/>
          </w:rPr>
          <w:t>https://doi.org/10.1111/jgs.14858</w:t>
        </w:r>
      </w:hyperlink>
    </w:p>
    <w:p w14:paraId="6EC8320E" w14:textId="77777777" w:rsidR="00DF3289" w:rsidRDefault="0042081B" w:rsidP="00262AE4">
      <w:pPr>
        <w:keepNext/>
        <w:bidi w:val="0"/>
        <w:ind w:left="397" w:hanging="397"/>
        <w:jc w:val="both"/>
        <w:rPr>
          <w:rFonts w:ascii="Georgia" w:hAnsi="Georgia"/>
          <w:color w:val="111111"/>
          <w:sz w:val="18"/>
          <w:szCs w:val="20"/>
        </w:rPr>
      </w:pPr>
      <w:r w:rsidRPr="0042081B">
        <w:rPr>
          <w:rFonts w:ascii="Georgia" w:hAnsi="Georgia"/>
          <w:color w:val="222222"/>
          <w:sz w:val="18"/>
          <w:szCs w:val="20"/>
          <w:shd w:val="clear" w:color="auto" w:fill="FFFFFF"/>
        </w:rPr>
        <w:t xml:space="preserve">Frolik L. A. (2009). Later </w:t>
      </w:r>
      <w:r w:rsidRPr="0042081B">
        <w:rPr>
          <w:rFonts w:ascii="Georgia" w:hAnsi="Georgia"/>
          <w:sz w:val="18"/>
          <w:szCs w:val="20"/>
        </w:rPr>
        <w:t xml:space="preserve">life legal planning. </w:t>
      </w:r>
      <w:r w:rsidRPr="0042081B">
        <w:rPr>
          <w:rFonts w:ascii="Georgia" w:hAnsi="Georgia"/>
          <w:color w:val="111111"/>
          <w:sz w:val="18"/>
          <w:szCs w:val="20"/>
        </w:rPr>
        <w:t xml:space="preserve">In I. Doron, (Ed.), </w:t>
      </w:r>
      <w:r w:rsidRPr="0042081B">
        <w:rPr>
          <w:rFonts w:ascii="Georgia" w:hAnsi="Georgia"/>
          <w:i/>
          <w:iCs/>
          <w:color w:val="111111"/>
          <w:sz w:val="18"/>
          <w:szCs w:val="20"/>
        </w:rPr>
        <w:t>Theories on law and ageing: The jurisprudence of elder law</w:t>
      </w:r>
      <w:r w:rsidRPr="0042081B">
        <w:rPr>
          <w:rFonts w:ascii="Georgia" w:hAnsi="Georgia"/>
          <w:b/>
          <w:bCs/>
          <w:color w:val="111111"/>
          <w:sz w:val="18"/>
          <w:szCs w:val="20"/>
        </w:rPr>
        <w:t xml:space="preserve"> </w:t>
      </w:r>
      <w:r w:rsidRPr="0042081B">
        <w:rPr>
          <w:rFonts w:ascii="Georgia" w:hAnsi="Georgia"/>
          <w:color w:val="111111"/>
          <w:sz w:val="18"/>
          <w:szCs w:val="20"/>
        </w:rPr>
        <w:t>(pp. 11</w:t>
      </w:r>
      <w:r w:rsidRPr="0042081B">
        <w:rPr>
          <w:rFonts w:ascii="Georgia" w:hAnsi="Georgia"/>
          <w:sz w:val="18"/>
          <w:szCs w:val="20"/>
        </w:rPr>
        <w:t>–</w:t>
      </w:r>
      <w:r w:rsidRPr="0042081B">
        <w:rPr>
          <w:rFonts w:ascii="Georgia" w:hAnsi="Georgia"/>
          <w:color w:val="111111"/>
          <w:sz w:val="18"/>
          <w:szCs w:val="20"/>
        </w:rPr>
        <w:t xml:space="preserve">30). Springer. </w:t>
      </w:r>
    </w:p>
    <w:p w14:paraId="3F6B9845" w14:textId="42120053" w:rsidR="0042081B" w:rsidRPr="0042081B" w:rsidRDefault="00DF3289" w:rsidP="00DF3289">
      <w:pPr>
        <w:bidi w:val="0"/>
        <w:spacing w:after="180"/>
        <w:ind w:left="397"/>
        <w:jc w:val="both"/>
        <w:rPr>
          <w:rStyle w:val="Hyperlink"/>
          <w:rFonts w:ascii="Georgia" w:hAnsi="Georgia"/>
          <w:sz w:val="18"/>
          <w:szCs w:val="20"/>
          <w:shd w:val="clear" w:color="auto" w:fill="FFFFFF"/>
          <w:rtl/>
        </w:rPr>
      </w:pPr>
      <w:hyperlink w:history="1">
        <w:r w:rsidRPr="00927D84">
          <w:rPr>
            <w:rStyle w:val="Hyperlink"/>
            <w:rFonts w:ascii="Georgia" w:hAnsi="Georgia"/>
            <w:sz w:val="18"/>
            <w:szCs w:val="20"/>
            <w:shd w:val="clear" w:color="auto" w:fill="FFFFFF"/>
          </w:rPr>
          <w:t>https://doi.org/10.1007/978-3-540-78954-3_2</w:t>
        </w:r>
      </w:hyperlink>
    </w:p>
    <w:p w14:paraId="797854E8"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Ganner, M. (2015). Enduring power of attorney (</w:t>
      </w:r>
      <w:proofErr w:type="spellStart"/>
      <w:r w:rsidRPr="0042081B">
        <w:rPr>
          <w:rFonts w:ascii="Georgia" w:hAnsi="Georgia"/>
          <w:color w:val="222222"/>
          <w:sz w:val="18"/>
          <w:szCs w:val="20"/>
          <w:shd w:val="clear" w:color="auto" w:fill="FFFFFF"/>
        </w:rPr>
        <w:t>EPoA</w:t>
      </w:r>
      <w:proofErr w:type="spellEnd"/>
      <w:r w:rsidRPr="0042081B">
        <w:rPr>
          <w:rFonts w:ascii="Georgia" w:hAnsi="Georgia"/>
          <w:color w:val="222222"/>
          <w:sz w:val="18"/>
          <w:szCs w:val="20"/>
          <w:shd w:val="clear" w:color="auto" w:fill="FFFFFF"/>
        </w:rPr>
        <w:t xml:space="preserve">): Comparison between Austrian and German law. </w:t>
      </w:r>
      <w:r w:rsidRPr="0042081B">
        <w:rPr>
          <w:rFonts w:ascii="Georgia" w:hAnsi="Georgia"/>
          <w:i/>
          <w:iCs/>
          <w:color w:val="222222"/>
          <w:sz w:val="18"/>
          <w:szCs w:val="20"/>
          <w:shd w:val="clear" w:color="auto" w:fill="FFFFFF"/>
        </w:rPr>
        <w:t>Austrian Law Journal 2015</w:t>
      </w:r>
      <w:r w:rsidRPr="0042081B">
        <w:rPr>
          <w:rFonts w:ascii="Georgia" w:hAnsi="Georgia"/>
          <w:color w:val="222222"/>
          <w:sz w:val="18"/>
          <w:szCs w:val="20"/>
          <w:shd w:val="clear" w:color="auto" w:fill="FFFFFF"/>
        </w:rPr>
        <w:t>(1), 32</w:t>
      </w:r>
      <w:r w:rsidRPr="0042081B">
        <w:rPr>
          <w:rFonts w:ascii="Georgia" w:hAnsi="Georgia"/>
          <w:sz w:val="18"/>
          <w:szCs w:val="20"/>
        </w:rPr>
        <w:t>–</w:t>
      </w:r>
      <w:r w:rsidRPr="0042081B">
        <w:rPr>
          <w:rFonts w:ascii="Georgia" w:hAnsi="Georgia"/>
          <w:color w:val="222222"/>
          <w:sz w:val="18"/>
          <w:szCs w:val="20"/>
          <w:shd w:val="clear" w:color="auto" w:fill="FFFFFF"/>
        </w:rPr>
        <w:t xml:space="preserve">41. </w:t>
      </w:r>
    </w:p>
    <w:p w14:paraId="1DBD73C6" w14:textId="28F3564E" w:rsidR="0042081B" w:rsidRPr="0042081B" w:rsidRDefault="00DF3289" w:rsidP="00DF3289">
      <w:pPr>
        <w:bidi w:val="0"/>
        <w:spacing w:after="180"/>
        <w:ind w:left="397"/>
        <w:jc w:val="both"/>
        <w:rPr>
          <w:rFonts w:ascii="Georgia" w:hAnsi="Georgia"/>
          <w:sz w:val="18"/>
          <w:szCs w:val="20"/>
          <w:rtl/>
        </w:rPr>
      </w:pPr>
      <w:hyperlink w:history="1">
        <w:r w:rsidRPr="00927D84">
          <w:rPr>
            <w:rStyle w:val="Hyperlink"/>
            <w:rFonts w:ascii="Georgia" w:hAnsi="Georgia"/>
            <w:sz w:val="18"/>
            <w:szCs w:val="20"/>
            <w:shd w:val="clear" w:color="auto" w:fill="FFFFFF"/>
          </w:rPr>
          <w:t>https://doi.org/10.25364/1.2:2015.1.3</w:t>
        </w:r>
      </w:hyperlink>
    </w:p>
    <w:p w14:paraId="080F2B34"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color w:val="222222"/>
          <w:sz w:val="18"/>
          <w:szCs w:val="20"/>
          <w:shd w:val="clear" w:color="auto" w:fill="FFFFFF"/>
        </w:rPr>
        <w:t xml:space="preserve">Glaser, </w:t>
      </w:r>
      <w:r w:rsidRPr="0042081B">
        <w:rPr>
          <w:rFonts w:ascii="Georgia" w:hAnsi="Georgia"/>
          <w:sz w:val="18"/>
          <w:szCs w:val="20"/>
        </w:rPr>
        <w:t xml:space="preserve">B. G., &amp; Strauss, A. L. (1967). </w:t>
      </w:r>
      <w:r w:rsidRPr="0042081B">
        <w:rPr>
          <w:rFonts w:ascii="Georgia" w:hAnsi="Georgia"/>
          <w:i/>
          <w:iCs/>
          <w:sz w:val="18"/>
          <w:szCs w:val="20"/>
        </w:rPr>
        <w:t>The discovery of grounded theory: Strategies for qualitative research.</w:t>
      </w:r>
      <w:r w:rsidRPr="0042081B">
        <w:rPr>
          <w:rFonts w:ascii="Georgia" w:hAnsi="Georgia"/>
          <w:sz w:val="18"/>
          <w:szCs w:val="20"/>
        </w:rPr>
        <w:t xml:space="preserve"> Aldine Pub. </w:t>
      </w:r>
    </w:p>
    <w:p w14:paraId="48F92D2D" w14:textId="6F9D2F6D" w:rsidR="0042081B" w:rsidRPr="0042081B" w:rsidRDefault="0042081B" w:rsidP="00C342DC">
      <w:pPr>
        <w:keepNext/>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Grace Yi, E. H. (2019). Does acculturation matter? End-of-life care planning and preference of foreign-born older immigrants in the United States.</w:t>
      </w:r>
      <w:r w:rsidR="00DF3289">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Innovation in Aging</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w:t>
      </w:r>
      <w:r w:rsidRPr="0042081B">
        <w:rPr>
          <w:rFonts w:ascii="Georgia" w:hAnsi="Georgia"/>
          <w:color w:val="222222"/>
          <w:sz w:val="18"/>
          <w:szCs w:val="20"/>
          <w:shd w:val="clear" w:color="auto" w:fill="FFFFFF"/>
        </w:rPr>
        <w:t xml:space="preserve">(2), N. PAG. </w:t>
      </w:r>
      <w:hyperlink w:history="1">
        <w:r w:rsidRPr="0042081B">
          <w:rPr>
            <w:rStyle w:val="Hyperlink"/>
            <w:rFonts w:ascii="Georgia" w:hAnsi="Georgia"/>
            <w:sz w:val="18"/>
            <w:szCs w:val="20"/>
            <w:shd w:val="clear" w:color="auto" w:fill="FFFFFF"/>
          </w:rPr>
          <w:t>https://doi.org/10.1093/geroni/igz012</w:t>
        </w:r>
      </w:hyperlink>
    </w:p>
    <w:p w14:paraId="6C894207"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Halperin, D. (2015). Intergenerational relations: The views of older Jews and Arabs. </w:t>
      </w:r>
      <w:r w:rsidRPr="0042081B">
        <w:rPr>
          <w:rFonts w:ascii="Georgia" w:hAnsi="Georgia"/>
          <w:i/>
          <w:iCs/>
          <w:color w:val="222222"/>
          <w:sz w:val="18"/>
          <w:szCs w:val="20"/>
          <w:shd w:val="clear" w:color="auto" w:fill="FFFFFF"/>
        </w:rPr>
        <w:t>Journal of Intergenerational Relationships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13</w:t>
      </w:r>
      <w:r w:rsidRPr="0042081B">
        <w:rPr>
          <w:rFonts w:ascii="Georgia" w:hAnsi="Georgia"/>
          <w:color w:val="222222"/>
          <w:sz w:val="18"/>
          <w:szCs w:val="20"/>
          <w:shd w:val="clear" w:color="auto" w:fill="FFFFFF"/>
        </w:rPr>
        <w:t>(1), 51–74.</w:t>
      </w:r>
    </w:p>
    <w:p w14:paraId="1A46F589" w14:textId="5C8CAD54"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https://doi.org/10.1080/15350770.2015.992853</w:t>
        </w:r>
      </w:hyperlink>
    </w:p>
    <w:p w14:paraId="2F46489C"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Harvey, S. V., </w:t>
      </w:r>
      <w:proofErr w:type="spellStart"/>
      <w:r w:rsidRPr="0042081B">
        <w:rPr>
          <w:rFonts w:ascii="Georgia" w:hAnsi="Georgia"/>
          <w:color w:val="222222"/>
          <w:sz w:val="18"/>
          <w:szCs w:val="20"/>
          <w:shd w:val="clear" w:color="auto" w:fill="FFFFFF"/>
        </w:rPr>
        <w:t>Adenwala</w:t>
      </w:r>
      <w:proofErr w:type="spellEnd"/>
      <w:r w:rsidRPr="0042081B">
        <w:rPr>
          <w:rFonts w:ascii="Georgia" w:hAnsi="Georgia"/>
          <w:color w:val="222222"/>
          <w:sz w:val="18"/>
          <w:szCs w:val="20"/>
          <w:shd w:val="clear" w:color="auto" w:fill="FFFFFF"/>
        </w:rPr>
        <w:t xml:space="preserve">, A. Y., &amp; Lane-Fall, M. B. (2021). Defining familial interactions and networks: an exploratory qualitative study on family networks and surrogate decision-making. </w:t>
      </w:r>
      <w:r w:rsidRPr="0042081B">
        <w:rPr>
          <w:rFonts w:ascii="Georgia" w:hAnsi="Georgia"/>
          <w:i/>
          <w:iCs/>
          <w:color w:val="222222"/>
          <w:sz w:val="18"/>
          <w:szCs w:val="20"/>
          <w:shd w:val="clear" w:color="auto" w:fill="FFFFFF"/>
        </w:rPr>
        <w:t>Critical Care Explorations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w:t>
      </w:r>
      <w:r w:rsidRPr="0042081B">
        <w:rPr>
          <w:rFonts w:ascii="Georgia" w:hAnsi="Georgia"/>
          <w:color w:val="222222"/>
          <w:sz w:val="18"/>
          <w:szCs w:val="20"/>
          <w:shd w:val="clear" w:color="auto" w:fill="FFFFFF"/>
        </w:rPr>
        <w:t xml:space="preserve">(8), E0504. </w:t>
      </w:r>
      <w:hyperlink w:history="1">
        <w:r w:rsidRPr="0042081B">
          <w:rPr>
            <w:rStyle w:val="Hyperlink"/>
            <w:rFonts w:ascii="Georgia" w:hAnsi="Georgia"/>
            <w:sz w:val="18"/>
            <w:szCs w:val="20"/>
            <w:shd w:val="clear" w:color="auto" w:fill="FFFFFF"/>
          </w:rPr>
          <w:t>https://doi.org/10.1097/CCE.0000000000000504</w:t>
        </w:r>
      </w:hyperlink>
    </w:p>
    <w:p w14:paraId="365C5939" w14:textId="1AC0C958"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 xml:space="preserve">High, D. M. (1988). All in the family: Extended autonomy and expectations in surrogate health care decision-making. </w:t>
      </w:r>
      <w:r w:rsidRPr="0042081B">
        <w:rPr>
          <w:rFonts w:ascii="Georgia" w:hAnsi="Georgia"/>
          <w:i/>
          <w:iCs/>
          <w:color w:val="222222"/>
          <w:sz w:val="18"/>
          <w:szCs w:val="20"/>
          <w:shd w:val="clear" w:color="auto" w:fill="FFFFFF"/>
        </w:rPr>
        <w:t>The Gerontologist</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28</w:t>
      </w:r>
      <w:r w:rsidRPr="0042081B">
        <w:rPr>
          <w:rFonts w:ascii="Georgia" w:hAnsi="Georgia"/>
          <w:color w:val="222222"/>
          <w:sz w:val="18"/>
          <w:szCs w:val="20"/>
          <w:shd w:val="clear" w:color="auto" w:fill="FFFFFF"/>
        </w:rPr>
        <w:t xml:space="preserve">(Suppl), </w:t>
      </w:r>
      <w:r w:rsidR="00DF3289">
        <w:rPr>
          <w:rFonts w:ascii="Georgia" w:hAnsi="Georgia"/>
          <w:color w:val="222222"/>
          <w:sz w:val="18"/>
          <w:szCs w:val="20"/>
          <w:shd w:val="clear" w:color="auto" w:fill="FFFFFF"/>
        </w:rPr>
        <w:br/>
      </w:r>
      <w:r w:rsidRPr="0042081B">
        <w:rPr>
          <w:rFonts w:ascii="Georgia" w:hAnsi="Georgia"/>
          <w:color w:val="222222"/>
          <w:sz w:val="18"/>
          <w:szCs w:val="20"/>
          <w:shd w:val="clear" w:color="auto" w:fill="FFFFFF"/>
        </w:rPr>
        <w:t>46</w:t>
      </w:r>
      <w:r w:rsidRPr="0042081B">
        <w:rPr>
          <w:rFonts w:ascii="Georgia" w:hAnsi="Georgia"/>
          <w:sz w:val="18"/>
          <w:szCs w:val="20"/>
        </w:rPr>
        <w:t>–</w:t>
      </w:r>
      <w:r w:rsidRPr="0042081B">
        <w:rPr>
          <w:rFonts w:ascii="Georgia" w:hAnsi="Georgia"/>
          <w:color w:val="222222"/>
          <w:sz w:val="18"/>
          <w:szCs w:val="20"/>
          <w:shd w:val="clear" w:color="auto" w:fill="FFFFFF"/>
        </w:rPr>
        <w:t>51.</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hyperlink w:history="1">
        <w:r w:rsidRPr="0042081B">
          <w:rPr>
            <w:rStyle w:val="Hyperlink"/>
            <w:rFonts w:ascii="Georgia" w:hAnsi="Georgia"/>
            <w:sz w:val="18"/>
            <w:szCs w:val="20"/>
            <w:shd w:val="clear" w:color="auto" w:fill="FFFFFF"/>
          </w:rPr>
          <w:t>https://doi.org/10.1093/geront/28.Suppl.46</w:t>
        </w:r>
      </w:hyperlink>
    </w:p>
    <w:p w14:paraId="17D4D0C5"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High, D. M. (1990). Who will make health care decisions for me when I can’t? </w:t>
      </w:r>
      <w:r w:rsidRPr="0042081B">
        <w:rPr>
          <w:rFonts w:ascii="Georgia" w:hAnsi="Georgia"/>
          <w:i/>
          <w:iCs/>
          <w:color w:val="222222"/>
          <w:sz w:val="18"/>
          <w:szCs w:val="20"/>
          <w:shd w:val="clear" w:color="auto" w:fill="FFFFFF"/>
        </w:rPr>
        <w:t>Journal of Aging and Health</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2</w:t>
      </w:r>
      <w:r w:rsidRPr="0042081B">
        <w:rPr>
          <w:rFonts w:ascii="Georgia" w:hAnsi="Georgia"/>
          <w:color w:val="222222"/>
          <w:sz w:val="18"/>
          <w:szCs w:val="20"/>
          <w:shd w:val="clear" w:color="auto" w:fill="FFFFFF"/>
        </w:rPr>
        <w:t>(3), 291</w:t>
      </w:r>
      <w:r w:rsidRPr="0042081B">
        <w:rPr>
          <w:rFonts w:ascii="Georgia" w:hAnsi="Georgia"/>
          <w:sz w:val="18"/>
          <w:szCs w:val="20"/>
        </w:rPr>
        <w:t>–</w:t>
      </w:r>
      <w:r w:rsidRPr="0042081B">
        <w:rPr>
          <w:rFonts w:ascii="Georgia" w:hAnsi="Georgia"/>
          <w:color w:val="222222"/>
          <w:sz w:val="18"/>
          <w:szCs w:val="20"/>
          <w:shd w:val="clear" w:color="auto" w:fill="FFFFFF"/>
        </w:rPr>
        <w:t xml:space="preserve">309. </w:t>
      </w:r>
    </w:p>
    <w:p w14:paraId="0FD79D4D" w14:textId="1AD467C3"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https://doi.org/10.1177/089826439000200301</w:t>
        </w:r>
      </w:hyperlink>
    </w:p>
    <w:p w14:paraId="2ADD4ABC" w14:textId="77777777"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lastRenderedPageBreak/>
        <w:t xml:space="preserve">High, D. M., &amp; Turner, H. B. (1987). Surrogate decision-making: The elderly’s familial expectations. </w:t>
      </w:r>
      <w:r w:rsidRPr="0042081B">
        <w:rPr>
          <w:rFonts w:ascii="Georgia" w:hAnsi="Georgia"/>
          <w:i/>
          <w:iCs/>
          <w:color w:val="222222"/>
          <w:sz w:val="18"/>
          <w:szCs w:val="20"/>
          <w:shd w:val="clear" w:color="auto" w:fill="FFFFFF"/>
        </w:rPr>
        <w:t>Theoretical Medicine</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8</w:t>
      </w:r>
      <w:r w:rsidRPr="0042081B">
        <w:rPr>
          <w:rFonts w:ascii="Georgia" w:hAnsi="Georgia"/>
          <w:color w:val="222222"/>
          <w:sz w:val="18"/>
          <w:szCs w:val="20"/>
          <w:shd w:val="clear" w:color="auto" w:fill="FFFFFF"/>
        </w:rPr>
        <w:t>, 303</w:t>
      </w:r>
      <w:r w:rsidRPr="0042081B">
        <w:rPr>
          <w:rFonts w:ascii="Georgia" w:hAnsi="Georgia"/>
          <w:sz w:val="18"/>
          <w:szCs w:val="20"/>
        </w:rPr>
        <w:t>–</w:t>
      </w:r>
      <w:r w:rsidRPr="0042081B">
        <w:rPr>
          <w:rFonts w:ascii="Georgia" w:hAnsi="Georgia"/>
          <w:color w:val="222222"/>
          <w:sz w:val="18"/>
          <w:szCs w:val="20"/>
          <w:shd w:val="clear" w:color="auto" w:fill="FFFFFF"/>
        </w:rPr>
        <w:t xml:space="preserve">320. </w:t>
      </w:r>
    </w:p>
    <w:p w14:paraId="5DBA5249" w14:textId="0E0F4F72"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shd w:val="clear" w:color="auto" w:fill="FFFFFF"/>
          </w:rPr>
          <w:t>https://doi.org/10.1007/BF00489466</w:t>
        </w:r>
      </w:hyperlink>
    </w:p>
    <w:p w14:paraId="4FF3A704"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High, D. M., &amp; Turner, H. B. (2021). Advance directives, surrogate health care and decision making and older families. In C. J. Rosenthal &amp; J. Hendricks (Eds.), </w:t>
      </w:r>
      <w:r w:rsidRPr="0042081B">
        <w:rPr>
          <w:rFonts w:ascii="Georgia" w:hAnsi="Georgia"/>
          <w:i/>
          <w:iCs/>
          <w:color w:val="222222"/>
          <w:sz w:val="18"/>
          <w:szCs w:val="20"/>
          <w:shd w:val="clear" w:color="auto" w:fill="FFFFFF"/>
        </w:rPr>
        <w:t>Remainder of their days: Domestic policy &amp; older families in the United States &amp; Canada</w:t>
      </w:r>
      <w:r w:rsidRPr="0042081B">
        <w:rPr>
          <w:rFonts w:ascii="Georgia" w:hAnsi="Georgia"/>
          <w:color w:val="222222"/>
          <w:sz w:val="18"/>
          <w:szCs w:val="20"/>
          <w:shd w:val="clear" w:color="auto" w:fill="FFFFFF"/>
        </w:rPr>
        <w:t xml:space="preserve"> (pp. 75</w:t>
      </w:r>
      <w:r w:rsidRPr="0042081B">
        <w:rPr>
          <w:rFonts w:ascii="Georgia" w:hAnsi="Georgia"/>
          <w:sz w:val="18"/>
          <w:szCs w:val="20"/>
        </w:rPr>
        <w:t>–</w:t>
      </w:r>
      <w:r w:rsidRPr="0042081B">
        <w:rPr>
          <w:rFonts w:ascii="Georgia" w:hAnsi="Georgia"/>
          <w:color w:val="222222"/>
          <w:sz w:val="18"/>
          <w:szCs w:val="20"/>
          <w:shd w:val="clear" w:color="auto" w:fill="FFFFFF"/>
        </w:rPr>
        <w:t xml:space="preserve">104). Routledge. </w:t>
      </w:r>
    </w:p>
    <w:p w14:paraId="02AB4FA3" w14:textId="4F52ECEC" w:rsidR="00DF3289" w:rsidRDefault="0042081B" w:rsidP="00262AE4">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Hopp, F. P. (2000). Preferences for surrogate decision makers, informal communication, and advance directives among community-dwelling elders: Results from a national study.</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The Gerontologist</w:t>
      </w:r>
      <w:r w:rsidRPr="0042081B">
        <w:rPr>
          <w:rFonts w:ascii="Georgia" w:hAnsi="Georgia"/>
          <w:color w:val="222222"/>
          <w:sz w:val="18"/>
          <w:szCs w:val="20"/>
          <w:shd w:val="clear" w:color="auto" w:fill="FFFFFF"/>
        </w:rPr>
        <w:t>,</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40</w:t>
      </w:r>
      <w:r w:rsidRPr="0042081B">
        <w:rPr>
          <w:rFonts w:ascii="Georgia" w:hAnsi="Georgia"/>
          <w:color w:val="222222"/>
          <w:sz w:val="18"/>
          <w:szCs w:val="20"/>
          <w:shd w:val="clear" w:color="auto" w:fill="FFFFFF"/>
        </w:rPr>
        <w:t>(4), 449</w:t>
      </w:r>
      <w:r w:rsidRPr="0042081B">
        <w:rPr>
          <w:rFonts w:ascii="Georgia" w:hAnsi="Georgia"/>
          <w:sz w:val="18"/>
          <w:szCs w:val="20"/>
        </w:rPr>
        <w:t>–</w:t>
      </w:r>
      <w:r w:rsidRPr="0042081B">
        <w:rPr>
          <w:rFonts w:ascii="Georgia" w:hAnsi="Georgia"/>
          <w:color w:val="222222"/>
          <w:sz w:val="18"/>
          <w:szCs w:val="20"/>
          <w:shd w:val="clear" w:color="auto" w:fill="FFFFFF"/>
        </w:rPr>
        <w:t>457.</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p>
    <w:p w14:paraId="515B1EE4" w14:textId="6AE082C8"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rPr>
          <w:t>https://doi.org/10.1093/geront/40.4.449</w:t>
        </w:r>
      </w:hyperlink>
    </w:p>
    <w:p w14:paraId="70B7CC0E" w14:textId="77777777" w:rsidR="00DF3289" w:rsidRDefault="0042081B" w:rsidP="002C041F">
      <w:pPr>
        <w:keepNext/>
        <w:bidi w:val="0"/>
        <w:ind w:left="397" w:hanging="397"/>
        <w:jc w:val="both"/>
        <w:rPr>
          <w:rFonts w:ascii="Georgia" w:hAnsi="Georgia"/>
          <w:color w:val="222222"/>
          <w:sz w:val="18"/>
          <w:szCs w:val="20"/>
          <w:shd w:val="clear" w:color="auto" w:fill="FFFFFF"/>
        </w:rPr>
      </w:pPr>
      <w:proofErr w:type="spellStart"/>
      <w:r w:rsidRPr="0042081B">
        <w:rPr>
          <w:rFonts w:ascii="Georgia" w:hAnsi="Georgia"/>
          <w:color w:val="222222"/>
          <w:sz w:val="18"/>
          <w:szCs w:val="20"/>
          <w:shd w:val="clear" w:color="auto" w:fill="FFFFFF"/>
        </w:rPr>
        <w:t>Jardas</w:t>
      </w:r>
      <w:proofErr w:type="spellEnd"/>
      <w:r w:rsidRPr="0042081B">
        <w:rPr>
          <w:rFonts w:ascii="Georgia" w:hAnsi="Georgia"/>
          <w:color w:val="222222"/>
          <w:sz w:val="18"/>
          <w:szCs w:val="20"/>
          <w:shd w:val="clear" w:color="auto" w:fill="FFFFFF"/>
        </w:rPr>
        <w:t xml:space="preserve">, E. J., Wesley, R., Pavlick, M., Wendler, D., &amp; Rid, A. (2022). Patients’ priorities for surrogate decision-making: Possible influence of misinformed beliefs. </w:t>
      </w:r>
      <w:r w:rsidRPr="0042081B">
        <w:rPr>
          <w:rFonts w:ascii="Georgia" w:hAnsi="Georgia"/>
          <w:i/>
          <w:iCs/>
          <w:color w:val="222222"/>
          <w:sz w:val="18"/>
          <w:szCs w:val="20"/>
          <w:shd w:val="clear" w:color="auto" w:fill="FFFFFF"/>
        </w:rPr>
        <w:t>AJOB Empirical Bioethics</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13</w:t>
      </w:r>
      <w:r w:rsidRPr="0042081B">
        <w:rPr>
          <w:rFonts w:ascii="Georgia" w:hAnsi="Georgia"/>
          <w:color w:val="222222"/>
          <w:sz w:val="18"/>
          <w:szCs w:val="20"/>
          <w:shd w:val="clear" w:color="auto" w:fill="FFFFFF"/>
        </w:rPr>
        <w:t>(3), 137</w:t>
      </w:r>
      <w:r w:rsidRPr="0042081B">
        <w:rPr>
          <w:rFonts w:ascii="Georgia" w:hAnsi="Georgia"/>
          <w:sz w:val="18"/>
          <w:szCs w:val="20"/>
        </w:rPr>
        <w:t>–</w:t>
      </w:r>
      <w:r w:rsidRPr="0042081B">
        <w:rPr>
          <w:rFonts w:ascii="Georgia" w:hAnsi="Georgia"/>
          <w:color w:val="222222"/>
          <w:sz w:val="18"/>
          <w:szCs w:val="20"/>
          <w:shd w:val="clear" w:color="auto" w:fill="FFFFFF"/>
        </w:rPr>
        <w:t>151.</w:t>
      </w:r>
      <w:r w:rsidRPr="0042081B">
        <w:rPr>
          <w:rFonts w:ascii="Georgia" w:hAnsi="Georgia"/>
          <w:color w:val="222222"/>
          <w:sz w:val="18"/>
          <w:szCs w:val="20"/>
          <w:shd w:val="clear" w:color="auto" w:fill="FFFFFF"/>
          <w:rtl/>
        </w:rPr>
        <w:t>‏</w:t>
      </w:r>
      <w:r w:rsidRPr="0042081B">
        <w:rPr>
          <w:rFonts w:ascii="Georgia" w:hAnsi="Georgia"/>
          <w:color w:val="222222"/>
          <w:sz w:val="18"/>
          <w:szCs w:val="20"/>
          <w:shd w:val="clear" w:color="auto" w:fill="FFFFFF"/>
        </w:rPr>
        <w:t xml:space="preserve"> </w:t>
      </w:r>
    </w:p>
    <w:p w14:paraId="2FBCF3E2" w14:textId="49A45626" w:rsidR="0042081B" w:rsidRPr="0042081B" w:rsidRDefault="00DF3289" w:rsidP="00DF3289">
      <w:pPr>
        <w:bidi w:val="0"/>
        <w:spacing w:after="180"/>
        <w:ind w:left="397"/>
        <w:jc w:val="both"/>
        <w:rPr>
          <w:rFonts w:ascii="Georgia" w:hAnsi="Georgia"/>
          <w:color w:val="333333"/>
          <w:sz w:val="18"/>
          <w:szCs w:val="20"/>
        </w:rPr>
      </w:pPr>
      <w:hyperlink w:history="1">
        <w:r w:rsidRPr="00927D84">
          <w:rPr>
            <w:rStyle w:val="Hyperlink"/>
            <w:rFonts w:ascii="Georgia" w:hAnsi="Georgia"/>
            <w:sz w:val="18"/>
            <w:szCs w:val="20"/>
          </w:rPr>
          <w:t>https://doi.org/10.1080/23294515.2021.1983665</w:t>
        </w:r>
      </w:hyperlink>
    </w:p>
    <w:p w14:paraId="7EE503E2" w14:textId="5B3EC6CD" w:rsidR="0042081B" w:rsidRPr="0042081B" w:rsidRDefault="0042081B" w:rsidP="00DF3289">
      <w:pPr>
        <w:bidi w:val="0"/>
        <w:spacing w:after="180"/>
        <w:ind w:left="397" w:hanging="397"/>
        <w:jc w:val="both"/>
        <w:rPr>
          <w:rStyle w:val="Hyperlink"/>
          <w:rFonts w:ascii="Georgia" w:hAnsi="Georgia"/>
          <w:sz w:val="18"/>
          <w:szCs w:val="20"/>
        </w:rPr>
      </w:pPr>
      <w:r w:rsidRPr="0042081B">
        <w:rPr>
          <w:rFonts w:ascii="Georgia" w:hAnsi="Georgia"/>
          <w:color w:val="111111"/>
          <w:sz w:val="18"/>
          <w:szCs w:val="20"/>
        </w:rPr>
        <w:t>Kelly, B., Rid, A., &amp; Wendler, D. (2012). Systematic review: individuals</w:t>
      </w:r>
      <w:r w:rsidRPr="0042081B">
        <w:rPr>
          <w:rFonts w:ascii="Georgia" w:hAnsi="Georgia"/>
          <w:color w:val="222222"/>
          <w:sz w:val="18"/>
          <w:szCs w:val="20"/>
          <w:shd w:val="clear" w:color="auto" w:fill="FFFFFF"/>
        </w:rPr>
        <w:t>’</w:t>
      </w:r>
      <w:r w:rsidRPr="0042081B">
        <w:rPr>
          <w:rFonts w:ascii="Georgia" w:hAnsi="Georgia"/>
          <w:color w:val="111111"/>
          <w:sz w:val="18"/>
          <w:szCs w:val="20"/>
        </w:rPr>
        <w:t xml:space="preserve"> goals for surrogate decision</w:t>
      </w:r>
      <w:r w:rsidRPr="0042081B">
        <w:rPr>
          <w:rFonts w:ascii="Cambria Math" w:hAnsi="Cambria Math" w:cs="Cambria Math"/>
          <w:color w:val="111111"/>
          <w:sz w:val="18"/>
          <w:szCs w:val="20"/>
        </w:rPr>
        <w:t>‐</w:t>
      </w:r>
      <w:r w:rsidRPr="0042081B">
        <w:rPr>
          <w:rFonts w:ascii="Georgia" w:hAnsi="Georgia"/>
          <w:color w:val="111111"/>
          <w:sz w:val="18"/>
          <w:szCs w:val="20"/>
        </w:rPr>
        <w:t xml:space="preserve">making. </w:t>
      </w:r>
      <w:r w:rsidRPr="0042081B">
        <w:rPr>
          <w:rFonts w:ascii="Georgia" w:hAnsi="Georgia"/>
          <w:i/>
          <w:iCs/>
          <w:color w:val="111111"/>
          <w:sz w:val="18"/>
          <w:szCs w:val="20"/>
        </w:rPr>
        <w:t>Journal of the American Geriatrics Society</w:t>
      </w:r>
      <w:r w:rsidRPr="0042081B">
        <w:rPr>
          <w:rFonts w:ascii="Georgia" w:hAnsi="Georgia"/>
          <w:color w:val="111111"/>
          <w:sz w:val="18"/>
          <w:szCs w:val="20"/>
        </w:rPr>
        <w:t>,</w:t>
      </w:r>
      <w:r w:rsidRPr="0042081B">
        <w:rPr>
          <w:rFonts w:ascii="Georgia" w:hAnsi="Georgia"/>
          <w:i/>
          <w:iCs/>
          <w:color w:val="111111"/>
          <w:sz w:val="18"/>
          <w:szCs w:val="20"/>
        </w:rPr>
        <w:t xml:space="preserve"> 60</w:t>
      </w:r>
      <w:r w:rsidRPr="0042081B">
        <w:rPr>
          <w:rFonts w:ascii="Georgia" w:hAnsi="Georgia"/>
          <w:color w:val="111111"/>
          <w:sz w:val="18"/>
          <w:szCs w:val="20"/>
        </w:rPr>
        <w:t>(5), 884</w:t>
      </w:r>
      <w:r w:rsidRPr="0042081B">
        <w:rPr>
          <w:rFonts w:ascii="Georgia" w:hAnsi="Georgia"/>
          <w:sz w:val="18"/>
          <w:szCs w:val="20"/>
        </w:rPr>
        <w:t>–</w:t>
      </w:r>
      <w:r w:rsidRPr="0042081B">
        <w:rPr>
          <w:rFonts w:ascii="Georgia" w:hAnsi="Georgia"/>
          <w:color w:val="111111"/>
          <w:sz w:val="18"/>
          <w:szCs w:val="20"/>
        </w:rPr>
        <w:t>895.</w:t>
      </w:r>
      <w:r w:rsidRPr="0042081B">
        <w:rPr>
          <w:rFonts w:ascii="Georgia" w:hAnsi="Georgia"/>
          <w:color w:val="111111"/>
          <w:sz w:val="18"/>
          <w:szCs w:val="20"/>
          <w:rtl/>
        </w:rPr>
        <w:t>‏</w:t>
      </w:r>
      <w:r w:rsidRPr="0042081B">
        <w:rPr>
          <w:rFonts w:ascii="Georgia" w:hAnsi="Georgia"/>
          <w:color w:val="111111"/>
          <w:sz w:val="18"/>
          <w:szCs w:val="20"/>
        </w:rPr>
        <w:t xml:space="preserve"> </w:t>
      </w:r>
      <w:hyperlink w:history="1">
        <w:r w:rsidRPr="0042081B">
          <w:rPr>
            <w:rStyle w:val="Hyperlink"/>
            <w:rFonts w:ascii="Georgia" w:hAnsi="Georgia"/>
            <w:sz w:val="18"/>
            <w:szCs w:val="20"/>
          </w:rPr>
          <w:t>https://doi.org/10.1111/j.1532-5415.2012.03937.x</w:t>
        </w:r>
      </w:hyperlink>
    </w:p>
    <w:p w14:paraId="29C53B14" w14:textId="77777777" w:rsidR="00DF3289" w:rsidRDefault="0042081B" w:rsidP="002C041F">
      <w:pPr>
        <w:keepNext/>
        <w:bidi w:val="0"/>
        <w:ind w:left="397" w:hanging="397"/>
        <w:jc w:val="both"/>
        <w:rPr>
          <w:rFonts w:ascii="Georgia" w:hAnsi="Georgia"/>
          <w:color w:val="111111"/>
          <w:sz w:val="18"/>
          <w:szCs w:val="20"/>
        </w:rPr>
      </w:pPr>
      <w:r w:rsidRPr="0042081B">
        <w:rPr>
          <w:rFonts w:ascii="Georgia" w:hAnsi="Georgia"/>
          <w:color w:val="111111"/>
          <w:sz w:val="18"/>
          <w:szCs w:val="20"/>
        </w:rPr>
        <w:t xml:space="preserve">Ketterer, B., &amp; Arnold, R. (2019). How to help a patient choose a surrogate decision maker #378. </w:t>
      </w:r>
      <w:r w:rsidRPr="0042081B">
        <w:rPr>
          <w:rFonts w:ascii="Georgia" w:hAnsi="Georgia"/>
          <w:i/>
          <w:iCs/>
          <w:color w:val="111111"/>
          <w:sz w:val="18"/>
          <w:szCs w:val="20"/>
        </w:rPr>
        <w:t>Journal of Palliative Medicine</w:t>
      </w:r>
      <w:r w:rsidRPr="0042081B">
        <w:rPr>
          <w:rFonts w:ascii="Georgia" w:hAnsi="Georgia"/>
          <w:color w:val="111111"/>
          <w:sz w:val="18"/>
          <w:szCs w:val="20"/>
        </w:rPr>
        <w:t xml:space="preserve">, </w:t>
      </w:r>
      <w:r w:rsidRPr="0042081B">
        <w:rPr>
          <w:rFonts w:ascii="Georgia" w:hAnsi="Georgia"/>
          <w:i/>
          <w:iCs/>
          <w:color w:val="111111"/>
          <w:sz w:val="18"/>
          <w:szCs w:val="20"/>
        </w:rPr>
        <w:t>22</w:t>
      </w:r>
      <w:r w:rsidRPr="0042081B">
        <w:rPr>
          <w:rFonts w:ascii="Georgia" w:hAnsi="Georgia"/>
          <w:color w:val="111111"/>
          <w:sz w:val="18"/>
          <w:szCs w:val="20"/>
        </w:rPr>
        <w:t xml:space="preserve">(9), 1162–1163. </w:t>
      </w:r>
    </w:p>
    <w:p w14:paraId="32D2ECB0" w14:textId="45E2CB20" w:rsidR="0042081B" w:rsidRPr="0042081B" w:rsidRDefault="00DF3289" w:rsidP="00DF3289">
      <w:pPr>
        <w:bidi w:val="0"/>
        <w:spacing w:after="180"/>
        <w:ind w:left="397"/>
        <w:jc w:val="both"/>
        <w:rPr>
          <w:rFonts w:ascii="Georgia" w:hAnsi="Georgia"/>
          <w:color w:val="111111"/>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10.1089/jpm.2019.0264</w:t>
        </w:r>
      </w:hyperlink>
    </w:p>
    <w:p w14:paraId="60CEF1E1" w14:textId="77777777" w:rsidR="0042081B" w:rsidRPr="0042081B" w:rsidRDefault="0042081B" w:rsidP="00DF3289">
      <w:pPr>
        <w:bidi w:val="0"/>
        <w:spacing w:after="180"/>
        <w:ind w:left="397" w:hanging="397"/>
        <w:jc w:val="both"/>
        <w:rPr>
          <w:rFonts w:ascii="Georgia" w:hAnsi="Georgia"/>
          <w:color w:val="111111"/>
          <w:sz w:val="18"/>
          <w:szCs w:val="20"/>
        </w:rPr>
      </w:pPr>
      <w:r w:rsidRPr="0042081B">
        <w:rPr>
          <w:rFonts w:ascii="Georgia" w:hAnsi="Georgia"/>
          <w:color w:val="111111"/>
          <w:sz w:val="18"/>
          <w:szCs w:val="20"/>
        </w:rPr>
        <w:t xml:space="preserve">Kim, K., Hong, M., &amp; Buckley, T. (2020). Family caregiving situations and engagement in advance care planning. </w:t>
      </w:r>
      <w:r w:rsidRPr="0042081B">
        <w:rPr>
          <w:rFonts w:ascii="Georgia" w:hAnsi="Georgia"/>
          <w:i/>
          <w:iCs/>
          <w:color w:val="111111"/>
          <w:sz w:val="18"/>
          <w:szCs w:val="20"/>
        </w:rPr>
        <w:t>Journal of Palliative Medicine</w:t>
      </w:r>
      <w:r w:rsidRPr="0042081B">
        <w:rPr>
          <w:rFonts w:ascii="Georgia" w:hAnsi="Georgia"/>
          <w:color w:val="111111"/>
          <w:sz w:val="18"/>
          <w:szCs w:val="20"/>
        </w:rPr>
        <w:t>,</w:t>
      </w:r>
      <w:r w:rsidRPr="0042081B">
        <w:rPr>
          <w:rFonts w:ascii="Georgia" w:hAnsi="Georgia"/>
          <w:i/>
          <w:iCs/>
          <w:color w:val="111111"/>
          <w:sz w:val="18"/>
          <w:szCs w:val="20"/>
        </w:rPr>
        <w:t xml:space="preserve"> 23</w:t>
      </w:r>
      <w:r w:rsidRPr="0042081B">
        <w:rPr>
          <w:rFonts w:ascii="Georgia" w:hAnsi="Georgia"/>
          <w:color w:val="111111"/>
          <w:sz w:val="18"/>
          <w:szCs w:val="20"/>
        </w:rPr>
        <w:t xml:space="preserve">(1), 125–128. </w:t>
      </w:r>
      <w:hyperlink w:history="1">
        <w:r w:rsidRPr="0042081B">
          <w:rPr>
            <w:rStyle w:val="Hyperlink"/>
            <w:rFonts w:ascii="Georgia" w:hAnsi="Georgia"/>
            <w:sz w:val="18"/>
            <w:szCs w:val="20"/>
            <w:shd w:val="clear" w:color="auto" w:fill="FFFFFF"/>
          </w:rPr>
          <w:t>https://doi.org/</w:t>
        </w:r>
        <w:r w:rsidRPr="0042081B">
          <w:rPr>
            <w:rStyle w:val="Hyperlink"/>
            <w:rFonts w:ascii="Georgia" w:hAnsi="Georgia"/>
            <w:sz w:val="18"/>
            <w:szCs w:val="20"/>
          </w:rPr>
          <w:t>10.1089/jpm.2019.0091</w:t>
        </w:r>
      </w:hyperlink>
    </w:p>
    <w:p w14:paraId="1890CAB5" w14:textId="77777777" w:rsidR="00DF3289" w:rsidRDefault="0042081B" w:rsidP="002C041F">
      <w:pPr>
        <w:keepNext/>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 J., Zhang, Y., </w:t>
      </w:r>
      <w:proofErr w:type="spellStart"/>
      <w:r w:rsidRPr="0042081B">
        <w:rPr>
          <w:rFonts w:ascii="Georgia" w:hAnsi="Georgia"/>
          <w:color w:val="222222"/>
          <w:sz w:val="18"/>
          <w:szCs w:val="20"/>
          <w:shd w:val="clear" w:color="auto" w:fill="FFFFFF"/>
        </w:rPr>
        <w:t>Prigerson</w:t>
      </w:r>
      <w:proofErr w:type="spellEnd"/>
      <w:r w:rsidRPr="0042081B">
        <w:rPr>
          <w:rFonts w:ascii="Georgia" w:hAnsi="Georgia"/>
          <w:color w:val="222222"/>
          <w:sz w:val="18"/>
          <w:szCs w:val="20"/>
          <w:shd w:val="clear" w:color="auto" w:fill="FFFFFF"/>
        </w:rPr>
        <w:t xml:space="preserve">, H., </w:t>
      </w:r>
      <w:proofErr w:type="spellStart"/>
      <w:r w:rsidRPr="0042081B">
        <w:rPr>
          <w:rFonts w:ascii="Georgia" w:hAnsi="Georgia"/>
          <w:color w:val="222222"/>
          <w:sz w:val="18"/>
          <w:szCs w:val="20"/>
          <w:shd w:val="clear" w:color="auto" w:fill="FFFFFF"/>
        </w:rPr>
        <w:t>Kaushak</w:t>
      </w:r>
      <w:proofErr w:type="spellEnd"/>
      <w:r w:rsidRPr="0042081B">
        <w:rPr>
          <w:rFonts w:ascii="Georgia" w:hAnsi="Georgia"/>
          <w:color w:val="222222"/>
          <w:sz w:val="18"/>
          <w:szCs w:val="20"/>
          <w:shd w:val="clear" w:color="auto" w:fill="FFFFFF"/>
        </w:rPr>
        <w:t>, R., &amp; Casalino, L. P. (2019). Use of advance directives among older US adults by dementia status: 2012</w:t>
      </w:r>
      <w:r w:rsidRPr="0042081B">
        <w:rPr>
          <w:rFonts w:ascii="Georgia" w:hAnsi="Georgia"/>
          <w:color w:val="111111"/>
          <w:sz w:val="18"/>
          <w:szCs w:val="20"/>
        </w:rPr>
        <w:t>–</w:t>
      </w:r>
      <w:r w:rsidRPr="0042081B">
        <w:rPr>
          <w:rFonts w:ascii="Georgia" w:hAnsi="Georgia"/>
          <w:color w:val="222222"/>
          <w:sz w:val="18"/>
          <w:szCs w:val="20"/>
          <w:shd w:val="clear" w:color="auto" w:fill="FFFFFF"/>
        </w:rPr>
        <w:t xml:space="preserve">2016. </w:t>
      </w:r>
      <w:r w:rsidRPr="0042081B">
        <w:rPr>
          <w:rFonts w:ascii="Georgia" w:hAnsi="Georgia"/>
          <w:i/>
          <w:iCs/>
          <w:color w:val="222222"/>
          <w:sz w:val="18"/>
          <w:szCs w:val="20"/>
          <w:shd w:val="clear" w:color="auto" w:fill="FFFFFF"/>
        </w:rPr>
        <w:t>Journal of Palliative Medicine</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22</w:t>
      </w:r>
      <w:r w:rsidRPr="0042081B">
        <w:rPr>
          <w:rFonts w:ascii="Georgia" w:hAnsi="Georgia"/>
          <w:color w:val="222222"/>
          <w:sz w:val="18"/>
          <w:szCs w:val="20"/>
          <w:shd w:val="clear" w:color="auto" w:fill="FFFFFF"/>
        </w:rPr>
        <w:t>(12),</w:t>
      </w:r>
      <w:r w:rsidRPr="0042081B">
        <w:rPr>
          <w:rFonts w:ascii="Georgia" w:hAnsi="Georgia"/>
          <w:i/>
          <w:iCs/>
          <w:color w:val="222222"/>
          <w:sz w:val="18"/>
          <w:szCs w:val="20"/>
          <w:shd w:val="clear" w:color="auto" w:fill="FFFFFF"/>
        </w:rPr>
        <w:t xml:space="preserve"> </w:t>
      </w:r>
      <w:r w:rsidRPr="0042081B">
        <w:rPr>
          <w:rFonts w:ascii="Georgia" w:hAnsi="Georgia"/>
          <w:color w:val="222222"/>
          <w:sz w:val="18"/>
          <w:szCs w:val="20"/>
          <w:shd w:val="clear" w:color="auto" w:fill="FFFFFF"/>
        </w:rPr>
        <w:t>1493</w:t>
      </w:r>
      <w:r w:rsidRPr="0042081B">
        <w:rPr>
          <w:rFonts w:ascii="Georgia" w:hAnsi="Georgia"/>
          <w:sz w:val="18"/>
          <w:szCs w:val="20"/>
        </w:rPr>
        <w:t>–</w:t>
      </w:r>
      <w:r w:rsidRPr="0042081B">
        <w:rPr>
          <w:rFonts w:ascii="Georgia" w:hAnsi="Georgia"/>
          <w:color w:val="222222"/>
          <w:sz w:val="18"/>
          <w:szCs w:val="20"/>
          <w:shd w:val="clear" w:color="auto" w:fill="FFFFFF"/>
        </w:rPr>
        <w:t xml:space="preserve">1494. </w:t>
      </w:r>
    </w:p>
    <w:p w14:paraId="7E222BB0" w14:textId="109D2910" w:rsidR="0042081B" w:rsidRPr="0042081B" w:rsidRDefault="00DF3289" w:rsidP="00DF3289">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shd w:val="clear" w:color="auto" w:fill="FFFFFF"/>
          </w:rPr>
          <w:t>https://doi.org/10.1089/jpm.2019.0371</w:t>
        </w:r>
      </w:hyperlink>
    </w:p>
    <w:p w14:paraId="7FF2EECD"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Lincoln, Y. S., &amp; Guba, E. G. (1985). </w:t>
      </w:r>
      <w:r w:rsidRPr="0042081B">
        <w:rPr>
          <w:rFonts w:ascii="Georgia" w:hAnsi="Georgia"/>
          <w:i/>
          <w:iCs/>
          <w:color w:val="222222"/>
          <w:sz w:val="18"/>
          <w:szCs w:val="20"/>
          <w:shd w:val="clear" w:color="auto" w:fill="FFFFFF"/>
        </w:rPr>
        <w:t>Naturalistic inquiry</w:t>
      </w:r>
      <w:r w:rsidRPr="0042081B">
        <w:rPr>
          <w:rFonts w:ascii="Georgia" w:hAnsi="Georgia"/>
          <w:color w:val="222222"/>
          <w:sz w:val="18"/>
          <w:szCs w:val="20"/>
          <w:shd w:val="clear" w:color="auto" w:fill="FFFFFF"/>
        </w:rPr>
        <w:t>. Sage.</w:t>
      </w:r>
    </w:p>
    <w:p w14:paraId="25C03605"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Litwak, E. (1985). </w:t>
      </w:r>
      <w:r w:rsidRPr="0042081B">
        <w:rPr>
          <w:rFonts w:ascii="Georgia" w:hAnsi="Georgia"/>
          <w:i/>
          <w:iCs/>
          <w:color w:val="222222"/>
          <w:sz w:val="18"/>
          <w:szCs w:val="20"/>
          <w:shd w:val="clear" w:color="auto" w:fill="FFFFFF"/>
        </w:rPr>
        <w:t>Helping the elderly: The complementary roles of informal networks and formal systems</w:t>
      </w:r>
      <w:r w:rsidRPr="0042081B">
        <w:rPr>
          <w:rFonts w:ascii="Georgia" w:hAnsi="Georgia"/>
          <w:color w:val="222222"/>
          <w:sz w:val="18"/>
          <w:szCs w:val="20"/>
          <w:shd w:val="clear" w:color="auto" w:fill="FFFFFF"/>
        </w:rPr>
        <w:t>. Guilford Press.</w:t>
      </w:r>
    </w:p>
    <w:p w14:paraId="3974E4E6" w14:textId="6B244037" w:rsidR="00DF3289" w:rsidRDefault="0042081B" w:rsidP="00E86DEA">
      <w:pPr>
        <w:keepNext/>
        <w:bidi w:val="0"/>
        <w:ind w:left="397" w:hanging="397"/>
        <w:jc w:val="both"/>
        <w:rPr>
          <w:rFonts w:ascii="Georgia" w:hAnsi="Georgia"/>
          <w:sz w:val="18"/>
          <w:szCs w:val="20"/>
        </w:rPr>
      </w:pPr>
      <w:r w:rsidRPr="0042081B">
        <w:rPr>
          <w:rFonts w:ascii="Georgia" w:hAnsi="Georgia"/>
          <w:sz w:val="18"/>
          <w:szCs w:val="20"/>
        </w:rPr>
        <w:t xml:space="preserve">Lum, H. D., Sudore, R. L., &amp; </w:t>
      </w:r>
      <w:proofErr w:type="spellStart"/>
      <w:r w:rsidRPr="0042081B">
        <w:rPr>
          <w:rFonts w:ascii="Georgia" w:hAnsi="Georgia"/>
          <w:sz w:val="18"/>
          <w:szCs w:val="20"/>
        </w:rPr>
        <w:t>Bekelman</w:t>
      </w:r>
      <w:proofErr w:type="spellEnd"/>
      <w:r w:rsidRPr="0042081B">
        <w:rPr>
          <w:rFonts w:ascii="Georgia" w:hAnsi="Georgia"/>
          <w:sz w:val="18"/>
          <w:szCs w:val="20"/>
        </w:rPr>
        <w:t xml:space="preserve">, D. B. (2015). Advance care planning </w:t>
      </w:r>
      <w:proofErr w:type="gramStart"/>
      <w:r w:rsidRPr="0042081B">
        <w:rPr>
          <w:rFonts w:ascii="Georgia" w:hAnsi="Georgia"/>
          <w:sz w:val="18"/>
          <w:szCs w:val="20"/>
        </w:rPr>
        <w:t>in</w:t>
      </w:r>
      <w:proofErr w:type="gramEnd"/>
      <w:r w:rsidRPr="0042081B">
        <w:rPr>
          <w:rFonts w:ascii="Georgia" w:hAnsi="Georgia"/>
          <w:sz w:val="18"/>
          <w:szCs w:val="20"/>
        </w:rPr>
        <w:t xml:space="preserve"> the elderly. </w:t>
      </w:r>
      <w:r w:rsidRPr="0042081B">
        <w:rPr>
          <w:rFonts w:ascii="Georgia" w:hAnsi="Georgia"/>
          <w:i/>
          <w:iCs/>
          <w:sz w:val="18"/>
          <w:szCs w:val="20"/>
        </w:rPr>
        <w:t>Medical Clinics</w:t>
      </w:r>
      <w:r w:rsidRPr="0042081B">
        <w:rPr>
          <w:rFonts w:ascii="Georgia" w:hAnsi="Georgia"/>
          <w:sz w:val="18"/>
          <w:szCs w:val="20"/>
        </w:rPr>
        <w:t>,</w:t>
      </w:r>
      <w:r w:rsidR="00262AE4">
        <w:rPr>
          <w:rFonts w:ascii="Georgia" w:hAnsi="Georgia"/>
          <w:sz w:val="18"/>
          <w:szCs w:val="20"/>
        </w:rPr>
        <w:t xml:space="preserve"> </w:t>
      </w:r>
      <w:r w:rsidRPr="0042081B">
        <w:rPr>
          <w:rFonts w:ascii="Georgia" w:hAnsi="Georgia"/>
          <w:i/>
          <w:iCs/>
          <w:sz w:val="18"/>
          <w:szCs w:val="20"/>
        </w:rPr>
        <w:t>99</w:t>
      </w:r>
      <w:r w:rsidRPr="0042081B">
        <w:rPr>
          <w:rFonts w:ascii="Georgia" w:hAnsi="Georgia"/>
          <w:sz w:val="18"/>
          <w:szCs w:val="20"/>
        </w:rPr>
        <w:t>(2), 391–403.</w:t>
      </w:r>
      <w:r w:rsidR="00E86DEA">
        <w:rPr>
          <w:rFonts w:ascii="Georgia" w:hAnsi="Georgia"/>
          <w:sz w:val="18"/>
          <w:szCs w:val="20"/>
        </w:rPr>
        <w:t xml:space="preserve"> </w:t>
      </w:r>
    </w:p>
    <w:p w14:paraId="59E527EB" w14:textId="027E5C78" w:rsidR="0042081B" w:rsidRPr="0042081B" w:rsidRDefault="00DF3289" w:rsidP="00DF3289">
      <w:pPr>
        <w:bidi w:val="0"/>
        <w:spacing w:after="180"/>
        <w:ind w:left="397"/>
        <w:jc w:val="both"/>
        <w:rPr>
          <w:rStyle w:val="Hyperlink"/>
          <w:rFonts w:ascii="Georgia" w:hAnsi="Georgia"/>
          <w:sz w:val="18"/>
          <w:szCs w:val="20"/>
        </w:rPr>
      </w:pPr>
      <w:hyperlink w:history="1">
        <w:r w:rsidRPr="00927D84">
          <w:rPr>
            <w:rStyle w:val="Hyperlink"/>
            <w:rFonts w:ascii="Georgia" w:hAnsi="Georgia"/>
            <w:sz w:val="18"/>
            <w:szCs w:val="20"/>
            <w:shd w:val="clear" w:color="auto" w:fill="FFFFFF"/>
          </w:rPr>
          <w:t>https://doi.org/10.1016/j.mcna.2014.11.010</w:t>
        </w:r>
      </w:hyperlink>
    </w:p>
    <w:p w14:paraId="473954DD" w14:textId="0FE3C22A" w:rsidR="0042081B" w:rsidRPr="0042081B" w:rsidRDefault="0042081B" w:rsidP="00DF3289">
      <w:pPr>
        <w:bidi w:val="0"/>
        <w:spacing w:after="180"/>
        <w:ind w:left="397" w:hanging="397"/>
        <w:jc w:val="both"/>
        <w:rPr>
          <w:rStyle w:val="Hyperlink"/>
          <w:rFonts w:ascii="Georgia" w:hAnsi="Georgia"/>
          <w:sz w:val="18"/>
          <w:szCs w:val="20"/>
        </w:rPr>
      </w:pPr>
      <w:bookmarkStart w:id="17" w:name="_Hlk66361105"/>
      <w:r w:rsidRPr="0042081B">
        <w:rPr>
          <w:rFonts w:ascii="Georgia" w:hAnsi="Georgia"/>
          <w:color w:val="222222"/>
          <w:sz w:val="18"/>
          <w:szCs w:val="20"/>
          <w:shd w:val="clear" w:color="auto" w:fill="FFFFFF"/>
        </w:rPr>
        <w:lastRenderedPageBreak/>
        <w:t xml:space="preserve">Luscher, K., &amp; Pillemer, K. (1998). Intergenerational ambivalence: A new approach to the study of parent-child relations in later life. </w:t>
      </w:r>
      <w:r w:rsidRPr="0042081B">
        <w:rPr>
          <w:rFonts w:ascii="Georgia" w:hAnsi="Georgia"/>
          <w:i/>
          <w:iCs/>
          <w:color w:val="222222"/>
          <w:sz w:val="18"/>
          <w:szCs w:val="20"/>
          <w:shd w:val="clear" w:color="auto" w:fill="FFFFFF"/>
        </w:rPr>
        <w:t>Journal of Marriage and the Family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60</w:t>
      </w:r>
      <w:r w:rsidRPr="0042081B">
        <w:rPr>
          <w:rFonts w:ascii="Georgia" w:hAnsi="Georgia"/>
          <w:color w:val="222222"/>
          <w:sz w:val="18"/>
          <w:szCs w:val="20"/>
          <w:shd w:val="clear" w:color="auto" w:fill="FFFFFF"/>
        </w:rPr>
        <w:t>, 413</w:t>
      </w:r>
      <w:r w:rsidRPr="0042081B">
        <w:rPr>
          <w:rFonts w:ascii="Georgia" w:hAnsi="Georgia"/>
          <w:sz w:val="18"/>
          <w:szCs w:val="20"/>
        </w:rPr>
        <w:t>–</w:t>
      </w:r>
      <w:r w:rsidRPr="0042081B">
        <w:rPr>
          <w:rFonts w:ascii="Georgia" w:hAnsi="Georgia"/>
          <w:color w:val="222222"/>
          <w:sz w:val="18"/>
          <w:szCs w:val="20"/>
          <w:shd w:val="clear" w:color="auto" w:fill="FFFFFF"/>
        </w:rPr>
        <w:t xml:space="preserve">445. </w:t>
      </w:r>
      <w:hyperlink w:history="1">
        <w:r w:rsidRPr="0042081B">
          <w:rPr>
            <w:rStyle w:val="Hyperlink"/>
            <w:rFonts w:ascii="Georgia" w:hAnsi="Georgia"/>
            <w:sz w:val="18"/>
            <w:szCs w:val="20"/>
            <w:shd w:val="clear" w:color="auto" w:fill="FFFFFF"/>
          </w:rPr>
          <w:t>https://doi.org/10.2307/353858</w:t>
        </w:r>
      </w:hyperlink>
    </w:p>
    <w:bookmarkEnd w:id="17"/>
    <w:p w14:paraId="7D796ABD"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Mann, G. (2022). It’s not OK, boomer: Preventing financial power-of-attorney abuse of elders. </w:t>
      </w:r>
      <w:r w:rsidRPr="0042081B">
        <w:rPr>
          <w:rFonts w:ascii="Georgia" w:hAnsi="Georgia"/>
          <w:i/>
          <w:iCs/>
          <w:color w:val="222222"/>
          <w:sz w:val="18"/>
          <w:szCs w:val="20"/>
          <w:shd w:val="clear" w:color="auto" w:fill="FFFFFF"/>
        </w:rPr>
        <w:t>Maryland Law Review</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82</w:t>
      </w:r>
      <w:r w:rsidRPr="0042081B">
        <w:rPr>
          <w:rFonts w:ascii="Georgia" w:hAnsi="Georgia"/>
          <w:color w:val="222222"/>
          <w:sz w:val="18"/>
          <w:szCs w:val="20"/>
          <w:shd w:val="clear" w:color="auto" w:fill="FFFFFF"/>
        </w:rPr>
        <w:t>,</w:t>
      </w:r>
      <w:r w:rsidRPr="0042081B">
        <w:rPr>
          <w:rFonts w:ascii="Georgia" w:hAnsi="Georgia"/>
          <w:i/>
          <w:iCs/>
          <w:color w:val="222222"/>
          <w:sz w:val="18"/>
          <w:szCs w:val="20"/>
          <w:shd w:val="clear" w:color="auto" w:fill="FFFFFF"/>
        </w:rPr>
        <w:t xml:space="preserve"> </w:t>
      </w:r>
      <w:r w:rsidRPr="0042081B">
        <w:rPr>
          <w:rFonts w:ascii="Georgia" w:hAnsi="Georgia"/>
          <w:color w:val="222222"/>
          <w:sz w:val="18"/>
          <w:szCs w:val="20"/>
          <w:shd w:val="clear" w:color="auto" w:fill="FFFFFF"/>
        </w:rPr>
        <w:t>181</w:t>
      </w:r>
      <w:r w:rsidRPr="0042081B">
        <w:rPr>
          <w:rFonts w:ascii="Georgia" w:hAnsi="Georgia"/>
          <w:sz w:val="18"/>
          <w:szCs w:val="20"/>
        </w:rPr>
        <w:t>–</w:t>
      </w:r>
      <w:r w:rsidRPr="0042081B">
        <w:rPr>
          <w:rFonts w:ascii="Georgia" w:hAnsi="Georgia"/>
          <w:color w:val="222222"/>
          <w:sz w:val="18"/>
          <w:szCs w:val="20"/>
          <w:shd w:val="clear" w:color="auto" w:fill="FFFFFF"/>
        </w:rPr>
        <w:t>239.</w:t>
      </w:r>
      <w:r w:rsidRPr="0042081B">
        <w:rPr>
          <w:rFonts w:ascii="Georgia" w:hAnsi="Georgia"/>
          <w:color w:val="222222"/>
          <w:sz w:val="18"/>
          <w:szCs w:val="20"/>
          <w:shd w:val="clear" w:color="auto" w:fill="FFFFFF"/>
          <w:rtl/>
        </w:rPr>
        <w:t>‏</w:t>
      </w:r>
    </w:p>
    <w:p w14:paraId="3600C74D"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color w:val="222222"/>
          <w:sz w:val="18"/>
          <w:szCs w:val="20"/>
          <w:shd w:val="clear" w:color="auto" w:fill="FFFFFF"/>
        </w:rPr>
        <w:t xml:space="preserve">Mason, J. (1996). </w:t>
      </w:r>
      <w:r w:rsidRPr="0042081B">
        <w:rPr>
          <w:rFonts w:ascii="Georgia" w:hAnsi="Georgia"/>
          <w:i/>
          <w:iCs/>
          <w:sz w:val="18"/>
          <w:szCs w:val="20"/>
        </w:rPr>
        <w:t>Qualitative researching.</w:t>
      </w:r>
      <w:r w:rsidRPr="0042081B">
        <w:rPr>
          <w:rFonts w:ascii="Georgia" w:hAnsi="Georgia"/>
          <w:sz w:val="18"/>
          <w:szCs w:val="20"/>
        </w:rPr>
        <w:t xml:space="preserve"> Sage.</w:t>
      </w:r>
    </w:p>
    <w:p w14:paraId="56EAAB84" w14:textId="11330FDF"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color w:val="222222"/>
          <w:sz w:val="18"/>
          <w:szCs w:val="20"/>
          <w:shd w:val="clear" w:color="auto" w:fill="FFFFFF"/>
        </w:rPr>
        <w:t xml:space="preserve">McMahan, </w:t>
      </w:r>
      <w:r w:rsidRPr="0042081B">
        <w:rPr>
          <w:rFonts w:ascii="Georgia" w:hAnsi="Georgia"/>
          <w:sz w:val="18"/>
          <w:szCs w:val="20"/>
        </w:rPr>
        <w:t xml:space="preserve">R. D., Knight, S. J., Fried, T. R., &amp; Sudore, R. L. (2013). Advance care planning beyond </w:t>
      </w:r>
      <w:proofErr w:type="gramStart"/>
      <w:r w:rsidRPr="0042081B">
        <w:rPr>
          <w:rFonts w:ascii="Georgia" w:hAnsi="Georgia"/>
          <w:sz w:val="18"/>
          <w:szCs w:val="20"/>
        </w:rPr>
        <w:t>advance</w:t>
      </w:r>
      <w:proofErr w:type="gramEnd"/>
      <w:r w:rsidRPr="0042081B">
        <w:rPr>
          <w:rFonts w:ascii="Georgia" w:hAnsi="Georgia"/>
          <w:sz w:val="18"/>
          <w:szCs w:val="20"/>
        </w:rPr>
        <w:t xml:space="preserve"> directives: Perspectives from patients and surrogates.</w:t>
      </w:r>
      <w:r w:rsidR="00262AE4">
        <w:rPr>
          <w:rFonts w:ascii="Georgia" w:hAnsi="Georgia"/>
          <w:sz w:val="18"/>
          <w:szCs w:val="20"/>
        </w:rPr>
        <w:t xml:space="preserve"> </w:t>
      </w:r>
      <w:r w:rsidRPr="0042081B">
        <w:rPr>
          <w:rFonts w:ascii="Georgia" w:hAnsi="Georgia"/>
          <w:i/>
          <w:iCs/>
          <w:sz w:val="18"/>
          <w:szCs w:val="20"/>
        </w:rPr>
        <w:t>Journal of Pain and Symptom Management</w:t>
      </w:r>
      <w:r w:rsidRPr="0042081B">
        <w:rPr>
          <w:rFonts w:ascii="Georgia" w:hAnsi="Georgia"/>
          <w:sz w:val="18"/>
          <w:szCs w:val="20"/>
        </w:rPr>
        <w:t xml:space="preserve">, </w:t>
      </w:r>
      <w:r w:rsidRPr="0042081B">
        <w:rPr>
          <w:rFonts w:ascii="Georgia" w:hAnsi="Georgia"/>
          <w:i/>
          <w:iCs/>
          <w:sz w:val="18"/>
          <w:szCs w:val="20"/>
        </w:rPr>
        <w:t>46</w:t>
      </w:r>
      <w:r w:rsidRPr="0042081B">
        <w:rPr>
          <w:rFonts w:ascii="Georgia" w:hAnsi="Georgia"/>
          <w:sz w:val="18"/>
          <w:szCs w:val="20"/>
        </w:rPr>
        <w:t xml:space="preserve">(3), 355–365. </w:t>
      </w:r>
      <w:hyperlink w:history="1">
        <w:r w:rsidRPr="0042081B">
          <w:rPr>
            <w:rStyle w:val="Hyperlink"/>
            <w:rFonts w:ascii="Georgia" w:hAnsi="Georgia"/>
            <w:sz w:val="18"/>
            <w:szCs w:val="20"/>
            <w:shd w:val="clear" w:color="auto" w:fill="FFFFFF"/>
          </w:rPr>
          <w:t>http://dx.doi.org/10.1016/j.jpainsymman.2012.09.006</w:t>
        </w:r>
      </w:hyperlink>
    </w:p>
    <w:p w14:paraId="03C2B8EE" w14:textId="389DAD26"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proofErr w:type="spellStart"/>
      <w:r w:rsidRPr="0042081B">
        <w:rPr>
          <w:rFonts w:ascii="Georgia" w:hAnsi="Georgia"/>
          <w:sz w:val="18"/>
          <w:szCs w:val="20"/>
        </w:rPr>
        <w:t>Messeri</w:t>
      </w:r>
      <w:proofErr w:type="spellEnd"/>
      <w:r w:rsidRPr="0042081B">
        <w:rPr>
          <w:rFonts w:ascii="Georgia" w:hAnsi="Georgia"/>
          <w:sz w:val="18"/>
          <w:szCs w:val="20"/>
        </w:rPr>
        <w:t>, P., Silverstein, M., &amp; Litwak, E. (1993). Choosing optimal support groups: A review and reformulation.</w:t>
      </w:r>
      <w:r w:rsidR="00262AE4">
        <w:rPr>
          <w:rFonts w:ascii="Georgia" w:hAnsi="Georgia"/>
          <w:sz w:val="18"/>
          <w:szCs w:val="20"/>
        </w:rPr>
        <w:t xml:space="preserve"> </w:t>
      </w:r>
      <w:r w:rsidRPr="0042081B">
        <w:rPr>
          <w:rFonts w:ascii="Georgia" w:hAnsi="Georgia"/>
          <w:i/>
          <w:iCs/>
          <w:sz w:val="18"/>
          <w:szCs w:val="20"/>
        </w:rPr>
        <w:t>Journal of Health and Social Behavior</w:t>
      </w:r>
      <w:r w:rsidRPr="0042081B">
        <w:rPr>
          <w:rFonts w:ascii="Georgia" w:hAnsi="Georgia"/>
          <w:sz w:val="18"/>
          <w:szCs w:val="20"/>
        </w:rPr>
        <w:t xml:space="preserve">, </w:t>
      </w:r>
      <w:r w:rsidRPr="0042081B">
        <w:rPr>
          <w:rFonts w:ascii="Georgia" w:hAnsi="Georgia"/>
          <w:i/>
          <w:iCs/>
          <w:sz w:val="18"/>
          <w:szCs w:val="20"/>
        </w:rPr>
        <w:t>34</w:t>
      </w:r>
      <w:r w:rsidRPr="0042081B">
        <w:rPr>
          <w:rFonts w:ascii="Georgia" w:hAnsi="Georgia"/>
          <w:sz w:val="18"/>
          <w:szCs w:val="20"/>
        </w:rPr>
        <w:t xml:space="preserve">(2), 122–137. </w:t>
      </w:r>
      <w:hyperlink w:history="1">
        <w:r w:rsidRPr="0042081B">
          <w:rPr>
            <w:rStyle w:val="Hyperlink"/>
            <w:rFonts w:ascii="Georgia" w:hAnsi="Georgia"/>
            <w:sz w:val="18"/>
            <w:szCs w:val="20"/>
            <w:shd w:val="clear" w:color="auto" w:fill="FFFFFF"/>
          </w:rPr>
          <w:t>https://doi.org/10.2307/2137239</w:t>
        </w:r>
      </w:hyperlink>
    </w:p>
    <w:p w14:paraId="603D2AFF" w14:textId="245FCCF9" w:rsidR="0042081B" w:rsidRPr="0042081B" w:rsidRDefault="0042081B" w:rsidP="00DF3289">
      <w:pPr>
        <w:bidi w:val="0"/>
        <w:spacing w:after="180"/>
        <w:ind w:left="397" w:hanging="397"/>
        <w:jc w:val="both"/>
        <w:rPr>
          <w:rStyle w:val="Hyperlink"/>
          <w:rFonts w:ascii="Georgia" w:hAnsi="Georgia"/>
          <w:sz w:val="18"/>
          <w:szCs w:val="20"/>
          <w:shd w:val="clear" w:color="auto" w:fill="FFFFFF"/>
        </w:rPr>
      </w:pPr>
      <w:r w:rsidRPr="0042081B">
        <w:rPr>
          <w:rFonts w:ascii="Georgia" w:hAnsi="Georgia"/>
          <w:sz w:val="18"/>
          <w:szCs w:val="20"/>
        </w:rPr>
        <w:t xml:space="preserve">Moorman, S. M., &amp; Boerner, K. (2018). </w:t>
      </w:r>
      <w:proofErr w:type="gramStart"/>
      <w:r w:rsidRPr="0042081B">
        <w:rPr>
          <w:rFonts w:ascii="Georgia" w:hAnsi="Georgia"/>
          <w:sz w:val="18"/>
          <w:szCs w:val="20"/>
        </w:rPr>
        <w:t>How</w:t>
      </w:r>
      <w:proofErr w:type="gramEnd"/>
      <w:r w:rsidRPr="0042081B">
        <w:rPr>
          <w:rFonts w:ascii="Georgia" w:hAnsi="Georgia"/>
          <w:sz w:val="18"/>
          <w:szCs w:val="20"/>
        </w:rPr>
        <w:t xml:space="preserve"> social network size and quality affect end-of-life surrogate preferences. </w:t>
      </w:r>
      <w:r w:rsidRPr="0042081B">
        <w:rPr>
          <w:rFonts w:ascii="Georgia" w:hAnsi="Georgia"/>
          <w:i/>
          <w:iCs/>
          <w:sz w:val="18"/>
          <w:szCs w:val="20"/>
        </w:rPr>
        <w:t>The Journals of Gerontology: Series B</w:t>
      </w:r>
      <w:r w:rsidRPr="0042081B">
        <w:rPr>
          <w:rFonts w:ascii="Georgia" w:hAnsi="Georgia"/>
          <w:sz w:val="18"/>
          <w:szCs w:val="20"/>
        </w:rPr>
        <w:t xml:space="preserve">, </w:t>
      </w:r>
      <w:r w:rsidRPr="0042081B">
        <w:rPr>
          <w:rFonts w:ascii="Georgia" w:hAnsi="Georgia"/>
          <w:i/>
          <w:iCs/>
          <w:sz w:val="18"/>
          <w:szCs w:val="20"/>
        </w:rPr>
        <w:t>73</w:t>
      </w:r>
      <w:r w:rsidRPr="0042081B">
        <w:rPr>
          <w:rFonts w:ascii="Georgia" w:hAnsi="Georgia"/>
          <w:sz w:val="18"/>
          <w:szCs w:val="20"/>
        </w:rPr>
        <w:t>(4), 704–712.</w:t>
      </w:r>
      <w:r w:rsidRPr="0042081B">
        <w:rPr>
          <w:rFonts w:ascii="Georgia" w:hAnsi="Georgia"/>
          <w:sz w:val="18"/>
          <w:szCs w:val="20"/>
          <w:rtl/>
        </w:rPr>
        <w:t>‏</w:t>
      </w:r>
      <w:r w:rsidRPr="0042081B">
        <w:rPr>
          <w:rFonts w:ascii="Georgia" w:hAnsi="Georgia"/>
          <w:sz w:val="18"/>
          <w:szCs w:val="20"/>
        </w:rPr>
        <w:t xml:space="preserve"> </w:t>
      </w:r>
      <w:hyperlink w:history="1">
        <w:r w:rsidRPr="0042081B">
          <w:rPr>
            <w:rStyle w:val="Hyperlink"/>
            <w:rFonts w:ascii="Georgia" w:hAnsi="Georgia"/>
            <w:sz w:val="18"/>
            <w:szCs w:val="20"/>
            <w:shd w:val="clear" w:color="auto" w:fill="FFFFFF"/>
          </w:rPr>
          <w:t>https://doi.org/10.1093/geronb/gbx031</w:t>
        </w:r>
      </w:hyperlink>
    </w:p>
    <w:p w14:paraId="6B01C78C"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t xml:space="preserve">Nouri, S. S., Barnes, D. E., Volow, A. M., McMahan, R. D, Kushel, M., Jin, C., Boscardin, J., &amp; Sudore, R. L. (2019). Health literacy matters more than experience for </w:t>
      </w:r>
      <w:proofErr w:type="gramStart"/>
      <w:r w:rsidRPr="0042081B">
        <w:rPr>
          <w:rFonts w:ascii="Georgia" w:hAnsi="Georgia"/>
          <w:sz w:val="18"/>
          <w:szCs w:val="20"/>
        </w:rPr>
        <w:t>advance</w:t>
      </w:r>
      <w:proofErr w:type="gramEnd"/>
      <w:r w:rsidRPr="0042081B">
        <w:rPr>
          <w:rFonts w:ascii="Georgia" w:hAnsi="Georgia"/>
          <w:sz w:val="18"/>
          <w:szCs w:val="20"/>
        </w:rPr>
        <w:t xml:space="preserve"> care planning knowledge among older adults. </w:t>
      </w:r>
      <w:r w:rsidRPr="0042081B">
        <w:rPr>
          <w:rFonts w:ascii="Georgia" w:hAnsi="Georgia"/>
          <w:i/>
          <w:iCs/>
          <w:sz w:val="18"/>
          <w:szCs w:val="20"/>
        </w:rPr>
        <w:t>Journal of the American Geriatrics Society</w:t>
      </w:r>
      <w:r w:rsidRPr="0042081B">
        <w:rPr>
          <w:rFonts w:ascii="Georgia" w:hAnsi="Georgia"/>
          <w:sz w:val="18"/>
          <w:szCs w:val="20"/>
        </w:rPr>
        <w:t xml:space="preserve">, </w:t>
      </w:r>
      <w:r w:rsidRPr="0042081B">
        <w:rPr>
          <w:rFonts w:ascii="Georgia" w:hAnsi="Georgia"/>
          <w:i/>
          <w:iCs/>
          <w:sz w:val="18"/>
          <w:szCs w:val="20"/>
        </w:rPr>
        <w:t>67</w:t>
      </w:r>
      <w:r w:rsidRPr="0042081B">
        <w:rPr>
          <w:rFonts w:ascii="Georgia" w:hAnsi="Georgia"/>
          <w:sz w:val="18"/>
          <w:szCs w:val="20"/>
        </w:rPr>
        <w:t xml:space="preserve">(10), 2151–2156. </w:t>
      </w:r>
    </w:p>
    <w:p w14:paraId="25A75CBE" w14:textId="595178D6"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10.1111/jgs.16129</w:t>
        </w:r>
      </w:hyperlink>
    </w:p>
    <w:p w14:paraId="209DB247"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Patton, M. (1990). </w:t>
      </w:r>
      <w:r w:rsidRPr="0042081B">
        <w:rPr>
          <w:rFonts w:ascii="Georgia" w:hAnsi="Georgia"/>
          <w:i/>
          <w:iCs/>
          <w:sz w:val="18"/>
          <w:szCs w:val="20"/>
        </w:rPr>
        <w:t>Qualitative evaluation and research methods</w:t>
      </w:r>
      <w:r w:rsidRPr="0042081B">
        <w:rPr>
          <w:rFonts w:ascii="Georgia" w:hAnsi="Georgia"/>
          <w:sz w:val="18"/>
          <w:szCs w:val="20"/>
        </w:rPr>
        <w:t>.</w:t>
      </w:r>
      <w:r w:rsidRPr="0042081B">
        <w:rPr>
          <w:rFonts w:ascii="Georgia" w:hAnsi="Georgia"/>
          <w:i/>
          <w:iCs/>
          <w:sz w:val="18"/>
          <w:szCs w:val="20"/>
        </w:rPr>
        <w:t xml:space="preserve"> </w:t>
      </w:r>
      <w:r w:rsidRPr="0042081B">
        <w:rPr>
          <w:rFonts w:ascii="Georgia" w:hAnsi="Georgia"/>
          <w:sz w:val="18"/>
          <w:szCs w:val="20"/>
        </w:rPr>
        <w:t>Sage.</w:t>
      </w:r>
    </w:p>
    <w:p w14:paraId="2ECDC960" w14:textId="77777777" w:rsidR="002C041F" w:rsidRDefault="0042081B" w:rsidP="002C041F">
      <w:pPr>
        <w:keepNext/>
        <w:bidi w:val="0"/>
        <w:ind w:left="397" w:hanging="397"/>
        <w:jc w:val="both"/>
        <w:rPr>
          <w:rFonts w:ascii="Georgia" w:hAnsi="Georgia"/>
          <w:sz w:val="18"/>
          <w:szCs w:val="20"/>
        </w:rPr>
      </w:pPr>
      <w:bookmarkStart w:id="18" w:name="_Hlk66366588"/>
      <w:r w:rsidRPr="0042081B">
        <w:rPr>
          <w:rFonts w:ascii="Georgia" w:hAnsi="Georgia"/>
          <w:sz w:val="18"/>
          <w:szCs w:val="20"/>
        </w:rPr>
        <w:t xml:space="preserve">Penning, M. J. (1990). Receipt of assistance by elderly people: Hierarchical selection and task specificity. </w:t>
      </w:r>
      <w:r w:rsidRPr="0042081B">
        <w:rPr>
          <w:rFonts w:ascii="Georgia" w:hAnsi="Georgia"/>
          <w:i/>
          <w:iCs/>
          <w:sz w:val="18"/>
          <w:szCs w:val="20"/>
        </w:rPr>
        <w:t>The Gerontologist</w:t>
      </w:r>
      <w:r w:rsidRPr="0042081B">
        <w:rPr>
          <w:rFonts w:ascii="Georgia" w:hAnsi="Georgia"/>
          <w:sz w:val="18"/>
          <w:szCs w:val="20"/>
        </w:rPr>
        <w:t>,</w:t>
      </w:r>
      <w:r w:rsidR="00262AE4">
        <w:rPr>
          <w:rFonts w:ascii="Georgia" w:hAnsi="Georgia"/>
          <w:sz w:val="18"/>
          <w:szCs w:val="20"/>
        </w:rPr>
        <w:t xml:space="preserve"> </w:t>
      </w:r>
      <w:r w:rsidRPr="0042081B">
        <w:rPr>
          <w:rFonts w:ascii="Georgia" w:hAnsi="Georgia"/>
          <w:i/>
          <w:iCs/>
          <w:sz w:val="18"/>
          <w:szCs w:val="20"/>
        </w:rPr>
        <w:t>30</w:t>
      </w:r>
      <w:r w:rsidRPr="0042081B">
        <w:rPr>
          <w:rFonts w:ascii="Georgia" w:hAnsi="Georgia"/>
          <w:sz w:val="18"/>
          <w:szCs w:val="20"/>
        </w:rPr>
        <w:t xml:space="preserve">(2), 220–227. </w:t>
      </w:r>
    </w:p>
    <w:p w14:paraId="5CCD0BAF" w14:textId="3BCC1C67" w:rsidR="0042081B" w:rsidRPr="0042081B" w:rsidRDefault="002C041F" w:rsidP="002C041F">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https://doi.org/10.1093/geront/30.2.220</w:t>
        </w:r>
      </w:hyperlink>
    </w:p>
    <w:bookmarkEnd w:id="18"/>
    <w:p w14:paraId="36629596"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t xml:space="preserve">Purser, K., Cockburn, T., Cross, C., &amp; </w:t>
      </w:r>
      <w:proofErr w:type="spellStart"/>
      <w:r w:rsidRPr="0042081B">
        <w:rPr>
          <w:rFonts w:ascii="Georgia" w:hAnsi="Georgia"/>
          <w:sz w:val="18"/>
          <w:szCs w:val="20"/>
        </w:rPr>
        <w:t>Jacmon</w:t>
      </w:r>
      <w:proofErr w:type="spellEnd"/>
      <w:r w:rsidRPr="0042081B">
        <w:rPr>
          <w:rFonts w:ascii="Georgia" w:hAnsi="Georgia"/>
          <w:sz w:val="18"/>
          <w:szCs w:val="20"/>
        </w:rPr>
        <w:t xml:space="preserve">, H. (2018). Alleged financial abuse of those under and enduring power of attorney: An exploratory study. </w:t>
      </w:r>
      <w:r w:rsidRPr="0042081B">
        <w:rPr>
          <w:rFonts w:ascii="Georgia" w:hAnsi="Georgia"/>
          <w:i/>
          <w:iCs/>
          <w:sz w:val="18"/>
          <w:szCs w:val="20"/>
        </w:rPr>
        <w:t>British Journal of Social Work</w:t>
      </w:r>
      <w:r w:rsidRPr="0042081B">
        <w:rPr>
          <w:rFonts w:ascii="Georgia" w:hAnsi="Georgia"/>
          <w:sz w:val="18"/>
          <w:szCs w:val="20"/>
        </w:rPr>
        <w:t xml:space="preserve">, </w:t>
      </w:r>
      <w:r w:rsidRPr="0042081B">
        <w:rPr>
          <w:rFonts w:ascii="Georgia" w:hAnsi="Georgia"/>
          <w:i/>
          <w:iCs/>
          <w:sz w:val="18"/>
          <w:szCs w:val="20"/>
        </w:rPr>
        <w:t>48</w:t>
      </w:r>
      <w:r w:rsidRPr="0042081B">
        <w:rPr>
          <w:rFonts w:ascii="Georgia" w:hAnsi="Georgia"/>
          <w:sz w:val="18"/>
          <w:szCs w:val="20"/>
        </w:rPr>
        <w:t xml:space="preserve">(4), 887–905. </w:t>
      </w:r>
    </w:p>
    <w:p w14:paraId="414613C3" w14:textId="431F883A"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10.1093/bjsw/bcy041</w:t>
        </w:r>
      </w:hyperlink>
    </w:p>
    <w:p w14:paraId="3870FBDA"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Rains, R. C. (1995). Planning tools available to the elderly client. </w:t>
      </w:r>
      <w:r w:rsidRPr="0042081B">
        <w:rPr>
          <w:rFonts w:ascii="Georgia" w:hAnsi="Georgia"/>
          <w:i/>
          <w:iCs/>
          <w:sz w:val="18"/>
          <w:szCs w:val="20"/>
        </w:rPr>
        <w:t>American Journal of Trial Advocacy</w:t>
      </w:r>
      <w:r w:rsidRPr="0042081B">
        <w:rPr>
          <w:rFonts w:ascii="Georgia" w:hAnsi="Georgia"/>
          <w:sz w:val="18"/>
          <w:szCs w:val="20"/>
        </w:rPr>
        <w:t>,</w:t>
      </w:r>
      <w:r w:rsidRPr="0042081B">
        <w:rPr>
          <w:rFonts w:ascii="Georgia" w:hAnsi="Georgia"/>
          <w:i/>
          <w:iCs/>
          <w:sz w:val="18"/>
          <w:szCs w:val="20"/>
        </w:rPr>
        <w:t xml:space="preserve"> 19</w:t>
      </w:r>
      <w:r w:rsidRPr="0042081B">
        <w:rPr>
          <w:rFonts w:ascii="Georgia" w:hAnsi="Georgia"/>
          <w:sz w:val="18"/>
          <w:szCs w:val="20"/>
        </w:rPr>
        <w:t xml:space="preserve">, 599–622. </w:t>
      </w:r>
    </w:p>
    <w:p w14:paraId="5F51140B" w14:textId="77777777" w:rsidR="00DF3289" w:rsidRDefault="0042081B" w:rsidP="002C041F">
      <w:pPr>
        <w:keepNext/>
        <w:bidi w:val="0"/>
        <w:ind w:left="397" w:hanging="397"/>
        <w:jc w:val="both"/>
        <w:rPr>
          <w:rFonts w:ascii="Georgia" w:hAnsi="Georgia"/>
          <w:sz w:val="18"/>
          <w:szCs w:val="20"/>
        </w:rPr>
      </w:pPr>
      <w:r w:rsidRPr="0042081B">
        <w:rPr>
          <w:rFonts w:ascii="Georgia" w:hAnsi="Georgia"/>
          <w:sz w:val="18"/>
          <w:szCs w:val="20"/>
        </w:rPr>
        <w:lastRenderedPageBreak/>
        <w:t xml:space="preserve">Ries, N. M. (2022). Enduring powers of attorney and financial exploitation of older people: A conceptual analysis and strategies for prevention. </w:t>
      </w:r>
      <w:r w:rsidRPr="0042081B">
        <w:rPr>
          <w:rFonts w:ascii="Georgia" w:hAnsi="Georgia"/>
          <w:i/>
          <w:iCs/>
          <w:sz w:val="18"/>
          <w:szCs w:val="20"/>
        </w:rPr>
        <w:t>Journal of Aging &amp; Social Policy</w:t>
      </w:r>
      <w:r w:rsidRPr="0042081B">
        <w:rPr>
          <w:rFonts w:ascii="Georgia" w:hAnsi="Georgia"/>
          <w:sz w:val="18"/>
          <w:szCs w:val="20"/>
        </w:rPr>
        <w:t xml:space="preserve">, </w:t>
      </w:r>
      <w:r w:rsidRPr="0042081B">
        <w:rPr>
          <w:rFonts w:ascii="Georgia" w:hAnsi="Georgia"/>
          <w:i/>
          <w:iCs/>
          <w:sz w:val="18"/>
          <w:szCs w:val="20"/>
        </w:rPr>
        <w:t>34</w:t>
      </w:r>
      <w:r w:rsidRPr="0042081B">
        <w:rPr>
          <w:rFonts w:ascii="Georgia" w:hAnsi="Georgia"/>
          <w:sz w:val="18"/>
          <w:szCs w:val="20"/>
        </w:rPr>
        <w:t>(3), 357–374.</w:t>
      </w:r>
      <w:r w:rsidRPr="0042081B">
        <w:rPr>
          <w:rFonts w:ascii="Georgia" w:hAnsi="Georgia"/>
          <w:sz w:val="18"/>
          <w:szCs w:val="20"/>
          <w:rtl/>
        </w:rPr>
        <w:t>‏</w:t>
      </w:r>
      <w:r w:rsidRPr="0042081B">
        <w:rPr>
          <w:rFonts w:ascii="Georgia" w:hAnsi="Georgia"/>
          <w:sz w:val="18"/>
          <w:szCs w:val="20"/>
        </w:rPr>
        <w:t xml:space="preserve"> </w:t>
      </w:r>
    </w:p>
    <w:p w14:paraId="617AB621" w14:textId="6243458B"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10.1080/08959420.2019.1704143</w:t>
        </w:r>
      </w:hyperlink>
    </w:p>
    <w:p w14:paraId="3BAA0B52"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Ryan, T., &amp; McKeown, J. (2020). Couples affected by dementia and their experiences of advance care planning: A grounded theory study. </w:t>
      </w:r>
      <w:r w:rsidRPr="0042081B">
        <w:rPr>
          <w:rFonts w:ascii="Georgia" w:hAnsi="Georgia"/>
          <w:i/>
          <w:iCs/>
          <w:sz w:val="18"/>
          <w:szCs w:val="20"/>
        </w:rPr>
        <w:t>Aging &amp; Society</w:t>
      </w:r>
      <w:r w:rsidRPr="0042081B">
        <w:rPr>
          <w:rFonts w:ascii="Georgia" w:hAnsi="Georgia"/>
          <w:sz w:val="18"/>
          <w:szCs w:val="20"/>
        </w:rPr>
        <w:t xml:space="preserve">, </w:t>
      </w:r>
      <w:r w:rsidRPr="0042081B">
        <w:rPr>
          <w:rFonts w:ascii="Georgia" w:hAnsi="Georgia"/>
          <w:i/>
          <w:iCs/>
          <w:sz w:val="18"/>
          <w:szCs w:val="20"/>
        </w:rPr>
        <w:t>40</w:t>
      </w:r>
      <w:r w:rsidRPr="0042081B">
        <w:rPr>
          <w:rFonts w:ascii="Georgia" w:hAnsi="Georgia"/>
          <w:sz w:val="18"/>
          <w:szCs w:val="20"/>
        </w:rPr>
        <w:t xml:space="preserve">, 439–460. </w:t>
      </w:r>
      <w:hyperlink w:history="1">
        <w:r w:rsidRPr="0042081B">
          <w:rPr>
            <w:rStyle w:val="Hyperlink"/>
            <w:rFonts w:ascii="Georgia" w:hAnsi="Georgia"/>
            <w:sz w:val="18"/>
            <w:szCs w:val="20"/>
            <w:shd w:val="clear" w:color="auto" w:fill="FFFFFF"/>
          </w:rPr>
          <w:t>https://doi.org/</w:t>
        </w:r>
        <w:r w:rsidRPr="0042081B">
          <w:rPr>
            <w:rStyle w:val="Hyperlink"/>
            <w:rFonts w:ascii="Georgia" w:hAnsi="Georgia"/>
            <w:sz w:val="18"/>
            <w:szCs w:val="20"/>
          </w:rPr>
          <w:t>10.1017/S0144686X1800106X</w:t>
        </w:r>
      </w:hyperlink>
    </w:p>
    <w:p w14:paraId="0708DBD4" w14:textId="77777777" w:rsidR="00DF3289" w:rsidRDefault="0042081B" w:rsidP="002C041F">
      <w:pPr>
        <w:keepNext/>
        <w:bidi w:val="0"/>
        <w:ind w:left="397" w:hanging="397"/>
        <w:jc w:val="both"/>
        <w:rPr>
          <w:rFonts w:ascii="Georgia" w:eastAsia="Calibri" w:hAnsi="Georgia"/>
          <w:color w:val="000000"/>
          <w:sz w:val="18"/>
          <w:szCs w:val="20"/>
        </w:rPr>
      </w:pPr>
      <w:r w:rsidRPr="0042081B">
        <w:rPr>
          <w:rFonts w:ascii="Georgia" w:eastAsia="Calibri" w:hAnsi="Georgia"/>
          <w:color w:val="000000"/>
          <w:sz w:val="18"/>
          <w:szCs w:val="20"/>
        </w:rPr>
        <w:t xml:space="preserve">Schafer, M. H., &amp; Sun, H. (2022). There at any distance? Geographic proximity and the presence of adult children in older Europeans’ core discussion networks. </w:t>
      </w:r>
      <w:r w:rsidRPr="0042081B">
        <w:rPr>
          <w:rFonts w:ascii="Georgia" w:eastAsia="Calibri" w:hAnsi="Georgia"/>
          <w:i/>
          <w:iCs/>
          <w:color w:val="000000"/>
          <w:sz w:val="18"/>
          <w:szCs w:val="20"/>
        </w:rPr>
        <w:t>Social Science Research</w:t>
      </w:r>
      <w:r w:rsidRPr="0042081B">
        <w:rPr>
          <w:rFonts w:ascii="Georgia" w:eastAsia="Calibri" w:hAnsi="Georgia"/>
          <w:color w:val="000000"/>
          <w:sz w:val="18"/>
          <w:szCs w:val="20"/>
        </w:rPr>
        <w:t xml:space="preserve">, </w:t>
      </w:r>
      <w:r w:rsidRPr="0042081B">
        <w:rPr>
          <w:rFonts w:ascii="Georgia" w:eastAsia="Calibri" w:hAnsi="Georgia"/>
          <w:i/>
          <w:iCs/>
          <w:color w:val="000000"/>
          <w:sz w:val="18"/>
          <w:szCs w:val="20"/>
        </w:rPr>
        <w:t>102</w:t>
      </w:r>
      <w:r w:rsidRPr="0042081B">
        <w:rPr>
          <w:rFonts w:ascii="Georgia" w:eastAsia="Calibri" w:hAnsi="Georgia"/>
          <w:color w:val="000000"/>
          <w:sz w:val="18"/>
          <w:szCs w:val="20"/>
        </w:rPr>
        <w:t>, 1026s43</w:t>
      </w:r>
      <w:r w:rsidRPr="0042081B">
        <w:rPr>
          <w:rFonts w:ascii="Georgia" w:eastAsia="Calibri" w:hAnsi="Georgia"/>
          <w:color w:val="000000"/>
          <w:sz w:val="18"/>
          <w:szCs w:val="20"/>
          <w:rtl/>
        </w:rPr>
        <w:t>‏</w:t>
      </w:r>
      <w:r w:rsidRPr="0042081B">
        <w:rPr>
          <w:rFonts w:ascii="Georgia" w:eastAsia="Calibri" w:hAnsi="Georgia"/>
          <w:color w:val="000000"/>
          <w:sz w:val="18"/>
          <w:szCs w:val="20"/>
        </w:rPr>
        <w:t xml:space="preserve">. </w:t>
      </w:r>
    </w:p>
    <w:p w14:paraId="058121E2" w14:textId="18F889A3" w:rsidR="0042081B" w:rsidRPr="0042081B" w:rsidRDefault="00DF3289" w:rsidP="00DF3289">
      <w:pPr>
        <w:bidi w:val="0"/>
        <w:spacing w:after="180"/>
        <w:ind w:left="397"/>
        <w:jc w:val="both"/>
        <w:rPr>
          <w:rFonts w:ascii="Georgia" w:eastAsia="Calibri" w:hAnsi="Georgia"/>
          <w:color w:val="000000"/>
          <w:sz w:val="18"/>
          <w:szCs w:val="20"/>
        </w:rPr>
      </w:pPr>
      <w:hyperlink w:history="1">
        <w:r w:rsidRPr="00927D84">
          <w:rPr>
            <w:rStyle w:val="Hyperlink"/>
            <w:rFonts w:ascii="Georgia" w:hAnsi="Georgia"/>
            <w:sz w:val="18"/>
            <w:szCs w:val="20"/>
            <w:shd w:val="clear" w:color="auto" w:fill="FFFFFF"/>
          </w:rPr>
          <w:t>https://doi.org/10.1016/j.ssresearch.2021.102643</w:t>
        </w:r>
      </w:hyperlink>
    </w:p>
    <w:p w14:paraId="45FD8D74" w14:textId="1351C1C9" w:rsidR="0042081B" w:rsidRPr="0042081B" w:rsidRDefault="0042081B" w:rsidP="00DF3289">
      <w:pPr>
        <w:bidi w:val="0"/>
        <w:spacing w:after="180"/>
        <w:ind w:left="397" w:hanging="397"/>
        <w:jc w:val="both"/>
        <w:rPr>
          <w:rFonts w:ascii="Georgia" w:hAnsi="Georgia"/>
          <w:sz w:val="18"/>
          <w:szCs w:val="20"/>
          <w:shd w:val="clear" w:color="auto" w:fill="FFFFFF"/>
        </w:rPr>
      </w:pPr>
      <w:r w:rsidRPr="0042081B">
        <w:rPr>
          <w:rFonts w:ascii="Georgia" w:eastAsia="Calibri" w:hAnsi="Georgia"/>
          <w:sz w:val="18"/>
          <w:szCs w:val="20"/>
        </w:rPr>
        <w:t xml:space="preserve">Schmitt, </w:t>
      </w:r>
      <w:r w:rsidRPr="0042081B">
        <w:rPr>
          <w:rFonts w:ascii="Georgia" w:hAnsi="Georgia"/>
          <w:sz w:val="18"/>
          <w:szCs w:val="20"/>
          <w:shd w:val="clear" w:color="auto" w:fill="FFFFFF"/>
        </w:rPr>
        <w:t>M., &amp; Hatfield, S. (1991). The durable power of attorney: Applications and limitations.</w:t>
      </w:r>
      <w:r w:rsidR="00262AE4">
        <w:rPr>
          <w:rFonts w:ascii="Georgia" w:hAnsi="Georgia"/>
          <w:sz w:val="18"/>
          <w:szCs w:val="20"/>
          <w:shd w:val="clear" w:color="auto" w:fill="FFFFFF"/>
        </w:rPr>
        <w:t xml:space="preserve"> </w:t>
      </w:r>
      <w:r w:rsidRPr="0042081B">
        <w:rPr>
          <w:rFonts w:ascii="Georgia" w:hAnsi="Georgia"/>
          <w:i/>
          <w:iCs/>
          <w:sz w:val="18"/>
          <w:szCs w:val="20"/>
          <w:shd w:val="clear" w:color="auto" w:fill="FFFFFF"/>
        </w:rPr>
        <w:t>Military Law Review</w:t>
      </w:r>
      <w:r w:rsidRPr="0042081B">
        <w:rPr>
          <w:rFonts w:ascii="Georgia" w:hAnsi="Georgia"/>
          <w:sz w:val="18"/>
          <w:szCs w:val="20"/>
          <w:shd w:val="clear" w:color="auto" w:fill="FFFFFF"/>
        </w:rPr>
        <w:t>,</w:t>
      </w:r>
      <w:r w:rsidR="00262AE4">
        <w:rPr>
          <w:rFonts w:ascii="Georgia" w:hAnsi="Georgia"/>
          <w:sz w:val="18"/>
          <w:szCs w:val="20"/>
          <w:shd w:val="clear" w:color="auto" w:fill="FFFFFF"/>
        </w:rPr>
        <w:t xml:space="preserve"> </w:t>
      </w:r>
      <w:r w:rsidRPr="0042081B">
        <w:rPr>
          <w:rFonts w:ascii="Georgia" w:hAnsi="Georgia"/>
          <w:i/>
          <w:iCs/>
          <w:sz w:val="18"/>
          <w:szCs w:val="20"/>
          <w:shd w:val="clear" w:color="auto" w:fill="FFFFFF"/>
        </w:rPr>
        <w:t>132</w:t>
      </w:r>
      <w:r w:rsidRPr="0042081B">
        <w:rPr>
          <w:rFonts w:ascii="Georgia" w:hAnsi="Georgia"/>
          <w:sz w:val="18"/>
          <w:szCs w:val="20"/>
          <w:shd w:val="clear" w:color="auto" w:fill="FFFFFF"/>
        </w:rPr>
        <w:t>, 203–289.</w:t>
      </w:r>
    </w:p>
    <w:p w14:paraId="60782CB8" w14:textId="77777777" w:rsidR="00DF3289" w:rsidRDefault="0042081B" w:rsidP="002C041F">
      <w:pPr>
        <w:keepNext/>
        <w:bidi w:val="0"/>
        <w:ind w:left="397" w:hanging="397"/>
        <w:jc w:val="both"/>
        <w:rPr>
          <w:rFonts w:ascii="Georgia" w:hAnsi="Georgia"/>
          <w:sz w:val="18"/>
          <w:szCs w:val="20"/>
        </w:rPr>
      </w:pPr>
      <w:proofErr w:type="spellStart"/>
      <w:r w:rsidRPr="0042081B">
        <w:rPr>
          <w:rFonts w:ascii="Georgia" w:eastAsia="Calibri" w:hAnsi="Georgia"/>
          <w:color w:val="000000"/>
          <w:sz w:val="18"/>
          <w:szCs w:val="20"/>
        </w:rPr>
        <w:t>Shvartzman</w:t>
      </w:r>
      <w:proofErr w:type="spellEnd"/>
      <w:r w:rsidRPr="0042081B">
        <w:rPr>
          <w:rFonts w:ascii="Georgia" w:eastAsia="Calibri" w:hAnsi="Georgia"/>
          <w:color w:val="000000"/>
          <w:sz w:val="18"/>
          <w:szCs w:val="20"/>
        </w:rPr>
        <w:t xml:space="preserve">, </w:t>
      </w:r>
      <w:r w:rsidRPr="0042081B">
        <w:rPr>
          <w:rFonts w:ascii="Georgia" w:hAnsi="Georgia"/>
          <w:sz w:val="18"/>
          <w:szCs w:val="20"/>
        </w:rPr>
        <w:t xml:space="preserve">P., Reuven, Y., Halperin, M., &amp; Menahem, S. (2015). Advance directives: The Israeli experience. </w:t>
      </w:r>
      <w:r w:rsidRPr="0042081B">
        <w:rPr>
          <w:rFonts w:ascii="Georgia" w:hAnsi="Georgia"/>
          <w:i/>
          <w:iCs/>
          <w:sz w:val="18"/>
          <w:szCs w:val="20"/>
        </w:rPr>
        <w:t>Journal of Pain and Symptom Management</w:t>
      </w:r>
      <w:r w:rsidRPr="0042081B">
        <w:rPr>
          <w:rFonts w:ascii="Georgia" w:hAnsi="Georgia"/>
          <w:sz w:val="18"/>
          <w:szCs w:val="20"/>
        </w:rPr>
        <w:t xml:space="preserve">, </w:t>
      </w:r>
      <w:r w:rsidRPr="0042081B">
        <w:rPr>
          <w:rFonts w:ascii="Georgia" w:hAnsi="Georgia"/>
          <w:i/>
          <w:iCs/>
          <w:sz w:val="18"/>
          <w:szCs w:val="20"/>
        </w:rPr>
        <w:t>49</w:t>
      </w:r>
      <w:r w:rsidRPr="0042081B">
        <w:rPr>
          <w:rFonts w:ascii="Georgia" w:hAnsi="Georgia"/>
          <w:sz w:val="18"/>
          <w:szCs w:val="20"/>
        </w:rPr>
        <w:t xml:space="preserve">(6), 1097–1101. </w:t>
      </w:r>
    </w:p>
    <w:p w14:paraId="2B287761" w14:textId="554EA31C" w:rsidR="0042081B" w:rsidRPr="0042081B" w:rsidRDefault="00DF3289" w:rsidP="00DF3289">
      <w:pPr>
        <w:bidi w:val="0"/>
        <w:spacing w:after="180"/>
        <w:ind w:left="397"/>
        <w:jc w:val="both"/>
        <w:rPr>
          <w:rFonts w:ascii="Georgia"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hAnsi="Georgia"/>
            <w:sz w:val="18"/>
            <w:szCs w:val="20"/>
          </w:rPr>
          <w:t>10.1016/j.jpanisymman.2014.12.009</w:t>
        </w:r>
      </w:hyperlink>
    </w:p>
    <w:p w14:paraId="4A788EB7"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hAnsi="Georgia"/>
          <w:sz w:val="18"/>
          <w:szCs w:val="20"/>
        </w:rPr>
        <w:t xml:space="preserve">Smith, J. A., Flowers, P., &amp; Larkin, M. (2011). </w:t>
      </w:r>
      <w:r w:rsidRPr="0042081B">
        <w:rPr>
          <w:rFonts w:ascii="Georgia" w:hAnsi="Georgia"/>
          <w:i/>
          <w:iCs/>
          <w:sz w:val="18"/>
          <w:szCs w:val="20"/>
        </w:rPr>
        <w:t>Interpretative phenomenological analysis: Theory, method and research</w:t>
      </w:r>
      <w:r w:rsidRPr="0042081B">
        <w:rPr>
          <w:rFonts w:ascii="Georgia" w:hAnsi="Georgia"/>
          <w:sz w:val="18"/>
          <w:szCs w:val="20"/>
        </w:rPr>
        <w:t>. Sage.</w:t>
      </w:r>
    </w:p>
    <w:p w14:paraId="0E07F174" w14:textId="5D05D019" w:rsidR="0042081B" w:rsidRPr="0042081B" w:rsidRDefault="0042081B" w:rsidP="00DF3289">
      <w:pPr>
        <w:bidi w:val="0"/>
        <w:spacing w:after="180"/>
        <w:ind w:left="397" w:hanging="397"/>
        <w:jc w:val="both"/>
        <w:rPr>
          <w:rFonts w:ascii="Georgia" w:eastAsia="Calibri" w:hAnsi="Georgia"/>
          <w:sz w:val="18"/>
          <w:szCs w:val="20"/>
        </w:rPr>
      </w:pPr>
      <w:r w:rsidRPr="0042081B">
        <w:rPr>
          <w:rFonts w:ascii="Georgia" w:eastAsia="Calibri" w:hAnsi="Georgia"/>
          <w:color w:val="000000"/>
          <w:sz w:val="18"/>
          <w:szCs w:val="20"/>
        </w:rPr>
        <w:t xml:space="preserve">Sokolowski, </w:t>
      </w:r>
      <w:r w:rsidRPr="0042081B">
        <w:rPr>
          <w:rFonts w:ascii="Georgia" w:eastAsia="Calibri" w:hAnsi="Georgia"/>
          <w:sz w:val="18"/>
          <w:szCs w:val="20"/>
        </w:rPr>
        <w:t>R. (2000).</w:t>
      </w:r>
      <w:r w:rsidR="00262AE4">
        <w:rPr>
          <w:rFonts w:ascii="Georgia" w:eastAsia="Calibri" w:hAnsi="Georgia"/>
          <w:sz w:val="18"/>
          <w:szCs w:val="20"/>
        </w:rPr>
        <w:t xml:space="preserve"> </w:t>
      </w:r>
      <w:r w:rsidRPr="0042081B">
        <w:rPr>
          <w:rFonts w:ascii="Georgia" w:eastAsia="Calibri" w:hAnsi="Georgia"/>
          <w:i/>
          <w:iCs/>
          <w:sz w:val="18"/>
          <w:szCs w:val="20"/>
        </w:rPr>
        <w:t>Introduction to phenomenology</w:t>
      </w:r>
      <w:r w:rsidRPr="0042081B">
        <w:rPr>
          <w:rFonts w:ascii="Georgia" w:eastAsia="Calibri" w:hAnsi="Georgia"/>
          <w:sz w:val="18"/>
          <w:szCs w:val="20"/>
        </w:rPr>
        <w:t xml:space="preserve">. Cambridge University Press. </w:t>
      </w:r>
    </w:p>
    <w:p w14:paraId="61C6A2FD" w14:textId="6BB6AE18"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Steinman, B. A., Vincenti, V. B., &amp; Yoon, S. (2020). Family dynamics and their association with elder family financial exploitation in families with appointed powers of attorney.</w:t>
      </w:r>
      <w:r w:rsidR="00262AE4">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Journal of Elder Abuse &amp; Neglect</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32</w:t>
      </w:r>
      <w:r w:rsidRPr="0042081B">
        <w:rPr>
          <w:rFonts w:ascii="Georgia" w:hAnsi="Georgia"/>
          <w:color w:val="222222"/>
          <w:sz w:val="18"/>
          <w:szCs w:val="20"/>
          <w:shd w:val="clear" w:color="auto" w:fill="FFFFFF"/>
        </w:rPr>
        <w:t xml:space="preserve">(5), 453–470. </w:t>
      </w:r>
      <w:hyperlink w:history="1">
        <w:r w:rsidRPr="0042081B">
          <w:rPr>
            <w:rStyle w:val="Hyperlink"/>
            <w:rFonts w:ascii="Georgia" w:hAnsi="Georgia"/>
            <w:sz w:val="18"/>
            <w:szCs w:val="20"/>
            <w:shd w:val="clear" w:color="auto" w:fill="FFFFFF"/>
          </w:rPr>
          <w:t>doi:10.1080/08946566.2020.1823290</w:t>
        </w:r>
      </w:hyperlink>
    </w:p>
    <w:p w14:paraId="19B01A89" w14:textId="77777777" w:rsidR="002C041F" w:rsidRDefault="0042081B" w:rsidP="00E86DEA">
      <w:pPr>
        <w:bidi w:val="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Stelma-Roorda, H. N., &amp; </w:t>
      </w:r>
      <w:proofErr w:type="spellStart"/>
      <w:r w:rsidRPr="0042081B">
        <w:rPr>
          <w:rFonts w:ascii="Georgia" w:hAnsi="Georgia"/>
          <w:color w:val="222222"/>
          <w:sz w:val="18"/>
          <w:szCs w:val="20"/>
          <w:shd w:val="clear" w:color="auto" w:fill="FFFFFF"/>
        </w:rPr>
        <w:t>Eichelsheim</w:t>
      </w:r>
      <w:proofErr w:type="spellEnd"/>
      <w:r w:rsidRPr="0042081B">
        <w:rPr>
          <w:rFonts w:ascii="Georgia" w:hAnsi="Georgia"/>
          <w:color w:val="222222"/>
          <w:sz w:val="18"/>
          <w:szCs w:val="20"/>
          <w:shd w:val="clear" w:color="auto" w:fill="FFFFFF"/>
        </w:rPr>
        <w:t xml:space="preserve">, V. I. (2023). Decision-making by and for adults with impaired capacity: The potential of the Dutch </w:t>
      </w:r>
      <w:proofErr w:type="spellStart"/>
      <w:r w:rsidRPr="0042081B">
        <w:rPr>
          <w:rFonts w:ascii="Georgia" w:hAnsi="Georgia"/>
          <w:color w:val="222222"/>
          <w:sz w:val="18"/>
          <w:szCs w:val="20"/>
          <w:shd w:val="clear" w:color="auto" w:fill="FFFFFF"/>
        </w:rPr>
        <w:t>levenstestament</w:t>
      </w:r>
      <w:proofErr w:type="spellEnd"/>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International Journal of Law and Psychiatry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86</w:t>
      </w:r>
      <w:r w:rsidRPr="0042081B">
        <w:rPr>
          <w:rFonts w:ascii="Georgia" w:hAnsi="Georgia"/>
          <w:color w:val="222222"/>
          <w:sz w:val="18"/>
          <w:szCs w:val="20"/>
          <w:shd w:val="clear" w:color="auto" w:fill="FFFFFF"/>
        </w:rPr>
        <w:t xml:space="preserve">. </w:t>
      </w:r>
    </w:p>
    <w:p w14:paraId="1C67B86D" w14:textId="0199757F" w:rsidR="0042081B" w:rsidRPr="0042081B" w:rsidRDefault="002C041F" w:rsidP="002C041F">
      <w:pPr>
        <w:bidi w:val="0"/>
        <w:spacing w:after="180"/>
        <w:ind w:left="397"/>
        <w:jc w:val="both"/>
        <w:rPr>
          <w:rFonts w:ascii="Georgia" w:hAnsi="Georgia"/>
          <w:color w:val="222222"/>
          <w:sz w:val="18"/>
          <w:szCs w:val="20"/>
          <w:shd w:val="clear" w:color="auto" w:fill="FFFFFF"/>
        </w:rPr>
      </w:pPr>
      <w:hyperlink w:history="1">
        <w:r w:rsidRPr="00927D84">
          <w:rPr>
            <w:rStyle w:val="Hyperlink"/>
            <w:rFonts w:ascii="Georgia" w:hAnsi="Georgia"/>
            <w:sz w:val="18"/>
            <w:szCs w:val="20"/>
          </w:rPr>
          <w:t>https://doi.org/10.1016/j.ijlp.2022.101844</w:t>
        </w:r>
      </w:hyperlink>
    </w:p>
    <w:p w14:paraId="521AF262" w14:textId="77777777"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hAnsi="Georgia"/>
          <w:color w:val="222222"/>
          <w:sz w:val="18"/>
          <w:szCs w:val="20"/>
          <w:shd w:val="clear" w:color="auto" w:fill="FFFFFF"/>
        </w:rPr>
        <w:t xml:space="preserve">Stelma-Roorda, R. (2021). The misuse or abuse of continuing powers of attorney: What are appropriate safeguards? </w:t>
      </w:r>
      <w:r w:rsidRPr="0042081B">
        <w:rPr>
          <w:rFonts w:ascii="Georgia" w:hAnsi="Georgia"/>
          <w:i/>
          <w:iCs/>
          <w:color w:val="222222"/>
          <w:sz w:val="18"/>
          <w:szCs w:val="20"/>
          <w:shd w:val="clear" w:color="auto" w:fill="FFFFFF"/>
        </w:rPr>
        <w:t>International Journal of Law, Policy and the Family</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35</w:t>
      </w:r>
      <w:r w:rsidRPr="0042081B">
        <w:rPr>
          <w:rFonts w:ascii="Georgia" w:hAnsi="Georgia"/>
          <w:color w:val="222222"/>
          <w:sz w:val="18"/>
          <w:szCs w:val="20"/>
          <w:shd w:val="clear" w:color="auto" w:fill="FFFFFF"/>
        </w:rPr>
        <w:t>(1), 1</w:t>
      </w:r>
      <w:r w:rsidRPr="0042081B">
        <w:rPr>
          <w:rFonts w:ascii="Georgia" w:hAnsi="Georgia"/>
          <w:sz w:val="18"/>
          <w:szCs w:val="20"/>
        </w:rPr>
        <w:t>–</w:t>
      </w:r>
      <w:r w:rsidRPr="0042081B">
        <w:rPr>
          <w:rFonts w:ascii="Georgia" w:hAnsi="Georgia"/>
          <w:color w:val="222222"/>
          <w:sz w:val="18"/>
          <w:szCs w:val="20"/>
          <w:shd w:val="clear" w:color="auto" w:fill="FFFFFF"/>
        </w:rPr>
        <w:t xml:space="preserve">25. </w:t>
      </w:r>
      <w:hyperlink w:history="1">
        <w:r w:rsidRPr="0042081B">
          <w:rPr>
            <w:rStyle w:val="Hyperlink"/>
            <w:rFonts w:ascii="Georgia" w:hAnsi="Georgia"/>
            <w:sz w:val="18"/>
            <w:szCs w:val="20"/>
            <w:shd w:val="clear" w:color="auto" w:fill="FFFFFF"/>
          </w:rPr>
          <w:t>https://doi.org/10.1093/lawfam/ebab022</w:t>
        </w:r>
      </w:hyperlink>
    </w:p>
    <w:p w14:paraId="6ED169B3" w14:textId="77777777" w:rsidR="0042081B" w:rsidRPr="0042081B" w:rsidRDefault="0042081B" w:rsidP="00DF3289">
      <w:pPr>
        <w:bidi w:val="0"/>
        <w:spacing w:after="180"/>
        <w:ind w:left="397" w:hanging="397"/>
        <w:jc w:val="both"/>
        <w:rPr>
          <w:rFonts w:ascii="Georgia" w:hAnsi="Georgia"/>
          <w:sz w:val="18"/>
          <w:szCs w:val="20"/>
          <w:shd w:val="clear" w:color="auto" w:fill="FFFFFF"/>
        </w:rPr>
      </w:pPr>
      <w:r w:rsidRPr="0042081B">
        <w:rPr>
          <w:rFonts w:ascii="Georgia" w:hAnsi="Georgia"/>
          <w:color w:val="222222"/>
          <w:sz w:val="18"/>
          <w:szCs w:val="20"/>
          <w:shd w:val="clear" w:color="auto" w:fill="FFFFFF"/>
        </w:rPr>
        <w:t xml:space="preserve">Tebo, M. G. (2002). Elder law grows up: It takes a lot more than a little estate planning to address </w:t>
      </w:r>
      <w:r w:rsidRPr="0042081B">
        <w:rPr>
          <w:rFonts w:ascii="Georgia" w:hAnsi="Georgia"/>
          <w:sz w:val="18"/>
          <w:szCs w:val="20"/>
          <w:shd w:val="clear" w:color="auto" w:fill="FFFFFF"/>
        </w:rPr>
        <w:t xml:space="preserve">the increasingly complex legal issues facing seniors. </w:t>
      </w:r>
      <w:r w:rsidRPr="0042081B">
        <w:rPr>
          <w:rFonts w:ascii="Georgia" w:hAnsi="Georgia"/>
          <w:i/>
          <w:iCs/>
          <w:sz w:val="18"/>
          <w:szCs w:val="20"/>
          <w:shd w:val="clear" w:color="auto" w:fill="FFFFFF"/>
        </w:rPr>
        <w:t>ABA Journal</w:t>
      </w:r>
      <w:r w:rsidRPr="0042081B">
        <w:rPr>
          <w:rFonts w:ascii="Georgia" w:hAnsi="Georgia"/>
          <w:sz w:val="18"/>
          <w:szCs w:val="20"/>
          <w:shd w:val="clear" w:color="auto" w:fill="FFFFFF"/>
        </w:rPr>
        <w:t xml:space="preserve">, </w:t>
      </w:r>
      <w:r w:rsidRPr="0042081B">
        <w:rPr>
          <w:rFonts w:ascii="Georgia" w:hAnsi="Georgia"/>
          <w:i/>
          <w:iCs/>
          <w:sz w:val="18"/>
          <w:szCs w:val="20"/>
          <w:shd w:val="clear" w:color="auto" w:fill="FFFFFF"/>
        </w:rPr>
        <w:t>88</w:t>
      </w:r>
      <w:r w:rsidRPr="0042081B">
        <w:rPr>
          <w:rFonts w:ascii="Georgia" w:hAnsi="Georgia"/>
          <w:sz w:val="18"/>
          <w:szCs w:val="20"/>
          <w:shd w:val="clear" w:color="auto" w:fill="FFFFFF"/>
        </w:rPr>
        <w:t>(3), 42</w:t>
      </w:r>
      <w:r w:rsidRPr="0042081B">
        <w:rPr>
          <w:rFonts w:ascii="Georgia" w:hAnsi="Georgia"/>
          <w:sz w:val="18"/>
          <w:szCs w:val="20"/>
        </w:rPr>
        <w:t>–</w:t>
      </w:r>
      <w:r w:rsidRPr="0042081B">
        <w:rPr>
          <w:rFonts w:ascii="Georgia" w:hAnsi="Georgia"/>
          <w:sz w:val="18"/>
          <w:szCs w:val="20"/>
          <w:shd w:val="clear" w:color="auto" w:fill="FFFFFF"/>
        </w:rPr>
        <w:t xml:space="preserve">47. </w:t>
      </w:r>
    </w:p>
    <w:p w14:paraId="5BE53944" w14:textId="77777777" w:rsidR="00DF3289" w:rsidRDefault="0042081B" w:rsidP="002C041F">
      <w:pPr>
        <w:keepNext/>
        <w:bidi w:val="0"/>
        <w:ind w:left="397" w:hanging="397"/>
        <w:jc w:val="both"/>
        <w:rPr>
          <w:rFonts w:ascii="Georgia" w:eastAsia="Calibri" w:hAnsi="Georgia"/>
          <w:sz w:val="18"/>
          <w:szCs w:val="20"/>
        </w:rPr>
      </w:pPr>
      <w:proofErr w:type="spellStart"/>
      <w:r w:rsidRPr="0042081B">
        <w:rPr>
          <w:rFonts w:ascii="Georgia" w:eastAsia="Calibri" w:hAnsi="Georgia"/>
          <w:sz w:val="18"/>
          <w:szCs w:val="20"/>
        </w:rPr>
        <w:lastRenderedPageBreak/>
        <w:t>Udelsman</w:t>
      </w:r>
      <w:proofErr w:type="spellEnd"/>
      <w:r w:rsidRPr="0042081B">
        <w:rPr>
          <w:rFonts w:ascii="Georgia" w:eastAsia="Calibri" w:hAnsi="Georgia"/>
          <w:sz w:val="18"/>
          <w:szCs w:val="20"/>
        </w:rPr>
        <w:t xml:space="preserve">, B. V., Govea, N., Cooper, Z., Chang, D. C., Bader, A., &amp; Meyer, M. J. (2019). Concordance in advance care preferences among high-risk surgical patients and surrogate health care decision makers in the perioperative setting. </w:t>
      </w:r>
      <w:r w:rsidRPr="0042081B">
        <w:rPr>
          <w:rFonts w:ascii="Georgia" w:eastAsia="Calibri" w:hAnsi="Georgia"/>
          <w:i/>
          <w:iCs/>
          <w:sz w:val="18"/>
          <w:szCs w:val="20"/>
        </w:rPr>
        <w:t>Surgery</w:t>
      </w:r>
      <w:r w:rsidRPr="0042081B">
        <w:rPr>
          <w:rFonts w:ascii="Georgia" w:eastAsia="Calibri" w:hAnsi="Georgia"/>
          <w:sz w:val="18"/>
          <w:szCs w:val="20"/>
        </w:rPr>
        <w:t xml:space="preserve">, </w:t>
      </w:r>
      <w:r w:rsidRPr="0042081B">
        <w:rPr>
          <w:rFonts w:ascii="Georgia" w:eastAsia="Calibri" w:hAnsi="Georgia"/>
          <w:i/>
          <w:iCs/>
          <w:sz w:val="18"/>
          <w:szCs w:val="20"/>
        </w:rPr>
        <w:t>167</w:t>
      </w:r>
      <w:r w:rsidRPr="0042081B">
        <w:rPr>
          <w:rFonts w:ascii="Georgia" w:eastAsia="Calibri" w:hAnsi="Georgia"/>
          <w:sz w:val="18"/>
          <w:szCs w:val="20"/>
        </w:rPr>
        <w:t>(2), 396</w:t>
      </w:r>
      <w:r w:rsidRPr="0042081B">
        <w:rPr>
          <w:rFonts w:ascii="Georgia" w:hAnsi="Georgia"/>
          <w:sz w:val="18"/>
          <w:szCs w:val="20"/>
        </w:rPr>
        <w:t>–</w:t>
      </w:r>
      <w:r w:rsidRPr="0042081B">
        <w:rPr>
          <w:rFonts w:ascii="Georgia" w:eastAsia="Calibri" w:hAnsi="Georgia"/>
          <w:sz w:val="18"/>
          <w:szCs w:val="20"/>
        </w:rPr>
        <w:t xml:space="preserve">403. </w:t>
      </w:r>
    </w:p>
    <w:p w14:paraId="72D0D888" w14:textId="3C5729C3" w:rsidR="0042081B" w:rsidRPr="0042081B" w:rsidRDefault="00DF3289" w:rsidP="00DF3289">
      <w:pPr>
        <w:bidi w:val="0"/>
        <w:spacing w:after="180"/>
        <w:ind w:left="397"/>
        <w:jc w:val="both"/>
        <w:rPr>
          <w:rFonts w:ascii="Georgia" w:eastAsia="Calibri" w:hAnsi="Georgia"/>
          <w:sz w:val="18"/>
          <w:szCs w:val="20"/>
        </w:rPr>
      </w:pPr>
      <w:hyperlink w:history="1">
        <w:r w:rsidRPr="00927D84">
          <w:rPr>
            <w:rStyle w:val="Hyperlink"/>
            <w:rFonts w:ascii="Georgia" w:hAnsi="Georgia"/>
            <w:sz w:val="18"/>
            <w:szCs w:val="20"/>
            <w:shd w:val="clear" w:color="auto" w:fill="FFFFFF"/>
          </w:rPr>
          <w:t>https://doi.org/</w:t>
        </w:r>
        <w:r w:rsidRPr="00927D84">
          <w:rPr>
            <w:rStyle w:val="Hyperlink"/>
            <w:rFonts w:ascii="Georgia" w:eastAsia="Calibri" w:hAnsi="Georgia"/>
            <w:sz w:val="18"/>
            <w:szCs w:val="20"/>
          </w:rPr>
          <w:t>10.1016/j.surg.2019.08.013</w:t>
        </w:r>
      </w:hyperlink>
    </w:p>
    <w:p w14:paraId="510FD7CF"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eastAsia="Calibri" w:hAnsi="Georgia"/>
          <w:sz w:val="18"/>
          <w:szCs w:val="20"/>
        </w:rPr>
        <w:t xml:space="preserve">Vu-Dinh, </w:t>
      </w:r>
      <w:r w:rsidRPr="0042081B">
        <w:rPr>
          <w:rFonts w:ascii="Georgia" w:hAnsi="Georgia"/>
          <w:sz w:val="18"/>
          <w:szCs w:val="20"/>
        </w:rPr>
        <w:t>K. (2010). Reforming power of attorney law to protect Alaskan elders from financial exploitation.</w:t>
      </w:r>
      <w:r w:rsidRPr="0042081B">
        <w:rPr>
          <w:rFonts w:ascii="Georgia" w:hAnsi="Georgia"/>
          <w:i/>
          <w:iCs/>
          <w:sz w:val="18"/>
          <w:szCs w:val="20"/>
        </w:rPr>
        <w:t xml:space="preserve"> Alaska Law Review</w:t>
      </w:r>
      <w:r w:rsidRPr="0042081B">
        <w:rPr>
          <w:rFonts w:ascii="Georgia" w:hAnsi="Georgia"/>
          <w:sz w:val="18"/>
          <w:szCs w:val="20"/>
        </w:rPr>
        <w:t>,</w:t>
      </w:r>
      <w:r w:rsidRPr="0042081B">
        <w:rPr>
          <w:rFonts w:ascii="Georgia" w:hAnsi="Georgia"/>
          <w:i/>
          <w:iCs/>
          <w:sz w:val="18"/>
          <w:szCs w:val="20"/>
        </w:rPr>
        <w:t xml:space="preserve"> 27</w:t>
      </w:r>
      <w:r w:rsidRPr="0042081B">
        <w:rPr>
          <w:rFonts w:ascii="Georgia" w:hAnsi="Georgia"/>
          <w:sz w:val="18"/>
          <w:szCs w:val="20"/>
        </w:rPr>
        <w:t>(1), 1–25.</w:t>
      </w:r>
    </w:p>
    <w:p w14:paraId="2C14EA9C" w14:textId="77777777" w:rsidR="00DF3289" w:rsidRDefault="0042081B" w:rsidP="002C041F">
      <w:pPr>
        <w:keepNext/>
        <w:bidi w:val="0"/>
        <w:ind w:left="397" w:hanging="397"/>
        <w:jc w:val="both"/>
        <w:rPr>
          <w:rFonts w:ascii="Georgia" w:eastAsia="Calibri" w:hAnsi="Georgia"/>
          <w:sz w:val="18"/>
          <w:szCs w:val="20"/>
        </w:rPr>
      </w:pPr>
      <w:r w:rsidRPr="0042081B">
        <w:rPr>
          <w:rFonts w:ascii="Georgia" w:eastAsia="Calibri" w:hAnsi="Georgia"/>
          <w:sz w:val="18"/>
          <w:szCs w:val="20"/>
        </w:rPr>
        <w:t xml:space="preserve">Wendler, D., Wesley, R., Pavlick, M., &amp; Rid, A. (2016). Do patients want their families or their doctors to make treatment decisions in the event of incapacity, and why? </w:t>
      </w:r>
      <w:r w:rsidRPr="0042081B">
        <w:rPr>
          <w:rFonts w:ascii="Georgia" w:eastAsia="Calibri" w:hAnsi="Georgia"/>
          <w:i/>
          <w:iCs/>
          <w:sz w:val="18"/>
          <w:szCs w:val="20"/>
        </w:rPr>
        <w:t>AJOB Empirical Bioethics</w:t>
      </w:r>
      <w:r w:rsidRPr="0042081B">
        <w:rPr>
          <w:rFonts w:ascii="Georgia" w:eastAsia="Calibri" w:hAnsi="Georgia"/>
          <w:sz w:val="18"/>
          <w:szCs w:val="20"/>
        </w:rPr>
        <w:t xml:space="preserve">, </w:t>
      </w:r>
      <w:r w:rsidRPr="0042081B">
        <w:rPr>
          <w:rFonts w:ascii="Georgia" w:eastAsia="Calibri" w:hAnsi="Georgia"/>
          <w:i/>
          <w:iCs/>
          <w:sz w:val="18"/>
          <w:szCs w:val="20"/>
        </w:rPr>
        <w:t>7</w:t>
      </w:r>
      <w:r w:rsidRPr="0042081B">
        <w:rPr>
          <w:rFonts w:ascii="Georgia" w:eastAsia="Calibri" w:hAnsi="Georgia"/>
          <w:sz w:val="18"/>
          <w:szCs w:val="20"/>
        </w:rPr>
        <w:t>(4), 251</w:t>
      </w:r>
      <w:r w:rsidRPr="0042081B">
        <w:rPr>
          <w:rFonts w:ascii="Georgia" w:hAnsi="Georgia"/>
          <w:sz w:val="18"/>
          <w:szCs w:val="20"/>
        </w:rPr>
        <w:t>–</w:t>
      </w:r>
      <w:r w:rsidRPr="0042081B">
        <w:rPr>
          <w:rFonts w:ascii="Georgia" w:eastAsia="Calibri" w:hAnsi="Georgia"/>
          <w:sz w:val="18"/>
          <w:szCs w:val="20"/>
        </w:rPr>
        <w:t>259.</w:t>
      </w:r>
      <w:r w:rsidRPr="0042081B">
        <w:rPr>
          <w:rFonts w:ascii="Georgia" w:eastAsia="Calibri" w:hAnsi="Georgia"/>
          <w:sz w:val="18"/>
          <w:szCs w:val="20"/>
          <w:rtl/>
        </w:rPr>
        <w:t>‏</w:t>
      </w:r>
      <w:r w:rsidRPr="0042081B">
        <w:rPr>
          <w:rFonts w:ascii="Georgia" w:eastAsia="Calibri" w:hAnsi="Georgia"/>
          <w:sz w:val="18"/>
          <w:szCs w:val="20"/>
        </w:rPr>
        <w:t xml:space="preserve"> </w:t>
      </w:r>
    </w:p>
    <w:p w14:paraId="67D70A85" w14:textId="0FF5D0D1" w:rsidR="0042081B" w:rsidRPr="0042081B" w:rsidRDefault="00DF3289" w:rsidP="00DF3289">
      <w:pPr>
        <w:bidi w:val="0"/>
        <w:spacing w:after="180"/>
        <w:ind w:left="397"/>
        <w:jc w:val="both"/>
        <w:rPr>
          <w:rStyle w:val="Hyperlink"/>
          <w:rFonts w:ascii="Georgia" w:hAnsi="Georgia"/>
          <w:sz w:val="18"/>
          <w:szCs w:val="20"/>
          <w:shd w:val="clear" w:color="auto" w:fill="FFFFFF"/>
        </w:rPr>
      </w:pPr>
      <w:hyperlink w:history="1">
        <w:r w:rsidRPr="00927D84">
          <w:rPr>
            <w:rStyle w:val="Hyperlink"/>
            <w:rFonts w:ascii="Georgia" w:hAnsi="Georgia"/>
            <w:sz w:val="18"/>
            <w:szCs w:val="20"/>
            <w:shd w:val="clear" w:color="auto" w:fill="FFFFFF"/>
          </w:rPr>
          <w:t>https://doi.org/10.1080/23294515.2016.1182235</w:t>
        </w:r>
      </w:hyperlink>
    </w:p>
    <w:p w14:paraId="3FBB86DA" w14:textId="3A1C76D2" w:rsidR="0042081B" w:rsidRPr="0042081B" w:rsidRDefault="0042081B" w:rsidP="00DF3289">
      <w:pPr>
        <w:bidi w:val="0"/>
        <w:spacing w:after="180"/>
        <w:ind w:left="397" w:hanging="397"/>
        <w:jc w:val="both"/>
        <w:rPr>
          <w:rFonts w:ascii="Georgia" w:hAnsi="Georgia"/>
          <w:color w:val="222222"/>
          <w:sz w:val="18"/>
          <w:szCs w:val="20"/>
          <w:shd w:val="clear" w:color="auto" w:fill="FFFFFF"/>
        </w:rPr>
      </w:pPr>
      <w:r w:rsidRPr="0042081B">
        <w:rPr>
          <w:rFonts w:ascii="Georgia" w:eastAsia="Calibri" w:hAnsi="Georgia"/>
          <w:sz w:val="18"/>
          <w:szCs w:val="20"/>
        </w:rPr>
        <w:t xml:space="preserve">Werner, </w:t>
      </w:r>
      <w:r w:rsidRPr="0042081B">
        <w:rPr>
          <w:rFonts w:ascii="Georgia" w:hAnsi="Georgia"/>
          <w:color w:val="222222"/>
          <w:sz w:val="18"/>
          <w:szCs w:val="20"/>
          <w:shd w:val="clear" w:color="auto" w:fill="FFFFFF"/>
        </w:rPr>
        <w:t xml:space="preserve">P., &amp; Schiffman, I. K. (2019). Attitudes and completion of advance care planning: Assessing the contribution of health beliefs about Alzheimer’s disease among Israeli laypersons. </w:t>
      </w:r>
      <w:r w:rsidRPr="0042081B">
        <w:rPr>
          <w:rFonts w:ascii="Georgia" w:hAnsi="Georgia"/>
          <w:i/>
          <w:iCs/>
          <w:color w:val="222222"/>
          <w:sz w:val="18"/>
          <w:szCs w:val="20"/>
          <w:shd w:val="clear" w:color="auto" w:fill="FFFFFF"/>
        </w:rPr>
        <w:t>Palliative &amp; Supportive Care</w:t>
      </w:r>
      <w:r w:rsidRPr="0042081B">
        <w:rPr>
          <w:rFonts w:ascii="Georgia" w:hAnsi="Georgia"/>
          <w:color w:val="222222"/>
          <w:sz w:val="18"/>
          <w:szCs w:val="20"/>
          <w:shd w:val="clear" w:color="auto" w:fill="FFFFFF"/>
        </w:rPr>
        <w:t xml:space="preserve">, </w:t>
      </w:r>
      <w:r w:rsidRPr="0042081B">
        <w:rPr>
          <w:rFonts w:ascii="Georgia" w:hAnsi="Georgia"/>
          <w:i/>
          <w:iCs/>
          <w:color w:val="222222"/>
          <w:sz w:val="18"/>
          <w:szCs w:val="20"/>
          <w:shd w:val="clear" w:color="auto" w:fill="FFFFFF"/>
        </w:rPr>
        <w:t>17</w:t>
      </w:r>
      <w:r w:rsidRPr="0042081B">
        <w:rPr>
          <w:rFonts w:ascii="Georgia" w:hAnsi="Georgia"/>
          <w:color w:val="222222"/>
          <w:sz w:val="18"/>
          <w:szCs w:val="20"/>
          <w:shd w:val="clear" w:color="auto" w:fill="FFFFFF"/>
        </w:rPr>
        <w:t xml:space="preserve">(6), </w:t>
      </w:r>
      <w:r w:rsidR="00DF3289">
        <w:rPr>
          <w:rFonts w:ascii="Georgia" w:hAnsi="Georgia"/>
          <w:color w:val="222222"/>
          <w:sz w:val="18"/>
          <w:szCs w:val="20"/>
          <w:shd w:val="clear" w:color="auto" w:fill="FFFFFF"/>
        </w:rPr>
        <w:br/>
      </w:r>
      <w:r w:rsidRPr="0042081B">
        <w:rPr>
          <w:rFonts w:ascii="Georgia" w:hAnsi="Georgia"/>
          <w:color w:val="222222"/>
          <w:sz w:val="18"/>
          <w:szCs w:val="20"/>
          <w:shd w:val="clear" w:color="auto" w:fill="FFFFFF"/>
        </w:rPr>
        <w:t>655</w:t>
      </w:r>
      <w:r w:rsidRPr="0042081B">
        <w:rPr>
          <w:rFonts w:ascii="Georgia" w:hAnsi="Georgia"/>
          <w:sz w:val="18"/>
          <w:szCs w:val="20"/>
        </w:rPr>
        <w:t>–</w:t>
      </w:r>
      <w:r w:rsidRPr="0042081B">
        <w:rPr>
          <w:rFonts w:ascii="Georgia" w:hAnsi="Georgia"/>
          <w:color w:val="222222"/>
          <w:sz w:val="18"/>
          <w:szCs w:val="20"/>
          <w:shd w:val="clear" w:color="auto" w:fill="FFFFFF"/>
        </w:rPr>
        <w:t xml:space="preserve">661. </w:t>
      </w:r>
      <w:hyperlink w:history="1">
        <w:r w:rsidRPr="0042081B">
          <w:rPr>
            <w:rStyle w:val="Hyperlink"/>
            <w:rFonts w:ascii="Georgia" w:hAnsi="Georgia"/>
            <w:sz w:val="18"/>
            <w:szCs w:val="20"/>
            <w:shd w:val="clear" w:color="auto" w:fill="FFFFFF"/>
          </w:rPr>
          <w:t>https://doi.org/10.1017/s147895151900336</w:t>
        </w:r>
      </w:hyperlink>
    </w:p>
    <w:p w14:paraId="183140AD" w14:textId="77777777" w:rsidR="0042081B" w:rsidRPr="0042081B" w:rsidRDefault="0042081B" w:rsidP="00DF3289">
      <w:pPr>
        <w:bidi w:val="0"/>
        <w:spacing w:after="180"/>
        <w:ind w:left="397" w:hanging="397"/>
        <w:jc w:val="both"/>
        <w:rPr>
          <w:rFonts w:ascii="Georgia" w:hAnsi="Georgia"/>
          <w:sz w:val="18"/>
          <w:szCs w:val="20"/>
        </w:rPr>
      </w:pPr>
      <w:r w:rsidRPr="0042081B">
        <w:rPr>
          <w:rFonts w:ascii="Georgia" w:eastAsia="Calibri" w:hAnsi="Georgia"/>
          <w:sz w:val="18"/>
          <w:szCs w:val="20"/>
        </w:rPr>
        <w:t xml:space="preserve">Whitton, </w:t>
      </w:r>
      <w:r w:rsidRPr="0042081B">
        <w:rPr>
          <w:rFonts w:ascii="Georgia" w:hAnsi="Georgia"/>
          <w:sz w:val="18"/>
          <w:szCs w:val="20"/>
        </w:rPr>
        <w:t xml:space="preserve">L. S. (1994). Durable powers as hedge against guardianship: Should the attorney-at-law accept </w:t>
      </w:r>
      <w:proofErr w:type="gramStart"/>
      <w:r w:rsidRPr="0042081B">
        <w:rPr>
          <w:rFonts w:ascii="Georgia" w:hAnsi="Georgia"/>
          <w:sz w:val="18"/>
          <w:szCs w:val="20"/>
        </w:rPr>
        <w:t>appointment</w:t>
      </w:r>
      <w:proofErr w:type="gramEnd"/>
      <w:r w:rsidRPr="0042081B">
        <w:rPr>
          <w:rFonts w:ascii="Georgia" w:hAnsi="Georgia"/>
          <w:sz w:val="18"/>
          <w:szCs w:val="20"/>
        </w:rPr>
        <w:t xml:space="preserve"> as attorney-in-fact. </w:t>
      </w:r>
      <w:r w:rsidRPr="0042081B">
        <w:rPr>
          <w:rFonts w:ascii="Georgia" w:hAnsi="Georgia"/>
          <w:i/>
          <w:iCs/>
          <w:sz w:val="18"/>
          <w:szCs w:val="20"/>
        </w:rPr>
        <w:t>Elder Law Journal</w:t>
      </w:r>
      <w:r w:rsidRPr="0042081B">
        <w:rPr>
          <w:rFonts w:ascii="Georgia" w:hAnsi="Georgia"/>
          <w:sz w:val="18"/>
          <w:szCs w:val="20"/>
        </w:rPr>
        <w:t>,</w:t>
      </w:r>
      <w:r w:rsidRPr="0042081B">
        <w:rPr>
          <w:rFonts w:ascii="Georgia" w:hAnsi="Georgia"/>
          <w:i/>
          <w:iCs/>
          <w:sz w:val="18"/>
          <w:szCs w:val="20"/>
        </w:rPr>
        <w:t xml:space="preserve"> 2</w:t>
      </w:r>
      <w:r w:rsidRPr="0042081B">
        <w:rPr>
          <w:rFonts w:ascii="Georgia" w:hAnsi="Georgia"/>
          <w:sz w:val="18"/>
          <w:szCs w:val="20"/>
        </w:rPr>
        <w:t>(1), 39–68.</w:t>
      </w:r>
    </w:p>
    <w:p w14:paraId="4B1FA5A7" w14:textId="7ECE22FB" w:rsidR="0042081B" w:rsidRPr="0042081B" w:rsidRDefault="0042081B" w:rsidP="002C041F">
      <w:pPr>
        <w:bidi w:val="0"/>
        <w:spacing w:after="180"/>
        <w:ind w:left="397" w:hanging="397"/>
        <w:jc w:val="both"/>
        <w:rPr>
          <w:rFonts w:ascii="Georgia" w:hAnsi="Georgia"/>
          <w:sz w:val="18"/>
          <w:szCs w:val="20"/>
          <w:rtl/>
        </w:rPr>
      </w:pPr>
      <w:r w:rsidRPr="0042081B">
        <w:rPr>
          <w:rFonts w:ascii="Georgia" w:eastAsia="Calibri" w:hAnsi="Georgia"/>
          <w:sz w:val="18"/>
          <w:szCs w:val="20"/>
        </w:rPr>
        <w:t xml:space="preserve">Yadav </w:t>
      </w:r>
      <w:r w:rsidRPr="0042081B">
        <w:rPr>
          <w:rFonts w:ascii="Georgia" w:hAnsi="Georgia"/>
          <w:sz w:val="18"/>
          <w:szCs w:val="20"/>
        </w:rPr>
        <w:t xml:space="preserve">K. N., Gabler, N. B., Cooney, E., Kent, S., Kim, J., Herbst, N., Mante, A., Halpern, S. D., &amp; Courtright, K. R. (2017). Approximately one in three US adults completes any type of </w:t>
      </w:r>
      <w:proofErr w:type="gramStart"/>
      <w:r w:rsidRPr="0042081B">
        <w:rPr>
          <w:rFonts w:ascii="Georgia" w:hAnsi="Georgia"/>
          <w:sz w:val="18"/>
          <w:szCs w:val="20"/>
        </w:rPr>
        <w:t>advance</w:t>
      </w:r>
      <w:proofErr w:type="gramEnd"/>
      <w:r w:rsidRPr="0042081B">
        <w:rPr>
          <w:rFonts w:ascii="Georgia" w:hAnsi="Georgia"/>
          <w:sz w:val="18"/>
          <w:szCs w:val="20"/>
        </w:rPr>
        <w:t xml:space="preserve"> directive for end-of-life care. </w:t>
      </w:r>
      <w:r w:rsidRPr="0042081B">
        <w:rPr>
          <w:rFonts w:ascii="Georgia" w:hAnsi="Georgia"/>
          <w:i/>
          <w:iCs/>
          <w:sz w:val="18"/>
          <w:szCs w:val="20"/>
        </w:rPr>
        <w:t>Health Affairs</w:t>
      </w:r>
      <w:r w:rsidRPr="0042081B">
        <w:rPr>
          <w:rFonts w:ascii="Georgia" w:hAnsi="Georgia"/>
          <w:sz w:val="18"/>
          <w:szCs w:val="20"/>
        </w:rPr>
        <w:t>,</w:t>
      </w:r>
      <w:r w:rsidRPr="0042081B">
        <w:rPr>
          <w:rFonts w:ascii="Georgia" w:hAnsi="Georgia"/>
          <w:i/>
          <w:iCs/>
          <w:sz w:val="18"/>
          <w:szCs w:val="20"/>
        </w:rPr>
        <w:t xml:space="preserve"> 36</w:t>
      </w:r>
      <w:r w:rsidRPr="0042081B">
        <w:rPr>
          <w:rFonts w:ascii="Georgia" w:hAnsi="Georgia"/>
          <w:sz w:val="18"/>
          <w:szCs w:val="20"/>
        </w:rPr>
        <w:t xml:space="preserve">(7), 1244–1251. </w:t>
      </w:r>
      <w:hyperlink w:history="1">
        <w:r w:rsidRPr="0042081B">
          <w:rPr>
            <w:rStyle w:val="Hyperlink"/>
            <w:rFonts w:ascii="Georgia" w:hAnsi="Georgia"/>
            <w:sz w:val="18"/>
            <w:szCs w:val="20"/>
            <w:shd w:val="clear" w:color="auto" w:fill="FFFFFF"/>
          </w:rPr>
          <w:t>https://doi.org/10.1377/hlthaff.2017.0175</w:t>
        </w:r>
      </w:hyperlink>
    </w:p>
    <w:sectPr w:rsidR="0042081B" w:rsidRPr="0042081B" w:rsidSect="00823770">
      <w:headerReference w:type="even" r:id="rId55"/>
      <w:headerReference w:type="default" r:id="rId56"/>
      <w:footerReference w:type="even" r:id="rId57"/>
      <w:footerReference w:type="default" r:id="rId58"/>
      <w:headerReference w:type="first" r:id="rId59"/>
      <w:footerReference w:type="first" r:id="rId60"/>
      <w:pgSz w:w="11906" w:h="16838" w:code="9"/>
      <w:pgMar w:top="3515" w:right="2722" w:bottom="2948" w:left="2722" w:header="2665" w:footer="2665" w:gutter="0"/>
      <w:pgNumType w:start="4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B22EB4" w14:textId="77777777" w:rsidR="00EC4B8B" w:rsidRDefault="00EC4B8B">
      <w:pPr>
        <w:spacing w:line="240" w:lineRule="auto"/>
      </w:pPr>
      <w:r>
        <w:separator/>
      </w:r>
    </w:p>
  </w:endnote>
  <w:endnote w:type="continuationSeparator" w:id="0">
    <w:p w14:paraId="41617891" w14:textId="77777777" w:rsidR="00EC4B8B" w:rsidRDefault="00EC4B8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D62BF" w14:textId="77777777" w:rsidR="00823770" w:rsidRDefault="0082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0641" w14:textId="77777777" w:rsidR="00823770" w:rsidRDefault="008237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F03E4" w14:textId="29DE8A2B" w:rsidR="00042A45" w:rsidRPr="00A17DA2" w:rsidRDefault="001734F4" w:rsidP="001734F4">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124</w:t>
    </w:r>
    <w:r w:rsidRPr="0090645A">
      <w:rPr>
        <w:rFonts w:hint="cs"/>
        <w:sz w:val="16"/>
        <w:szCs w:val="16"/>
        <w:rtl/>
      </w:rPr>
      <w:t xml:space="preserve">, </w:t>
    </w:r>
    <w:r w:rsidR="00883DA5">
      <w:rPr>
        <w:rFonts w:hint="cs"/>
        <w:sz w:val="16"/>
        <w:szCs w:val="16"/>
        <w:rtl/>
      </w:rPr>
      <w:t>פברואר 2025</w:t>
    </w:r>
    <w:r w:rsidR="00823770">
      <w:rPr>
        <w:rFonts w:hint="cs"/>
        <w:sz w:val="16"/>
        <w:szCs w:val="16"/>
        <w:rtl/>
      </w:rPr>
      <w:t>: 73-41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14C1BB" w14:textId="77777777" w:rsidR="00EC4B8B" w:rsidRDefault="00EC4B8B" w:rsidP="00A04D35">
      <w:pPr>
        <w:spacing w:before="120" w:after="80"/>
        <w:rPr>
          <w:rFonts w:cs="FrankRuehl"/>
          <w:sz w:val="18"/>
          <w:szCs w:val="18"/>
        </w:rPr>
      </w:pPr>
      <w:r>
        <w:rPr>
          <w:rFonts w:cs="FrankRuehl" w:hint="cs"/>
          <w:sz w:val="18"/>
          <w:szCs w:val="18"/>
          <w:rtl/>
        </w:rPr>
        <w:t>_____________</w:t>
      </w:r>
    </w:p>
  </w:footnote>
  <w:footnote w:type="continuationSeparator" w:id="0">
    <w:p w14:paraId="28BE226F" w14:textId="77777777" w:rsidR="00EC4B8B" w:rsidRDefault="00EC4B8B">
      <w:r>
        <w:continuationSeparator/>
      </w:r>
    </w:p>
  </w:footnote>
  <w:footnote w:type="continuationNotice" w:id="1">
    <w:p w14:paraId="0D5ACB8B" w14:textId="77777777" w:rsidR="00EC4B8B" w:rsidRDefault="00EC4B8B">
      <w:pPr>
        <w:rPr>
          <w:rtl/>
        </w:rPr>
      </w:pPr>
    </w:p>
  </w:footnote>
  <w:footnote w:id="2">
    <w:p w14:paraId="6F9E8FD7" w14:textId="16F58CD0" w:rsidR="0042081B" w:rsidRDefault="0042081B" w:rsidP="0042081B">
      <w:pPr>
        <w:pStyle w:val="FootnoteText"/>
        <w:keepLines/>
        <w:spacing w:after="120" w:line="200" w:lineRule="exact"/>
        <w:ind w:left="397" w:hanging="397"/>
        <w:jc w:val="both"/>
      </w:pPr>
      <w:r>
        <w:rPr>
          <w:rStyle w:val="FootnoteReference"/>
          <w:rtl/>
        </w:rPr>
        <w:t>*</w:t>
      </w:r>
      <w:r>
        <w:rPr>
          <w:rtl/>
        </w:rPr>
        <w:t xml:space="preserve"> </w:t>
      </w:r>
      <w:r>
        <w:rPr>
          <w:rtl/>
        </w:rPr>
        <w:tab/>
      </w:r>
      <w:r w:rsidRPr="0042081B">
        <w:rPr>
          <w:rStyle w:val="FootnoteReference"/>
          <w:rFonts w:ascii="Georgia" w:hAnsi="Georgia" w:cs="David"/>
          <w:sz w:val="14"/>
          <w:szCs w:val="16"/>
          <w:vertAlign w:val="baseline"/>
          <w:rtl/>
        </w:rPr>
        <w:t>המאמר מבוסס על נתונים שנאספו במסגרת מחקר שבוצע בהנחייתו של פרופ' ישראל (איסי) דורון, החוג לגרונטולוגיה, הפקולטה למדעי הרווחה והבריאות, אוניברסיטת חיפה</w:t>
      </w:r>
    </w:p>
  </w:footnote>
  <w:footnote w:id="3">
    <w:p w14:paraId="2000B534" w14:textId="2448E279" w:rsidR="0042081B" w:rsidRPr="0042081B" w:rsidRDefault="0042081B" w:rsidP="00EF3558">
      <w:pPr>
        <w:pStyle w:val="FootnoteText"/>
        <w:keepLines/>
        <w:spacing w:after="120"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דוקטורנטית, החוג לגרונטולוגיה, הפקולטה למדעי הרווחה והבריאות, אוניברסיטת חיפה </w:t>
      </w:r>
    </w:p>
  </w:footnote>
  <w:footnote w:id="4">
    <w:p w14:paraId="5634614F" w14:textId="3FC2FEE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מוכר גם כ-</w:t>
      </w:r>
      <w:r w:rsidRPr="0042081B">
        <w:rPr>
          <w:rStyle w:val="FootnoteReference"/>
          <w:rFonts w:ascii="Georgia" w:hAnsi="Georgia" w:cs="David"/>
          <w:sz w:val="14"/>
          <w:szCs w:val="16"/>
          <w:vertAlign w:val="baseline"/>
        </w:rPr>
        <w:t>durable power of attorney</w:t>
      </w:r>
      <w:r w:rsidRPr="0042081B">
        <w:rPr>
          <w:rStyle w:val="FootnoteReference"/>
          <w:rFonts w:ascii="Georgia" w:hAnsi="Georgia" w:cs="David" w:hint="cs"/>
          <w:sz w:val="14"/>
          <w:szCs w:val="16"/>
          <w:vertAlign w:val="baseline"/>
          <w:rtl/>
        </w:rPr>
        <w:t xml:space="preserve">, או </w:t>
      </w:r>
      <w:r w:rsidRPr="0042081B">
        <w:rPr>
          <w:rStyle w:val="FootnoteReference"/>
          <w:rFonts w:ascii="Georgia" w:hAnsi="Georgia" w:cs="David"/>
          <w:sz w:val="14"/>
          <w:szCs w:val="16"/>
          <w:vertAlign w:val="baseline"/>
        </w:rPr>
        <w:t>lasting power of attorney</w:t>
      </w:r>
      <w:r w:rsidRPr="0042081B">
        <w:rPr>
          <w:rStyle w:val="FootnoteReference"/>
          <w:rFonts w:ascii="Georgia" w:hAnsi="Georgia" w:cs="David" w:hint="cs"/>
          <w:sz w:val="14"/>
          <w:szCs w:val="16"/>
          <w:vertAlign w:val="baseline"/>
          <w:rtl/>
        </w:rPr>
        <w:t xml:space="preserve"> </w:t>
      </w:r>
    </w:p>
  </w:footnote>
  <w:footnote w:id="5">
    <w:p w14:paraId="3285F03D" w14:textId="0B655634"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Pr>
      </w:pPr>
      <w:r w:rsidRPr="0042081B">
        <w:rPr>
          <w:rStyle w:val="FootnoteReference"/>
          <w:rFonts w:ascii="David" w:hAnsi="David" w:cs="David"/>
          <w:sz w:val="16"/>
          <w:szCs w:val="16"/>
          <w:vertAlign w:val="baseline"/>
        </w:rPr>
        <w:footnoteRef/>
      </w:r>
      <w:r w:rsidRPr="0042081B">
        <w:rPr>
          <w:rStyle w:val="FootnoteReference"/>
          <w:rFonts w:ascii="Georgia" w:hAnsi="Georgia" w:cs="David" w:hint="cs"/>
          <w:sz w:val="14"/>
          <w:szCs w:val="16"/>
          <w:vertAlign w:val="baseline"/>
          <w:rtl/>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ס"ח תשע"ו 2550, מיום</w:t>
      </w:r>
      <w:r w:rsidRPr="0042081B">
        <w:rPr>
          <w:rStyle w:val="FootnoteReference"/>
          <w:rFonts w:ascii="Georgia" w:hAnsi="Georgia" w:cs="David" w:hint="cs"/>
          <w:sz w:val="14"/>
          <w:szCs w:val="16"/>
          <w:vertAlign w:val="baseline"/>
          <w:rtl/>
        </w:rPr>
        <w:t xml:space="preserve"> 11 באפריל 2016.</w:t>
      </w:r>
    </w:p>
  </w:footnote>
  <w:footnote w:id="6">
    <w:p w14:paraId="575E1426" w14:textId="79C2048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רא</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 xml:space="preserve"> </w:t>
      </w:r>
      <w:bookmarkStart w:id="2" w:name="_Hlk185435516"/>
      <w:r w:rsidRPr="0042081B">
        <w:rPr>
          <w:rStyle w:val="FootnoteReference"/>
          <w:rFonts w:ascii="Georgia" w:hAnsi="Georgia" w:cs="David"/>
          <w:sz w:val="14"/>
          <w:szCs w:val="16"/>
          <w:vertAlign w:val="baseline"/>
          <w:rtl/>
        </w:rPr>
        <w:t>הצ</w:t>
      </w:r>
      <w:r w:rsidRPr="0042081B">
        <w:rPr>
          <w:rStyle w:val="FootnoteReference"/>
          <w:rFonts w:ascii="Georgia" w:hAnsi="Georgia" w:cs="David" w:hint="cs"/>
          <w:sz w:val="14"/>
          <w:szCs w:val="16"/>
          <w:vertAlign w:val="baseline"/>
          <w:rtl/>
        </w:rPr>
        <w:t>עת חוק</w:t>
      </w:r>
      <w:r w:rsidRPr="0042081B">
        <w:rPr>
          <w:rStyle w:val="FootnoteReference"/>
          <w:rFonts w:ascii="Georgia" w:hAnsi="Georgia" w:cs="David"/>
          <w:sz w:val="14"/>
          <w:szCs w:val="16"/>
          <w:vertAlign w:val="baseline"/>
          <w:rtl/>
        </w:rPr>
        <w:t xml:space="preserve"> הממשלה תשע"ה מס' 890 מיום</w:t>
      </w:r>
      <w:r w:rsidRPr="0042081B">
        <w:rPr>
          <w:rStyle w:val="FootnoteReference"/>
          <w:rFonts w:ascii="Georgia" w:hAnsi="Georgia" w:cs="David" w:hint="cs"/>
          <w:sz w:val="14"/>
          <w:szCs w:val="16"/>
          <w:vertAlign w:val="baseline"/>
          <w:rtl/>
        </w:rPr>
        <w:t xml:space="preserve"> 27 באוקטובר 2014</w:t>
      </w:r>
      <w:r w:rsidRPr="0042081B">
        <w:rPr>
          <w:rStyle w:val="FootnoteReference"/>
          <w:rFonts w:ascii="Georgia" w:hAnsi="Georgia" w:cs="David"/>
          <w:sz w:val="14"/>
          <w:szCs w:val="16"/>
          <w:vertAlign w:val="baseline"/>
          <w:rtl/>
        </w:rPr>
        <w:t xml:space="preserve">, </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 xml:space="preserve">דברי ההסבר </w:t>
      </w:r>
      <w:bookmarkEnd w:id="2"/>
      <w:r w:rsidRPr="0042081B">
        <w:rPr>
          <w:rStyle w:val="FootnoteReference"/>
          <w:rFonts w:ascii="Georgia" w:hAnsi="Georgia" w:cs="David"/>
          <w:sz w:val="14"/>
          <w:szCs w:val="16"/>
          <w:vertAlign w:val="baseline"/>
          <w:rtl/>
        </w:rPr>
        <w:t>בעמ' 2</w:t>
      </w:r>
      <w:r w:rsidRPr="0042081B">
        <w:rPr>
          <w:rStyle w:val="FootnoteReference"/>
          <w:rFonts w:ascii="Georgia" w:hAnsi="Georgia" w:cs="David" w:hint="cs"/>
          <w:sz w:val="14"/>
          <w:szCs w:val="16"/>
          <w:vertAlign w:val="baseline"/>
          <w:rtl/>
        </w:rPr>
        <w:t>–</w:t>
      </w:r>
      <w:r w:rsidRPr="0042081B">
        <w:rPr>
          <w:rStyle w:val="FootnoteReference"/>
          <w:rFonts w:ascii="Georgia" w:hAnsi="Georgia" w:cs="David"/>
          <w:sz w:val="14"/>
          <w:szCs w:val="16"/>
          <w:vertAlign w:val="baseline"/>
          <w:rtl/>
        </w:rPr>
        <w:t>5.</w:t>
      </w:r>
    </w:p>
  </w:footnote>
  <w:footnote w:id="7">
    <w:p w14:paraId="4F37D44A" w14:textId="1CDBFC6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המודל התאורטי של אמביוולנטיות בין-דורית מניח שמערכות יחסים בין-דוריות במשפחה מתאפיינות במורכבות של רגשות, ערכים ומוטיבציות. אלה כוללים היבטים סותרים של סולידריות וקונפליקט אשר מתקיימים בד בבד, זה לצד זה, ויוצרים לפיכך מתחים פנימיים, המובנים אל תוך מערכות היחסים (</w:t>
      </w:r>
      <w:bookmarkStart w:id="4" w:name="_Hlk66387803"/>
      <w:r w:rsidRPr="0042081B">
        <w:rPr>
          <w:rStyle w:val="FootnoteReference"/>
          <w:rFonts w:ascii="Georgia" w:hAnsi="Georgia" w:cs="David"/>
          <w:sz w:val="14"/>
          <w:szCs w:val="16"/>
          <w:vertAlign w:val="baseline"/>
        </w:rPr>
        <w:t>Luscher &amp; Pillemer, 1998</w:t>
      </w:r>
      <w:bookmarkEnd w:id="4"/>
      <w:r w:rsidRPr="0042081B">
        <w:rPr>
          <w:rStyle w:val="FootnoteReference"/>
          <w:rFonts w:ascii="Georgia" w:hAnsi="Georgia" w:cs="David" w:hint="cs"/>
          <w:sz w:val="14"/>
          <w:szCs w:val="16"/>
          <w:vertAlign w:val="baseline"/>
          <w:rtl/>
        </w:rPr>
        <w:t xml:space="preserve">). המחקר שבוצע שפך אור על המתחים הפנימיים שהתקיימו בהקשר של עשיית ייפוי הכוח המתמשך </w:t>
      </w:r>
      <w:proofErr w:type="spellStart"/>
      <w:r w:rsidRPr="0042081B">
        <w:rPr>
          <w:rStyle w:val="FootnoteReference"/>
          <w:rFonts w:ascii="Georgia" w:hAnsi="Georgia" w:cs="David" w:hint="cs"/>
          <w:sz w:val="14"/>
          <w:szCs w:val="16"/>
          <w:vertAlign w:val="baseline"/>
          <w:rtl/>
        </w:rPr>
        <w:t>בזיקנה</w:t>
      </w:r>
      <w:proofErr w:type="spellEnd"/>
      <w:r w:rsidRPr="0042081B">
        <w:rPr>
          <w:rStyle w:val="FootnoteReference"/>
          <w:rFonts w:ascii="Georgia" w:hAnsi="Georgia" w:cs="David" w:hint="cs"/>
          <w:sz w:val="14"/>
          <w:szCs w:val="16"/>
          <w:vertAlign w:val="baseline"/>
          <w:rtl/>
        </w:rPr>
        <w:t xml:space="preserve">, והבהיר את הפוטנציאל של הכלי להפחתתם (דורון ודורון, 2022). </w:t>
      </w:r>
    </w:p>
  </w:footnote>
  <w:footnote w:id="8">
    <w:p w14:paraId="2BD7F699" w14:textId="726EF20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מיעוט מחקרים אמפיריים בנושא, כמו גם תת-דיווח, מקשים על האפשרות לעמוד באופן מלא על היקפי הניצול לרעה של הכלי, מאפייני הניצול והגורמים לו (</w:t>
      </w:r>
      <w:r w:rsidRPr="0042081B">
        <w:rPr>
          <w:rStyle w:val="FootnoteReference"/>
          <w:rFonts w:ascii="Georgia" w:hAnsi="Georgia" w:cs="David"/>
          <w:sz w:val="14"/>
          <w:szCs w:val="16"/>
          <w:vertAlign w:val="baseline"/>
        </w:rPr>
        <w:t>Mann, 2022; Reis, 2022; Stelma-Roorda, 2021</w:t>
      </w:r>
      <w:r w:rsidRPr="0042081B">
        <w:rPr>
          <w:rStyle w:val="FootnoteReference"/>
          <w:rFonts w:ascii="Georgia" w:hAnsi="Georgia" w:cs="David" w:hint="cs"/>
          <w:sz w:val="14"/>
          <w:szCs w:val="16"/>
          <w:vertAlign w:val="baseline"/>
          <w:rtl/>
        </w:rPr>
        <w:t>).</w:t>
      </w:r>
    </w:p>
  </w:footnote>
  <w:footnote w:id="9">
    <w:p w14:paraId="171C0BA6" w14:textId="4ED38589"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בספרות המחקר, המונח </w:t>
      </w:r>
      <w:r w:rsidRPr="0042081B">
        <w:rPr>
          <w:rStyle w:val="FootnoteReference"/>
          <w:rFonts w:ascii="Georgia" w:hAnsi="Georgia" w:cs="David"/>
          <w:sz w:val="14"/>
          <w:szCs w:val="16"/>
          <w:vertAlign w:val="baseline"/>
        </w:rPr>
        <w:t>surrogate decision maker</w:t>
      </w:r>
      <w:r w:rsidRPr="0042081B">
        <w:rPr>
          <w:rStyle w:val="FootnoteReference"/>
          <w:rFonts w:ascii="Georgia" w:hAnsi="Georgia" w:cs="David" w:hint="cs"/>
          <w:sz w:val="14"/>
          <w:szCs w:val="16"/>
          <w:vertAlign w:val="baseline"/>
          <w:rtl/>
        </w:rPr>
        <w:t xml:space="preserve"> משמש לצורך התייחסות למקבל החלטות חלופי במסגרת מגוון של כלי תכנון ומניעה משפטיים, ובהם גם ייפוי כוח מתמשך, ולעיתים אף לצורך התייחסות למקבל החלטות חלופי בלתי פורמלי </w:t>
      </w:r>
      <w:r w:rsidRPr="0042081B">
        <w:rPr>
          <w:rStyle w:val="FootnoteReference"/>
          <w:rFonts w:ascii="Georgia" w:hAnsi="Georgia" w:cs="David" w:hint="eastAsia"/>
          <w:sz w:val="14"/>
          <w:szCs w:val="16"/>
          <w:vertAlign w:val="baseline"/>
          <w:rtl/>
        </w:rPr>
        <w:t>–</w:t>
      </w:r>
      <w:r w:rsidRPr="0042081B">
        <w:rPr>
          <w:rStyle w:val="FootnoteReference"/>
          <w:rFonts w:ascii="Georgia" w:hAnsi="Georgia" w:cs="David" w:hint="cs"/>
          <w:sz w:val="14"/>
          <w:szCs w:val="16"/>
          <w:vertAlign w:val="baseline"/>
          <w:rtl/>
        </w:rPr>
        <w:t xml:space="preserve"> שתפקידו לא הוסדר במסגרת כלי תכנון ומניעה משפטיים פורמליים. בהקשר של ייפוי כוח מתמשך נעשה לעיתים שימוש גם במונחים </w:t>
      </w:r>
      <w:r w:rsidRPr="0042081B">
        <w:rPr>
          <w:rStyle w:val="FootnoteReference"/>
          <w:rFonts w:ascii="Georgia" w:hAnsi="Georgia" w:cs="David"/>
          <w:sz w:val="14"/>
          <w:szCs w:val="16"/>
          <w:vertAlign w:val="baseline"/>
        </w:rPr>
        <w:t>agent</w:t>
      </w:r>
      <w:r w:rsidRPr="0042081B">
        <w:rPr>
          <w:rStyle w:val="FootnoteReference"/>
          <w:rFonts w:ascii="Georgia" w:hAnsi="Georgia" w:cs="David" w:hint="cs"/>
          <w:sz w:val="14"/>
          <w:szCs w:val="16"/>
          <w:vertAlign w:val="baseline"/>
          <w:rtl/>
        </w:rPr>
        <w:t xml:space="preserve">, או </w:t>
      </w:r>
      <w:r w:rsidRPr="0042081B">
        <w:rPr>
          <w:rStyle w:val="FootnoteReference"/>
          <w:rFonts w:ascii="Georgia" w:hAnsi="Georgia" w:cs="David"/>
          <w:sz w:val="14"/>
          <w:szCs w:val="16"/>
          <w:vertAlign w:val="baseline"/>
        </w:rPr>
        <w:t xml:space="preserve"> proxy</w:t>
      </w:r>
      <w:r w:rsidRPr="0042081B">
        <w:rPr>
          <w:rStyle w:val="FootnoteReference"/>
          <w:rFonts w:ascii="Georgia" w:hAnsi="Georgia" w:cs="David" w:hint="cs"/>
          <w:sz w:val="14"/>
          <w:szCs w:val="16"/>
          <w:vertAlign w:val="baseline"/>
          <w:rtl/>
        </w:rPr>
        <w:t>(</w:t>
      </w:r>
      <w:r w:rsidRPr="0042081B">
        <w:rPr>
          <w:rStyle w:val="FootnoteReference"/>
          <w:rFonts w:ascii="Georgia" w:hAnsi="Georgia" w:cs="David"/>
          <w:sz w:val="14"/>
          <w:szCs w:val="16"/>
          <w:vertAlign w:val="baseline"/>
        </w:rPr>
        <w:t>Carter, 2023; Davies et al., 2021; Lum et al., 2015</w:t>
      </w:r>
      <w:r w:rsidRPr="0042081B">
        <w:rPr>
          <w:rStyle w:val="FootnoteReference"/>
          <w:rFonts w:ascii="Georgia" w:hAnsi="Georgia" w:cs="David" w:hint="cs"/>
          <w:sz w:val="14"/>
          <w:szCs w:val="16"/>
          <w:vertAlign w:val="baseline"/>
          <w:rtl/>
        </w:rPr>
        <w:t xml:space="preserve">). </w:t>
      </w:r>
    </w:p>
  </w:footnote>
  <w:footnote w:id="10">
    <w:p w14:paraId="29F79E65" w14:textId="60B25A40"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הצ</w:t>
      </w:r>
      <w:r w:rsidRPr="0042081B">
        <w:rPr>
          <w:rStyle w:val="FootnoteReference"/>
          <w:rFonts w:ascii="Georgia" w:hAnsi="Georgia" w:cs="David" w:hint="cs"/>
          <w:sz w:val="14"/>
          <w:szCs w:val="16"/>
          <w:vertAlign w:val="baseline"/>
          <w:rtl/>
        </w:rPr>
        <w:t>עת חוק</w:t>
      </w:r>
      <w:r w:rsidRPr="0042081B">
        <w:rPr>
          <w:rStyle w:val="FootnoteReference"/>
          <w:rFonts w:ascii="Georgia" w:hAnsi="Georgia" w:cs="David"/>
          <w:sz w:val="14"/>
          <w:szCs w:val="16"/>
          <w:vertAlign w:val="baseline"/>
          <w:rtl/>
        </w:rPr>
        <w:t xml:space="preserve"> הממשלה תשע"ה מס' 890 מיום</w:t>
      </w:r>
      <w:r w:rsidRPr="0042081B">
        <w:rPr>
          <w:rStyle w:val="FootnoteReference"/>
          <w:rFonts w:ascii="Georgia" w:hAnsi="Georgia" w:cs="David" w:hint="cs"/>
          <w:sz w:val="14"/>
          <w:szCs w:val="16"/>
          <w:vertAlign w:val="baseline"/>
          <w:rtl/>
        </w:rPr>
        <w:t xml:space="preserve"> 27 באוקטובר 2014</w:t>
      </w:r>
      <w:r w:rsidRPr="0042081B">
        <w:rPr>
          <w:rStyle w:val="FootnoteReference"/>
          <w:rFonts w:ascii="Georgia" w:hAnsi="Georgia" w:cs="David"/>
          <w:sz w:val="14"/>
          <w:szCs w:val="16"/>
          <w:vertAlign w:val="baseline"/>
          <w:rtl/>
        </w:rPr>
        <w:t xml:space="preserve">, </w:t>
      </w:r>
      <w:r w:rsidRPr="0042081B">
        <w:rPr>
          <w:rStyle w:val="FootnoteReference"/>
          <w:rFonts w:ascii="Georgia" w:hAnsi="Georgia" w:cs="David" w:hint="cs"/>
          <w:sz w:val="14"/>
          <w:szCs w:val="16"/>
          <w:vertAlign w:val="baseline"/>
          <w:rtl/>
        </w:rPr>
        <w:t>ו</w:t>
      </w:r>
      <w:r w:rsidRPr="0042081B">
        <w:rPr>
          <w:rStyle w:val="FootnoteReference"/>
          <w:rFonts w:ascii="Georgia" w:hAnsi="Georgia" w:cs="David"/>
          <w:sz w:val="14"/>
          <w:szCs w:val="16"/>
          <w:vertAlign w:val="baseline"/>
          <w:rtl/>
        </w:rPr>
        <w:t>דברי ההסבר</w:t>
      </w:r>
      <w:r w:rsidRPr="0042081B">
        <w:rPr>
          <w:rStyle w:val="FootnoteReference"/>
          <w:rFonts w:ascii="Georgia" w:hAnsi="Georgia" w:cs="David" w:hint="cs"/>
          <w:sz w:val="14"/>
          <w:szCs w:val="16"/>
          <w:vertAlign w:val="baseline"/>
          <w:rtl/>
        </w:rPr>
        <w:t xml:space="preserve"> בעמ' 2</w:t>
      </w:r>
      <w:r w:rsidRPr="0042081B">
        <w:rPr>
          <w:rStyle w:val="FootnoteReference"/>
          <w:rFonts w:ascii="Georgia" w:hAnsi="Georgia" w:cs="David" w:hint="eastAsia"/>
          <w:sz w:val="14"/>
          <w:szCs w:val="16"/>
          <w:vertAlign w:val="baseline"/>
          <w:rtl/>
        </w:rPr>
        <w:t>–</w:t>
      </w:r>
      <w:r w:rsidRPr="0042081B">
        <w:rPr>
          <w:rStyle w:val="FootnoteReference"/>
          <w:rFonts w:ascii="Georgia" w:hAnsi="Georgia" w:cs="David" w:hint="cs"/>
          <w:sz w:val="14"/>
          <w:szCs w:val="16"/>
          <w:vertAlign w:val="baseline"/>
          <w:rtl/>
        </w:rPr>
        <w:t>3.</w:t>
      </w:r>
    </w:p>
  </w:footnote>
  <w:footnote w:id="11">
    <w:p w14:paraId="1B846049" w14:textId="24FE52DE"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סעיף 32ב(ב) לחוק.</w:t>
      </w:r>
    </w:p>
  </w:footnote>
  <w:footnote w:id="12">
    <w:p w14:paraId="406E90F5" w14:textId="63DE424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Georgia" w:hAnsi="Georgia"/>
          <w:sz w:val="14"/>
          <w:szCs w:val="16"/>
          <w:vertAlign w:val="baseline"/>
        </w:rPr>
        <w:t xml:space="preserve"> </w:t>
      </w: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יצוין כי תחולה דומה של התיקון לחוק לא נקבעה בנוגע למתן הוראות מקדימות מכוח חוק החולה הנוטה למות, התשס"ו-2005, וכי התיקון לחוק מחריג מייפוי הכוח המתמשך כל פעולה או הבעת רצון לפי חוק החולה הנוטה למות. </w:t>
      </w:r>
    </w:p>
  </w:footnote>
  <w:footnote w:id="13">
    <w:p w14:paraId="6CBBE8EF" w14:textId="13CA8F15"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חריג לכך הוא ייפוי כוח רפואי, אשר יכול להיחתם גם בפני בעל מקצוע כהגדרתו בחוק. </w:t>
      </w:r>
    </w:p>
  </w:footnote>
  <w:footnote w:id="14">
    <w:p w14:paraId="7FE4022B" w14:textId="156461F0"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פרק שני1 לחוק.</w:t>
      </w:r>
    </w:p>
  </w:footnote>
  <w:footnote w:id="15">
    <w:p w14:paraId="69343ACF" w14:textId="627EF814"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פרק שני1, סימן ב', סעיפים 32ב-32ג לחוק. </w:t>
      </w:r>
    </w:p>
  </w:footnote>
  <w:footnote w:id="16">
    <w:p w14:paraId="13C0F589" w14:textId="5D550F9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פרק שני1, סימן ב', סעיף 32ד לחוק.</w:t>
      </w:r>
    </w:p>
  </w:footnote>
  <w:footnote w:id="17">
    <w:p w14:paraId="6C98568B" w14:textId="03CBE72A"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פרק שני1, סימן ב', סעיף 32ה לחוק. </w:t>
      </w:r>
    </w:p>
  </w:footnote>
  <w:footnote w:id="18">
    <w:p w14:paraId="2B3D012B" w14:textId="2DC42768"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hint="cs"/>
          <w:sz w:val="14"/>
          <w:szCs w:val="16"/>
          <w:vertAlign w:val="baseline"/>
          <w:rtl/>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מחקר זה היה מחקר איכותני שהתבצע בשני מרכזי טיפול נמרץ במזרח ארצות הברית. גילי המטופלים שהשתתפו במחקר לא דווחו במאמר, ומשכך אין להניח שמדובר בהכרח במטופלים שהם זקנים. </w:t>
      </w:r>
    </w:p>
  </w:footnote>
  <w:footnote w:id="19">
    <w:p w14:paraId="5E628D09" w14:textId="1CC727AD"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sz w:val="14"/>
          <w:szCs w:val="16"/>
          <w:vertAlign w:val="baseline"/>
          <w:rtl/>
        </w:rPr>
        <w:t xml:space="preserve">יוער כי לעיתים האסטרטגיה הננקטת ביחס לכך היא שונה. למשל, אחת המרואיינות בחרה למנות את אחד מילדיה </w:t>
      </w:r>
      <w:r w:rsidRPr="0042081B">
        <w:rPr>
          <w:rStyle w:val="FootnoteReference"/>
          <w:rFonts w:ascii="Georgia" w:hAnsi="Georgia" w:cs="David" w:hint="cs"/>
          <w:sz w:val="14"/>
          <w:szCs w:val="16"/>
          <w:vertAlign w:val="baseline"/>
          <w:rtl/>
        </w:rPr>
        <w:t>ל</w:t>
      </w:r>
      <w:r w:rsidRPr="0042081B">
        <w:rPr>
          <w:rStyle w:val="FootnoteReference"/>
          <w:rFonts w:ascii="Georgia" w:hAnsi="Georgia" w:cs="David"/>
          <w:sz w:val="14"/>
          <w:szCs w:val="16"/>
          <w:vertAlign w:val="baseline"/>
          <w:rtl/>
        </w:rPr>
        <w:t xml:space="preserve">מיופה כוחה, והילדים האחרים נקבעו בייפוי הכוח המתמשך </w:t>
      </w:r>
      <w:r w:rsidRPr="0042081B">
        <w:rPr>
          <w:rStyle w:val="FootnoteReference"/>
          <w:rFonts w:ascii="Georgia" w:hAnsi="Georgia" w:cs="David" w:hint="cs"/>
          <w:sz w:val="14"/>
          <w:szCs w:val="16"/>
          <w:vertAlign w:val="baseline"/>
          <w:rtl/>
        </w:rPr>
        <w:t>ל</w:t>
      </w:r>
      <w:r w:rsidRPr="0042081B">
        <w:rPr>
          <w:rStyle w:val="FootnoteReference"/>
          <w:rFonts w:ascii="Georgia" w:hAnsi="Georgia" w:cs="David"/>
          <w:sz w:val="14"/>
          <w:szCs w:val="16"/>
          <w:vertAlign w:val="baseline"/>
          <w:rtl/>
        </w:rPr>
        <w:t>מיודעים, כדי להבטיח שאם יופעל ייפוי הכוח המתמשך, פעולותיו של מיופה הכוח מכוחו יהיו גלויות בפניהם.</w:t>
      </w:r>
    </w:p>
  </w:footnote>
  <w:footnote w:id="20">
    <w:p w14:paraId="05C977E0" w14:textId="57572FFB" w:rsidR="0042081B" w:rsidRPr="0042081B" w:rsidRDefault="0042081B" w:rsidP="0042081B">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 xml:space="preserve"> </w:t>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אסטרטגיה נוספת למניעת קונפליקטים עתידיים מסוג זה, שעלתה אף היא מן הראיונות, </w:t>
      </w:r>
      <w:proofErr w:type="spellStart"/>
      <w:r w:rsidRPr="0042081B">
        <w:rPr>
          <w:rStyle w:val="FootnoteReference"/>
          <w:rFonts w:ascii="Georgia" w:hAnsi="Georgia" w:cs="David" w:hint="cs"/>
          <w:sz w:val="14"/>
          <w:szCs w:val="16"/>
          <w:vertAlign w:val="baseline"/>
          <w:rtl/>
        </w:rPr>
        <w:t>היתה</w:t>
      </w:r>
      <w:proofErr w:type="spellEnd"/>
      <w:r w:rsidRPr="0042081B">
        <w:rPr>
          <w:rStyle w:val="FootnoteReference"/>
          <w:rFonts w:ascii="Georgia" w:hAnsi="Georgia" w:cs="David" w:hint="cs"/>
          <w:sz w:val="14"/>
          <w:szCs w:val="16"/>
          <w:vertAlign w:val="baseline"/>
          <w:rtl/>
        </w:rPr>
        <w:t xml:space="preserve"> לקבוע את בן המשפחה שלא מונה לתפקיד מיופה הכוח כמיודע, על מנת שלא להותיר אותו "מחוץ לתמונה". </w:t>
      </w:r>
    </w:p>
  </w:footnote>
  <w:footnote w:id="21">
    <w:p w14:paraId="1D088B8B" w14:textId="0A08EF68" w:rsidR="0042081B" w:rsidRPr="0042081B" w:rsidRDefault="0042081B" w:rsidP="009B5201">
      <w:pPr>
        <w:pStyle w:val="FootnoteText"/>
        <w:keepLines/>
        <w:spacing w:line="200" w:lineRule="exact"/>
        <w:ind w:left="397" w:hanging="397"/>
        <w:jc w:val="both"/>
        <w:rPr>
          <w:rStyle w:val="FootnoteReference"/>
          <w:rFonts w:ascii="Georgia" w:hAnsi="Georgia" w:cs="David"/>
          <w:sz w:val="14"/>
          <w:szCs w:val="16"/>
          <w:vertAlign w:val="baseline"/>
          <w:rtl/>
        </w:rPr>
      </w:pPr>
      <w:r w:rsidRPr="0042081B">
        <w:rPr>
          <w:rStyle w:val="FootnoteReference"/>
          <w:rFonts w:ascii="David" w:hAnsi="David" w:cs="David"/>
          <w:sz w:val="16"/>
          <w:szCs w:val="16"/>
          <w:vertAlign w:val="baseline"/>
        </w:rPr>
        <w:footnoteRef/>
      </w:r>
      <w:r w:rsidRPr="0042081B">
        <w:rPr>
          <w:rStyle w:val="FootnoteReference"/>
          <w:rFonts w:ascii="Georgia" w:hAnsi="Georgia" w:cs="David"/>
          <w:sz w:val="14"/>
          <w:szCs w:val="16"/>
          <w:vertAlign w:val="baseline"/>
        </w:rPr>
        <w:tab/>
      </w:r>
      <w:r w:rsidRPr="0042081B">
        <w:rPr>
          <w:rStyle w:val="FootnoteReference"/>
          <w:rFonts w:ascii="Georgia" w:hAnsi="Georgia" w:cs="David" w:hint="cs"/>
          <w:sz w:val="14"/>
          <w:szCs w:val="16"/>
          <w:vertAlign w:val="baseline"/>
          <w:rtl/>
        </w:rPr>
        <w:t xml:space="preserve">בהקשר זה יוער כי נמצא שריחוק גיאוגרפי הוא בעל השפעה על מערכות יחסים בין-דוריות במשפחה, וקשור בהדרתם של הילדים המתגוררים הרחק מההורים ממערכות התמיכה הקרובות של ההורים. השפעה זו מתמתנת באמצעות כמה גורמים: רמת ההשכלה של ההורים, השתייכותם למעמד חברתי-כלכלי גבוה </w:t>
      </w:r>
      <w:r w:rsidR="009B5201">
        <w:rPr>
          <w:rStyle w:val="FootnoteReference"/>
          <w:rFonts w:ascii="Georgia" w:hAnsi="Georgia" w:cs="David" w:hint="cs"/>
          <w:sz w:val="14"/>
          <w:szCs w:val="16"/>
          <w:vertAlign w:val="baseline"/>
          <w:rtl/>
        </w:rPr>
        <w:t xml:space="preserve"> </w:t>
      </w:r>
      <w:r w:rsidRPr="0042081B">
        <w:rPr>
          <w:rStyle w:val="FootnoteReference"/>
          <w:rFonts w:ascii="Georgia" w:hAnsi="Georgia" w:cs="David" w:hint="cs"/>
          <w:sz w:val="14"/>
          <w:szCs w:val="16"/>
          <w:vertAlign w:val="baseline"/>
          <w:rtl/>
        </w:rPr>
        <w:t>יותר, וכשמדובר במשפחה שבה ילד אחד בלבד (</w:t>
      </w:r>
      <w:r w:rsidRPr="0042081B">
        <w:rPr>
          <w:rStyle w:val="FootnoteReference"/>
          <w:rFonts w:ascii="Georgia" w:hAnsi="Georgia" w:cs="David"/>
          <w:sz w:val="14"/>
          <w:szCs w:val="16"/>
          <w:vertAlign w:val="baseline"/>
        </w:rPr>
        <w:t>Schafer &amp; Sun, 2022</w:t>
      </w:r>
      <w:r w:rsidRPr="0042081B">
        <w:rPr>
          <w:rStyle w:val="FootnoteReference"/>
          <w:rFonts w:ascii="Georgia" w:hAnsi="Georgia" w:cs="David" w:hint="cs"/>
          <w:sz w:val="14"/>
          <w:szCs w:val="16"/>
          <w:vertAlign w:val="baseline"/>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5A722" w14:textId="064A3699" w:rsidR="007667D8" w:rsidRPr="00A6479A" w:rsidRDefault="007667D8"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1D0C3E" w:rsidRPr="001D0C3E">
      <w:rPr>
        <w:rFonts w:ascii="Georgia" w:hAnsi="Georgia" w:cs="Georgia"/>
        <w:noProof/>
        <w:sz w:val="24"/>
        <w:szCs w:val="24"/>
        <w:rtl/>
      </w:rPr>
      <w:t>26</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1734F4">
      <w:rPr>
        <w:rFonts w:ascii="David" w:hAnsi="David" w:cs="David" w:hint="cs"/>
        <w:b w:val="0"/>
        <w:bCs w:val="0"/>
        <w:sz w:val="18"/>
        <w:szCs w:val="18"/>
        <w:rtl/>
      </w:rPr>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979FA" w14:textId="3FF98E5A" w:rsidR="007667D8" w:rsidRPr="00CA633F" w:rsidRDefault="0042081B" w:rsidP="00446E1E">
    <w:pPr>
      <w:pStyle w:val="Heading1"/>
      <w:tabs>
        <w:tab w:val="center" w:pos="4536"/>
        <w:tab w:val="right" w:pos="9072"/>
      </w:tabs>
      <w:jc w:val="right"/>
      <w:rPr>
        <w:rFonts w:ascii="David" w:hAnsi="David" w:cs="David"/>
        <w:b w:val="0"/>
        <w:bCs w:val="0"/>
        <w:noProof/>
        <w:color w:val="A6A6A6"/>
        <w:sz w:val="20"/>
        <w:szCs w:val="20"/>
      </w:rPr>
    </w:pPr>
    <w:r w:rsidRPr="0042081B">
      <w:rPr>
        <w:rFonts w:ascii="David" w:hAnsi="David" w:cs="David"/>
        <w:b w:val="0"/>
        <w:bCs w:val="0"/>
        <w:noProof/>
        <w:sz w:val="18"/>
        <w:szCs w:val="18"/>
        <w:rtl/>
        <w:lang w:val="he-IL"/>
      </w:rPr>
      <w:t>היבטים של בחירת מיופה כוח במסגרת ביצוע ייפוי כוח מתמשך על ידי אזרחים ותיקים</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1D0C3E" w:rsidRPr="001D0C3E">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469CD" w14:textId="4A06E9F5" w:rsidR="00A27C04" w:rsidRPr="00CA633F" w:rsidRDefault="00A27C04"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636A9A"/>
    <w:multiLevelType w:val="hybridMultilevel"/>
    <w:tmpl w:val="B7444770"/>
    <w:lvl w:ilvl="0" w:tplc="56BCCBF2">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 w15:restartNumberingAfterBreak="0">
    <w:nsid w:val="05460072"/>
    <w:multiLevelType w:val="hybridMultilevel"/>
    <w:tmpl w:val="633C5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815355"/>
    <w:multiLevelType w:val="multilevel"/>
    <w:tmpl w:val="31ECA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5" w15:restartNumberingAfterBreak="0">
    <w:nsid w:val="1F412DB3"/>
    <w:multiLevelType w:val="multilevel"/>
    <w:tmpl w:val="EEB05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3D509C"/>
    <w:multiLevelType w:val="multilevel"/>
    <w:tmpl w:val="108872DC"/>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9" w15:restartNumberingAfterBreak="0">
    <w:nsid w:val="2D1951E1"/>
    <w:multiLevelType w:val="hybridMultilevel"/>
    <w:tmpl w:val="CC1027C6"/>
    <w:lvl w:ilvl="0" w:tplc="3B3E0E1C">
      <w:start w:val="1"/>
      <w:numFmt w:val="decimal"/>
      <w:lvlText w:val="%1."/>
      <w:lvlJc w:val="left"/>
      <w:pPr>
        <w:ind w:left="720" w:hanging="360"/>
      </w:pPr>
    </w:lvl>
    <w:lvl w:ilvl="1" w:tplc="9E165672">
      <w:start w:val="1"/>
      <w:numFmt w:val="decimal"/>
      <w:lvlText w:val="%2."/>
      <w:lvlJc w:val="left"/>
      <w:pPr>
        <w:ind w:left="720" w:hanging="360"/>
      </w:pPr>
    </w:lvl>
    <w:lvl w:ilvl="2" w:tplc="A678EB4A">
      <w:start w:val="1"/>
      <w:numFmt w:val="decimal"/>
      <w:lvlText w:val="%3."/>
      <w:lvlJc w:val="left"/>
      <w:pPr>
        <w:ind w:left="720" w:hanging="360"/>
      </w:pPr>
    </w:lvl>
    <w:lvl w:ilvl="3" w:tplc="3E082BFE">
      <w:start w:val="1"/>
      <w:numFmt w:val="decimal"/>
      <w:lvlText w:val="%4."/>
      <w:lvlJc w:val="left"/>
      <w:pPr>
        <w:ind w:left="720" w:hanging="360"/>
      </w:pPr>
    </w:lvl>
    <w:lvl w:ilvl="4" w:tplc="0A92C528">
      <w:start w:val="1"/>
      <w:numFmt w:val="decimal"/>
      <w:lvlText w:val="%5."/>
      <w:lvlJc w:val="left"/>
      <w:pPr>
        <w:ind w:left="720" w:hanging="360"/>
      </w:pPr>
    </w:lvl>
    <w:lvl w:ilvl="5" w:tplc="12A47DD8">
      <w:start w:val="1"/>
      <w:numFmt w:val="decimal"/>
      <w:lvlText w:val="%6."/>
      <w:lvlJc w:val="left"/>
      <w:pPr>
        <w:ind w:left="720" w:hanging="360"/>
      </w:pPr>
    </w:lvl>
    <w:lvl w:ilvl="6" w:tplc="693CA528">
      <w:start w:val="1"/>
      <w:numFmt w:val="decimal"/>
      <w:lvlText w:val="%7."/>
      <w:lvlJc w:val="left"/>
      <w:pPr>
        <w:ind w:left="720" w:hanging="360"/>
      </w:pPr>
    </w:lvl>
    <w:lvl w:ilvl="7" w:tplc="9EE8BC02">
      <w:start w:val="1"/>
      <w:numFmt w:val="decimal"/>
      <w:lvlText w:val="%8."/>
      <w:lvlJc w:val="left"/>
      <w:pPr>
        <w:ind w:left="720" w:hanging="360"/>
      </w:pPr>
    </w:lvl>
    <w:lvl w:ilvl="8" w:tplc="32AAF812">
      <w:start w:val="1"/>
      <w:numFmt w:val="decimal"/>
      <w:lvlText w:val="%9."/>
      <w:lvlJc w:val="left"/>
      <w:pPr>
        <w:ind w:left="720" w:hanging="360"/>
      </w:pPr>
    </w:lvl>
  </w:abstractNum>
  <w:abstractNum w:abstractNumId="20" w15:restartNumberingAfterBreak="0">
    <w:nsid w:val="351F1FCC"/>
    <w:multiLevelType w:val="multilevel"/>
    <w:tmpl w:val="EF1CCC50"/>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FF358A"/>
    <w:multiLevelType w:val="hybridMultilevel"/>
    <w:tmpl w:val="A81E3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6B31AF"/>
    <w:multiLevelType w:val="hybridMultilevel"/>
    <w:tmpl w:val="7AFC7E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2D0301A"/>
    <w:multiLevelType w:val="multilevel"/>
    <w:tmpl w:val="7864278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b/>
        <w:bCs/>
      </w:rPr>
    </w:lvl>
    <w:lvl w:ilvl="4">
      <w:start w:val="1"/>
      <w:numFmt w:val="decimal"/>
      <w:lvlText w:val="%1.%2.%3.%4.%5"/>
      <w:lvlJc w:val="left"/>
      <w:pPr>
        <w:ind w:left="2781"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F9637DD"/>
    <w:multiLevelType w:val="hybridMultilevel"/>
    <w:tmpl w:val="E30E4C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4605E7"/>
    <w:multiLevelType w:val="hybridMultilevel"/>
    <w:tmpl w:val="40CC52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7790699">
    <w:abstractNumId w:val="21"/>
  </w:num>
  <w:num w:numId="2" w16cid:durableId="978874637">
    <w:abstractNumId w:val="26"/>
  </w:num>
  <w:num w:numId="3" w16cid:durableId="485517044">
    <w:abstractNumId w:val="38"/>
  </w:num>
  <w:num w:numId="4" w16cid:durableId="91096210">
    <w:abstractNumId w:val="33"/>
  </w:num>
  <w:num w:numId="5" w16cid:durableId="1878078303">
    <w:abstractNumId w:val="10"/>
  </w:num>
  <w:num w:numId="6" w16cid:durableId="1816146924">
    <w:abstractNumId w:val="30"/>
  </w:num>
  <w:num w:numId="7" w16cid:durableId="468472264">
    <w:abstractNumId w:val="23"/>
  </w:num>
  <w:num w:numId="8" w16cid:durableId="141123710">
    <w:abstractNumId w:val="0"/>
  </w:num>
  <w:num w:numId="9" w16cid:durableId="572392319">
    <w:abstractNumId w:val="9"/>
  </w:num>
  <w:num w:numId="10" w16cid:durableId="1428379236">
    <w:abstractNumId w:val="37"/>
  </w:num>
  <w:num w:numId="11" w16cid:durableId="859007909">
    <w:abstractNumId w:val="34"/>
  </w:num>
  <w:num w:numId="12" w16cid:durableId="362557911">
    <w:abstractNumId w:val="27"/>
  </w:num>
  <w:num w:numId="13" w16cid:durableId="1900171318">
    <w:abstractNumId w:val="14"/>
  </w:num>
  <w:num w:numId="14" w16cid:durableId="1190878821">
    <w:abstractNumId w:val="8"/>
  </w:num>
  <w:num w:numId="15" w16cid:durableId="1217469109">
    <w:abstractNumId w:val="13"/>
  </w:num>
  <w:num w:numId="16" w16cid:durableId="839614271">
    <w:abstractNumId w:val="5"/>
  </w:num>
  <w:num w:numId="17" w16cid:durableId="1529563300">
    <w:abstractNumId w:val="39"/>
  </w:num>
  <w:num w:numId="18" w16cid:durableId="826702469">
    <w:abstractNumId w:val="29"/>
  </w:num>
  <w:num w:numId="19" w16cid:durableId="1881629637">
    <w:abstractNumId w:val="11"/>
  </w:num>
  <w:num w:numId="20" w16cid:durableId="595752643">
    <w:abstractNumId w:val="4"/>
  </w:num>
  <w:num w:numId="21" w16cid:durableId="1408653262">
    <w:abstractNumId w:val="1"/>
  </w:num>
  <w:num w:numId="22" w16cid:durableId="1268807793">
    <w:abstractNumId w:val="7"/>
  </w:num>
  <w:num w:numId="23" w16cid:durableId="988171841">
    <w:abstractNumId w:val="25"/>
  </w:num>
  <w:num w:numId="24" w16cid:durableId="1429547217">
    <w:abstractNumId w:val="17"/>
  </w:num>
  <w:num w:numId="25" w16cid:durableId="1712875357">
    <w:abstractNumId w:val="24"/>
  </w:num>
  <w:num w:numId="26" w16cid:durableId="1437401835">
    <w:abstractNumId w:val="6"/>
  </w:num>
  <w:num w:numId="27" w16cid:durableId="1968317695">
    <w:abstractNumId w:val="16"/>
  </w:num>
  <w:num w:numId="28" w16cid:durableId="234627270">
    <w:abstractNumId w:val="28"/>
  </w:num>
  <w:num w:numId="29" w16cid:durableId="1657144664">
    <w:abstractNumId w:val="22"/>
  </w:num>
  <w:num w:numId="30" w16cid:durableId="545606164">
    <w:abstractNumId w:val="35"/>
  </w:num>
  <w:num w:numId="31" w16cid:durableId="82454634">
    <w:abstractNumId w:val="36"/>
  </w:num>
  <w:num w:numId="32" w16cid:durableId="800458118">
    <w:abstractNumId w:val="3"/>
  </w:num>
  <w:num w:numId="33" w16cid:durableId="94520049">
    <w:abstractNumId w:val="20"/>
  </w:num>
  <w:num w:numId="34" w16cid:durableId="1170678298">
    <w:abstractNumId w:val="15"/>
  </w:num>
  <w:num w:numId="35" w16cid:durableId="1185244550">
    <w:abstractNumId w:val="32"/>
  </w:num>
  <w:num w:numId="36" w16cid:durableId="1380517036">
    <w:abstractNumId w:val="3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67850971">
    <w:abstractNumId w:val="18"/>
  </w:num>
  <w:num w:numId="38" w16cid:durableId="1247156">
    <w:abstractNumId w:val="31"/>
  </w:num>
  <w:num w:numId="39" w16cid:durableId="1898005891">
    <w:abstractNumId w:val="2"/>
  </w:num>
  <w:num w:numId="40" w16cid:durableId="1262252908">
    <w:abstractNumId w:val="19"/>
  </w:num>
  <w:num w:numId="41" w16cid:durableId="355442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42A45"/>
    <w:rsid w:val="00046401"/>
    <w:rsid w:val="00053C6F"/>
    <w:rsid w:val="00053FEE"/>
    <w:rsid w:val="000552ED"/>
    <w:rsid w:val="000660A4"/>
    <w:rsid w:val="00071D03"/>
    <w:rsid w:val="000755E1"/>
    <w:rsid w:val="00085D38"/>
    <w:rsid w:val="000878B3"/>
    <w:rsid w:val="000879EC"/>
    <w:rsid w:val="0009099F"/>
    <w:rsid w:val="000A3731"/>
    <w:rsid w:val="000A7BCF"/>
    <w:rsid w:val="000C13C4"/>
    <w:rsid w:val="000C236E"/>
    <w:rsid w:val="000C3082"/>
    <w:rsid w:val="000C32F6"/>
    <w:rsid w:val="000E38FA"/>
    <w:rsid w:val="000E730A"/>
    <w:rsid w:val="000F1382"/>
    <w:rsid w:val="000F2C49"/>
    <w:rsid w:val="000F7FCC"/>
    <w:rsid w:val="00110404"/>
    <w:rsid w:val="00111FEC"/>
    <w:rsid w:val="00126BBB"/>
    <w:rsid w:val="001403E5"/>
    <w:rsid w:val="00152DDF"/>
    <w:rsid w:val="00160BCD"/>
    <w:rsid w:val="00164AB3"/>
    <w:rsid w:val="00167C83"/>
    <w:rsid w:val="001734F4"/>
    <w:rsid w:val="0018721E"/>
    <w:rsid w:val="00192386"/>
    <w:rsid w:val="001A0002"/>
    <w:rsid w:val="001B018D"/>
    <w:rsid w:val="001B72C9"/>
    <w:rsid w:val="001C56DC"/>
    <w:rsid w:val="001D0C3E"/>
    <w:rsid w:val="001D2C96"/>
    <w:rsid w:val="001F2763"/>
    <w:rsid w:val="001F60C4"/>
    <w:rsid w:val="002044C6"/>
    <w:rsid w:val="00215E46"/>
    <w:rsid w:val="00224C6A"/>
    <w:rsid w:val="00227591"/>
    <w:rsid w:val="00233CB2"/>
    <w:rsid w:val="00234C6B"/>
    <w:rsid w:val="00240CA3"/>
    <w:rsid w:val="00243FD7"/>
    <w:rsid w:val="002519BC"/>
    <w:rsid w:val="002574BB"/>
    <w:rsid w:val="00262AE4"/>
    <w:rsid w:val="00264D15"/>
    <w:rsid w:val="00272B00"/>
    <w:rsid w:val="00285EC6"/>
    <w:rsid w:val="00297BAD"/>
    <w:rsid w:val="002B00EC"/>
    <w:rsid w:val="002B401D"/>
    <w:rsid w:val="002C041F"/>
    <w:rsid w:val="002C260B"/>
    <w:rsid w:val="002C45DF"/>
    <w:rsid w:val="002C4FB7"/>
    <w:rsid w:val="002D1E69"/>
    <w:rsid w:val="002E7282"/>
    <w:rsid w:val="002F0EE3"/>
    <w:rsid w:val="002F6052"/>
    <w:rsid w:val="00303665"/>
    <w:rsid w:val="003151B1"/>
    <w:rsid w:val="00317DCD"/>
    <w:rsid w:val="0032119F"/>
    <w:rsid w:val="003337CA"/>
    <w:rsid w:val="00336EF9"/>
    <w:rsid w:val="00343299"/>
    <w:rsid w:val="00360F01"/>
    <w:rsid w:val="00374196"/>
    <w:rsid w:val="00381C69"/>
    <w:rsid w:val="00391AB5"/>
    <w:rsid w:val="00395EC5"/>
    <w:rsid w:val="003A0A67"/>
    <w:rsid w:val="003A465D"/>
    <w:rsid w:val="003B537C"/>
    <w:rsid w:val="003B617A"/>
    <w:rsid w:val="003C255E"/>
    <w:rsid w:val="003C3C55"/>
    <w:rsid w:val="003C4EAD"/>
    <w:rsid w:val="003D1152"/>
    <w:rsid w:val="003D16D1"/>
    <w:rsid w:val="003D4AF9"/>
    <w:rsid w:val="00401641"/>
    <w:rsid w:val="0040182C"/>
    <w:rsid w:val="00405788"/>
    <w:rsid w:val="004100FE"/>
    <w:rsid w:val="004112B2"/>
    <w:rsid w:val="00416142"/>
    <w:rsid w:val="004172AC"/>
    <w:rsid w:val="0042081B"/>
    <w:rsid w:val="004216E4"/>
    <w:rsid w:val="00424C06"/>
    <w:rsid w:val="00433BD5"/>
    <w:rsid w:val="00433DFB"/>
    <w:rsid w:val="00446E1E"/>
    <w:rsid w:val="004543DB"/>
    <w:rsid w:val="0045651F"/>
    <w:rsid w:val="00460742"/>
    <w:rsid w:val="004607FE"/>
    <w:rsid w:val="00463E35"/>
    <w:rsid w:val="0046547D"/>
    <w:rsid w:val="00466666"/>
    <w:rsid w:val="004675BD"/>
    <w:rsid w:val="00471658"/>
    <w:rsid w:val="004735F5"/>
    <w:rsid w:val="004A6AA8"/>
    <w:rsid w:val="004A71EC"/>
    <w:rsid w:val="004A7955"/>
    <w:rsid w:val="004B1A9A"/>
    <w:rsid w:val="004B1C8B"/>
    <w:rsid w:val="004B4700"/>
    <w:rsid w:val="004C47F0"/>
    <w:rsid w:val="004E5117"/>
    <w:rsid w:val="00512B59"/>
    <w:rsid w:val="00514F6D"/>
    <w:rsid w:val="00514FD7"/>
    <w:rsid w:val="00527001"/>
    <w:rsid w:val="005368B8"/>
    <w:rsid w:val="00537276"/>
    <w:rsid w:val="005416E9"/>
    <w:rsid w:val="00550BEE"/>
    <w:rsid w:val="00555EA0"/>
    <w:rsid w:val="005579CB"/>
    <w:rsid w:val="005619D8"/>
    <w:rsid w:val="00573FBB"/>
    <w:rsid w:val="00576127"/>
    <w:rsid w:val="00590289"/>
    <w:rsid w:val="00590AF2"/>
    <w:rsid w:val="005918B3"/>
    <w:rsid w:val="0059386B"/>
    <w:rsid w:val="005B2E85"/>
    <w:rsid w:val="005B6002"/>
    <w:rsid w:val="005C02D4"/>
    <w:rsid w:val="005C09E1"/>
    <w:rsid w:val="005C28F7"/>
    <w:rsid w:val="005D5F14"/>
    <w:rsid w:val="005D66AF"/>
    <w:rsid w:val="005F385C"/>
    <w:rsid w:val="005F635C"/>
    <w:rsid w:val="00602FED"/>
    <w:rsid w:val="00606992"/>
    <w:rsid w:val="006131D1"/>
    <w:rsid w:val="006154FA"/>
    <w:rsid w:val="0062321C"/>
    <w:rsid w:val="00625C22"/>
    <w:rsid w:val="006358E3"/>
    <w:rsid w:val="00647292"/>
    <w:rsid w:val="006515FA"/>
    <w:rsid w:val="0065160D"/>
    <w:rsid w:val="00652D7C"/>
    <w:rsid w:val="0065797B"/>
    <w:rsid w:val="00657997"/>
    <w:rsid w:val="00671EDF"/>
    <w:rsid w:val="00682304"/>
    <w:rsid w:val="006824DB"/>
    <w:rsid w:val="00683B19"/>
    <w:rsid w:val="006A01DD"/>
    <w:rsid w:val="006A07E8"/>
    <w:rsid w:val="006A5C0E"/>
    <w:rsid w:val="006B39AB"/>
    <w:rsid w:val="006B63C3"/>
    <w:rsid w:val="006C5BE6"/>
    <w:rsid w:val="006D0F89"/>
    <w:rsid w:val="006D270A"/>
    <w:rsid w:val="006E0F39"/>
    <w:rsid w:val="006E2829"/>
    <w:rsid w:val="006E3185"/>
    <w:rsid w:val="006F062C"/>
    <w:rsid w:val="00703617"/>
    <w:rsid w:val="00707EC7"/>
    <w:rsid w:val="007178F3"/>
    <w:rsid w:val="00721527"/>
    <w:rsid w:val="00723A4F"/>
    <w:rsid w:val="007240DD"/>
    <w:rsid w:val="00733272"/>
    <w:rsid w:val="007377A3"/>
    <w:rsid w:val="0075363F"/>
    <w:rsid w:val="007547EB"/>
    <w:rsid w:val="00761780"/>
    <w:rsid w:val="00764F92"/>
    <w:rsid w:val="007667D8"/>
    <w:rsid w:val="007747C6"/>
    <w:rsid w:val="00776EE2"/>
    <w:rsid w:val="00781208"/>
    <w:rsid w:val="00782E0D"/>
    <w:rsid w:val="007924C2"/>
    <w:rsid w:val="00796021"/>
    <w:rsid w:val="007A6CDA"/>
    <w:rsid w:val="007B5724"/>
    <w:rsid w:val="007B7399"/>
    <w:rsid w:val="007C7168"/>
    <w:rsid w:val="007C726C"/>
    <w:rsid w:val="007D160F"/>
    <w:rsid w:val="007D59DF"/>
    <w:rsid w:val="007E4FB7"/>
    <w:rsid w:val="007F29C9"/>
    <w:rsid w:val="007F47F6"/>
    <w:rsid w:val="00823770"/>
    <w:rsid w:val="008243A6"/>
    <w:rsid w:val="00827A5F"/>
    <w:rsid w:val="00831730"/>
    <w:rsid w:val="00837F2F"/>
    <w:rsid w:val="00840D01"/>
    <w:rsid w:val="0084161C"/>
    <w:rsid w:val="00844E1A"/>
    <w:rsid w:val="00867031"/>
    <w:rsid w:val="00873B49"/>
    <w:rsid w:val="00873B50"/>
    <w:rsid w:val="00883DA5"/>
    <w:rsid w:val="008A4FAD"/>
    <w:rsid w:val="008A725B"/>
    <w:rsid w:val="008B5BE0"/>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65AD"/>
    <w:rsid w:val="009522CA"/>
    <w:rsid w:val="009533A1"/>
    <w:rsid w:val="00954E4C"/>
    <w:rsid w:val="00956C10"/>
    <w:rsid w:val="009951D5"/>
    <w:rsid w:val="009A755C"/>
    <w:rsid w:val="009B0512"/>
    <w:rsid w:val="009B5201"/>
    <w:rsid w:val="009B53E8"/>
    <w:rsid w:val="009C42E2"/>
    <w:rsid w:val="009C4800"/>
    <w:rsid w:val="009C5E89"/>
    <w:rsid w:val="009D4F53"/>
    <w:rsid w:val="009D7325"/>
    <w:rsid w:val="009E30A1"/>
    <w:rsid w:val="009E3930"/>
    <w:rsid w:val="00A04D35"/>
    <w:rsid w:val="00A135DB"/>
    <w:rsid w:val="00A17DA2"/>
    <w:rsid w:val="00A20B01"/>
    <w:rsid w:val="00A27C04"/>
    <w:rsid w:val="00A33243"/>
    <w:rsid w:val="00A36D7F"/>
    <w:rsid w:val="00A41FB6"/>
    <w:rsid w:val="00A54061"/>
    <w:rsid w:val="00A63C08"/>
    <w:rsid w:val="00A6479A"/>
    <w:rsid w:val="00A73CF4"/>
    <w:rsid w:val="00A910EE"/>
    <w:rsid w:val="00A953FC"/>
    <w:rsid w:val="00A95F73"/>
    <w:rsid w:val="00AB0E31"/>
    <w:rsid w:val="00AC3F0C"/>
    <w:rsid w:val="00AE03A0"/>
    <w:rsid w:val="00AE0A3D"/>
    <w:rsid w:val="00AE31E1"/>
    <w:rsid w:val="00AF7379"/>
    <w:rsid w:val="00B045C9"/>
    <w:rsid w:val="00B23956"/>
    <w:rsid w:val="00B468E5"/>
    <w:rsid w:val="00B51168"/>
    <w:rsid w:val="00B56F6D"/>
    <w:rsid w:val="00B65652"/>
    <w:rsid w:val="00B81818"/>
    <w:rsid w:val="00B82584"/>
    <w:rsid w:val="00B86148"/>
    <w:rsid w:val="00BA5BDE"/>
    <w:rsid w:val="00BC1FB3"/>
    <w:rsid w:val="00BC789B"/>
    <w:rsid w:val="00BE0BCA"/>
    <w:rsid w:val="00BF5C14"/>
    <w:rsid w:val="00C13406"/>
    <w:rsid w:val="00C2342E"/>
    <w:rsid w:val="00C23AD0"/>
    <w:rsid w:val="00C342DC"/>
    <w:rsid w:val="00C36CE5"/>
    <w:rsid w:val="00C44CE1"/>
    <w:rsid w:val="00C456EB"/>
    <w:rsid w:val="00C517A2"/>
    <w:rsid w:val="00C63051"/>
    <w:rsid w:val="00C65584"/>
    <w:rsid w:val="00C7501F"/>
    <w:rsid w:val="00C80617"/>
    <w:rsid w:val="00C838F3"/>
    <w:rsid w:val="00C93533"/>
    <w:rsid w:val="00C94FE3"/>
    <w:rsid w:val="00CA56D2"/>
    <w:rsid w:val="00CA5B5A"/>
    <w:rsid w:val="00CA633F"/>
    <w:rsid w:val="00CA6670"/>
    <w:rsid w:val="00CA7399"/>
    <w:rsid w:val="00CA7495"/>
    <w:rsid w:val="00CD593B"/>
    <w:rsid w:val="00CD77F7"/>
    <w:rsid w:val="00CF5FCA"/>
    <w:rsid w:val="00CF7A4A"/>
    <w:rsid w:val="00D0368A"/>
    <w:rsid w:val="00D07128"/>
    <w:rsid w:val="00D20154"/>
    <w:rsid w:val="00D20DE5"/>
    <w:rsid w:val="00D21D40"/>
    <w:rsid w:val="00D277C8"/>
    <w:rsid w:val="00D614D3"/>
    <w:rsid w:val="00D73C8D"/>
    <w:rsid w:val="00D83B52"/>
    <w:rsid w:val="00D92080"/>
    <w:rsid w:val="00D9338F"/>
    <w:rsid w:val="00D94E6C"/>
    <w:rsid w:val="00DA1730"/>
    <w:rsid w:val="00DA26AC"/>
    <w:rsid w:val="00DB2F51"/>
    <w:rsid w:val="00DB3EF0"/>
    <w:rsid w:val="00DD08CB"/>
    <w:rsid w:val="00DF1DCF"/>
    <w:rsid w:val="00DF30C9"/>
    <w:rsid w:val="00DF3289"/>
    <w:rsid w:val="00DF330D"/>
    <w:rsid w:val="00DF34C9"/>
    <w:rsid w:val="00E14513"/>
    <w:rsid w:val="00E1683B"/>
    <w:rsid w:val="00E2538D"/>
    <w:rsid w:val="00E464CA"/>
    <w:rsid w:val="00E61D38"/>
    <w:rsid w:val="00E63B78"/>
    <w:rsid w:val="00E86DEA"/>
    <w:rsid w:val="00E94167"/>
    <w:rsid w:val="00E95DB4"/>
    <w:rsid w:val="00E97344"/>
    <w:rsid w:val="00EB524C"/>
    <w:rsid w:val="00EC4B8B"/>
    <w:rsid w:val="00ED3C01"/>
    <w:rsid w:val="00ED6F02"/>
    <w:rsid w:val="00EF07B4"/>
    <w:rsid w:val="00EF3558"/>
    <w:rsid w:val="00F0418C"/>
    <w:rsid w:val="00F06D28"/>
    <w:rsid w:val="00F20863"/>
    <w:rsid w:val="00F20E96"/>
    <w:rsid w:val="00F216E0"/>
    <w:rsid w:val="00F22E88"/>
    <w:rsid w:val="00F243ED"/>
    <w:rsid w:val="00F3107D"/>
    <w:rsid w:val="00F32B2F"/>
    <w:rsid w:val="00F70364"/>
    <w:rsid w:val="00F76E57"/>
    <w:rsid w:val="00F84B24"/>
    <w:rsid w:val="00F966A8"/>
    <w:rsid w:val="00FA0917"/>
    <w:rsid w:val="00FB439C"/>
    <w:rsid w:val="00FB4B8A"/>
    <w:rsid w:val="00FC42B3"/>
    <w:rsid w:val="00FD1A0B"/>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1"/>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uiPriority w:val="99"/>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link w:val="EndnoteTextChar"/>
    <w:uiPriority w:val="99"/>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numbering" w:customStyle="1" w:styleId="NoList1">
    <w:name w:val="No List1"/>
    <w:next w:val="NoList"/>
    <w:uiPriority w:val="99"/>
    <w:semiHidden/>
    <w:unhideWhenUsed/>
    <w:rsid w:val="0042081B"/>
  </w:style>
  <w:style w:type="character" w:customStyle="1" w:styleId="UnresolvedMention10">
    <w:name w:val="Unresolved Mention1"/>
    <w:uiPriority w:val="99"/>
    <w:semiHidden/>
    <w:unhideWhenUsed/>
    <w:rsid w:val="0042081B"/>
    <w:rPr>
      <w:color w:val="605E5C"/>
      <w:shd w:val="clear" w:color="auto" w:fill="E1DFDD"/>
    </w:rPr>
  </w:style>
  <w:style w:type="paragraph" w:customStyle="1" w:styleId="Default0">
    <w:name w:val="Default"/>
    <w:rsid w:val="0042081B"/>
    <w:pPr>
      <w:autoSpaceDE w:val="0"/>
      <w:autoSpaceDN w:val="0"/>
      <w:adjustRightInd w:val="0"/>
    </w:pPr>
    <w:rPr>
      <w:rFonts w:ascii="Arial Narrow" w:eastAsia="Calibri" w:hAnsi="Arial Narrow" w:cs="Arial Narrow"/>
      <w:color w:val="000000"/>
      <w:sz w:val="24"/>
      <w:szCs w:val="24"/>
    </w:rPr>
  </w:style>
  <w:style w:type="paragraph" w:customStyle="1" w:styleId="a1">
    <w:name w:val="רגיל ראשון"/>
    <w:basedOn w:val="Normal"/>
    <w:link w:val="a2"/>
    <w:qFormat/>
    <w:rsid w:val="0042081B"/>
    <w:pPr>
      <w:spacing w:before="120" w:after="200" w:line="480" w:lineRule="auto"/>
      <w:jc w:val="both"/>
    </w:pPr>
    <w:rPr>
      <w:rFonts w:eastAsia="Calibri"/>
    </w:rPr>
  </w:style>
  <w:style w:type="character" w:customStyle="1" w:styleId="a2">
    <w:name w:val="רגיל ראשון תו"/>
    <w:link w:val="a1"/>
    <w:rsid w:val="0042081B"/>
    <w:rPr>
      <w:rFonts w:eastAsia="Calibri" w:cs="David"/>
      <w:sz w:val="24"/>
      <w:szCs w:val="24"/>
      <w:lang w:val="en-US" w:eastAsia="en-US"/>
    </w:rPr>
  </w:style>
  <w:style w:type="character" w:customStyle="1" w:styleId="MediumGrid2Char">
    <w:name w:val="Medium Grid 2 Char"/>
    <w:link w:val="MediumGrid2"/>
    <w:uiPriority w:val="1"/>
    <w:semiHidden/>
    <w:rsid w:val="0042081B"/>
    <w:rPr>
      <w:rFonts w:ascii="David" w:hAnsi="David" w:cs="David"/>
      <w:b/>
      <w:bCs/>
      <w:sz w:val="24"/>
      <w:szCs w:val="24"/>
    </w:rPr>
  </w:style>
  <w:style w:type="table" w:styleId="MediumGrid2">
    <w:name w:val="Medium Grid 2"/>
    <w:basedOn w:val="TableNormal"/>
    <w:link w:val="MediumGrid2Char"/>
    <w:uiPriority w:val="1"/>
    <w:semiHidden/>
    <w:unhideWhenUsed/>
    <w:rsid w:val="0042081B"/>
    <w:rPr>
      <w:rFonts w:ascii="David" w:hAnsi="David" w:cs="David"/>
      <w:b/>
      <w:bCs/>
      <w:sz w:val="24"/>
      <w:szCs w:val="24"/>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paragraph" w:customStyle="1" w:styleId="a3">
    <w:name w:val="תזה בינוני"/>
    <w:basedOn w:val="Normal"/>
    <w:link w:val="a4"/>
    <w:qFormat/>
    <w:rsid w:val="0042081B"/>
    <w:pPr>
      <w:spacing w:before="200" w:after="200" w:line="480" w:lineRule="auto"/>
      <w:ind w:left="227"/>
    </w:pPr>
    <w:rPr>
      <w:rFonts w:ascii="David" w:eastAsia="Calibri" w:hAnsi="David"/>
      <w:b/>
      <w:bCs/>
      <w:sz w:val="26"/>
      <w:szCs w:val="26"/>
    </w:rPr>
  </w:style>
  <w:style w:type="character" w:customStyle="1" w:styleId="a4">
    <w:name w:val="תזה בינוני תו"/>
    <w:link w:val="a3"/>
    <w:rsid w:val="0042081B"/>
    <w:rPr>
      <w:rFonts w:ascii="David" w:eastAsia="Calibri" w:hAnsi="David" w:cs="David"/>
      <w:b/>
      <w:bCs/>
      <w:sz w:val="26"/>
      <w:szCs w:val="26"/>
      <w:lang w:val="en-US" w:eastAsia="en-US"/>
    </w:rPr>
  </w:style>
  <w:style w:type="paragraph" w:customStyle="1" w:styleId="a5">
    <w:name w:val="תזה גדול"/>
    <w:basedOn w:val="Normal"/>
    <w:link w:val="a6"/>
    <w:autoRedefine/>
    <w:qFormat/>
    <w:rsid w:val="0042081B"/>
    <w:pPr>
      <w:spacing w:before="120" w:after="120" w:line="480" w:lineRule="auto"/>
    </w:pPr>
    <w:rPr>
      <w:rFonts w:ascii="David" w:eastAsia="Calibri" w:hAnsi="David"/>
      <w:b/>
      <w:bCs/>
      <w:sz w:val="28"/>
      <w:szCs w:val="28"/>
    </w:rPr>
  </w:style>
  <w:style w:type="character" w:customStyle="1" w:styleId="a6">
    <w:name w:val="תזה גדול תו"/>
    <w:link w:val="a5"/>
    <w:rsid w:val="0042081B"/>
    <w:rPr>
      <w:rFonts w:ascii="David" w:eastAsia="Calibri" w:hAnsi="David" w:cs="David"/>
      <w:b/>
      <w:bCs/>
      <w:sz w:val="28"/>
      <w:szCs w:val="28"/>
      <w:lang w:val="en-US" w:eastAsia="en-US"/>
    </w:rPr>
  </w:style>
  <w:style w:type="paragraph" w:customStyle="1" w:styleId="dx-doi">
    <w:name w:val="dx-doi"/>
    <w:basedOn w:val="Normal"/>
    <w:rsid w:val="0042081B"/>
    <w:pPr>
      <w:bidi w:val="0"/>
      <w:spacing w:before="100" w:beforeAutospacing="1" w:after="100" w:afterAutospacing="1" w:line="240" w:lineRule="auto"/>
    </w:pPr>
    <w:rPr>
      <w:rFonts w:cs="Times New Roman"/>
    </w:rPr>
  </w:style>
  <w:style w:type="paragraph" w:styleId="Revision">
    <w:name w:val="Revision"/>
    <w:hidden/>
    <w:uiPriority w:val="99"/>
    <w:semiHidden/>
    <w:rsid w:val="0042081B"/>
    <w:rPr>
      <w:sz w:val="24"/>
      <w:szCs w:val="24"/>
    </w:rPr>
  </w:style>
  <w:style w:type="paragraph" w:styleId="HTMLPreformatted">
    <w:name w:val="HTML Preformatted"/>
    <w:basedOn w:val="Normal"/>
    <w:link w:val="HTMLPreformattedChar"/>
    <w:uiPriority w:val="99"/>
    <w:semiHidden/>
    <w:unhideWhenUsed/>
    <w:rsid w:val="004208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rsid w:val="0042081B"/>
    <w:rPr>
      <w:rFonts w:ascii="Courier New" w:hAnsi="Courier New" w:cs="Courier New"/>
      <w:lang w:val="en-US" w:eastAsia="en-US"/>
    </w:rPr>
  </w:style>
  <w:style w:type="paragraph" w:customStyle="1" w:styleId="a7">
    <w:name w:val="כותרת תקציר"/>
    <w:basedOn w:val="a1"/>
    <w:link w:val="a8"/>
    <w:qFormat/>
    <w:rsid w:val="0042081B"/>
    <w:pPr>
      <w:jc w:val="center"/>
    </w:pPr>
    <w:rPr>
      <w:b/>
      <w:bCs/>
      <w:sz w:val="28"/>
      <w:szCs w:val="28"/>
    </w:rPr>
  </w:style>
  <w:style w:type="character" w:customStyle="1" w:styleId="a8">
    <w:name w:val="כותרת תקציר תו"/>
    <w:link w:val="a7"/>
    <w:rsid w:val="0042081B"/>
    <w:rPr>
      <w:rFonts w:eastAsia="Calibri" w:cs="David"/>
      <w:b/>
      <w:bCs/>
      <w:sz w:val="28"/>
      <w:szCs w:val="28"/>
      <w:lang w:val="en-US" w:eastAsia="en-US"/>
    </w:rPr>
  </w:style>
  <w:style w:type="character" w:customStyle="1" w:styleId="UnresolvedMention2">
    <w:name w:val="Unresolved Mention2"/>
    <w:uiPriority w:val="99"/>
    <w:semiHidden/>
    <w:unhideWhenUsed/>
    <w:rsid w:val="0042081B"/>
    <w:rPr>
      <w:color w:val="605E5C"/>
      <w:shd w:val="clear" w:color="auto" w:fill="E1DFDD"/>
    </w:rPr>
  </w:style>
  <w:style w:type="character" w:customStyle="1" w:styleId="UnresolvedMention3">
    <w:name w:val="Unresolved Mention3"/>
    <w:uiPriority w:val="99"/>
    <w:semiHidden/>
    <w:unhideWhenUsed/>
    <w:rsid w:val="0042081B"/>
    <w:rPr>
      <w:color w:val="605E5C"/>
      <w:shd w:val="clear" w:color="auto" w:fill="E1DFDD"/>
    </w:rPr>
  </w:style>
  <w:style w:type="character" w:customStyle="1" w:styleId="EndnoteTextChar">
    <w:name w:val="Endnote Text Char"/>
    <w:link w:val="EndnoteText"/>
    <w:uiPriority w:val="99"/>
    <w:semiHidden/>
    <w:rsid w:val="0042081B"/>
    <w:rPr>
      <w:rFonts w:ascii="Calibri" w:eastAsia="Calibri" w:hAnsi="Calibri" w:cs="Arial"/>
      <w:lang w:val="en-GB" w:eastAsia="en-US"/>
    </w:rPr>
  </w:style>
  <w:style w:type="character" w:styleId="EndnoteReference">
    <w:name w:val="endnote reference"/>
    <w:uiPriority w:val="99"/>
    <w:semiHidden/>
    <w:unhideWhenUsed/>
    <w:rsid w:val="0042081B"/>
    <w:rPr>
      <w:vertAlign w:val="superscript"/>
    </w:rPr>
  </w:style>
  <w:style w:type="character" w:customStyle="1" w:styleId="product-banner-author">
    <w:name w:val="product-banner-author"/>
    <w:basedOn w:val="DefaultParagraphFont"/>
    <w:rsid w:val="0042081B"/>
  </w:style>
  <w:style w:type="character" w:customStyle="1" w:styleId="product-banner-author-name">
    <w:name w:val="product-banner-author-name"/>
    <w:basedOn w:val="DefaultParagraphFont"/>
    <w:rsid w:val="0042081B"/>
  </w:style>
  <w:style w:type="character" w:customStyle="1" w:styleId="anchor-text">
    <w:name w:val="anchor-text"/>
    <w:basedOn w:val="DefaultParagraphFont"/>
    <w:rsid w:val="0042081B"/>
  </w:style>
  <w:style w:type="character" w:customStyle="1" w:styleId="UnresolvedMention4">
    <w:name w:val="Unresolved Mention4"/>
    <w:uiPriority w:val="99"/>
    <w:semiHidden/>
    <w:unhideWhenUsed/>
    <w:rsid w:val="004208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 TargetMode="External"/><Relationship Id="rId18" Type="http://schemas.openxmlformats.org/officeDocument/2006/relationships/hyperlink" Target="#" TargetMode="External"/><Relationship Id="rId26" Type="http://schemas.openxmlformats.org/officeDocument/2006/relationships/hyperlink" Target="#" TargetMode="External"/><Relationship Id="rId39" Type="http://schemas.openxmlformats.org/officeDocument/2006/relationships/hyperlink" Target="#" TargetMode="External"/><Relationship Id="rId21" Type="http://schemas.openxmlformats.org/officeDocument/2006/relationships/hyperlink" Target="#" TargetMode="External"/><Relationship Id="rId34" Type="http://schemas.openxmlformats.org/officeDocument/2006/relationships/hyperlink" Target="#" TargetMode="External"/><Relationship Id="rId42" Type="http://schemas.openxmlformats.org/officeDocument/2006/relationships/hyperlink" Target="#" TargetMode="External"/><Relationship Id="rId47" Type="http://schemas.openxmlformats.org/officeDocument/2006/relationships/hyperlink" Target="#" TargetMode="External"/><Relationship Id="rId50" Type="http://schemas.openxmlformats.org/officeDocument/2006/relationships/hyperlink" Target="#" TargetMode="External"/><Relationship Id="rId55" Type="http://schemas.openxmlformats.org/officeDocument/2006/relationships/header" Target="header1.xml"/><Relationship Id="rId63" Type="http://schemas.openxmlformats.org/officeDocument/2006/relationships/customXml" Target="../customXml/item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 TargetMode="External"/><Relationship Id="rId29" Type="http://schemas.openxmlformats.org/officeDocument/2006/relationships/hyperlink" Target="#" TargetMode="External"/><Relationship Id="rId11" Type="http://schemas.openxmlformats.org/officeDocument/2006/relationships/hyperlink" Target="#" TargetMode="External"/><Relationship Id="rId24" Type="http://schemas.openxmlformats.org/officeDocument/2006/relationships/hyperlink" Target="#" TargetMode="External"/><Relationship Id="rId32" Type="http://schemas.openxmlformats.org/officeDocument/2006/relationships/hyperlink" Target="#" TargetMode="External"/><Relationship Id="rId37" Type="http://schemas.openxmlformats.org/officeDocument/2006/relationships/hyperlink" Target="#" TargetMode="External"/><Relationship Id="rId40" Type="http://schemas.openxmlformats.org/officeDocument/2006/relationships/hyperlink" Target="#" TargetMode="External"/><Relationship Id="rId45" Type="http://schemas.openxmlformats.org/officeDocument/2006/relationships/hyperlink" Target="#" TargetMode="External"/><Relationship Id="rId53" Type="http://schemas.openxmlformats.org/officeDocument/2006/relationships/hyperlink" Target="#" TargetMode="External"/><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hyperlink" Target="#" TargetMode="External"/><Relationship Id="rId14" Type="http://schemas.openxmlformats.org/officeDocument/2006/relationships/hyperlink" Target="#" TargetMode="External"/><Relationship Id="rId22" Type="http://schemas.openxmlformats.org/officeDocument/2006/relationships/hyperlink" Target="#" TargetMode="External"/><Relationship Id="rId27" Type="http://schemas.openxmlformats.org/officeDocument/2006/relationships/hyperlink" Target="#" TargetMode="External"/><Relationship Id="rId30" Type="http://schemas.openxmlformats.org/officeDocument/2006/relationships/hyperlink" Target="#" TargetMode="External"/><Relationship Id="rId35" Type="http://schemas.openxmlformats.org/officeDocument/2006/relationships/hyperlink" Target="#" TargetMode="External"/><Relationship Id="rId43" Type="http://schemas.openxmlformats.org/officeDocument/2006/relationships/hyperlink" Target="#" TargetMode="External"/><Relationship Id="rId48" Type="http://schemas.openxmlformats.org/officeDocument/2006/relationships/hyperlink" Target="#" TargetMode="External"/><Relationship Id="rId56" Type="http://schemas.openxmlformats.org/officeDocument/2006/relationships/header" Target="header2.xml"/><Relationship Id="rId64" Type="http://schemas.openxmlformats.org/officeDocument/2006/relationships/customXml" Target="../customXml/item2.xml"/><Relationship Id="rId8" Type="http://schemas.openxmlformats.org/officeDocument/2006/relationships/hyperlink" Target="#" TargetMode="External"/><Relationship Id="rId51" Type="http://schemas.openxmlformats.org/officeDocument/2006/relationships/hyperlink" Target="#" TargetMode="External"/><Relationship Id="rId3" Type="http://schemas.openxmlformats.org/officeDocument/2006/relationships/styles" Target="styles.xml"/><Relationship Id="rId12" Type="http://schemas.openxmlformats.org/officeDocument/2006/relationships/hyperlink" Target="#" TargetMode="External"/><Relationship Id="rId17" Type="http://schemas.openxmlformats.org/officeDocument/2006/relationships/hyperlink" Target="#" TargetMode="External"/><Relationship Id="rId25" Type="http://schemas.openxmlformats.org/officeDocument/2006/relationships/hyperlink" Target="#" TargetMode="External"/><Relationship Id="rId33" Type="http://schemas.openxmlformats.org/officeDocument/2006/relationships/hyperlink" Target="#" TargetMode="External"/><Relationship Id="rId38" Type="http://schemas.openxmlformats.org/officeDocument/2006/relationships/hyperlink" Target="#" TargetMode="External"/><Relationship Id="rId46" Type="http://schemas.openxmlformats.org/officeDocument/2006/relationships/hyperlink" Target="#" TargetMode="External"/><Relationship Id="rId59" Type="http://schemas.openxmlformats.org/officeDocument/2006/relationships/header" Target="header3.xml"/><Relationship Id="rId20" Type="http://schemas.openxmlformats.org/officeDocument/2006/relationships/hyperlink" Target="#" TargetMode="External"/><Relationship Id="rId41" Type="http://schemas.openxmlformats.org/officeDocument/2006/relationships/hyperlink" Target="#" TargetMode="External"/><Relationship Id="rId54" Type="http://schemas.openxmlformats.org/officeDocument/2006/relationships/hyperlink" Target="#" TargetMode="External"/><Relationship Id="rId62" Type="http://schemas.openxmlformats.org/officeDocument/2006/relationships/theme" Target="theme/theme1.xml"/><Relationship Id="rId6" Type="http://schemas.openxmlformats.org/officeDocument/2006/relationships/footnotes" Target="footnotes.xml"/><Relationship Id="rId15" Type="http://schemas.openxmlformats.org/officeDocument/2006/relationships/hyperlink" Target="#" TargetMode="External"/><Relationship Id="rId23" Type="http://schemas.openxmlformats.org/officeDocument/2006/relationships/hyperlink" Target="#" TargetMode="External"/><Relationship Id="rId28" Type="http://schemas.openxmlformats.org/officeDocument/2006/relationships/hyperlink" Target="#" TargetMode="External"/><Relationship Id="rId36" Type="http://schemas.openxmlformats.org/officeDocument/2006/relationships/hyperlink" Target="#" TargetMode="External"/><Relationship Id="rId49" Type="http://schemas.openxmlformats.org/officeDocument/2006/relationships/hyperlink" Target="#" TargetMode="External"/><Relationship Id="rId57" Type="http://schemas.openxmlformats.org/officeDocument/2006/relationships/footer" Target="footer1.xml"/><Relationship Id="rId10" Type="http://schemas.openxmlformats.org/officeDocument/2006/relationships/hyperlink" Target="#" TargetMode="External"/><Relationship Id="rId31" Type="http://schemas.openxmlformats.org/officeDocument/2006/relationships/hyperlink" Target="#" TargetMode="External"/><Relationship Id="rId44" Type="http://schemas.openxmlformats.org/officeDocument/2006/relationships/hyperlink" Target="#" TargetMode="External"/><Relationship Id="rId52" Type="http://schemas.openxmlformats.org/officeDocument/2006/relationships/hyperlink" Target="#" TargetMode="External"/><Relationship Id="rId60" Type="http://schemas.openxmlformats.org/officeDocument/2006/relationships/footer" Target="footer3.xml"/><Relationship Id="rId65"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48B1B9E943322048AB0E0EBD928CE729" ma:contentTypeVersion="1" ma:contentTypeDescription="צור מסמך חדש." ma:contentTypeScope="" ma:versionID="150c2e7f5ce4fe1d1d10a1557b210b88">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66364CF-86EA-4302-9AC2-893FAA02369D}"/>
</file>

<file path=customXml/itemProps2.xml><?xml version="1.0" encoding="utf-8"?>
<ds:datastoreItem xmlns:ds="http://schemas.openxmlformats.org/officeDocument/2006/customXml" ds:itemID="{B278B114-11C4-4779-A1FC-B572558C93FA}"/>
</file>

<file path=customXml/itemProps3.xml><?xml version="1.0" encoding="utf-8"?>
<ds:datastoreItem xmlns:ds="http://schemas.openxmlformats.org/officeDocument/2006/customXml" ds:itemID="{7DF137BA-6A04-4CBD-BDC5-FF126727A6F3}"/>
</file>

<file path=docProps/app.xml><?xml version="1.0" encoding="utf-8"?>
<Properties xmlns="http://schemas.openxmlformats.org/officeDocument/2006/extended-properties" xmlns:vt="http://schemas.openxmlformats.org/officeDocument/2006/docPropsVTypes">
  <Template>Normal.dotm</Template>
  <TotalTime>1596</TotalTime>
  <Pages>33</Pages>
  <Words>10424</Words>
  <Characters>59422</Characters>
  <Application>Microsoft Office Word</Application>
  <DocSecurity>0</DocSecurity>
  <Lines>495</Lines>
  <Paragraphs>139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היבטים של בחירת מיופה כוח במסגרת ביצוע ייפוי כוח מתמשך על ידי אזרחים ותיקים</vt:lpstr>
      <vt:lpstr>היבטים של בחירת מיופה כוח במסגרת ביצוע ייפוי כוח מתמשך על ידי אזרחים ותיקים</vt:lpstr>
    </vt:vector>
  </TitlesOfParts>
  <Company>Onit Computer Services Ltd</Company>
  <LinksUpToDate>false</LinksUpToDate>
  <CharactersWithSpaces>69707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היבטים של בחירת מיופה כוח במסגרת ביצוע ייפוי כוח מתמשך על ידי אזרחים ותיקים</dc:title>
  <dc:creator>Mordechai Frankel</dc:creator>
  <cp:lastModifiedBy>שולמית פרנקל</cp:lastModifiedBy>
  <cp:revision>26</cp:revision>
  <cp:lastPrinted>2022-07-03T18:20:00Z</cp:lastPrinted>
  <dcterms:created xsi:type="dcterms:W3CDTF">2025-01-03T08:34:00Z</dcterms:created>
  <dcterms:modified xsi:type="dcterms:W3CDTF">2025-02-10T06:42:00Z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0x01010048B1B9E943322048AB0E0EBD928CE729</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