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61582" w14:textId="77777777" w:rsidR="00680B44" w:rsidRPr="00680B44" w:rsidRDefault="00680B44" w:rsidP="00680B44">
      <w:pPr>
        <w:pStyle w:val="NAME"/>
        <w:pBdr>
          <w:bottom w:val="none" w:sz="0" w:space="0" w:color="auto"/>
        </w:pBdr>
        <w:spacing w:before="360" w:after="0" w:line="480" w:lineRule="exact"/>
        <w:rPr>
          <w:rFonts w:ascii="Tahoma" w:hAnsi="Tahoma" w:cs="Guttman Aharoni"/>
          <w:b/>
          <w:bCs/>
          <w:color w:val="2A8E8C"/>
          <w:sz w:val="32"/>
          <w:szCs w:val="32"/>
          <w:rtl/>
        </w:rPr>
      </w:pPr>
      <w:r w:rsidRPr="00680B44">
        <w:rPr>
          <w:rFonts w:ascii="Tahoma" w:hAnsi="Tahoma" w:cs="Guttman Aharoni"/>
          <w:b/>
          <w:bCs/>
          <w:color w:val="2A8E8C"/>
          <w:sz w:val="32"/>
          <w:szCs w:val="32"/>
          <w:rtl/>
        </w:rPr>
        <w:t>חקיקה ופסיקה חברתית</w:t>
      </w:r>
    </w:p>
    <w:p w14:paraId="39E40FB1" w14:textId="77777777" w:rsidR="00680B44" w:rsidRPr="00680B44" w:rsidRDefault="00680B44" w:rsidP="00680B44">
      <w:pPr>
        <w:pStyle w:val="KOT5T"/>
        <w:spacing w:after="960" w:line="360" w:lineRule="exact"/>
        <w:jc w:val="right"/>
        <w:rPr>
          <w:color w:val="2A8E8C"/>
          <w:sz w:val="22"/>
          <w:szCs w:val="22"/>
          <w:rtl/>
        </w:rPr>
      </w:pPr>
      <w:r w:rsidRPr="00680B44">
        <w:rPr>
          <w:color w:val="2A8E8C"/>
          <w:sz w:val="22"/>
          <w:szCs w:val="22"/>
          <w:rtl/>
        </w:rPr>
        <w:t>מיכל סגל</w:t>
      </w:r>
      <w:r w:rsidRPr="00680B44">
        <w:rPr>
          <w:color w:val="2A8E8C"/>
          <w:sz w:val="22"/>
          <w:szCs w:val="22"/>
          <w:vertAlign w:val="superscript"/>
          <w:rtl/>
        </w:rPr>
        <w:footnoteReference w:id="2"/>
      </w:r>
    </w:p>
    <w:p w14:paraId="7D3ACF9D" w14:textId="79362BB3" w:rsidR="00680B44" w:rsidRPr="00680B44" w:rsidRDefault="00680B44" w:rsidP="004D6C3E">
      <w:pPr>
        <w:pStyle w:val="KOT4"/>
        <w:spacing w:after="240"/>
        <w:ind w:right="0"/>
        <w:rPr>
          <w:rFonts w:cs="Guttman Aharoni"/>
          <w:color w:val="2A8E8C"/>
          <w:sz w:val="32"/>
          <w:szCs w:val="32"/>
          <w:rtl/>
        </w:rPr>
      </w:pPr>
      <w:r w:rsidRPr="00680B44">
        <w:rPr>
          <w:rFonts w:cs="Guttman Aharoni" w:hint="cs"/>
          <w:color w:val="2A8E8C"/>
          <w:sz w:val="32"/>
          <w:szCs w:val="32"/>
          <w:rtl/>
        </w:rPr>
        <w:t>חידושי פסיקה</w:t>
      </w:r>
    </w:p>
    <w:p w14:paraId="543BC3D4" w14:textId="68BBDD51" w:rsidR="00680B44" w:rsidRPr="00680B44" w:rsidRDefault="00680B44" w:rsidP="00680B44">
      <w:pPr>
        <w:pStyle w:val="KOT5"/>
        <w:jc w:val="both"/>
        <w:rPr>
          <w:b/>
          <w:bCs/>
          <w:color w:val="2A8E8C"/>
          <w:rtl/>
        </w:rPr>
      </w:pPr>
      <w:r w:rsidRPr="00680B44">
        <w:rPr>
          <w:b/>
          <w:bCs/>
          <w:color w:val="2A8E8C"/>
          <w:rtl/>
        </w:rPr>
        <w:t>זמינות שירותי בריאות הנפש בקהילה</w:t>
      </w:r>
    </w:p>
    <w:p w14:paraId="13D4775B" w14:textId="77777777" w:rsidR="00680B44" w:rsidRPr="00680B44" w:rsidRDefault="00680B44" w:rsidP="00680B44">
      <w:pPr>
        <w:spacing w:after="180" w:line="260" w:lineRule="exact"/>
        <w:jc w:val="both"/>
        <w:rPr>
          <w:rFonts w:ascii="Georgia" w:hAnsi="Georgia" w:cs="Guttman Aharoni"/>
          <w:b/>
          <w:bCs/>
          <w:sz w:val="18"/>
          <w:szCs w:val="20"/>
          <w:rtl/>
        </w:rPr>
      </w:pPr>
      <w:r w:rsidRPr="00680B44">
        <w:rPr>
          <w:rFonts w:ascii="Georgia" w:hAnsi="Georgia" w:cs="Guttman Aharoni"/>
          <w:sz w:val="18"/>
          <w:szCs w:val="20"/>
          <w:rtl/>
        </w:rPr>
        <w:t xml:space="preserve">בגץ 6733/21 </w:t>
      </w:r>
      <w:r w:rsidRPr="00680B44">
        <w:rPr>
          <w:rFonts w:ascii="Georgia" w:hAnsi="Georgia" w:cs="Guttman Aharoni"/>
          <w:b/>
          <w:bCs/>
          <w:sz w:val="18"/>
          <w:szCs w:val="20"/>
          <w:rtl/>
        </w:rPr>
        <w:t>עמותת "צדק לילדים" נ' שר הבריאות</w:t>
      </w:r>
      <w:r w:rsidRPr="00680B44">
        <w:rPr>
          <w:rFonts w:ascii="Georgia" w:hAnsi="Georgia" w:cs="Guttman Aharoni" w:hint="cs"/>
          <w:b/>
          <w:bCs/>
          <w:sz w:val="18"/>
          <w:szCs w:val="20"/>
          <w:rtl/>
        </w:rPr>
        <w:t xml:space="preserve"> ואחרים</w:t>
      </w:r>
      <w:r w:rsidRPr="00680B44">
        <w:rPr>
          <w:rFonts w:ascii="Georgia" w:hAnsi="Georgia" w:cs="Guttman Aharoni" w:hint="cs"/>
          <w:sz w:val="18"/>
          <w:szCs w:val="20"/>
          <w:rtl/>
        </w:rPr>
        <w:t xml:space="preserve"> </w:t>
      </w:r>
      <w:r w:rsidRPr="00680B44">
        <w:rPr>
          <w:rFonts w:ascii="Georgia" w:hAnsi="Georgia" w:cs="Guttman Aharoni"/>
          <w:sz w:val="18"/>
          <w:szCs w:val="20"/>
          <w:rtl/>
        </w:rPr>
        <w:t>(ניתן בבית המשפט העליון ב</w:t>
      </w:r>
      <w:r w:rsidRPr="00680B44">
        <w:rPr>
          <w:rFonts w:ascii="David" w:hAnsi="David"/>
          <w:sz w:val="18"/>
          <w:szCs w:val="20"/>
          <w:rtl/>
        </w:rPr>
        <w:t>-</w:t>
      </w:r>
      <w:r w:rsidRPr="00680B44">
        <w:rPr>
          <w:rFonts w:ascii="Georgia" w:hAnsi="Georgia" w:cs="Guttman Aharoni" w:hint="cs"/>
          <w:sz w:val="18"/>
          <w:szCs w:val="20"/>
          <w:rtl/>
        </w:rPr>
        <w:t xml:space="preserve">8 </w:t>
      </w:r>
      <w:r w:rsidRPr="00680B44">
        <w:rPr>
          <w:rFonts w:ascii="Georgia" w:hAnsi="Georgia" w:cs="Guttman Aharoni"/>
          <w:sz w:val="18"/>
          <w:szCs w:val="20"/>
          <w:rtl/>
        </w:rPr>
        <w:t>ב</w:t>
      </w:r>
      <w:r w:rsidRPr="00680B44">
        <w:rPr>
          <w:rFonts w:ascii="Georgia" w:hAnsi="Georgia" w:cs="Guttman Aharoni" w:hint="cs"/>
          <w:sz w:val="18"/>
          <w:szCs w:val="20"/>
          <w:rtl/>
        </w:rPr>
        <w:t xml:space="preserve">מאי </w:t>
      </w:r>
      <w:r w:rsidRPr="00680B44">
        <w:rPr>
          <w:rFonts w:ascii="Georgia" w:hAnsi="Georgia" w:cs="Guttman Aharoni"/>
          <w:sz w:val="18"/>
          <w:szCs w:val="20"/>
          <w:rtl/>
        </w:rPr>
        <w:t>2024)</w:t>
      </w:r>
    </w:p>
    <w:p w14:paraId="58F3A1A5" w14:textId="77777777" w:rsidR="00680B44" w:rsidRPr="00680B44" w:rsidRDefault="00680B44" w:rsidP="00680B44">
      <w:pPr>
        <w:spacing w:after="180" w:line="260" w:lineRule="exact"/>
        <w:jc w:val="both"/>
        <w:rPr>
          <w:rFonts w:ascii="Georgia" w:hAnsi="Georgia"/>
          <w:sz w:val="18"/>
          <w:szCs w:val="20"/>
          <w:rtl/>
        </w:rPr>
      </w:pPr>
      <w:r w:rsidRPr="00680B44">
        <w:rPr>
          <w:rFonts w:ascii="Georgia" w:hAnsi="Georgia"/>
          <w:sz w:val="18"/>
          <w:szCs w:val="20"/>
          <w:rtl/>
        </w:rPr>
        <w:t>ארגונים חברתיים</w:t>
      </w:r>
      <w:r w:rsidRPr="00680B44">
        <w:rPr>
          <w:rFonts w:ascii="Georgia" w:hAnsi="Georgia" w:hint="cs"/>
          <w:sz w:val="18"/>
          <w:szCs w:val="20"/>
          <w:rtl/>
        </w:rPr>
        <w:t xml:space="preserve"> אחדים</w:t>
      </w:r>
      <w:r w:rsidRPr="00680B44">
        <w:rPr>
          <w:rFonts w:ascii="Georgia" w:hAnsi="Georgia"/>
          <w:sz w:val="18"/>
          <w:szCs w:val="20"/>
          <w:rtl/>
        </w:rPr>
        <w:t xml:space="preserve">, </w:t>
      </w:r>
      <w:r w:rsidRPr="00680B44">
        <w:rPr>
          <w:rFonts w:ascii="Georgia" w:hAnsi="Georgia" w:hint="cs"/>
          <w:sz w:val="18"/>
          <w:szCs w:val="20"/>
          <w:rtl/>
        </w:rPr>
        <w:t>ו</w:t>
      </w:r>
      <w:r w:rsidRPr="00680B44">
        <w:rPr>
          <w:rFonts w:ascii="Georgia" w:hAnsi="Georgia"/>
          <w:sz w:val="18"/>
          <w:szCs w:val="20"/>
          <w:rtl/>
        </w:rPr>
        <w:t xml:space="preserve">בהם עמותת "צדק לילדים", </w:t>
      </w:r>
      <w:r w:rsidRPr="00680B44">
        <w:rPr>
          <w:rFonts w:ascii="Georgia" w:hAnsi="Georgia" w:hint="cs"/>
          <w:sz w:val="18"/>
          <w:szCs w:val="20"/>
          <w:rtl/>
        </w:rPr>
        <w:t xml:space="preserve">ארגון </w:t>
      </w:r>
      <w:r w:rsidRPr="00680B44">
        <w:rPr>
          <w:rFonts w:ascii="Georgia" w:hAnsi="Georgia"/>
          <w:sz w:val="18"/>
          <w:szCs w:val="20"/>
          <w:rtl/>
        </w:rPr>
        <w:t>בזכות – המרכז לזכויות אדם של אנשים עם</w:t>
      </w:r>
      <w:r w:rsidRPr="00680B44">
        <w:rPr>
          <w:rFonts w:ascii="Georgia" w:hAnsi="Georgia" w:hint="cs"/>
          <w:sz w:val="18"/>
          <w:szCs w:val="20"/>
          <w:rtl/>
        </w:rPr>
        <w:t xml:space="preserve"> </w:t>
      </w:r>
      <w:r w:rsidRPr="00680B44">
        <w:rPr>
          <w:rFonts w:ascii="Georgia" w:hAnsi="Georgia"/>
          <w:sz w:val="18"/>
          <w:szCs w:val="20"/>
          <w:rtl/>
        </w:rPr>
        <w:t>מוגבלויות</w:t>
      </w:r>
      <w:r w:rsidRPr="00680B44">
        <w:rPr>
          <w:rFonts w:ascii="Georgia" w:hAnsi="Georgia" w:hint="cs"/>
          <w:sz w:val="18"/>
          <w:szCs w:val="20"/>
          <w:rtl/>
        </w:rPr>
        <w:t xml:space="preserve"> ועוד, </w:t>
      </w:r>
      <w:r w:rsidRPr="00680B44">
        <w:rPr>
          <w:rFonts w:ascii="Georgia" w:hAnsi="Georgia"/>
          <w:sz w:val="18"/>
          <w:szCs w:val="20"/>
          <w:rtl/>
        </w:rPr>
        <w:t xml:space="preserve">הגישו עתירה לבג"ץ בשל זמני המתנה ארוכים </w:t>
      </w:r>
      <w:r w:rsidRPr="00680B44">
        <w:rPr>
          <w:rFonts w:ascii="Georgia" w:hAnsi="Georgia" w:hint="cs"/>
          <w:sz w:val="18"/>
          <w:szCs w:val="20"/>
          <w:rtl/>
        </w:rPr>
        <w:t>(</w:t>
      </w:r>
      <w:r w:rsidRPr="00680B44">
        <w:rPr>
          <w:rFonts w:ascii="Georgia" w:hAnsi="Georgia"/>
          <w:sz w:val="18"/>
          <w:szCs w:val="20"/>
          <w:rtl/>
        </w:rPr>
        <w:t>בין שנה לשנתיים</w:t>
      </w:r>
      <w:r w:rsidRPr="00680B44">
        <w:rPr>
          <w:rFonts w:ascii="Georgia" w:hAnsi="Georgia" w:hint="cs"/>
          <w:sz w:val="18"/>
          <w:szCs w:val="20"/>
          <w:rtl/>
        </w:rPr>
        <w:t>)</w:t>
      </w:r>
      <w:r w:rsidRPr="00680B44">
        <w:rPr>
          <w:rFonts w:ascii="Georgia" w:hAnsi="Georgia"/>
          <w:sz w:val="18"/>
          <w:szCs w:val="20"/>
          <w:rtl/>
        </w:rPr>
        <w:t xml:space="preserve"> לקבלת שירותי בריאות נפש בקהילה. העתירה התמקדה בשירותים הניתנים בתחום בריאות הנפש ללא אשפוז, </w:t>
      </w:r>
      <w:r w:rsidRPr="00680B44">
        <w:rPr>
          <w:rFonts w:ascii="Georgia" w:hAnsi="Georgia" w:hint="cs"/>
          <w:sz w:val="18"/>
          <w:szCs w:val="20"/>
          <w:rtl/>
        </w:rPr>
        <w:t>ו</w:t>
      </w:r>
      <w:r w:rsidRPr="00680B44">
        <w:rPr>
          <w:rFonts w:ascii="Georgia" w:hAnsi="Georgia"/>
          <w:sz w:val="18"/>
          <w:szCs w:val="20"/>
          <w:rtl/>
        </w:rPr>
        <w:t>כוללים אבחון, ייעוץ וטיפול פסיכולוגי ופסיכיאטרי. שירותים אלה ניתנים ב</w:t>
      </w:r>
      <w:r w:rsidRPr="00680B44">
        <w:rPr>
          <w:rFonts w:ascii="Georgia" w:hAnsi="Georgia" w:hint="cs"/>
          <w:sz w:val="18"/>
          <w:szCs w:val="20"/>
          <w:rtl/>
        </w:rPr>
        <w:t>כמה</w:t>
      </w:r>
      <w:r w:rsidRPr="00680B44">
        <w:rPr>
          <w:rFonts w:ascii="Georgia" w:hAnsi="Georgia"/>
          <w:sz w:val="18"/>
          <w:szCs w:val="20"/>
          <w:rtl/>
        </w:rPr>
        <w:t xml:space="preserve"> מסגרות: מרפאות ממשלתיות (המספקות כ-30% מהטיפולים), מרפאות של קופות החולים, או באמצעות מטפלים עצמאיים</w:t>
      </w:r>
      <w:r w:rsidRPr="00680B44">
        <w:rPr>
          <w:rFonts w:ascii="Georgia" w:hAnsi="Georgia" w:hint="cs"/>
          <w:sz w:val="18"/>
          <w:szCs w:val="20"/>
          <w:rtl/>
        </w:rPr>
        <w:t>.</w:t>
      </w:r>
      <w:r w:rsidRPr="00680B44">
        <w:rPr>
          <w:rFonts w:ascii="Georgia" w:hAnsi="Georgia"/>
          <w:sz w:val="18"/>
          <w:szCs w:val="20"/>
          <w:rtl/>
        </w:rPr>
        <w:t xml:space="preserve"> אין מערכת מרכזית לניתוב ו</w:t>
      </w:r>
      <w:r w:rsidRPr="00680B44">
        <w:rPr>
          <w:rFonts w:ascii="Georgia" w:hAnsi="Georgia" w:hint="cs"/>
          <w:sz w:val="18"/>
          <w:szCs w:val="20"/>
          <w:rtl/>
        </w:rPr>
        <w:t>ל</w:t>
      </w:r>
      <w:r w:rsidRPr="00680B44">
        <w:rPr>
          <w:rFonts w:ascii="Georgia" w:hAnsi="Georgia"/>
          <w:sz w:val="18"/>
          <w:szCs w:val="20"/>
          <w:rtl/>
        </w:rPr>
        <w:t>הפניית המטופלי</w:t>
      </w:r>
      <w:r w:rsidRPr="00680B44">
        <w:rPr>
          <w:rFonts w:ascii="Georgia" w:hAnsi="Georgia" w:hint="cs"/>
          <w:sz w:val="18"/>
          <w:szCs w:val="20"/>
          <w:rtl/>
        </w:rPr>
        <w:t>ם למסגרות השונות</w:t>
      </w:r>
      <w:r w:rsidRPr="00680B44">
        <w:rPr>
          <w:rFonts w:ascii="Georgia" w:hAnsi="Georgia"/>
          <w:sz w:val="18"/>
          <w:szCs w:val="20"/>
        </w:rPr>
        <w:t>.</w:t>
      </w:r>
      <w:r w:rsidRPr="00680B44">
        <w:rPr>
          <w:rFonts w:ascii="Georgia" w:hAnsi="Georgia"/>
          <w:sz w:val="18"/>
          <w:szCs w:val="20"/>
          <w:rtl/>
        </w:rPr>
        <w:t xml:space="preserve"> </w:t>
      </w:r>
    </w:p>
    <w:p w14:paraId="158D0AA4" w14:textId="4A2295A9" w:rsidR="00680B44" w:rsidRPr="00680B44" w:rsidRDefault="00680B44" w:rsidP="00680B44">
      <w:pPr>
        <w:spacing w:after="180" w:line="260" w:lineRule="exact"/>
        <w:jc w:val="both"/>
        <w:rPr>
          <w:rFonts w:ascii="Georgia" w:hAnsi="Georgia"/>
          <w:sz w:val="18"/>
          <w:szCs w:val="20"/>
          <w:rtl/>
        </w:rPr>
      </w:pPr>
      <w:r w:rsidRPr="00680B44">
        <w:rPr>
          <w:rFonts w:ascii="Georgia" w:hAnsi="Georgia" w:hint="cs"/>
          <w:sz w:val="18"/>
          <w:szCs w:val="20"/>
          <w:rtl/>
        </w:rPr>
        <w:t>ה</w:t>
      </w:r>
      <w:r w:rsidRPr="00680B44">
        <w:rPr>
          <w:rFonts w:ascii="Georgia" w:hAnsi="Georgia"/>
          <w:sz w:val="18"/>
          <w:szCs w:val="20"/>
          <w:rtl/>
        </w:rPr>
        <w:t xml:space="preserve">עותרים הצביעו על מחסור במרפאות לבריאות הנפש בקהילה, במיוחד באזורי פריפריה, וכן על מחסור במרפאות המספקות שירותים </w:t>
      </w:r>
      <w:r w:rsidRPr="00680B44">
        <w:rPr>
          <w:rFonts w:ascii="Georgia" w:hAnsi="Georgia" w:hint="cs"/>
          <w:sz w:val="18"/>
          <w:szCs w:val="20"/>
          <w:rtl/>
        </w:rPr>
        <w:t>לקטינים ולבגירים</w:t>
      </w:r>
      <w:r w:rsidR="00054209">
        <w:rPr>
          <w:rFonts w:ascii="Georgia" w:hAnsi="Georgia" w:hint="cs"/>
          <w:sz w:val="18"/>
          <w:szCs w:val="20"/>
          <w:rtl/>
        </w:rPr>
        <w:t>,</w:t>
      </w:r>
      <w:r w:rsidRPr="00680B44">
        <w:rPr>
          <w:rFonts w:ascii="Georgia" w:hAnsi="Georgia"/>
          <w:sz w:val="18"/>
          <w:szCs w:val="20"/>
          <w:rtl/>
        </w:rPr>
        <w:t xml:space="preserve"> ולאוכלוסיות מיעוטים</w:t>
      </w:r>
      <w:r w:rsidRPr="00680B44">
        <w:rPr>
          <w:rFonts w:ascii="Georgia" w:hAnsi="Georgia"/>
          <w:sz w:val="18"/>
          <w:szCs w:val="20"/>
        </w:rPr>
        <w:t>.</w:t>
      </w:r>
      <w:r w:rsidRPr="00680B44">
        <w:rPr>
          <w:rFonts w:ascii="Georgia" w:hAnsi="Georgia" w:hint="cs"/>
          <w:sz w:val="18"/>
          <w:szCs w:val="20"/>
          <w:rtl/>
        </w:rPr>
        <w:t xml:space="preserve"> עוד טענו העותרים כי "</w:t>
      </w:r>
      <w:r w:rsidRPr="00680B44">
        <w:rPr>
          <w:rFonts w:ascii="Georgia" w:hAnsi="Georgia"/>
          <w:sz w:val="18"/>
          <w:szCs w:val="20"/>
          <w:rtl/>
        </w:rPr>
        <w:t>מגפת הקורונה והאירועים הביטחוניים שהתחוללו במדינה הגבירו את הצורך</w:t>
      </w:r>
      <w:r w:rsidRPr="00680B44">
        <w:rPr>
          <w:rFonts w:ascii="Georgia" w:hAnsi="Georgia" w:hint="cs"/>
          <w:sz w:val="18"/>
          <w:szCs w:val="20"/>
          <w:rtl/>
        </w:rPr>
        <w:t xml:space="preserve"> </w:t>
      </w:r>
      <w:r w:rsidRPr="00680B44">
        <w:rPr>
          <w:rFonts w:ascii="Georgia" w:hAnsi="Georgia"/>
          <w:sz w:val="18"/>
          <w:szCs w:val="20"/>
          <w:rtl/>
        </w:rPr>
        <w:t>בהיזקקות האוכלוסייה לשירותי בריאות הנפש, מבלי שניתן לכך מענה הולם, כך</w:t>
      </w:r>
      <w:r w:rsidRPr="00680B44">
        <w:rPr>
          <w:rFonts w:ascii="Georgia" w:hAnsi="Georgia" w:hint="cs"/>
          <w:sz w:val="18"/>
          <w:szCs w:val="20"/>
          <w:rtl/>
        </w:rPr>
        <w:t xml:space="preserve"> </w:t>
      </w:r>
      <w:r w:rsidRPr="00680B44">
        <w:rPr>
          <w:rFonts w:ascii="Georgia" w:hAnsi="Georgia"/>
          <w:sz w:val="18"/>
          <w:szCs w:val="20"/>
          <w:rtl/>
        </w:rPr>
        <w:t>שהפער בין רמת השירותים הנדרשת לבין זו הניתנת בפועל הולך ומתעצם</w:t>
      </w:r>
      <w:r w:rsidRPr="00680B44">
        <w:rPr>
          <w:rFonts w:ascii="Georgia" w:hAnsi="Georgia" w:hint="cs"/>
          <w:sz w:val="18"/>
          <w:szCs w:val="20"/>
          <w:rtl/>
        </w:rPr>
        <w:t>".</w:t>
      </w:r>
      <w:r w:rsidRPr="00680B44">
        <w:rPr>
          <w:rFonts w:ascii="Georgia" w:hAnsi="Georgia"/>
          <w:sz w:val="18"/>
          <w:szCs w:val="20"/>
          <w:rtl/>
        </w:rPr>
        <w:t xml:space="preserve"> </w:t>
      </w:r>
    </w:p>
    <w:p w14:paraId="5EDDE4EE" w14:textId="1B610968" w:rsidR="00680B44" w:rsidRPr="00680B44" w:rsidRDefault="00680B44" w:rsidP="00680B44">
      <w:pPr>
        <w:spacing w:after="180" w:line="260" w:lineRule="exact"/>
        <w:jc w:val="both"/>
        <w:rPr>
          <w:rFonts w:ascii="Georgia" w:hAnsi="Georgia"/>
          <w:sz w:val="18"/>
          <w:szCs w:val="20"/>
          <w:rtl/>
        </w:rPr>
      </w:pPr>
      <w:r w:rsidRPr="00680B44">
        <w:rPr>
          <w:rFonts w:ascii="Georgia" w:hAnsi="Georgia" w:hint="cs"/>
          <w:sz w:val="18"/>
          <w:szCs w:val="20"/>
          <w:rtl/>
        </w:rPr>
        <w:t xml:space="preserve">עיקר המחלוקת </w:t>
      </w:r>
      <w:r w:rsidRPr="00680B44">
        <w:rPr>
          <w:rFonts w:ascii="Georgia" w:hAnsi="Georgia"/>
          <w:sz w:val="18"/>
          <w:szCs w:val="20"/>
          <w:rtl/>
        </w:rPr>
        <w:t>בעתירה התמק</w:t>
      </w:r>
      <w:r w:rsidRPr="00680B44">
        <w:rPr>
          <w:rFonts w:ascii="Georgia" w:hAnsi="Georgia" w:hint="cs"/>
          <w:sz w:val="18"/>
          <w:szCs w:val="20"/>
          <w:rtl/>
        </w:rPr>
        <w:t xml:space="preserve">ד </w:t>
      </w:r>
      <w:r w:rsidRPr="00680B44">
        <w:rPr>
          <w:rFonts w:ascii="Georgia" w:hAnsi="Georgia"/>
          <w:sz w:val="18"/>
          <w:szCs w:val="20"/>
          <w:rtl/>
        </w:rPr>
        <w:t>בשאלה אם יש לחייב את משרד הבריאות להכין בסיס נתונים מסודר על משכי ההמתנה, כולל פילוח לפי אזורי מרכז ופריפריה וגיל המטופלים, וכן ב</w:t>
      </w:r>
      <w:r w:rsidRPr="00680B44">
        <w:rPr>
          <w:rFonts w:ascii="Georgia" w:hAnsi="Georgia" w:hint="cs"/>
          <w:sz w:val="18"/>
          <w:szCs w:val="20"/>
          <w:rtl/>
        </w:rPr>
        <w:t>שאלה בדבר לוחות הזמנים להקמת מערכת זו.</w:t>
      </w:r>
    </w:p>
    <w:p w14:paraId="01A476E0" w14:textId="36C0D940" w:rsidR="00680B44" w:rsidRPr="00680B44" w:rsidRDefault="00680B44" w:rsidP="00054209">
      <w:pPr>
        <w:spacing w:after="180" w:line="260" w:lineRule="exact"/>
        <w:jc w:val="both"/>
        <w:rPr>
          <w:rFonts w:ascii="Georgia" w:hAnsi="Georgia"/>
          <w:sz w:val="18"/>
          <w:szCs w:val="20"/>
        </w:rPr>
      </w:pPr>
      <w:r w:rsidRPr="00680B44">
        <w:rPr>
          <w:rFonts w:ascii="Georgia" w:hAnsi="Georgia" w:hint="cs"/>
          <w:sz w:val="18"/>
          <w:szCs w:val="20"/>
          <w:rtl/>
        </w:rPr>
        <w:t xml:space="preserve">המשיבים לעתירה </w:t>
      </w:r>
      <w:r w:rsidRPr="00680B44">
        <w:rPr>
          <w:rFonts w:ascii="Georgia" w:hAnsi="Georgia" w:hint="eastAsia"/>
          <w:sz w:val="18"/>
          <w:szCs w:val="20"/>
          <w:rtl/>
        </w:rPr>
        <w:t>–</w:t>
      </w:r>
      <w:r w:rsidRPr="00680B44">
        <w:rPr>
          <w:rFonts w:ascii="Georgia" w:hAnsi="Georgia" w:hint="cs"/>
          <w:sz w:val="18"/>
          <w:szCs w:val="20"/>
          <w:rtl/>
        </w:rPr>
        <w:t xml:space="preserve"> </w:t>
      </w:r>
      <w:r w:rsidRPr="00680B44">
        <w:rPr>
          <w:rFonts w:ascii="Georgia" w:hAnsi="Georgia"/>
          <w:sz w:val="18"/>
          <w:szCs w:val="20"/>
          <w:rtl/>
        </w:rPr>
        <w:t xml:space="preserve">משרד הבריאות וקופות החולים </w:t>
      </w:r>
      <w:r w:rsidRPr="00680B44">
        <w:rPr>
          <w:rFonts w:ascii="Georgia" w:hAnsi="Georgia" w:hint="cs"/>
          <w:sz w:val="18"/>
          <w:szCs w:val="20"/>
          <w:rtl/>
        </w:rPr>
        <w:t xml:space="preserve">– </w:t>
      </w:r>
      <w:r w:rsidRPr="00680B44">
        <w:rPr>
          <w:rFonts w:ascii="Georgia" w:hAnsi="Georgia"/>
          <w:sz w:val="18"/>
          <w:szCs w:val="20"/>
          <w:rtl/>
        </w:rPr>
        <w:t xml:space="preserve">הסכימו שיש צורך בקיצור זמני ההמתנה, אך הצביעו על </w:t>
      </w:r>
      <w:r w:rsidRPr="00680B44">
        <w:rPr>
          <w:rFonts w:ascii="Georgia" w:hAnsi="Georgia" w:hint="cs"/>
          <w:sz w:val="18"/>
          <w:szCs w:val="20"/>
          <w:rtl/>
        </w:rPr>
        <w:t xml:space="preserve">כמה </w:t>
      </w:r>
      <w:r w:rsidRPr="00680B44">
        <w:rPr>
          <w:rFonts w:ascii="Georgia" w:hAnsi="Georgia"/>
          <w:sz w:val="18"/>
          <w:szCs w:val="20"/>
          <w:rtl/>
        </w:rPr>
        <w:t>קשיים מהותיים באיסוף הנתונים: ראשית, קיימים סוגי טיפול שונים (פרטני, קבוצתי, הדרכת הורים)</w:t>
      </w:r>
      <w:r w:rsidRPr="00680B44">
        <w:rPr>
          <w:rFonts w:ascii="Georgia" w:hAnsi="Georgia" w:hint="cs"/>
          <w:sz w:val="18"/>
          <w:szCs w:val="20"/>
          <w:rtl/>
        </w:rPr>
        <w:t xml:space="preserve">, והם </w:t>
      </w:r>
      <w:r w:rsidRPr="00680B44">
        <w:rPr>
          <w:rFonts w:ascii="Georgia" w:hAnsi="Georgia"/>
          <w:sz w:val="18"/>
          <w:szCs w:val="20"/>
          <w:rtl/>
        </w:rPr>
        <w:t>ניתנים על</w:t>
      </w:r>
      <w:r w:rsidRPr="00680B44">
        <w:rPr>
          <w:rFonts w:ascii="Georgia" w:hAnsi="Georgia" w:hint="cs"/>
          <w:sz w:val="18"/>
          <w:szCs w:val="20"/>
          <w:rtl/>
        </w:rPr>
        <w:t xml:space="preserve"> </w:t>
      </w:r>
      <w:r w:rsidRPr="00680B44">
        <w:rPr>
          <w:rFonts w:ascii="Georgia" w:hAnsi="Georgia"/>
          <w:sz w:val="18"/>
          <w:szCs w:val="20"/>
          <w:rtl/>
        </w:rPr>
        <w:t>ידי גורמים שונים ובמסלולים שונים. שנית, אין מערכת מרכזית אחת לקביעת תורים, שכן קיימים מסלולים שונים לקבלת שירות (השתתפות עצמית או מסלול רגיל במרפאה). שלישית, פגישת האבחון הראשוני (</w:t>
      </w:r>
      <w:proofErr w:type="spellStart"/>
      <w:r w:rsidRPr="00680B44">
        <w:rPr>
          <w:rFonts w:ascii="Georgia" w:hAnsi="Georgia"/>
          <w:sz w:val="18"/>
          <w:szCs w:val="20"/>
          <w:rtl/>
        </w:rPr>
        <w:t>אינטייק</w:t>
      </w:r>
      <w:proofErr w:type="spellEnd"/>
      <w:r w:rsidRPr="00680B44">
        <w:rPr>
          <w:rFonts w:ascii="Georgia" w:hAnsi="Georgia"/>
          <w:sz w:val="18"/>
          <w:szCs w:val="20"/>
          <w:rtl/>
        </w:rPr>
        <w:t xml:space="preserve">) אינה מתועדת במערכות הממוחשבות, וההמלצות בסיומה ניתנות </w:t>
      </w:r>
      <w:r w:rsidRPr="00680B44">
        <w:rPr>
          <w:rFonts w:ascii="Georgia" w:hAnsi="Georgia" w:hint="cs"/>
          <w:sz w:val="18"/>
          <w:szCs w:val="20"/>
          <w:rtl/>
        </w:rPr>
        <w:t xml:space="preserve">בצורת </w:t>
      </w:r>
      <w:r w:rsidRPr="00680B44">
        <w:rPr>
          <w:rFonts w:ascii="Georgia" w:hAnsi="Georgia"/>
          <w:sz w:val="18"/>
          <w:szCs w:val="20"/>
          <w:rtl/>
        </w:rPr>
        <w:t xml:space="preserve">"מלל חופשי" שאינו מאפשר </w:t>
      </w:r>
      <w:r w:rsidRPr="00680B44">
        <w:rPr>
          <w:rFonts w:ascii="Georgia" w:hAnsi="Georgia"/>
          <w:sz w:val="18"/>
          <w:szCs w:val="20"/>
          <w:rtl/>
        </w:rPr>
        <w:lastRenderedPageBreak/>
        <w:t xml:space="preserve">מעקב אחר סוג הטיפול הנדרש. </w:t>
      </w:r>
      <w:r w:rsidRPr="00680B44">
        <w:rPr>
          <w:rFonts w:ascii="Georgia" w:hAnsi="Georgia" w:hint="cs"/>
          <w:sz w:val="18"/>
          <w:szCs w:val="20"/>
          <w:rtl/>
        </w:rPr>
        <w:t xml:space="preserve">חסמים נוספים הם </w:t>
      </w:r>
      <w:r w:rsidRPr="00680B44">
        <w:rPr>
          <w:rFonts w:ascii="Georgia" w:hAnsi="Georgia"/>
          <w:sz w:val="18"/>
          <w:szCs w:val="20"/>
          <w:rtl/>
        </w:rPr>
        <w:t>קביעת תורים כפול</w:t>
      </w:r>
      <w:r w:rsidRPr="00680B44">
        <w:rPr>
          <w:rFonts w:ascii="Georgia" w:hAnsi="Georgia" w:hint="cs"/>
          <w:sz w:val="18"/>
          <w:szCs w:val="20"/>
          <w:rtl/>
        </w:rPr>
        <w:t>ים</w:t>
      </w:r>
      <w:r w:rsidRPr="00680B44">
        <w:rPr>
          <w:rFonts w:ascii="Georgia" w:hAnsi="Georgia"/>
          <w:sz w:val="18"/>
          <w:szCs w:val="20"/>
          <w:rtl/>
        </w:rPr>
        <w:t>, אי</w:t>
      </w:r>
      <w:r w:rsidRPr="00680B44">
        <w:rPr>
          <w:rFonts w:ascii="Georgia" w:hAnsi="Georgia" w:hint="cs"/>
          <w:sz w:val="18"/>
          <w:szCs w:val="20"/>
          <w:rtl/>
        </w:rPr>
        <w:t xml:space="preserve"> </w:t>
      </w:r>
      <w:r w:rsidRPr="00680B44">
        <w:rPr>
          <w:rFonts w:ascii="Georgia" w:hAnsi="Georgia"/>
          <w:sz w:val="18"/>
          <w:szCs w:val="20"/>
          <w:rtl/>
        </w:rPr>
        <w:t>התייצבות לטיפול והיעדר התאמה בין מטפל למטופל</w:t>
      </w:r>
      <w:r w:rsidRPr="00680B44">
        <w:rPr>
          <w:rFonts w:ascii="Georgia" w:hAnsi="Georgia"/>
          <w:sz w:val="18"/>
          <w:szCs w:val="20"/>
        </w:rPr>
        <w:t>.</w:t>
      </w:r>
    </w:p>
    <w:p w14:paraId="1D711EE2" w14:textId="77777777" w:rsidR="00680B44" w:rsidRPr="00680B44" w:rsidRDefault="00680B44" w:rsidP="00680B44">
      <w:pPr>
        <w:spacing w:after="180" w:line="260" w:lineRule="exact"/>
        <w:jc w:val="both"/>
        <w:rPr>
          <w:rFonts w:ascii="Georgia" w:hAnsi="Georgia"/>
          <w:sz w:val="18"/>
          <w:szCs w:val="20"/>
        </w:rPr>
      </w:pPr>
      <w:r w:rsidRPr="00680B44">
        <w:rPr>
          <w:rFonts w:ascii="Georgia" w:hAnsi="Georgia"/>
          <w:sz w:val="18"/>
          <w:szCs w:val="20"/>
          <w:rtl/>
        </w:rPr>
        <w:t xml:space="preserve">המשיבים טענו כי פיתוח </w:t>
      </w:r>
      <w:r w:rsidRPr="00680B44">
        <w:rPr>
          <w:rFonts w:ascii="Georgia" w:hAnsi="Georgia" w:hint="cs"/>
          <w:sz w:val="18"/>
          <w:szCs w:val="20"/>
          <w:rtl/>
        </w:rPr>
        <w:t xml:space="preserve">של </w:t>
      </w:r>
      <w:r w:rsidRPr="00680B44">
        <w:rPr>
          <w:rFonts w:ascii="Georgia" w:hAnsi="Georgia"/>
          <w:sz w:val="18"/>
          <w:szCs w:val="20"/>
          <w:rtl/>
        </w:rPr>
        <w:t>מתודה לאיסוף הנתונים מחייב יצירת "שער כניסה אחד" למערך בריאות הנפש, תהליך שצפוי להימשך שנים מספר. ב</w:t>
      </w:r>
      <w:r w:rsidRPr="00680B44">
        <w:rPr>
          <w:rFonts w:ascii="Georgia" w:hAnsi="Georgia" w:hint="cs"/>
          <w:sz w:val="18"/>
          <w:szCs w:val="20"/>
          <w:rtl/>
        </w:rPr>
        <w:t>ד בבד</w:t>
      </w:r>
      <w:r w:rsidRPr="00680B44">
        <w:rPr>
          <w:rFonts w:ascii="Georgia" w:hAnsi="Georgia"/>
          <w:sz w:val="18"/>
          <w:szCs w:val="20"/>
          <w:rtl/>
        </w:rPr>
        <w:t xml:space="preserve"> הם הדגישו את פעילותם במישור התקציב: הקצאת 75 מיליון שקלים בשנת 2023 ו-100 מיליון שקלים בשנת 2024, וכן תוספת חד-פעמית של 30 מיליון שקלים לגיוס מטפלים חדשים. מבחני התמיכה המעודכנים שפורסמו בינואר 2024 כוללים העדפה לטיפולים בפריפריה, ביישובי מיעוטים ובקטינים</w:t>
      </w:r>
      <w:r w:rsidRPr="00680B44">
        <w:rPr>
          <w:rFonts w:ascii="Georgia" w:hAnsi="Georgia"/>
          <w:sz w:val="18"/>
          <w:szCs w:val="20"/>
        </w:rPr>
        <w:t>.</w:t>
      </w:r>
    </w:p>
    <w:p w14:paraId="17BA7DBA" w14:textId="77777777" w:rsidR="00680B44" w:rsidRPr="00680B44" w:rsidRDefault="00680B44" w:rsidP="00680B44">
      <w:pPr>
        <w:spacing w:after="180" w:line="260" w:lineRule="exact"/>
        <w:jc w:val="both"/>
        <w:rPr>
          <w:rFonts w:ascii="Georgia" w:hAnsi="Georgia"/>
          <w:sz w:val="18"/>
          <w:szCs w:val="20"/>
          <w:rtl/>
        </w:rPr>
      </w:pPr>
      <w:r w:rsidRPr="00680B44">
        <w:rPr>
          <w:rFonts w:ascii="Georgia" w:hAnsi="Georgia"/>
          <w:sz w:val="18"/>
          <w:szCs w:val="20"/>
          <w:rtl/>
        </w:rPr>
        <w:t>בית המשפט העליון (מפי השופטת ברק-ארז</w:t>
      </w:r>
      <w:r w:rsidRPr="00680B44">
        <w:rPr>
          <w:rFonts w:ascii="Georgia" w:hAnsi="Georgia" w:hint="cs"/>
          <w:sz w:val="18"/>
          <w:szCs w:val="20"/>
          <w:rtl/>
        </w:rPr>
        <w:t xml:space="preserve">, </w:t>
      </w:r>
      <w:r w:rsidRPr="00680B44">
        <w:rPr>
          <w:rFonts w:ascii="Georgia" w:hAnsi="Georgia"/>
          <w:sz w:val="18"/>
          <w:szCs w:val="20"/>
          <w:rtl/>
        </w:rPr>
        <w:t xml:space="preserve">ובהסכמת </w:t>
      </w:r>
      <w:r w:rsidRPr="00680B44">
        <w:rPr>
          <w:rFonts w:ascii="Georgia" w:hAnsi="Georgia" w:hint="cs"/>
          <w:sz w:val="18"/>
          <w:szCs w:val="20"/>
          <w:rtl/>
        </w:rPr>
        <w:t>השופט כשר והשופטת רונן</w:t>
      </w:r>
      <w:r w:rsidRPr="00680B44">
        <w:rPr>
          <w:rFonts w:ascii="Georgia" w:hAnsi="Georgia"/>
          <w:sz w:val="18"/>
          <w:szCs w:val="20"/>
          <w:rtl/>
        </w:rPr>
        <w:t xml:space="preserve">) </w:t>
      </w:r>
      <w:r w:rsidRPr="00680B44">
        <w:rPr>
          <w:rFonts w:ascii="Georgia" w:hAnsi="Georgia" w:hint="cs"/>
          <w:sz w:val="18"/>
          <w:szCs w:val="20"/>
          <w:rtl/>
        </w:rPr>
        <w:t>סקר את הרפורמות שנעשו בתחום בריאות הנפש: "</w:t>
      </w:r>
      <w:r w:rsidRPr="00680B44">
        <w:rPr>
          <w:rFonts w:ascii="Georgia" w:hAnsi="Georgia"/>
          <w:sz w:val="18"/>
          <w:szCs w:val="20"/>
          <w:rtl/>
        </w:rPr>
        <w:t>הרפורמה השיקומית"</w:t>
      </w:r>
      <w:r w:rsidRPr="00680B44">
        <w:rPr>
          <w:rFonts w:ascii="Georgia" w:hAnsi="Georgia" w:hint="cs"/>
          <w:sz w:val="18"/>
          <w:szCs w:val="20"/>
          <w:rtl/>
        </w:rPr>
        <w:t>,</w:t>
      </w:r>
      <w:r w:rsidRPr="00680B44">
        <w:rPr>
          <w:rFonts w:ascii="Georgia" w:hAnsi="Georgia"/>
          <w:sz w:val="18"/>
          <w:szCs w:val="20"/>
          <w:rtl/>
        </w:rPr>
        <w:t xml:space="preserve"> שהביאה לחקיקת חוק שיקום נכי נפש בקהילה</w:t>
      </w:r>
      <w:r w:rsidRPr="00680B44">
        <w:rPr>
          <w:rFonts w:ascii="Georgia" w:hAnsi="Georgia" w:hint="cs"/>
          <w:sz w:val="18"/>
          <w:szCs w:val="20"/>
          <w:rtl/>
        </w:rPr>
        <w:t>;</w:t>
      </w:r>
      <w:r w:rsidRPr="00680B44">
        <w:rPr>
          <w:rFonts w:ascii="Georgia" w:hAnsi="Georgia"/>
          <w:sz w:val="18"/>
          <w:szCs w:val="20"/>
          <w:rtl/>
        </w:rPr>
        <w:t xml:space="preserve"> "הרפורמה המבנית"</w:t>
      </w:r>
      <w:r w:rsidRPr="00680B44">
        <w:rPr>
          <w:rFonts w:ascii="Georgia" w:hAnsi="Georgia" w:hint="cs"/>
          <w:sz w:val="18"/>
          <w:szCs w:val="20"/>
          <w:rtl/>
        </w:rPr>
        <w:t>,</w:t>
      </w:r>
      <w:r w:rsidRPr="00680B44">
        <w:rPr>
          <w:rFonts w:ascii="Georgia" w:hAnsi="Georgia"/>
          <w:sz w:val="18"/>
          <w:szCs w:val="20"/>
          <w:rtl/>
        </w:rPr>
        <w:t xml:space="preserve"> שהובילה למעבר הדרגתי מאשפוז פסיכיאטרי לטיפול שיקומי בקהילה</w:t>
      </w:r>
      <w:r w:rsidRPr="00680B44">
        <w:rPr>
          <w:rFonts w:ascii="Georgia" w:hAnsi="Georgia" w:hint="cs"/>
          <w:sz w:val="18"/>
          <w:szCs w:val="20"/>
          <w:rtl/>
        </w:rPr>
        <w:t xml:space="preserve">; ו"הרפורמה </w:t>
      </w:r>
      <w:proofErr w:type="spellStart"/>
      <w:r w:rsidRPr="00680B44">
        <w:rPr>
          <w:rFonts w:ascii="Georgia" w:hAnsi="Georgia" w:hint="cs"/>
          <w:sz w:val="18"/>
          <w:szCs w:val="20"/>
          <w:rtl/>
        </w:rPr>
        <w:t>הביטוחית</w:t>
      </w:r>
      <w:proofErr w:type="spellEnd"/>
      <w:r w:rsidRPr="00680B44">
        <w:rPr>
          <w:rFonts w:ascii="Georgia" w:hAnsi="Georgia" w:hint="cs"/>
          <w:sz w:val="18"/>
          <w:szCs w:val="20"/>
          <w:rtl/>
        </w:rPr>
        <w:t xml:space="preserve">", </w:t>
      </w:r>
      <w:r w:rsidRPr="00680B44">
        <w:rPr>
          <w:rStyle w:val="cf01"/>
          <w:rFonts w:ascii="Georgia" w:hAnsi="Georgia" w:cs="David"/>
          <w:szCs w:val="20"/>
          <w:rtl/>
        </w:rPr>
        <w:t>שהעבירה את האחריות לשירותי בריאות הנפש בקהילה לידיים של קופות החולים ונועד</w:t>
      </w:r>
      <w:r w:rsidRPr="00680B44">
        <w:rPr>
          <w:rStyle w:val="cf01"/>
          <w:rFonts w:ascii="Georgia" w:hAnsi="Georgia" w:cs="David" w:hint="cs"/>
          <w:szCs w:val="20"/>
          <w:rtl/>
        </w:rPr>
        <w:t>ה</w:t>
      </w:r>
      <w:r w:rsidRPr="00680B44">
        <w:rPr>
          <w:rStyle w:val="cf01"/>
          <w:rFonts w:ascii="Georgia" w:hAnsi="Georgia" w:cs="David"/>
          <w:szCs w:val="20"/>
          <w:rtl/>
        </w:rPr>
        <w:t>,</w:t>
      </w:r>
      <w:r w:rsidRPr="00680B44">
        <w:rPr>
          <w:rStyle w:val="cf01"/>
          <w:rFonts w:ascii="Georgia" w:hAnsi="Georgia" w:cs="David" w:hint="cs"/>
          <w:szCs w:val="20"/>
          <w:rtl/>
        </w:rPr>
        <w:t xml:space="preserve"> </w:t>
      </w:r>
      <w:r w:rsidRPr="00680B44">
        <w:rPr>
          <w:rStyle w:val="cf01"/>
          <w:rFonts w:ascii="Georgia" w:hAnsi="Georgia" w:cs="David"/>
          <w:szCs w:val="20"/>
          <w:rtl/>
        </w:rPr>
        <w:t xml:space="preserve">בין השאר, לשפר את זמינותם של השירותים בתחום </w:t>
      </w:r>
      <w:r w:rsidRPr="00680B44">
        <w:rPr>
          <w:rStyle w:val="cf01"/>
          <w:rFonts w:ascii="Georgia" w:hAnsi="Georgia" w:cs="David" w:hint="cs"/>
          <w:szCs w:val="20"/>
          <w:rtl/>
        </w:rPr>
        <w:t>זה</w:t>
      </w:r>
      <w:r w:rsidRPr="00680B44">
        <w:rPr>
          <w:rFonts w:ascii="Georgia" w:hAnsi="Georgia" w:hint="cs"/>
          <w:sz w:val="18"/>
          <w:szCs w:val="20"/>
          <w:rtl/>
        </w:rPr>
        <w:t>.</w:t>
      </w:r>
      <w:r w:rsidRPr="00680B44">
        <w:rPr>
          <w:rFonts w:ascii="Georgia" w:hAnsi="Georgia"/>
          <w:sz w:val="18"/>
          <w:szCs w:val="20"/>
          <w:rtl/>
        </w:rPr>
        <w:t xml:space="preserve"> רפורמות אלו הביאו לעלייה </w:t>
      </w:r>
      <w:r w:rsidRPr="00680B44">
        <w:rPr>
          <w:rFonts w:ascii="Georgia" w:hAnsi="Georgia" w:hint="cs"/>
          <w:sz w:val="18"/>
          <w:szCs w:val="20"/>
          <w:rtl/>
        </w:rPr>
        <w:t xml:space="preserve">ניכרת </w:t>
      </w:r>
      <w:r w:rsidRPr="00680B44">
        <w:rPr>
          <w:rFonts w:ascii="Georgia" w:hAnsi="Georgia"/>
          <w:sz w:val="18"/>
          <w:szCs w:val="20"/>
          <w:rtl/>
        </w:rPr>
        <w:t>במספר המטופלים הנזקקים לשירותים בקהילה, מה שיצר פער בין הביקוש הגובר ל</w:t>
      </w:r>
      <w:r w:rsidRPr="00680B44">
        <w:rPr>
          <w:rFonts w:ascii="Georgia" w:hAnsi="Georgia" w:hint="cs"/>
          <w:sz w:val="18"/>
          <w:szCs w:val="20"/>
          <w:rtl/>
        </w:rPr>
        <w:t xml:space="preserve">בין </w:t>
      </w:r>
      <w:r w:rsidRPr="00680B44">
        <w:rPr>
          <w:rFonts w:ascii="Georgia" w:hAnsi="Georgia"/>
          <w:sz w:val="18"/>
          <w:szCs w:val="20"/>
          <w:rtl/>
        </w:rPr>
        <w:t>היצע הטיפולים הנמוך במערכת הציבורית</w:t>
      </w:r>
      <w:r w:rsidRPr="00680B44">
        <w:rPr>
          <w:rFonts w:ascii="Georgia" w:hAnsi="Georgia"/>
          <w:sz w:val="18"/>
          <w:szCs w:val="20"/>
        </w:rPr>
        <w:t>.</w:t>
      </w:r>
    </w:p>
    <w:p w14:paraId="6875FB55" w14:textId="77777777" w:rsidR="00680B44" w:rsidRPr="00680B44" w:rsidRDefault="00680B44" w:rsidP="00680B44">
      <w:pPr>
        <w:spacing w:after="180" w:line="260" w:lineRule="exact"/>
        <w:jc w:val="both"/>
        <w:rPr>
          <w:rFonts w:ascii="Georgia" w:hAnsi="Georgia"/>
          <w:sz w:val="18"/>
          <w:szCs w:val="20"/>
          <w:rtl/>
        </w:rPr>
      </w:pPr>
      <w:r w:rsidRPr="00680B44">
        <w:rPr>
          <w:rFonts w:ascii="Georgia" w:hAnsi="Georgia"/>
          <w:sz w:val="18"/>
          <w:szCs w:val="20"/>
          <w:rtl/>
        </w:rPr>
        <w:t xml:space="preserve">בית המשפט </w:t>
      </w:r>
      <w:r w:rsidRPr="00680B44">
        <w:rPr>
          <w:rFonts w:ascii="Georgia" w:hAnsi="Georgia" w:hint="cs"/>
          <w:sz w:val="18"/>
          <w:szCs w:val="20"/>
          <w:rtl/>
        </w:rPr>
        <w:t>קיבל את העתירה ו</w:t>
      </w:r>
      <w:r w:rsidRPr="00680B44">
        <w:rPr>
          <w:rFonts w:ascii="Georgia" w:hAnsi="Georgia"/>
          <w:sz w:val="18"/>
          <w:szCs w:val="20"/>
          <w:rtl/>
        </w:rPr>
        <w:t xml:space="preserve">קבע שמשרד הבריאות מחויב לאסוף נתונים מקיפים על זמני ההמתנה </w:t>
      </w:r>
      <w:r w:rsidRPr="00680B44">
        <w:rPr>
          <w:rFonts w:ascii="Georgia" w:hAnsi="Georgia" w:hint="cs"/>
          <w:sz w:val="18"/>
          <w:szCs w:val="20"/>
          <w:rtl/>
        </w:rPr>
        <w:t>ב</w:t>
      </w:r>
      <w:r w:rsidRPr="00680B44">
        <w:rPr>
          <w:rFonts w:ascii="Georgia" w:hAnsi="Georgia"/>
          <w:sz w:val="18"/>
          <w:szCs w:val="20"/>
          <w:rtl/>
        </w:rPr>
        <w:t>תוך שנה לכל היותר</w:t>
      </w:r>
      <w:r w:rsidRPr="00680B44">
        <w:rPr>
          <w:rFonts w:ascii="Georgia" w:hAnsi="Georgia" w:hint="cs"/>
          <w:sz w:val="18"/>
          <w:szCs w:val="20"/>
          <w:rtl/>
        </w:rPr>
        <w:t xml:space="preserve">. בית המשפט ביסס את החלטתו על </w:t>
      </w:r>
      <w:r w:rsidRPr="00680B44">
        <w:rPr>
          <w:rFonts w:ascii="Georgia" w:hAnsi="Georgia"/>
          <w:sz w:val="18"/>
          <w:szCs w:val="20"/>
          <w:rtl/>
        </w:rPr>
        <w:t xml:space="preserve">שלושה עקרונות: </w:t>
      </w:r>
      <w:r w:rsidRPr="00680B44">
        <w:rPr>
          <w:rFonts w:ascii="Georgia" w:hAnsi="Georgia" w:hint="cs"/>
          <w:sz w:val="18"/>
          <w:szCs w:val="20"/>
          <w:rtl/>
        </w:rPr>
        <w:t xml:space="preserve">העיקרון הראשון הוא </w:t>
      </w:r>
      <w:r w:rsidRPr="00680B44">
        <w:rPr>
          <w:rFonts w:ascii="Georgia" w:hAnsi="Georgia"/>
          <w:sz w:val="18"/>
          <w:szCs w:val="20"/>
          <w:rtl/>
        </w:rPr>
        <w:t>הזכות לבריאות כזכות יסוד</w:t>
      </w:r>
      <w:r w:rsidRPr="00680B44">
        <w:rPr>
          <w:rFonts w:ascii="Georgia" w:hAnsi="Georgia" w:hint="cs"/>
          <w:sz w:val="18"/>
          <w:szCs w:val="20"/>
          <w:rtl/>
        </w:rPr>
        <w:t>:</w:t>
      </w:r>
    </w:p>
    <w:p w14:paraId="1137DB43" w14:textId="77777777" w:rsidR="00680B44" w:rsidRPr="004D6C3E" w:rsidRDefault="00680B44" w:rsidP="00680B44">
      <w:pPr>
        <w:spacing w:after="180" w:line="260" w:lineRule="exact"/>
        <w:ind w:left="567"/>
        <w:jc w:val="both"/>
        <w:rPr>
          <w:rFonts w:ascii="Georgia" w:hAnsi="Georgia"/>
          <w:spacing w:val="-2"/>
          <w:sz w:val="18"/>
          <w:szCs w:val="20"/>
          <w:rtl/>
        </w:rPr>
      </w:pPr>
      <w:r w:rsidRPr="004D6C3E">
        <w:rPr>
          <w:rFonts w:ascii="Georgia" w:hAnsi="Georgia"/>
          <w:spacing w:val="-2"/>
          <w:sz w:val="18"/>
          <w:szCs w:val="20"/>
          <w:rtl/>
        </w:rPr>
        <w:t>הזכות לבריאות הנפש היא חלק אינטגרלי משירותי הבריאות הבסיסיים,</w:t>
      </w:r>
      <w:r w:rsidRPr="004D6C3E">
        <w:rPr>
          <w:rFonts w:ascii="Georgia" w:hAnsi="Georgia" w:hint="cs"/>
          <w:spacing w:val="-2"/>
          <w:sz w:val="18"/>
          <w:szCs w:val="20"/>
          <w:rtl/>
        </w:rPr>
        <w:t xml:space="preserve"> </w:t>
      </w:r>
      <w:r w:rsidRPr="004D6C3E">
        <w:rPr>
          <w:rFonts w:ascii="Georgia" w:hAnsi="Georgia"/>
          <w:spacing w:val="-2"/>
          <w:sz w:val="18"/>
          <w:szCs w:val="20"/>
          <w:rtl/>
        </w:rPr>
        <w:t>בבחינת "נפש בריאה בגוף בריא" וכך גם להפך. לאמיתו של דבר, הרפורמה בתחום</w:t>
      </w:r>
      <w:r w:rsidRPr="004D6C3E">
        <w:rPr>
          <w:rFonts w:ascii="Georgia" w:hAnsi="Georgia" w:hint="cs"/>
          <w:spacing w:val="-2"/>
          <w:sz w:val="18"/>
          <w:szCs w:val="20"/>
          <w:rtl/>
        </w:rPr>
        <w:t xml:space="preserve"> </w:t>
      </w:r>
      <w:r w:rsidRPr="004D6C3E">
        <w:rPr>
          <w:rFonts w:ascii="Georgia" w:hAnsi="Georgia"/>
          <w:spacing w:val="-2"/>
          <w:sz w:val="18"/>
          <w:szCs w:val="20"/>
          <w:rtl/>
        </w:rPr>
        <w:t>בריאות הנפש נועדה להכיר בכך שבריאות הנפש היא חלק בלתי נפרד מבריאותו של</w:t>
      </w:r>
      <w:r w:rsidRPr="004D6C3E">
        <w:rPr>
          <w:rFonts w:ascii="Georgia" w:hAnsi="Georgia" w:hint="cs"/>
          <w:spacing w:val="-2"/>
          <w:sz w:val="18"/>
          <w:szCs w:val="20"/>
          <w:rtl/>
        </w:rPr>
        <w:t xml:space="preserve"> </w:t>
      </w:r>
      <w:r w:rsidRPr="004D6C3E">
        <w:rPr>
          <w:rFonts w:ascii="Georgia" w:hAnsi="Georgia"/>
          <w:spacing w:val="-2"/>
          <w:sz w:val="18"/>
          <w:szCs w:val="20"/>
          <w:rtl/>
        </w:rPr>
        <w:t>האדם, ולכן גם חלק בלתי נפרד מן המענה הבריאותי הניתן בקהילה בגדרו של חוק</w:t>
      </w:r>
      <w:r w:rsidRPr="004D6C3E">
        <w:rPr>
          <w:rFonts w:ascii="Georgia" w:hAnsi="Georgia" w:hint="cs"/>
          <w:spacing w:val="-2"/>
          <w:sz w:val="18"/>
          <w:szCs w:val="20"/>
          <w:rtl/>
        </w:rPr>
        <w:t xml:space="preserve"> </w:t>
      </w:r>
      <w:r w:rsidRPr="004D6C3E">
        <w:rPr>
          <w:rFonts w:ascii="Georgia" w:hAnsi="Georgia"/>
          <w:spacing w:val="-2"/>
          <w:sz w:val="18"/>
          <w:szCs w:val="20"/>
          <w:rtl/>
        </w:rPr>
        <w:t>ביטוח בריאות ממלכתי</w:t>
      </w:r>
      <w:r w:rsidRPr="004D6C3E">
        <w:rPr>
          <w:rFonts w:ascii="Georgia" w:hAnsi="Georgia" w:hint="cs"/>
          <w:spacing w:val="-2"/>
          <w:sz w:val="18"/>
          <w:szCs w:val="20"/>
          <w:rtl/>
        </w:rPr>
        <w:t>.</w:t>
      </w:r>
    </w:p>
    <w:p w14:paraId="26E36060" w14:textId="77777777" w:rsidR="00680B44" w:rsidRPr="00680B44" w:rsidRDefault="00680B44" w:rsidP="00680B44">
      <w:pPr>
        <w:spacing w:after="180" w:line="260" w:lineRule="exact"/>
        <w:jc w:val="both"/>
        <w:rPr>
          <w:rFonts w:ascii="Georgia" w:hAnsi="Georgia"/>
          <w:sz w:val="18"/>
          <w:szCs w:val="20"/>
          <w:rtl/>
        </w:rPr>
      </w:pPr>
      <w:r w:rsidRPr="00680B44">
        <w:rPr>
          <w:rFonts w:ascii="Georgia" w:hAnsi="Georgia" w:hint="cs"/>
          <w:sz w:val="18"/>
          <w:szCs w:val="20"/>
          <w:rtl/>
        </w:rPr>
        <w:t>העיקרון השני הוא ח</w:t>
      </w:r>
      <w:r w:rsidRPr="00680B44">
        <w:rPr>
          <w:rFonts w:ascii="Georgia" w:hAnsi="Georgia"/>
          <w:sz w:val="18"/>
          <w:szCs w:val="20"/>
          <w:rtl/>
        </w:rPr>
        <w:t>ובת הרשות להניח תשתית עובדתית לפני קבלת החלטו</w:t>
      </w:r>
      <w:r w:rsidRPr="00680B44">
        <w:rPr>
          <w:rFonts w:ascii="Georgia" w:hAnsi="Georgia" w:hint="cs"/>
          <w:sz w:val="18"/>
          <w:szCs w:val="20"/>
          <w:rtl/>
        </w:rPr>
        <w:t>ת:</w:t>
      </w:r>
      <w:r w:rsidRPr="00680B44">
        <w:rPr>
          <w:rFonts w:ascii="Georgia" w:hAnsi="Georgia"/>
          <w:sz w:val="18"/>
          <w:szCs w:val="20"/>
        </w:rPr>
        <w:t xml:space="preserve"> </w:t>
      </w:r>
    </w:p>
    <w:p w14:paraId="7BF4FDD7" w14:textId="77777777" w:rsidR="00680B44" w:rsidRPr="00680B44" w:rsidRDefault="00680B44" w:rsidP="00680B44">
      <w:pPr>
        <w:spacing w:after="180" w:line="260" w:lineRule="exact"/>
        <w:ind w:left="567"/>
        <w:jc w:val="both"/>
        <w:rPr>
          <w:rFonts w:ascii="Georgia" w:hAnsi="Georgia"/>
          <w:sz w:val="18"/>
          <w:szCs w:val="20"/>
          <w:rtl/>
        </w:rPr>
      </w:pPr>
      <w:r w:rsidRPr="00680B44">
        <w:rPr>
          <w:rFonts w:ascii="Georgia" w:hAnsi="Georgia"/>
          <w:sz w:val="18"/>
          <w:szCs w:val="20"/>
          <w:rtl/>
        </w:rPr>
        <w:t xml:space="preserve">כל החלטה </w:t>
      </w:r>
      <w:proofErr w:type="spellStart"/>
      <w:r w:rsidRPr="00680B44">
        <w:rPr>
          <w:rFonts w:ascii="Georgia" w:hAnsi="Georgia"/>
          <w:sz w:val="18"/>
          <w:szCs w:val="20"/>
          <w:rtl/>
        </w:rPr>
        <w:t>מינהלית</w:t>
      </w:r>
      <w:proofErr w:type="spellEnd"/>
      <w:r w:rsidRPr="00680B44">
        <w:rPr>
          <w:rFonts w:ascii="Georgia" w:hAnsi="Georgia"/>
          <w:sz w:val="18"/>
          <w:szCs w:val="20"/>
          <w:rtl/>
        </w:rPr>
        <w:t xml:space="preserve"> לא </w:t>
      </w:r>
      <w:proofErr w:type="spellStart"/>
      <w:r w:rsidRPr="00680B44">
        <w:rPr>
          <w:rFonts w:ascii="Georgia" w:hAnsi="Georgia"/>
          <w:sz w:val="18"/>
          <w:szCs w:val="20"/>
          <w:rtl/>
        </w:rPr>
        <w:t>תסכון</w:t>
      </w:r>
      <w:proofErr w:type="spellEnd"/>
      <w:r w:rsidRPr="00680B44">
        <w:rPr>
          <w:rFonts w:ascii="Georgia" w:hAnsi="Georgia" w:hint="cs"/>
          <w:sz w:val="18"/>
          <w:szCs w:val="20"/>
          <w:rtl/>
        </w:rPr>
        <w:t xml:space="preserve"> [תועיל </w:t>
      </w:r>
      <w:r w:rsidRPr="00680B44">
        <w:rPr>
          <w:rFonts w:ascii="Georgia" w:hAnsi="Georgia" w:hint="eastAsia"/>
          <w:sz w:val="18"/>
          <w:szCs w:val="20"/>
          <w:rtl/>
        </w:rPr>
        <w:t>–</w:t>
      </w:r>
      <w:r w:rsidRPr="00680B44">
        <w:rPr>
          <w:rFonts w:ascii="Georgia" w:hAnsi="Georgia" w:hint="cs"/>
          <w:sz w:val="18"/>
          <w:szCs w:val="20"/>
          <w:rtl/>
        </w:rPr>
        <w:t xml:space="preserve"> תוספת שלי, </w:t>
      </w:r>
      <w:proofErr w:type="spellStart"/>
      <w:r w:rsidRPr="00680B44">
        <w:rPr>
          <w:rFonts w:ascii="Georgia" w:hAnsi="Georgia" w:hint="cs"/>
          <w:sz w:val="18"/>
          <w:szCs w:val="20"/>
          <w:rtl/>
        </w:rPr>
        <w:t>מ"ס</w:t>
      </w:r>
      <w:proofErr w:type="spellEnd"/>
      <w:r w:rsidRPr="00680B44">
        <w:rPr>
          <w:rFonts w:ascii="Georgia" w:hAnsi="Georgia" w:hint="cs"/>
          <w:sz w:val="18"/>
          <w:szCs w:val="20"/>
          <w:rtl/>
        </w:rPr>
        <w:t xml:space="preserve">] </w:t>
      </w:r>
      <w:r w:rsidRPr="00680B44">
        <w:rPr>
          <w:rFonts w:ascii="Georgia" w:hAnsi="Georgia"/>
          <w:sz w:val="18"/>
          <w:szCs w:val="20"/>
          <w:rtl/>
        </w:rPr>
        <w:t>מבלי שהרשות תדע מהם הצרכים שלהם היא צריכה לתת מענה. החלטה שאינה</w:t>
      </w:r>
      <w:r w:rsidRPr="00680B44">
        <w:rPr>
          <w:rFonts w:ascii="Georgia" w:hAnsi="Georgia" w:hint="cs"/>
          <w:sz w:val="18"/>
          <w:szCs w:val="20"/>
          <w:rtl/>
        </w:rPr>
        <w:t xml:space="preserve"> </w:t>
      </w:r>
      <w:r w:rsidRPr="00680B44">
        <w:rPr>
          <w:rFonts w:ascii="Georgia" w:hAnsi="Georgia"/>
          <w:sz w:val="18"/>
          <w:szCs w:val="20"/>
          <w:rtl/>
        </w:rPr>
        <w:t>מתבססת על תשתית עובדתית הולמת היא החלטה התלויה בחלל האוויר, ועם כל</w:t>
      </w:r>
      <w:r w:rsidRPr="00680B44">
        <w:rPr>
          <w:rFonts w:ascii="Georgia" w:hAnsi="Georgia" w:hint="cs"/>
          <w:sz w:val="18"/>
          <w:szCs w:val="20"/>
          <w:rtl/>
        </w:rPr>
        <w:t xml:space="preserve"> </w:t>
      </w:r>
      <w:r w:rsidRPr="00680B44">
        <w:rPr>
          <w:rFonts w:ascii="Georgia" w:hAnsi="Georgia"/>
          <w:sz w:val="18"/>
          <w:szCs w:val="20"/>
          <w:rtl/>
        </w:rPr>
        <w:t>הכוונות הטובות עשויה שלא להתחבר למענה הנדרש בקרקע המציאות.</w:t>
      </w:r>
    </w:p>
    <w:p w14:paraId="00BB1F70" w14:textId="77777777" w:rsidR="00680B44" w:rsidRPr="00680B44" w:rsidRDefault="00680B44" w:rsidP="00680B44">
      <w:pPr>
        <w:spacing w:after="180" w:line="260" w:lineRule="exact"/>
        <w:jc w:val="both"/>
        <w:rPr>
          <w:rFonts w:ascii="Georgia" w:hAnsi="Georgia"/>
          <w:sz w:val="18"/>
          <w:szCs w:val="20"/>
          <w:rtl/>
        </w:rPr>
      </w:pPr>
      <w:r w:rsidRPr="00680B44">
        <w:rPr>
          <w:rFonts w:ascii="Georgia" w:hAnsi="Georgia" w:hint="cs"/>
          <w:sz w:val="18"/>
          <w:szCs w:val="20"/>
          <w:rtl/>
        </w:rPr>
        <w:t>העיקרון השלישי הוא החו</w:t>
      </w:r>
      <w:r w:rsidRPr="00680B44">
        <w:rPr>
          <w:rFonts w:ascii="Georgia" w:hAnsi="Georgia"/>
          <w:sz w:val="18"/>
          <w:szCs w:val="20"/>
          <w:rtl/>
        </w:rPr>
        <w:t>בה לפעול במהירות ראויה</w:t>
      </w:r>
      <w:r w:rsidRPr="00680B44">
        <w:rPr>
          <w:rFonts w:ascii="Georgia" w:hAnsi="Georgia" w:hint="cs"/>
          <w:sz w:val="18"/>
          <w:szCs w:val="20"/>
          <w:rtl/>
        </w:rPr>
        <w:t>:</w:t>
      </w:r>
    </w:p>
    <w:p w14:paraId="62614F23" w14:textId="77777777" w:rsidR="00D01697" w:rsidRDefault="00680B44" w:rsidP="00680B44">
      <w:pPr>
        <w:spacing w:after="180" w:line="260" w:lineRule="exact"/>
        <w:ind w:left="567"/>
        <w:jc w:val="both"/>
        <w:rPr>
          <w:rFonts w:ascii="Georgia" w:hAnsi="Georgia"/>
          <w:sz w:val="18"/>
          <w:szCs w:val="20"/>
          <w:rtl/>
        </w:rPr>
      </w:pPr>
      <w:r w:rsidRPr="00680B44">
        <w:rPr>
          <w:rFonts w:ascii="Georgia" w:hAnsi="Georgia"/>
          <w:sz w:val="18"/>
          <w:szCs w:val="20"/>
          <w:rtl/>
        </w:rPr>
        <w:t>החובה לפעול במהירות ראויה דורשת מקופות החולים</w:t>
      </w:r>
      <w:r w:rsidRPr="00680B44">
        <w:rPr>
          <w:rFonts w:ascii="Georgia" w:hAnsi="Georgia" w:hint="cs"/>
          <w:sz w:val="18"/>
          <w:szCs w:val="20"/>
          <w:rtl/>
        </w:rPr>
        <w:t xml:space="preserve"> </w:t>
      </w:r>
      <w:r w:rsidRPr="00680B44">
        <w:rPr>
          <w:rFonts w:ascii="Georgia" w:hAnsi="Georgia"/>
          <w:sz w:val="18"/>
          <w:szCs w:val="20"/>
          <w:rtl/>
        </w:rPr>
        <w:t>להעניק את שירותי בריאות הנפש בתוך זמן סביר. היבט זה אף מקבל ביטוי קונקרטי</w:t>
      </w:r>
      <w:r w:rsidRPr="00680B44">
        <w:rPr>
          <w:rFonts w:ascii="Georgia" w:hAnsi="Georgia" w:hint="cs"/>
          <w:sz w:val="18"/>
          <w:szCs w:val="20"/>
          <w:rtl/>
        </w:rPr>
        <w:t xml:space="preserve"> </w:t>
      </w:r>
      <w:r w:rsidRPr="00680B44">
        <w:rPr>
          <w:rFonts w:ascii="Georgia" w:hAnsi="Georgia"/>
          <w:sz w:val="18"/>
          <w:szCs w:val="20"/>
          <w:rtl/>
        </w:rPr>
        <w:t xml:space="preserve">בגדרו של סעיף </w:t>
      </w:r>
      <w:r w:rsidRPr="00680B44">
        <w:rPr>
          <w:rFonts w:ascii="Georgia" w:hAnsi="Georgia" w:hint="cs"/>
          <w:sz w:val="18"/>
          <w:szCs w:val="20"/>
          <w:rtl/>
        </w:rPr>
        <w:t>3(ד)</w:t>
      </w:r>
      <w:r w:rsidRPr="00680B44">
        <w:rPr>
          <w:rFonts w:ascii="Georgia" w:hAnsi="Georgia"/>
          <w:sz w:val="18"/>
          <w:szCs w:val="20"/>
          <w:rtl/>
        </w:rPr>
        <w:t xml:space="preserve"> לחוק ביטוח בריאות ממלכתי הקובע כי ככלל שירותי הבריאות</w:t>
      </w:r>
      <w:r w:rsidRPr="00680B44">
        <w:rPr>
          <w:rFonts w:ascii="Georgia" w:hAnsi="Georgia" w:hint="cs"/>
          <w:sz w:val="18"/>
          <w:szCs w:val="20"/>
          <w:rtl/>
        </w:rPr>
        <w:t xml:space="preserve"> </w:t>
      </w:r>
      <w:r w:rsidRPr="00680B44">
        <w:rPr>
          <w:rFonts w:ascii="Georgia" w:hAnsi="Georgia"/>
          <w:sz w:val="18"/>
          <w:szCs w:val="20"/>
          <w:rtl/>
        </w:rPr>
        <w:t>הכלולים בסל שירותי הבריאות יינתנו "בתוך זמן סביר ובמרחק סביר ממקום מגורי</w:t>
      </w:r>
      <w:r w:rsidRPr="00680B44">
        <w:rPr>
          <w:rFonts w:ascii="Georgia" w:hAnsi="Georgia" w:hint="cs"/>
          <w:sz w:val="18"/>
          <w:szCs w:val="20"/>
          <w:rtl/>
        </w:rPr>
        <w:t xml:space="preserve"> </w:t>
      </w:r>
      <w:r w:rsidRPr="00680B44">
        <w:rPr>
          <w:rFonts w:ascii="Georgia" w:hAnsi="Georgia"/>
          <w:sz w:val="18"/>
          <w:szCs w:val="20"/>
          <w:rtl/>
        </w:rPr>
        <w:t xml:space="preserve">המבוטח" </w:t>
      </w:r>
      <w:r w:rsidRPr="00680B44">
        <w:rPr>
          <w:rFonts w:ascii="Georgia" w:hAnsi="Georgia" w:hint="cs"/>
          <w:sz w:val="18"/>
          <w:szCs w:val="20"/>
          <w:rtl/>
        </w:rPr>
        <w:t>[...]</w:t>
      </w:r>
      <w:r w:rsidRPr="00680B44">
        <w:rPr>
          <w:rFonts w:ascii="Georgia" w:hAnsi="Georgia"/>
          <w:sz w:val="18"/>
          <w:szCs w:val="20"/>
          <w:rtl/>
        </w:rPr>
        <w:t xml:space="preserve"> שנית, החובה לפעול במהירות ראויה משליכה גם על פרק הזמן שבמהלכו</w:t>
      </w:r>
      <w:r w:rsidRPr="00680B44">
        <w:rPr>
          <w:rFonts w:ascii="Georgia" w:hAnsi="Georgia" w:hint="cs"/>
          <w:sz w:val="18"/>
          <w:szCs w:val="20"/>
          <w:rtl/>
        </w:rPr>
        <w:t xml:space="preserve"> </w:t>
      </w:r>
      <w:r w:rsidRPr="00680B44">
        <w:rPr>
          <w:rFonts w:ascii="Georgia" w:hAnsi="Georgia"/>
          <w:sz w:val="18"/>
          <w:szCs w:val="20"/>
          <w:rtl/>
        </w:rPr>
        <w:t>יש להשלים את איסוף הנתונים הרלוונטיים על</w:t>
      </w:r>
      <w:r w:rsidRPr="00680B44">
        <w:rPr>
          <w:rFonts w:ascii="Georgia" w:hAnsi="Georgia" w:hint="cs"/>
          <w:sz w:val="18"/>
          <w:szCs w:val="20"/>
          <w:rtl/>
        </w:rPr>
        <w:t xml:space="preserve"> </w:t>
      </w:r>
      <w:r w:rsidRPr="00680B44">
        <w:rPr>
          <w:rFonts w:ascii="Georgia" w:hAnsi="Georgia"/>
          <w:sz w:val="18"/>
          <w:szCs w:val="20"/>
          <w:rtl/>
        </w:rPr>
        <w:t>ידי משרד הבריאות, כחלק מהאינטרס</w:t>
      </w:r>
      <w:r w:rsidRPr="00680B44">
        <w:rPr>
          <w:rFonts w:ascii="Georgia" w:hAnsi="Georgia" w:hint="cs"/>
          <w:sz w:val="18"/>
          <w:szCs w:val="20"/>
          <w:rtl/>
        </w:rPr>
        <w:t xml:space="preserve"> </w:t>
      </w:r>
      <w:r w:rsidRPr="00680B44">
        <w:rPr>
          <w:rFonts w:ascii="Georgia" w:hAnsi="Georgia"/>
          <w:sz w:val="18"/>
          <w:szCs w:val="20"/>
          <w:rtl/>
        </w:rPr>
        <w:t xml:space="preserve">הציבורי לפתרון הקשיים הנובעים מזמני ההמתנה הממושכים לטיפול. </w:t>
      </w:r>
    </w:p>
    <w:p w14:paraId="306F6F61" w14:textId="0DAC9CD8" w:rsidR="00680B44" w:rsidRPr="00680B44" w:rsidRDefault="00680B44" w:rsidP="00D01697">
      <w:pPr>
        <w:spacing w:after="180" w:line="260" w:lineRule="exact"/>
        <w:jc w:val="both"/>
        <w:rPr>
          <w:rFonts w:ascii="Georgia" w:hAnsi="Georgia"/>
          <w:sz w:val="18"/>
          <w:szCs w:val="20"/>
          <w:rtl/>
        </w:rPr>
      </w:pPr>
      <w:r w:rsidRPr="00680B44">
        <w:rPr>
          <w:rFonts w:ascii="Georgia" w:hAnsi="Georgia"/>
          <w:sz w:val="18"/>
          <w:szCs w:val="20"/>
          <w:rtl/>
        </w:rPr>
        <w:lastRenderedPageBreak/>
        <w:t>במ</w:t>
      </w:r>
      <w:r w:rsidR="00D01697">
        <w:rPr>
          <w:rFonts w:ascii="Georgia" w:hAnsi="Georgia" w:hint="cs"/>
          <w:sz w:val="18"/>
          <w:szCs w:val="20"/>
          <w:rtl/>
        </w:rPr>
        <w:t>י</w:t>
      </w:r>
      <w:r w:rsidRPr="00680B44">
        <w:rPr>
          <w:rFonts w:ascii="Georgia" w:hAnsi="Georgia"/>
          <w:sz w:val="18"/>
          <w:szCs w:val="20"/>
          <w:rtl/>
        </w:rPr>
        <w:t>לים אחרות,</w:t>
      </w:r>
      <w:r w:rsidR="00D01697">
        <w:rPr>
          <w:rFonts w:ascii="Georgia" w:hAnsi="Georgia" w:hint="cs"/>
          <w:sz w:val="18"/>
          <w:szCs w:val="20"/>
          <w:rtl/>
        </w:rPr>
        <w:t xml:space="preserve"> </w:t>
      </w:r>
      <w:r w:rsidRPr="00680B44">
        <w:rPr>
          <w:rFonts w:ascii="Georgia" w:hAnsi="Georgia"/>
          <w:sz w:val="18"/>
          <w:szCs w:val="20"/>
          <w:rtl/>
        </w:rPr>
        <w:t xml:space="preserve">בית המשפט הדגיש כי </w:t>
      </w:r>
      <w:r w:rsidRPr="00680B44">
        <w:rPr>
          <w:rFonts w:ascii="Georgia" w:hAnsi="Georgia" w:hint="cs"/>
          <w:sz w:val="18"/>
          <w:szCs w:val="20"/>
          <w:rtl/>
        </w:rPr>
        <w:t xml:space="preserve">המתנה ממושכת </w:t>
      </w:r>
      <w:r w:rsidRPr="00680B44">
        <w:rPr>
          <w:rFonts w:ascii="Georgia" w:hAnsi="Georgia"/>
          <w:sz w:val="18"/>
          <w:szCs w:val="20"/>
          <w:rtl/>
        </w:rPr>
        <w:t>לטיפול נפשי עלול</w:t>
      </w:r>
      <w:r w:rsidRPr="00680B44">
        <w:rPr>
          <w:rFonts w:ascii="Georgia" w:hAnsi="Georgia" w:hint="cs"/>
          <w:sz w:val="18"/>
          <w:szCs w:val="20"/>
          <w:rtl/>
        </w:rPr>
        <w:t>ה</w:t>
      </w:r>
      <w:r w:rsidRPr="00680B44">
        <w:rPr>
          <w:rFonts w:ascii="Georgia" w:hAnsi="Georgia"/>
          <w:sz w:val="18"/>
          <w:szCs w:val="20"/>
          <w:rtl/>
        </w:rPr>
        <w:t xml:space="preserve"> לפגוע בבריאות עצמה, וכי הצורך בשיפור השירות התחדד במיוחד לאור המלחמה שפרצה באוקטובר 2023. בית המשפט ציין כי בחלוף כשנתיים וחצי ממועד הגשת העתירה טרם נאספו הנתונים הנדרשים לפתרון בעיית זמני ההמתנה, וכי התחייבות המשיבים לאסוף את הנתונים עד לשנת 2026 אינה מניחה את הדעת. הודגש כי על הרשות חובה לפעול במהירות ראויה, </w:t>
      </w:r>
      <w:r w:rsidRPr="00680B44">
        <w:rPr>
          <w:rFonts w:ascii="Georgia" w:hAnsi="Georgia" w:hint="cs"/>
          <w:sz w:val="18"/>
          <w:szCs w:val="20"/>
          <w:rtl/>
        </w:rPr>
        <w:t xml:space="preserve">וכי </w:t>
      </w:r>
      <w:r w:rsidRPr="00680B44">
        <w:rPr>
          <w:rFonts w:ascii="Georgia" w:hAnsi="Georgia"/>
          <w:sz w:val="18"/>
          <w:szCs w:val="20"/>
          <w:rtl/>
        </w:rPr>
        <w:t xml:space="preserve">חובה </w:t>
      </w:r>
      <w:r w:rsidRPr="00680B44">
        <w:rPr>
          <w:rFonts w:ascii="Georgia" w:hAnsi="Georgia" w:hint="cs"/>
          <w:sz w:val="18"/>
          <w:szCs w:val="20"/>
          <w:rtl/>
        </w:rPr>
        <w:t xml:space="preserve">זו </w:t>
      </w:r>
      <w:r w:rsidRPr="00680B44">
        <w:rPr>
          <w:rFonts w:ascii="Georgia" w:hAnsi="Georgia"/>
          <w:sz w:val="18"/>
          <w:szCs w:val="20"/>
          <w:rtl/>
        </w:rPr>
        <w:t>חלה גם על קופות החולים</w:t>
      </w:r>
      <w:r w:rsidRPr="00680B44">
        <w:rPr>
          <w:rFonts w:ascii="Georgia" w:hAnsi="Georgia" w:hint="cs"/>
          <w:sz w:val="18"/>
          <w:szCs w:val="20"/>
          <w:rtl/>
        </w:rPr>
        <w:t>,</w:t>
      </w:r>
      <w:r w:rsidRPr="00680B44">
        <w:rPr>
          <w:rFonts w:ascii="Georgia" w:hAnsi="Georgia"/>
          <w:sz w:val="18"/>
          <w:szCs w:val="20"/>
          <w:rtl/>
        </w:rPr>
        <w:t xml:space="preserve"> בהיותן גוף דו-מהותי.</w:t>
      </w:r>
      <w:r w:rsidRPr="00680B44">
        <w:rPr>
          <w:rStyle w:val="FootnoteReference"/>
          <w:rFonts w:ascii="Georgia" w:hAnsi="Georgia"/>
          <w:sz w:val="18"/>
          <w:szCs w:val="20"/>
          <w:rtl/>
        </w:rPr>
        <w:footnoteReference w:id="3"/>
      </w:r>
      <w:r w:rsidRPr="00680B44">
        <w:rPr>
          <w:rFonts w:ascii="Georgia" w:hAnsi="Georgia"/>
          <w:sz w:val="18"/>
          <w:szCs w:val="20"/>
          <w:rtl/>
        </w:rPr>
        <w:t xml:space="preserve"> לפיכך נקבע כי על משרד הבריאות להשלים את איסוף הנתונים עד </w:t>
      </w:r>
      <w:r w:rsidRPr="00680B44">
        <w:rPr>
          <w:rFonts w:ascii="Georgia" w:hAnsi="Georgia" w:hint="cs"/>
          <w:sz w:val="18"/>
          <w:szCs w:val="20"/>
          <w:rtl/>
        </w:rPr>
        <w:t>8 במאי 2025</w:t>
      </w:r>
      <w:r w:rsidRPr="00680B44">
        <w:rPr>
          <w:rFonts w:ascii="Georgia" w:hAnsi="Georgia"/>
          <w:sz w:val="18"/>
          <w:szCs w:val="20"/>
          <w:rtl/>
        </w:rPr>
        <w:t>, תוך פילוח לפי אזורים גיאוגרפיים וסוגי אוכלוסייה, ולקבוע בהמשך אמות מידה למשכי המתנה סבירים.</w:t>
      </w:r>
    </w:p>
    <w:p w14:paraId="2D2BB768" w14:textId="77777777" w:rsidR="00680B44" w:rsidRPr="00E35340" w:rsidRDefault="00680B44" w:rsidP="00680B44">
      <w:pPr>
        <w:spacing w:after="180" w:line="260" w:lineRule="exact"/>
        <w:ind w:left="-58"/>
        <w:jc w:val="both"/>
        <w:rPr>
          <w:rFonts w:ascii="Georgia" w:hAnsi="Georgia"/>
          <w:sz w:val="18"/>
          <w:szCs w:val="20"/>
          <w:rtl/>
        </w:rPr>
      </w:pPr>
    </w:p>
    <w:p w14:paraId="3E10A45B" w14:textId="7B53B37A" w:rsidR="00680B44" w:rsidRPr="00680B44" w:rsidRDefault="00680B44" w:rsidP="00680B44">
      <w:pPr>
        <w:pStyle w:val="KOT5"/>
        <w:jc w:val="both"/>
        <w:rPr>
          <w:b/>
          <w:bCs/>
          <w:color w:val="2A8E8C"/>
          <w:rtl/>
        </w:rPr>
      </w:pPr>
      <w:r w:rsidRPr="00680B44">
        <w:rPr>
          <w:b/>
          <w:bCs/>
          <w:color w:val="2A8E8C"/>
          <w:rtl/>
        </w:rPr>
        <w:t>מעמד עובדי המפעלים המוגנים</w:t>
      </w:r>
    </w:p>
    <w:p w14:paraId="1F7E1D86" w14:textId="77777777" w:rsidR="00680B44" w:rsidRPr="00680B44" w:rsidRDefault="00680B44" w:rsidP="00680B44">
      <w:pPr>
        <w:pStyle w:val="Bauther"/>
        <w:keepNext/>
        <w:spacing w:before="0" w:after="240" w:line="280" w:lineRule="exact"/>
        <w:jc w:val="both"/>
        <w:rPr>
          <w:rFonts w:ascii="Georgia" w:hAnsi="Georgia" w:cs="Guttman Aharoni"/>
          <w:b/>
          <w:bCs/>
          <w:sz w:val="18"/>
          <w:szCs w:val="20"/>
          <w:rtl/>
        </w:rPr>
      </w:pPr>
      <w:r w:rsidRPr="00680B44">
        <w:rPr>
          <w:rFonts w:ascii="Georgia" w:hAnsi="Georgia" w:cs="Guttman Aharoni"/>
          <w:sz w:val="18"/>
          <w:szCs w:val="20"/>
          <w:rtl/>
        </w:rPr>
        <w:t>בג"ץ 3279</w:t>
      </w:r>
      <w:r w:rsidRPr="00AA73F3">
        <w:rPr>
          <w:rFonts w:ascii="David" w:hAnsi="David" w:cs="David"/>
          <w:sz w:val="18"/>
          <w:szCs w:val="20"/>
          <w:rtl/>
        </w:rPr>
        <w:t>-</w:t>
      </w:r>
      <w:r w:rsidRPr="00680B44">
        <w:rPr>
          <w:rFonts w:ascii="Georgia" w:hAnsi="Georgia" w:cs="Guttman Aharoni"/>
          <w:sz w:val="18"/>
          <w:szCs w:val="20"/>
          <w:rtl/>
        </w:rPr>
        <w:t xml:space="preserve">22 </w:t>
      </w:r>
      <w:r w:rsidRPr="00680B44">
        <w:rPr>
          <w:rFonts w:ascii="Georgia" w:hAnsi="Georgia" w:cs="Guttman Aharoni"/>
          <w:b/>
          <w:bCs/>
          <w:sz w:val="18"/>
          <w:szCs w:val="20"/>
          <w:rtl/>
        </w:rPr>
        <w:t>מדינת ישראל משרד הבריאות ומשרד הרווחה נ' חיים זר</w:t>
      </w:r>
      <w:r w:rsidRPr="00680B44">
        <w:rPr>
          <w:rFonts w:ascii="Georgia" w:hAnsi="Georgia" w:cs="Guttman Aharoni" w:hint="cs"/>
          <w:b/>
          <w:bCs/>
          <w:sz w:val="18"/>
          <w:szCs w:val="20"/>
          <w:rtl/>
        </w:rPr>
        <w:t xml:space="preserve"> ואחרים </w:t>
      </w:r>
      <w:r w:rsidRPr="00680B44">
        <w:rPr>
          <w:rFonts w:ascii="Georgia" w:hAnsi="Georgia" w:cs="Guttman Aharoni"/>
          <w:sz w:val="18"/>
          <w:szCs w:val="20"/>
          <w:rtl/>
        </w:rPr>
        <w:t>(ניתן בבית המשפט העליון ב</w:t>
      </w:r>
      <w:r w:rsidRPr="00680B44">
        <w:rPr>
          <w:rFonts w:ascii="David" w:hAnsi="David" w:cs="David"/>
          <w:sz w:val="18"/>
          <w:szCs w:val="20"/>
          <w:rtl/>
        </w:rPr>
        <w:t>-</w:t>
      </w:r>
      <w:r w:rsidRPr="00680B44">
        <w:rPr>
          <w:rFonts w:ascii="Georgia" w:hAnsi="Georgia" w:cs="Guttman Aharoni" w:hint="cs"/>
          <w:sz w:val="18"/>
          <w:szCs w:val="20"/>
          <w:rtl/>
        </w:rPr>
        <w:t xml:space="preserve">6 </w:t>
      </w:r>
      <w:r w:rsidRPr="00680B44">
        <w:rPr>
          <w:rFonts w:ascii="Georgia" w:hAnsi="Georgia" w:cs="Guttman Aharoni"/>
          <w:sz w:val="18"/>
          <w:szCs w:val="20"/>
          <w:rtl/>
        </w:rPr>
        <w:t>ב</w:t>
      </w:r>
      <w:r w:rsidRPr="00680B44">
        <w:rPr>
          <w:rFonts w:ascii="Georgia" w:hAnsi="Georgia" w:cs="Guttman Aharoni" w:hint="cs"/>
          <w:sz w:val="18"/>
          <w:szCs w:val="20"/>
          <w:rtl/>
        </w:rPr>
        <w:t xml:space="preserve">נובמבר </w:t>
      </w:r>
      <w:r w:rsidRPr="00680B44">
        <w:rPr>
          <w:rFonts w:ascii="Georgia" w:hAnsi="Georgia" w:cs="Guttman Aharoni"/>
          <w:sz w:val="18"/>
          <w:szCs w:val="20"/>
          <w:rtl/>
        </w:rPr>
        <w:t>2024)</w:t>
      </w:r>
    </w:p>
    <w:p w14:paraId="443F7366" w14:textId="36B971FC" w:rsidR="00680B44" w:rsidRPr="00680B44" w:rsidRDefault="00680B44" w:rsidP="00680B44">
      <w:pPr>
        <w:spacing w:after="180" w:line="260" w:lineRule="exact"/>
        <w:jc w:val="both"/>
        <w:rPr>
          <w:rFonts w:ascii="Georgia" w:hAnsi="Georgia"/>
          <w:spacing w:val="-2"/>
          <w:sz w:val="18"/>
          <w:szCs w:val="20"/>
          <w:rtl/>
        </w:rPr>
      </w:pPr>
      <w:r w:rsidRPr="00680B44">
        <w:rPr>
          <w:rFonts w:ascii="Georgia" w:hAnsi="Georgia"/>
          <w:spacing w:val="-2"/>
          <w:sz w:val="18"/>
          <w:szCs w:val="20"/>
          <w:rtl/>
        </w:rPr>
        <w:t>מפעלים מוגנים הם מסגרות תעסוקתיות-שיקומיות המתוקצבות בחלק</w:t>
      </w:r>
      <w:r w:rsidR="00FB5A9D">
        <w:rPr>
          <w:rFonts w:ascii="Georgia" w:hAnsi="Georgia" w:hint="cs"/>
          <w:spacing w:val="-2"/>
          <w:sz w:val="18"/>
          <w:szCs w:val="20"/>
          <w:rtl/>
        </w:rPr>
        <w:t>ן</w:t>
      </w:r>
      <w:r w:rsidRPr="00680B44">
        <w:rPr>
          <w:rFonts w:ascii="Georgia" w:hAnsi="Georgia"/>
          <w:spacing w:val="-2"/>
          <w:sz w:val="18"/>
          <w:szCs w:val="20"/>
          <w:rtl/>
        </w:rPr>
        <w:t xml:space="preserve"> על</w:t>
      </w:r>
      <w:r w:rsidRPr="00680B44">
        <w:rPr>
          <w:rFonts w:ascii="Georgia" w:hAnsi="Georgia" w:hint="cs"/>
          <w:spacing w:val="-2"/>
          <w:sz w:val="18"/>
          <w:szCs w:val="20"/>
          <w:rtl/>
        </w:rPr>
        <w:t xml:space="preserve"> </w:t>
      </w:r>
      <w:r w:rsidRPr="00680B44">
        <w:rPr>
          <w:rFonts w:ascii="Georgia" w:hAnsi="Georgia"/>
          <w:spacing w:val="-2"/>
          <w:sz w:val="18"/>
          <w:szCs w:val="20"/>
          <w:rtl/>
        </w:rPr>
        <w:t xml:space="preserve">ידי המדינה, </w:t>
      </w:r>
      <w:r w:rsidRPr="00680B44">
        <w:rPr>
          <w:rFonts w:ascii="Georgia" w:hAnsi="Georgia" w:hint="cs"/>
          <w:spacing w:val="-2"/>
          <w:sz w:val="18"/>
          <w:szCs w:val="20"/>
          <w:rtl/>
        </w:rPr>
        <w:t>ו</w:t>
      </w:r>
      <w:r w:rsidRPr="00680B44">
        <w:rPr>
          <w:rFonts w:ascii="Georgia" w:hAnsi="Georgia"/>
          <w:spacing w:val="-2"/>
          <w:sz w:val="18"/>
          <w:szCs w:val="20"/>
          <w:rtl/>
        </w:rPr>
        <w:t>מועסקים בהן אנשים עם מוגבלות בעבודות המותאמות לכושר עבודתם. השכר המשולם למועסקים מופחת במידה ניכרת ועומד על מאות שקלים בודדות בחודש</w:t>
      </w:r>
      <w:r w:rsidRPr="00680B44">
        <w:rPr>
          <w:rFonts w:ascii="Georgia" w:hAnsi="Georgia"/>
          <w:spacing w:val="-2"/>
          <w:sz w:val="18"/>
          <w:szCs w:val="20"/>
        </w:rPr>
        <w:t>.</w:t>
      </w:r>
      <w:r w:rsidRPr="00680B44">
        <w:rPr>
          <w:rFonts w:ascii="Georgia" w:hAnsi="Georgia" w:hint="cs"/>
          <w:spacing w:val="-2"/>
          <w:sz w:val="18"/>
          <w:szCs w:val="20"/>
          <w:rtl/>
        </w:rPr>
        <w:t xml:space="preserve"> </w:t>
      </w:r>
      <w:r w:rsidRPr="00680B44">
        <w:rPr>
          <w:rFonts w:ascii="Georgia" w:hAnsi="Georgia"/>
          <w:spacing w:val="-2"/>
          <w:sz w:val="18"/>
          <w:szCs w:val="20"/>
          <w:rtl/>
        </w:rPr>
        <w:t xml:space="preserve">בשנת 2021 הכיר בית הדין הארצי לעבודה באפשרות שאנשים עם מוגבלויות המועסקים במפעלים מוגנים יהיו זכאים למעמד של עובדים במקרים שבהם עבודתם היא בעלת מאפיינים קרובים יותר לתעסוקה "רגילה". </w:t>
      </w:r>
    </w:p>
    <w:p w14:paraId="513AE21A" w14:textId="77777777" w:rsidR="00680B44" w:rsidRPr="00680B44" w:rsidRDefault="00680B44" w:rsidP="00680B44">
      <w:pPr>
        <w:spacing w:after="180" w:line="260" w:lineRule="exact"/>
        <w:jc w:val="both"/>
        <w:rPr>
          <w:rFonts w:ascii="Georgia" w:hAnsi="Georgia"/>
          <w:sz w:val="18"/>
          <w:szCs w:val="20"/>
          <w:rtl/>
        </w:rPr>
      </w:pPr>
      <w:r w:rsidRPr="00680B44">
        <w:rPr>
          <w:rFonts w:ascii="Georgia" w:hAnsi="Georgia"/>
          <w:sz w:val="18"/>
          <w:szCs w:val="20"/>
          <w:rtl/>
        </w:rPr>
        <w:t xml:space="preserve">המקרה נסב על </w:t>
      </w:r>
      <w:r w:rsidRPr="00680B44">
        <w:rPr>
          <w:rFonts w:ascii="Georgia" w:hAnsi="Georgia" w:hint="cs"/>
          <w:sz w:val="18"/>
          <w:szCs w:val="20"/>
          <w:rtl/>
        </w:rPr>
        <w:t>חיים זר (מתמודד נפש)</w:t>
      </w:r>
      <w:r w:rsidRPr="00680B44">
        <w:rPr>
          <w:rFonts w:ascii="Georgia" w:hAnsi="Georgia"/>
          <w:sz w:val="18"/>
          <w:szCs w:val="20"/>
          <w:rtl/>
        </w:rPr>
        <w:t xml:space="preserve"> שעבד כ-12 שנים במפעל מוגן של </w:t>
      </w:r>
      <w:proofErr w:type="spellStart"/>
      <w:r w:rsidRPr="00680B44">
        <w:rPr>
          <w:rFonts w:ascii="Georgia" w:hAnsi="Georgia"/>
          <w:sz w:val="18"/>
          <w:szCs w:val="20"/>
          <w:rtl/>
        </w:rPr>
        <w:t>מת"ש</w:t>
      </w:r>
      <w:proofErr w:type="spellEnd"/>
      <w:r w:rsidRPr="00680B44">
        <w:rPr>
          <w:rFonts w:ascii="Georgia" w:hAnsi="Georgia"/>
          <w:sz w:val="18"/>
          <w:szCs w:val="20"/>
          <w:rtl/>
        </w:rPr>
        <w:t xml:space="preserve"> (מרכזי תעסוקה שיקומיים) בבעלות המדינה ועיריית תל</w:t>
      </w:r>
      <w:r w:rsidRPr="00680B44">
        <w:rPr>
          <w:rFonts w:ascii="Georgia" w:hAnsi="Georgia" w:hint="cs"/>
          <w:sz w:val="18"/>
          <w:szCs w:val="20"/>
          <w:rtl/>
        </w:rPr>
        <w:t>-</w:t>
      </w:r>
      <w:r w:rsidRPr="00680B44">
        <w:rPr>
          <w:rFonts w:ascii="Georgia" w:hAnsi="Georgia"/>
          <w:sz w:val="18"/>
          <w:szCs w:val="20"/>
          <w:rtl/>
        </w:rPr>
        <w:t>אביב-יפו. הוא עבד חמישה ימים בשבוע</w:t>
      </w:r>
      <w:r w:rsidRPr="00680B44">
        <w:rPr>
          <w:rFonts w:ascii="Georgia" w:hAnsi="Georgia" w:hint="cs"/>
          <w:sz w:val="18"/>
          <w:szCs w:val="20"/>
          <w:rtl/>
        </w:rPr>
        <w:t xml:space="preserve">, ארבע-חמש </w:t>
      </w:r>
      <w:r w:rsidRPr="00680B44">
        <w:rPr>
          <w:rFonts w:ascii="Georgia" w:hAnsi="Georgia"/>
          <w:sz w:val="18"/>
          <w:szCs w:val="20"/>
          <w:rtl/>
        </w:rPr>
        <w:t xml:space="preserve">שעות ביום, והשתכר כ-55 שקלים ליום עבודה. לאחר פיטוריו בשנת 2015, הוא תבע הכרה כעובד וזכויות סוציאליות. </w:t>
      </w:r>
      <w:r w:rsidRPr="00680B44">
        <w:rPr>
          <w:rFonts w:ascii="Georgia" w:hAnsi="Georgia" w:hint="cs"/>
          <w:sz w:val="18"/>
          <w:szCs w:val="20"/>
          <w:rtl/>
        </w:rPr>
        <w:t xml:space="preserve">בית הדין האזורי דחה את התביעה להכרה בזכויותיו כעובד, ולכן הוגש ערעור לבית הדין הארצי לעבודה. </w:t>
      </w:r>
    </w:p>
    <w:p w14:paraId="5B00D550" w14:textId="77777777" w:rsidR="00680B44" w:rsidRPr="00680B44" w:rsidRDefault="00680B44" w:rsidP="00680B44">
      <w:pPr>
        <w:spacing w:after="180" w:line="260" w:lineRule="exact"/>
        <w:jc w:val="both"/>
        <w:rPr>
          <w:rFonts w:ascii="Georgia" w:hAnsi="Georgia"/>
          <w:sz w:val="18"/>
          <w:szCs w:val="20"/>
          <w:rtl/>
        </w:rPr>
      </w:pPr>
      <w:r w:rsidRPr="00680B44">
        <w:rPr>
          <w:rFonts w:ascii="Georgia" w:hAnsi="Georgia"/>
          <w:sz w:val="18"/>
          <w:szCs w:val="20"/>
          <w:rtl/>
        </w:rPr>
        <w:t xml:space="preserve">בית הדין הארצי קבע </w:t>
      </w:r>
      <w:r w:rsidRPr="00680B44">
        <w:rPr>
          <w:rFonts w:ascii="Georgia" w:hAnsi="Georgia" w:hint="cs"/>
          <w:sz w:val="18"/>
          <w:szCs w:val="20"/>
          <w:rtl/>
        </w:rPr>
        <w:t>שני עקרונות מרכזיים. הראשון הוא</w:t>
      </w:r>
      <w:r w:rsidRPr="00680B44">
        <w:rPr>
          <w:rFonts w:ascii="Georgia" w:hAnsi="Georgia"/>
          <w:sz w:val="18"/>
          <w:szCs w:val="20"/>
          <w:rtl/>
        </w:rPr>
        <w:t xml:space="preserve"> קו גבול יכולת תעסוקה: אדם בעל יכולת תעסוקה של 19% ומעלה (או אדם שלא נערכה לגביו הערכת יכולת) יוכר ככלל כעובד, אם כי ייתכן שיקבל שכר מינימום מופחת.</w:t>
      </w:r>
      <w:r w:rsidRPr="00680B44">
        <w:rPr>
          <w:rFonts w:ascii="Georgia" w:hAnsi="Georgia" w:hint="cs"/>
          <w:sz w:val="18"/>
          <w:szCs w:val="20"/>
          <w:rtl/>
        </w:rPr>
        <w:t xml:space="preserve"> השני הוא </w:t>
      </w:r>
      <w:r w:rsidRPr="00680B44">
        <w:rPr>
          <w:rFonts w:ascii="Georgia" w:hAnsi="Georgia"/>
          <w:sz w:val="18"/>
          <w:szCs w:val="20"/>
          <w:rtl/>
        </w:rPr>
        <w:t xml:space="preserve">מבחן משולב: יש לבחון בכל מקרה אם העבודה היא בעיקרה תעסוקתית או שיקומית. אם התרומה התעסוקתית </w:t>
      </w:r>
      <w:r w:rsidRPr="00680B44">
        <w:rPr>
          <w:rFonts w:ascii="Georgia" w:hAnsi="Georgia" w:hint="cs"/>
          <w:sz w:val="18"/>
          <w:szCs w:val="20"/>
          <w:rtl/>
        </w:rPr>
        <w:t xml:space="preserve">היא </w:t>
      </w:r>
      <w:r w:rsidRPr="00680B44">
        <w:rPr>
          <w:rFonts w:ascii="Georgia" w:hAnsi="Georgia"/>
          <w:sz w:val="18"/>
          <w:szCs w:val="20"/>
          <w:rtl/>
        </w:rPr>
        <w:t>משמעותית (לא שולית) יש להכיר באדם כעוב</w:t>
      </w:r>
      <w:r w:rsidRPr="00680B44">
        <w:rPr>
          <w:rFonts w:ascii="Georgia" w:hAnsi="Georgia" w:hint="cs"/>
          <w:sz w:val="18"/>
          <w:szCs w:val="20"/>
          <w:rtl/>
        </w:rPr>
        <w:t xml:space="preserve">ד. לכן בית הדין פסק כי התקיימו יחסי עבודה בין המערער למשיב. עם זאת, נקבע כי </w:t>
      </w:r>
      <w:r w:rsidRPr="00680B44">
        <w:rPr>
          <w:rFonts w:ascii="Georgia" w:hAnsi="Georgia"/>
          <w:sz w:val="18"/>
          <w:szCs w:val="20"/>
          <w:rtl/>
        </w:rPr>
        <w:t>יש לבחון בכל מקרה לגופו אם מתקיימים יחסי עובד-מעביד, לפי "המבחן המעורב" הכולל בחינ</w:t>
      </w:r>
      <w:r w:rsidRPr="00680B44">
        <w:rPr>
          <w:rFonts w:ascii="Georgia" w:hAnsi="Georgia" w:hint="cs"/>
          <w:sz w:val="18"/>
          <w:szCs w:val="20"/>
          <w:rtl/>
        </w:rPr>
        <w:t>ה של</w:t>
      </w:r>
      <w:r w:rsidRPr="00680B44">
        <w:rPr>
          <w:rFonts w:ascii="Georgia" w:hAnsi="Georgia"/>
          <w:sz w:val="18"/>
          <w:szCs w:val="20"/>
          <w:rtl/>
        </w:rPr>
        <w:t xml:space="preserve"> התכלית העיקרית של ההעסקה </w:t>
      </w:r>
      <w:r w:rsidRPr="00680B44">
        <w:rPr>
          <w:rFonts w:ascii="Georgia" w:hAnsi="Georgia" w:hint="cs"/>
          <w:sz w:val="18"/>
          <w:szCs w:val="20"/>
          <w:rtl/>
        </w:rPr>
        <w:t xml:space="preserve">– </w:t>
      </w:r>
      <w:r w:rsidRPr="00680B44">
        <w:rPr>
          <w:rFonts w:ascii="Georgia" w:hAnsi="Georgia"/>
          <w:sz w:val="18"/>
          <w:szCs w:val="20"/>
          <w:rtl/>
        </w:rPr>
        <w:t>שיקומית או כלכלית.</w:t>
      </w:r>
    </w:p>
    <w:p w14:paraId="4A043E0C" w14:textId="77777777" w:rsidR="00680B44" w:rsidRPr="00680B44" w:rsidRDefault="00680B44" w:rsidP="00680B44">
      <w:pPr>
        <w:spacing w:after="180" w:line="260" w:lineRule="exact"/>
        <w:jc w:val="both"/>
        <w:rPr>
          <w:rFonts w:ascii="Georgia" w:hAnsi="Georgia"/>
          <w:sz w:val="18"/>
          <w:szCs w:val="20"/>
          <w:rtl/>
        </w:rPr>
      </w:pPr>
      <w:r w:rsidRPr="00680B44">
        <w:rPr>
          <w:rFonts w:ascii="Georgia" w:hAnsi="Georgia"/>
          <w:sz w:val="18"/>
          <w:szCs w:val="20"/>
          <w:rtl/>
        </w:rPr>
        <w:t xml:space="preserve">המדינה </w:t>
      </w:r>
      <w:r w:rsidRPr="00680B44">
        <w:rPr>
          <w:rFonts w:ascii="Georgia" w:hAnsi="Georgia" w:hint="cs"/>
          <w:sz w:val="18"/>
          <w:szCs w:val="20"/>
          <w:rtl/>
        </w:rPr>
        <w:t xml:space="preserve">(משרד הבריאות והרווחה) </w:t>
      </w:r>
      <w:r w:rsidRPr="00680B44">
        <w:rPr>
          <w:rFonts w:ascii="Georgia" w:hAnsi="Georgia"/>
          <w:sz w:val="18"/>
          <w:szCs w:val="20"/>
          <w:rtl/>
        </w:rPr>
        <w:t xml:space="preserve">עתרה לבג"ץ בבקשה לקבוע כי פסק הדין </w:t>
      </w:r>
      <w:r w:rsidRPr="00680B44">
        <w:rPr>
          <w:rFonts w:ascii="Georgia" w:hAnsi="Georgia" w:hint="cs"/>
          <w:sz w:val="18"/>
          <w:szCs w:val="20"/>
          <w:rtl/>
        </w:rPr>
        <w:t xml:space="preserve">של בית הדין הארצי </w:t>
      </w:r>
      <w:r w:rsidRPr="00680B44">
        <w:rPr>
          <w:rFonts w:ascii="Georgia" w:hAnsi="Georgia"/>
          <w:sz w:val="18"/>
          <w:szCs w:val="20"/>
          <w:rtl/>
        </w:rPr>
        <w:t>יחול רק מכאן ולהבא</w:t>
      </w:r>
      <w:r w:rsidRPr="00680B44">
        <w:rPr>
          <w:rFonts w:ascii="Georgia" w:hAnsi="Georgia" w:hint="cs"/>
          <w:sz w:val="18"/>
          <w:szCs w:val="20"/>
          <w:rtl/>
        </w:rPr>
        <w:t xml:space="preserve"> (</w:t>
      </w:r>
      <w:r w:rsidRPr="00680B44">
        <w:rPr>
          <w:rFonts w:ascii="Georgia" w:hAnsi="Georgia"/>
          <w:sz w:val="18"/>
          <w:szCs w:val="20"/>
          <w:rtl/>
        </w:rPr>
        <w:t>תחולה פרוספקטיבית</w:t>
      </w:r>
      <w:r w:rsidRPr="00680B44">
        <w:rPr>
          <w:rFonts w:ascii="Georgia" w:hAnsi="Georgia" w:hint="cs"/>
          <w:sz w:val="18"/>
          <w:szCs w:val="20"/>
          <w:rtl/>
        </w:rPr>
        <w:t>)</w:t>
      </w:r>
      <w:r w:rsidRPr="00680B44">
        <w:rPr>
          <w:rFonts w:ascii="Georgia" w:hAnsi="Georgia"/>
          <w:sz w:val="18"/>
          <w:szCs w:val="20"/>
          <w:rtl/>
        </w:rPr>
        <w:t>, כלומר רק על אנשים שהחלו לעבוד במפעלים מוגנים לאחר מועד מתן פסק הדין,</w:t>
      </w:r>
      <w:r w:rsidRPr="00680B44">
        <w:rPr>
          <w:rFonts w:ascii="Georgia" w:hAnsi="Georgia" w:hint="cs"/>
          <w:sz w:val="18"/>
          <w:szCs w:val="20"/>
          <w:rtl/>
        </w:rPr>
        <w:t xml:space="preserve"> </w:t>
      </w:r>
      <w:r w:rsidRPr="00680B44">
        <w:rPr>
          <w:rFonts w:ascii="Georgia" w:hAnsi="Georgia"/>
          <w:sz w:val="18"/>
          <w:szCs w:val="20"/>
          <w:rtl/>
        </w:rPr>
        <w:t>כדי לאפשר למחוקק להסדיר את הנושא בחקיקה</w:t>
      </w:r>
      <w:r w:rsidRPr="00680B44">
        <w:rPr>
          <w:rFonts w:ascii="Georgia" w:hAnsi="Georgia"/>
          <w:sz w:val="18"/>
          <w:szCs w:val="20"/>
        </w:rPr>
        <w:t>.</w:t>
      </w:r>
      <w:r w:rsidRPr="00680B44">
        <w:rPr>
          <w:rFonts w:ascii="Georgia" w:hAnsi="Georgia" w:hint="cs"/>
          <w:sz w:val="18"/>
          <w:szCs w:val="20"/>
          <w:rtl/>
        </w:rPr>
        <w:t xml:space="preserve"> </w:t>
      </w:r>
    </w:p>
    <w:p w14:paraId="1FCD1FFD" w14:textId="77777777" w:rsidR="00680B44" w:rsidRPr="00680B44" w:rsidRDefault="00680B44" w:rsidP="00680B44">
      <w:pPr>
        <w:spacing w:after="180" w:line="260" w:lineRule="exact"/>
        <w:jc w:val="both"/>
        <w:rPr>
          <w:rFonts w:ascii="Georgia" w:hAnsi="Georgia"/>
          <w:sz w:val="18"/>
          <w:szCs w:val="20"/>
          <w:rtl/>
        </w:rPr>
      </w:pPr>
      <w:r w:rsidRPr="00680B44">
        <w:rPr>
          <w:rFonts w:ascii="Georgia" w:hAnsi="Georgia"/>
          <w:sz w:val="18"/>
          <w:szCs w:val="20"/>
          <w:rtl/>
        </w:rPr>
        <w:lastRenderedPageBreak/>
        <w:t xml:space="preserve">במישור העקרוני טענה </w:t>
      </w:r>
      <w:r w:rsidRPr="00680B44">
        <w:rPr>
          <w:rFonts w:ascii="Georgia" w:hAnsi="Georgia" w:hint="cs"/>
          <w:sz w:val="18"/>
          <w:szCs w:val="20"/>
          <w:rtl/>
        </w:rPr>
        <w:t xml:space="preserve">המדינה שאין </w:t>
      </w:r>
      <w:r w:rsidRPr="00680B44">
        <w:rPr>
          <w:rFonts w:ascii="Georgia" w:hAnsi="Georgia"/>
          <w:sz w:val="18"/>
          <w:szCs w:val="20"/>
          <w:rtl/>
        </w:rPr>
        <w:t xml:space="preserve">מקום להכיר במועסקים במפעלים מוגנים כעובדים כלל, שכן תכלית העסקתם היא שיקומית ולא תעסוקתית. במישור היישומי טענה כי גם אם תידחה עמדתה העקרונית, יש להחיל את פסק הדין </w:t>
      </w:r>
      <w:r w:rsidRPr="00680B44">
        <w:rPr>
          <w:rFonts w:ascii="Georgia" w:hAnsi="Georgia" w:hint="cs"/>
          <w:sz w:val="18"/>
          <w:szCs w:val="20"/>
          <w:rtl/>
        </w:rPr>
        <w:t>ממתן פסק הדין והלאה</w:t>
      </w:r>
      <w:r w:rsidRPr="00680B44">
        <w:rPr>
          <w:rFonts w:ascii="Georgia" w:hAnsi="Georgia"/>
          <w:sz w:val="18"/>
          <w:szCs w:val="20"/>
          <w:rtl/>
        </w:rPr>
        <w:t xml:space="preserve">, עד להסדרת הנושא בחקיקה. המדינה הציגה תזכיר חוק שבהכנה, אך הודתה שהליך החקיקה לא יסתיים עד סוף 2024. לטענתה, בחינת מעמדם של כל המועסקים למפרע </w:t>
      </w:r>
      <w:r w:rsidRPr="00680B44">
        <w:rPr>
          <w:rFonts w:ascii="Georgia" w:hAnsi="Georgia" w:hint="cs"/>
          <w:sz w:val="18"/>
          <w:szCs w:val="20"/>
          <w:rtl/>
        </w:rPr>
        <w:t>(כל</w:t>
      </w:r>
      <w:r w:rsidRPr="00680B44">
        <w:rPr>
          <w:rFonts w:ascii="Georgia" w:hAnsi="Georgia"/>
          <w:sz w:val="18"/>
          <w:szCs w:val="20"/>
          <w:rtl/>
        </w:rPr>
        <w:t xml:space="preserve"> </w:t>
      </w:r>
      <w:r w:rsidRPr="00680B44">
        <w:rPr>
          <w:rFonts w:ascii="Georgia" w:hAnsi="Georgia" w:hint="cs"/>
          <w:sz w:val="18"/>
          <w:szCs w:val="20"/>
          <w:rtl/>
        </w:rPr>
        <w:t>ה</w:t>
      </w:r>
      <w:r w:rsidRPr="00680B44">
        <w:rPr>
          <w:rFonts w:ascii="Georgia" w:hAnsi="Georgia"/>
          <w:sz w:val="18"/>
          <w:szCs w:val="20"/>
          <w:rtl/>
        </w:rPr>
        <w:t>מקרים שקרו בעבר, לפני מתן פסק הדי</w:t>
      </w:r>
      <w:r w:rsidRPr="00680B44">
        <w:rPr>
          <w:rFonts w:ascii="Georgia" w:hAnsi="Georgia" w:hint="cs"/>
          <w:sz w:val="18"/>
          <w:szCs w:val="20"/>
          <w:rtl/>
        </w:rPr>
        <w:t>ן)</w:t>
      </w:r>
      <w:r w:rsidRPr="00680B44">
        <w:rPr>
          <w:rFonts w:ascii="Georgia" w:hAnsi="Georgia"/>
          <w:sz w:val="18"/>
          <w:szCs w:val="20"/>
          <w:rtl/>
        </w:rPr>
        <w:t xml:space="preserve"> תהווה נטל בלתי סביר, והעריכה את העלות הכוללת בכ-350 מיליון שקלים, אם כי ללא ביסוס מפורט לחישוב זה</w:t>
      </w:r>
      <w:r w:rsidRPr="00680B44">
        <w:rPr>
          <w:rFonts w:ascii="Georgia" w:hAnsi="Georgia"/>
          <w:sz w:val="18"/>
          <w:szCs w:val="20"/>
        </w:rPr>
        <w:t>.</w:t>
      </w:r>
    </w:p>
    <w:p w14:paraId="1B50E748" w14:textId="77777777" w:rsidR="00680B44" w:rsidRPr="00680B44" w:rsidRDefault="00680B44" w:rsidP="00680B44">
      <w:pPr>
        <w:tabs>
          <w:tab w:val="left" w:pos="226"/>
        </w:tabs>
        <w:spacing w:after="180" w:line="260" w:lineRule="exact"/>
        <w:jc w:val="both"/>
        <w:rPr>
          <w:rFonts w:ascii="Georgia" w:hAnsi="Georgia"/>
          <w:sz w:val="18"/>
          <w:szCs w:val="20"/>
          <w:rtl/>
        </w:rPr>
      </w:pPr>
      <w:r w:rsidRPr="00680B44">
        <w:rPr>
          <w:rFonts w:ascii="Georgia" w:hAnsi="Georgia" w:hint="cs"/>
          <w:sz w:val="18"/>
          <w:szCs w:val="20"/>
          <w:rtl/>
        </w:rPr>
        <w:t xml:space="preserve">העותר, </w:t>
      </w:r>
      <w:r w:rsidRPr="00680B44">
        <w:rPr>
          <w:rFonts w:ascii="Georgia" w:hAnsi="Georgia"/>
          <w:sz w:val="18"/>
          <w:szCs w:val="20"/>
          <w:rtl/>
        </w:rPr>
        <w:t xml:space="preserve">ארגון בזכות </w:t>
      </w:r>
      <w:r w:rsidRPr="00680B44">
        <w:rPr>
          <w:rFonts w:ascii="Georgia" w:hAnsi="Georgia" w:hint="cs"/>
          <w:sz w:val="18"/>
          <w:szCs w:val="20"/>
          <w:rtl/>
        </w:rPr>
        <w:t>(</w:t>
      </w:r>
      <w:r w:rsidRPr="00680B44">
        <w:rPr>
          <w:rFonts w:ascii="Georgia" w:hAnsi="Georgia"/>
          <w:sz w:val="18"/>
          <w:szCs w:val="20"/>
          <w:rtl/>
        </w:rPr>
        <w:t>והקליניקה לזכויות אנשים עם מוגבלויות באוניברסיטה העברית</w:t>
      </w:r>
      <w:r w:rsidRPr="00680B44">
        <w:rPr>
          <w:rFonts w:ascii="Georgia" w:hAnsi="Georgia" w:hint="cs"/>
          <w:sz w:val="18"/>
          <w:szCs w:val="20"/>
          <w:rtl/>
        </w:rPr>
        <w:t>, שהצטרפה לעתירה כידיד בית המשפט</w:t>
      </w:r>
      <w:r w:rsidRPr="00680B44">
        <w:rPr>
          <w:rStyle w:val="FootnoteReference"/>
          <w:rFonts w:ascii="Georgia" w:hAnsi="Georgia"/>
          <w:sz w:val="18"/>
          <w:szCs w:val="20"/>
          <w:rtl/>
        </w:rPr>
        <w:footnoteReference w:id="4"/>
      </w:r>
      <w:r w:rsidRPr="00680B44">
        <w:rPr>
          <w:rFonts w:ascii="Georgia" w:hAnsi="Georgia" w:hint="cs"/>
          <w:sz w:val="18"/>
          <w:szCs w:val="20"/>
          <w:rtl/>
        </w:rPr>
        <w:t xml:space="preserve"> לעתירה)</w:t>
      </w:r>
      <w:r w:rsidRPr="00680B44">
        <w:rPr>
          <w:rFonts w:ascii="Georgia" w:hAnsi="Georgia"/>
          <w:sz w:val="18"/>
          <w:szCs w:val="20"/>
          <w:rtl/>
        </w:rPr>
        <w:t xml:space="preserve"> התנגדו </w:t>
      </w:r>
      <w:r w:rsidRPr="00680B44">
        <w:rPr>
          <w:rFonts w:ascii="Georgia" w:hAnsi="Georgia" w:hint="cs"/>
          <w:sz w:val="18"/>
          <w:szCs w:val="20"/>
          <w:rtl/>
        </w:rPr>
        <w:t>ב</w:t>
      </w:r>
      <w:r w:rsidRPr="00680B44">
        <w:rPr>
          <w:rFonts w:ascii="Georgia" w:hAnsi="Georgia"/>
          <w:sz w:val="18"/>
          <w:szCs w:val="20"/>
          <w:rtl/>
        </w:rPr>
        <w:t>נחרצות לתחולה פרוספקטיבית בלבד של פסק הדין. הם טענו כי המדינה מושכת זמן בכוונה</w:t>
      </w:r>
      <w:r w:rsidRPr="00680B44">
        <w:rPr>
          <w:rFonts w:ascii="Georgia" w:hAnsi="Georgia" w:hint="cs"/>
          <w:sz w:val="18"/>
          <w:szCs w:val="20"/>
          <w:rtl/>
        </w:rPr>
        <w:t>,</w:t>
      </w:r>
      <w:r w:rsidRPr="00680B44">
        <w:rPr>
          <w:rFonts w:ascii="Georgia" w:hAnsi="Georgia"/>
          <w:sz w:val="18"/>
          <w:szCs w:val="20"/>
          <w:rtl/>
        </w:rPr>
        <w:t xml:space="preserve"> וכי קביעת תחולה פרוספקטיבית תהווה למעשה "פרס" על התנהלותה זו. הם הדגישו כי העובדה שלא הוגשה ולו תביעה אחת נוספת מאז פסק הדין מפריכה את החשש מהצפת בתי הדין בתביעות. לטענתם, אין מקום להסתמך על מצב משפטי עמום שפוגע באוכלוסייה מוחלשת, והדגישו כי רוב המועסקים נשארים במפעלים המוגנים לכל חייהם</w:t>
      </w:r>
      <w:r w:rsidRPr="00680B44">
        <w:rPr>
          <w:rFonts w:ascii="Georgia" w:hAnsi="Georgia" w:hint="cs"/>
          <w:sz w:val="18"/>
          <w:szCs w:val="20"/>
          <w:rtl/>
        </w:rPr>
        <w:t>,</w:t>
      </w:r>
      <w:r w:rsidRPr="00680B44">
        <w:rPr>
          <w:rFonts w:ascii="Georgia" w:hAnsi="Georgia"/>
          <w:sz w:val="18"/>
          <w:szCs w:val="20"/>
          <w:rtl/>
        </w:rPr>
        <w:t xml:space="preserve"> ללא הכשרה לשילוב בשוק החופשי. הם אף חלקו על הפרשנות </w:t>
      </w:r>
      <w:r w:rsidRPr="00680B44">
        <w:rPr>
          <w:rFonts w:ascii="Georgia" w:hAnsi="Georgia" w:hint="cs"/>
          <w:sz w:val="18"/>
          <w:szCs w:val="20"/>
          <w:rtl/>
        </w:rPr>
        <w:t>ו</w:t>
      </w:r>
      <w:r w:rsidRPr="00680B44">
        <w:rPr>
          <w:rFonts w:ascii="Georgia" w:hAnsi="Georgia"/>
          <w:sz w:val="18"/>
          <w:szCs w:val="20"/>
          <w:rtl/>
        </w:rPr>
        <w:t>לפיה פסק הדין עצמו קבע תחולה פרוספקטיבית בלבד</w:t>
      </w:r>
      <w:r w:rsidRPr="00680B44">
        <w:rPr>
          <w:rFonts w:ascii="Georgia" w:hAnsi="Georgia" w:hint="cs"/>
          <w:sz w:val="18"/>
          <w:szCs w:val="20"/>
          <w:rtl/>
        </w:rPr>
        <w:t>.</w:t>
      </w:r>
    </w:p>
    <w:p w14:paraId="09C57BBE" w14:textId="77777777" w:rsidR="00680B44" w:rsidRPr="00680B44" w:rsidRDefault="00680B44" w:rsidP="00680B44">
      <w:pPr>
        <w:tabs>
          <w:tab w:val="left" w:pos="226"/>
        </w:tabs>
        <w:spacing w:after="180" w:line="260" w:lineRule="exact"/>
        <w:jc w:val="both"/>
        <w:rPr>
          <w:rFonts w:ascii="Georgia" w:hAnsi="Georgia"/>
          <w:sz w:val="18"/>
          <w:szCs w:val="20"/>
          <w:rtl/>
        </w:rPr>
      </w:pPr>
      <w:r w:rsidRPr="00680B44">
        <w:rPr>
          <w:rFonts w:ascii="Georgia" w:hAnsi="Georgia"/>
          <w:sz w:val="18"/>
          <w:szCs w:val="20"/>
          <w:rtl/>
        </w:rPr>
        <w:t xml:space="preserve">בית המשפט העליון (מפי השופטת ברק-ארז ובהסכמת המשנה לנשיא </w:t>
      </w:r>
      <w:proofErr w:type="spellStart"/>
      <w:r w:rsidRPr="00680B44">
        <w:rPr>
          <w:rFonts w:ascii="Georgia" w:hAnsi="Georgia"/>
          <w:sz w:val="18"/>
          <w:szCs w:val="20"/>
          <w:rtl/>
        </w:rPr>
        <w:t>פוגלמן</w:t>
      </w:r>
      <w:proofErr w:type="spellEnd"/>
      <w:r w:rsidRPr="00680B44">
        <w:rPr>
          <w:rFonts w:ascii="Georgia" w:hAnsi="Georgia"/>
          <w:sz w:val="18"/>
          <w:szCs w:val="20"/>
          <w:rtl/>
        </w:rPr>
        <w:t xml:space="preserve">) </w:t>
      </w:r>
      <w:r w:rsidRPr="00680B44">
        <w:rPr>
          <w:rFonts w:ascii="Georgia" w:hAnsi="Georgia" w:hint="cs"/>
          <w:sz w:val="18"/>
          <w:szCs w:val="20"/>
          <w:rtl/>
        </w:rPr>
        <w:t xml:space="preserve">סוקר את </w:t>
      </w:r>
      <w:r w:rsidRPr="00680B44">
        <w:rPr>
          <w:rFonts w:ascii="Georgia" w:hAnsi="Georgia"/>
          <w:sz w:val="18"/>
          <w:szCs w:val="20"/>
          <w:rtl/>
        </w:rPr>
        <w:t>המסגרת החוקית לשילוב אנשים עם מוגבלויות בתעסוקה</w:t>
      </w:r>
      <w:r w:rsidRPr="00680B44">
        <w:rPr>
          <w:rFonts w:ascii="Georgia" w:hAnsi="Georgia" w:hint="cs"/>
          <w:sz w:val="18"/>
          <w:szCs w:val="20"/>
          <w:rtl/>
        </w:rPr>
        <w:t>,</w:t>
      </w:r>
      <w:r w:rsidRPr="00680B44">
        <w:rPr>
          <w:rFonts w:ascii="Georgia" w:hAnsi="Georgia"/>
          <w:sz w:val="18"/>
          <w:szCs w:val="20"/>
          <w:rtl/>
        </w:rPr>
        <w:t xml:space="preserve"> </w:t>
      </w:r>
      <w:r w:rsidRPr="00680B44">
        <w:rPr>
          <w:rFonts w:ascii="Georgia" w:hAnsi="Georgia" w:hint="cs"/>
          <w:sz w:val="18"/>
          <w:szCs w:val="20"/>
          <w:rtl/>
        </w:rPr>
        <w:t>ה</w:t>
      </w:r>
      <w:r w:rsidRPr="00680B44">
        <w:rPr>
          <w:rFonts w:ascii="Georgia" w:hAnsi="Georgia"/>
          <w:sz w:val="18"/>
          <w:szCs w:val="20"/>
          <w:rtl/>
        </w:rPr>
        <w:t xml:space="preserve">מתבססת על </w:t>
      </w:r>
      <w:r w:rsidRPr="00680B44">
        <w:rPr>
          <w:rFonts w:ascii="Georgia" w:hAnsi="Georgia" w:hint="cs"/>
          <w:sz w:val="18"/>
          <w:szCs w:val="20"/>
          <w:rtl/>
        </w:rPr>
        <w:t xml:space="preserve">שני </w:t>
      </w:r>
      <w:r w:rsidRPr="00680B44">
        <w:rPr>
          <w:rFonts w:ascii="Georgia" w:hAnsi="Georgia"/>
          <w:sz w:val="18"/>
          <w:szCs w:val="20"/>
          <w:rtl/>
        </w:rPr>
        <w:t>חוקים מרכזיים</w:t>
      </w:r>
      <w:r w:rsidRPr="00680B44">
        <w:rPr>
          <w:rFonts w:ascii="Georgia" w:hAnsi="Georgia" w:hint="cs"/>
          <w:sz w:val="18"/>
          <w:szCs w:val="20"/>
          <w:rtl/>
        </w:rPr>
        <w:t xml:space="preserve">: החוק האחד הוא </w:t>
      </w:r>
      <w:r w:rsidRPr="00680B44">
        <w:rPr>
          <w:rFonts w:ascii="Georgia" w:hAnsi="Georgia"/>
          <w:b/>
          <w:bCs/>
          <w:sz w:val="18"/>
          <w:szCs w:val="20"/>
          <w:rtl/>
        </w:rPr>
        <w:t>חוק שוויון זכויות לאנשים עם מוגבלות</w:t>
      </w:r>
      <w:r w:rsidRPr="00680B44">
        <w:rPr>
          <w:rFonts w:ascii="Georgia" w:hAnsi="Georgia" w:hint="cs"/>
          <w:b/>
          <w:bCs/>
          <w:sz w:val="18"/>
          <w:szCs w:val="20"/>
          <w:rtl/>
        </w:rPr>
        <w:t>, התשנ"ח-1998</w:t>
      </w:r>
      <w:r w:rsidRPr="00680B44">
        <w:rPr>
          <w:rFonts w:ascii="Georgia" w:hAnsi="Georgia" w:hint="cs"/>
          <w:sz w:val="18"/>
          <w:szCs w:val="20"/>
          <w:rtl/>
        </w:rPr>
        <w:t>, ה</w:t>
      </w:r>
      <w:r w:rsidRPr="00680B44">
        <w:rPr>
          <w:rFonts w:ascii="Georgia" w:hAnsi="Georgia"/>
          <w:sz w:val="18"/>
          <w:szCs w:val="20"/>
          <w:rtl/>
        </w:rPr>
        <w:t>קובע את זכותם להשתתפות שוויונית בכל תחומי החיים, תוך מתן מענה לצורכיהם המיוחדים באופן שיאפשר להם חיים עצמאיים ומכובדים. החוק מדגיש את חשיבות התעסוקה כאמצעי לא רק לפרנסה, אלא גם להגשמה עצמית ולהשתלבות בחברה. החוק מטיל על מעסיקים חובה ליצור תנאים שיאפשרו העסקת אנשים עם מוגבלות ולבצע התאמות נדרשות, כל עוד אינן מהוות נטל בלתי סביר.</w:t>
      </w:r>
      <w:r w:rsidRPr="00680B44">
        <w:rPr>
          <w:rFonts w:ascii="Georgia" w:hAnsi="Georgia" w:hint="cs"/>
          <w:sz w:val="18"/>
          <w:szCs w:val="20"/>
          <w:rtl/>
        </w:rPr>
        <w:t xml:space="preserve"> החוק האחר הוא </w:t>
      </w:r>
      <w:r w:rsidRPr="00680B44">
        <w:rPr>
          <w:rFonts w:ascii="Georgia" w:hAnsi="Georgia"/>
          <w:b/>
          <w:bCs/>
          <w:sz w:val="18"/>
          <w:szCs w:val="20"/>
          <w:rtl/>
        </w:rPr>
        <w:t>חוק שיקום נכי נפש בקהילה</w:t>
      </w:r>
      <w:r w:rsidRPr="00680B44">
        <w:rPr>
          <w:rFonts w:ascii="Georgia" w:hAnsi="Georgia" w:hint="cs"/>
          <w:b/>
          <w:bCs/>
          <w:sz w:val="18"/>
          <w:szCs w:val="20"/>
          <w:rtl/>
        </w:rPr>
        <w:t>, התש"ס-2000</w:t>
      </w:r>
      <w:r w:rsidRPr="00680B44">
        <w:rPr>
          <w:rFonts w:ascii="Georgia" w:hAnsi="Georgia" w:hint="cs"/>
          <w:sz w:val="18"/>
          <w:szCs w:val="20"/>
          <w:rtl/>
        </w:rPr>
        <w:t>, ה</w:t>
      </w:r>
      <w:r w:rsidRPr="00680B44">
        <w:rPr>
          <w:rFonts w:ascii="Georgia" w:hAnsi="Georgia"/>
          <w:sz w:val="18"/>
          <w:szCs w:val="20"/>
          <w:rtl/>
        </w:rPr>
        <w:t>מסדיר באופן ספציפי יותר את שילובם של מתמודדי נפש בתעסוקה. החוק קובע מדרג של אפשרויות תעסוקה:</w:t>
      </w:r>
      <w:r w:rsidRPr="00680B44">
        <w:rPr>
          <w:rFonts w:ascii="Georgia" w:hAnsi="Georgia" w:hint="cs"/>
          <w:sz w:val="18"/>
          <w:szCs w:val="20"/>
          <w:rtl/>
        </w:rPr>
        <w:t xml:space="preserve"> </w:t>
      </w:r>
      <w:r w:rsidRPr="00680B44">
        <w:rPr>
          <w:rFonts w:ascii="Georgia" w:hAnsi="Georgia"/>
          <w:sz w:val="18"/>
          <w:szCs w:val="20"/>
          <w:rtl/>
        </w:rPr>
        <w:t>שילוב בשוק העבודה החופשי</w:t>
      </w:r>
      <w:r w:rsidRPr="00680B44">
        <w:rPr>
          <w:rFonts w:ascii="Georgia" w:hAnsi="Georgia" w:hint="cs"/>
          <w:sz w:val="18"/>
          <w:szCs w:val="20"/>
          <w:rtl/>
        </w:rPr>
        <w:t xml:space="preserve">; </w:t>
      </w:r>
      <w:r w:rsidRPr="00680B44">
        <w:rPr>
          <w:rFonts w:ascii="Georgia" w:hAnsi="Georgia"/>
          <w:sz w:val="18"/>
          <w:szCs w:val="20"/>
          <w:rtl/>
        </w:rPr>
        <w:t>תעסוקה נתמכת בשוק החופשי עם ליווי שיקומי</w:t>
      </w:r>
      <w:r w:rsidRPr="00680B44">
        <w:rPr>
          <w:rFonts w:ascii="Georgia" w:hAnsi="Georgia" w:hint="cs"/>
          <w:sz w:val="18"/>
          <w:szCs w:val="20"/>
          <w:rtl/>
        </w:rPr>
        <w:t xml:space="preserve">; </w:t>
      </w:r>
      <w:r w:rsidRPr="00680B44">
        <w:rPr>
          <w:rFonts w:ascii="Georgia" w:hAnsi="Georgia"/>
          <w:sz w:val="18"/>
          <w:szCs w:val="20"/>
          <w:rtl/>
        </w:rPr>
        <w:t xml:space="preserve">העסקה במפעל מוגן </w:t>
      </w:r>
      <w:r w:rsidRPr="00680B44">
        <w:rPr>
          <w:rFonts w:ascii="Georgia" w:hAnsi="Georgia" w:hint="cs"/>
          <w:sz w:val="18"/>
          <w:szCs w:val="20"/>
          <w:rtl/>
        </w:rPr>
        <w:t>–</w:t>
      </w:r>
      <w:r w:rsidRPr="00680B44">
        <w:rPr>
          <w:rFonts w:ascii="Georgia" w:hAnsi="Georgia"/>
          <w:sz w:val="18"/>
          <w:szCs w:val="20"/>
          <w:rtl/>
        </w:rPr>
        <w:t xml:space="preserve"> למי שאינם יכולים להשתלב בשוק החופשי</w:t>
      </w:r>
      <w:r w:rsidRPr="00680B44">
        <w:rPr>
          <w:rFonts w:ascii="Georgia" w:hAnsi="Georgia" w:hint="cs"/>
          <w:sz w:val="18"/>
          <w:szCs w:val="20"/>
          <w:rtl/>
        </w:rPr>
        <w:t xml:space="preserve">; </w:t>
      </w:r>
      <w:r w:rsidRPr="00680B44">
        <w:rPr>
          <w:rFonts w:ascii="Georgia" w:hAnsi="Georgia"/>
          <w:sz w:val="18"/>
          <w:szCs w:val="20"/>
          <w:rtl/>
        </w:rPr>
        <w:t xml:space="preserve">מועדון תעסוקתי </w:t>
      </w:r>
      <w:r w:rsidRPr="00680B44">
        <w:rPr>
          <w:rFonts w:ascii="Georgia" w:hAnsi="Georgia" w:hint="cs"/>
          <w:sz w:val="18"/>
          <w:szCs w:val="20"/>
          <w:rtl/>
        </w:rPr>
        <w:t>–</w:t>
      </w:r>
      <w:r w:rsidRPr="00680B44">
        <w:rPr>
          <w:rFonts w:ascii="Georgia" w:hAnsi="Georgia"/>
          <w:sz w:val="18"/>
          <w:szCs w:val="20"/>
          <w:rtl/>
        </w:rPr>
        <w:t xml:space="preserve"> המשלב פעילות חברתית והקניית מיומנויות למי שאינם מסוגלים להשתלב בעבודה</w:t>
      </w:r>
      <w:r w:rsidRPr="00680B44">
        <w:rPr>
          <w:rFonts w:ascii="Georgia" w:hAnsi="Georgia" w:hint="cs"/>
          <w:sz w:val="18"/>
          <w:szCs w:val="20"/>
          <w:rtl/>
        </w:rPr>
        <w:t>.</w:t>
      </w:r>
    </w:p>
    <w:p w14:paraId="7828DF8B" w14:textId="77777777" w:rsidR="00680B44" w:rsidRPr="00680B44" w:rsidRDefault="00680B44" w:rsidP="00680B44">
      <w:pPr>
        <w:spacing w:after="180" w:line="260" w:lineRule="exact"/>
        <w:jc w:val="both"/>
        <w:rPr>
          <w:rFonts w:ascii="Georgia" w:hAnsi="Georgia"/>
          <w:sz w:val="18"/>
          <w:szCs w:val="20"/>
          <w:rtl/>
        </w:rPr>
      </w:pPr>
      <w:r w:rsidRPr="00680B44">
        <w:rPr>
          <w:rFonts w:ascii="Georgia" w:hAnsi="Georgia"/>
          <w:sz w:val="18"/>
          <w:szCs w:val="20"/>
          <w:rtl/>
        </w:rPr>
        <w:t xml:space="preserve">מסגרת חוקית זו משקפת את המגמה </w:t>
      </w:r>
      <w:r w:rsidRPr="00680B44">
        <w:rPr>
          <w:rFonts w:ascii="Georgia" w:hAnsi="Georgia" w:hint="cs"/>
          <w:sz w:val="18"/>
          <w:szCs w:val="20"/>
          <w:rtl/>
        </w:rPr>
        <w:t xml:space="preserve">של קידום </w:t>
      </w:r>
      <w:r w:rsidRPr="00680B44">
        <w:rPr>
          <w:rFonts w:ascii="Georgia" w:hAnsi="Georgia"/>
          <w:sz w:val="18"/>
          <w:szCs w:val="20"/>
          <w:rtl/>
        </w:rPr>
        <w:t xml:space="preserve">זכויותיהם ורווחתם של אנשים עם מוגבלות </w:t>
      </w:r>
      <w:r w:rsidRPr="00680B44">
        <w:rPr>
          <w:rFonts w:ascii="Georgia" w:hAnsi="Georgia" w:hint="cs"/>
          <w:sz w:val="18"/>
          <w:szCs w:val="20"/>
          <w:rtl/>
        </w:rPr>
        <w:t xml:space="preserve">באמצעות </w:t>
      </w:r>
      <w:r w:rsidRPr="00680B44">
        <w:rPr>
          <w:rFonts w:ascii="Georgia" w:hAnsi="Georgia"/>
          <w:sz w:val="18"/>
          <w:szCs w:val="20"/>
          <w:rtl/>
        </w:rPr>
        <w:t>שילובם ב</w:t>
      </w:r>
      <w:r w:rsidRPr="00680B44">
        <w:rPr>
          <w:rFonts w:ascii="Georgia" w:hAnsi="Georgia" w:hint="cs"/>
          <w:sz w:val="18"/>
          <w:szCs w:val="20"/>
          <w:rtl/>
        </w:rPr>
        <w:t>עולם העבודה באופן המותאם ליכולותיה</w:t>
      </w:r>
      <w:r w:rsidRPr="00680B44">
        <w:rPr>
          <w:rFonts w:ascii="Georgia" w:hAnsi="Georgia" w:hint="eastAsia"/>
          <w:sz w:val="18"/>
          <w:szCs w:val="20"/>
          <w:rtl/>
        </w:rPr>
        <w:t>ם</w:t>
      </w:r>
      <w:r w:rsidRPr="00680B44">
        <w:rPr>
          <w:rFonts w:ascii="Georgia" w:hAnsi="Georgia" w:hint="cs"/>
          <w:sz w:val="18"/>
          <w:szCs w:val="20"/>
          <w:rtl/>
        </w:rPr>
        <w:t xml:space="preserve">. עם זאת, </w:t>
      </w:r>
      <w:r w:rsidRPr="00680B44">
        <w:rPr>
          <w:rFonts w:ascii="Georgia" w:hAnsi="Georgia"/>
          <w:sz w:val="18"/>
          <w:szCs w:val="20"/>
          <w:rtl/>
        </w:rPr>
        <w:t xml:space="preserve">אף </w:t>
      </w:r>
      <w:r w:rsidRPr="00680B44">
        <w:rPr>
          <w:rFonts w:ascii="Georgia" w:hAnsi="Georgia" w:hint="cs"/>
          <w:sz w:val="18"/>
          <w:szCs w:val="20"/>
          <w:rtl/>
        </w:rPr>
        <w:t xml:space="preserve">לא </w:t>
      </w:r>
      <w:r w:rsidRPr="00680B44">
        <w:rPr>
          <w:rFonts w:ascii="Georgia" w:hAnsi="Georgia"/>
          <w:sz w:val="18"/>
          <w:szCs w:val="20"/>
          <w:rtl/>
        </w:rPr>
        <w:t>אחד מהחוקים הללו מתייחס ב</w:t>
      </w:r>
      <w:r w:rsidRPr="00680B44">
        <w:rPr>
          <w:rFonts w:ascii="Georgia" w:hAnsi="Georgia" w:hint="cs"/>
          <w:sz w:val="18"/>
          <w:szCs w:val="20"/>
          <w:rtl/>
        </w:rPr>
        <w:t xml:space="preserve">מישרין </w:t>
      </w:r>
      <w:r w:rsidRPr="00680B44">
        <w:rPr>
          <w:rFonts w:ascii="Georgia" w:hAnsi="Georgia"/>
          <w:sz w:val="18"/>
          <w:szCs w:val="20"/>
          <w:rtl/>
        </w:rPr>
        <w:t xml:space="preserve">לשאלה המרכזית שעמדה בפני בית הדין הארצי לעבודה: האם יכולים להתקיים יחסי עובד-מעביד בין מתמודד נפש המועסק במפעל מוגן לבין המפעל עצמו. זוהי למעשה </w:t>
      </w:r>
      <w:proofErr w:type="spellStart"/>
      <w:r w:rsidRPr="00680B44">
        <w:rPr>
          <w:rFonts w:ascii="Georgia" w:hAnsi="Georgia" w:hint="cs"/>
          <w:sz w:val="18"/>
          <w:szCs w:val="20"/>
          <w:rtl/>
        </w:rPr>
        <w:t>לאקונה</w:t>
      </w:r>
      <w:proofErr w:type="spellEnd"/>
      <w:r w:rsidRPr="00680B44">
        <w:rPr>
          <w:rFonts w:ascii="Georgia" w:hAnsi="Georgia" w:hint="cs"/>
          <w:sz w:val="18"/>
          <w:szCs w:val="20"/>
          <w:rtl/>
        </w:rPr>
        <w:t xml:space="preserve"> </w:t>
      </w:r>
      <w:r w:rsidRPr="00680B44">
        <w:rPr>
          <w:rFonts w:ascii="Georgia" w:hAnsi="Georgia"/>
          <w:sz w:val="18"/>
          <w:szCs w:val="20"/>
          <w:rtl/>
        </w:rPr>
        <w:t>בחקיקה, שנדרשה להכרעה שיפוטית.</w:t>
      </w:r>
    </w:p>
    <w:p w14:paraId="5314C830" w14:textId="77777777" w:rsidR="00680B44" w:rsidRPr="00680B44" w:rsidRDefault="00680B44" w:rsidP="00680B44">
      <w:pPr>
        <w:spacing w:after="180" w:line="260" w:lineRule="exact"/>
        <w:jc w:val="both"/>
        <w:rPr>
          <w:rFonts w:ascii="Georgia" w:hAnsi="Georgia"/>
          <w:sz w:val="18"/>
          <w:szCs w:val="20"/>
          <w:rtl/>
        </w:rPr>
      </w:pPr>
      <w:r w:rsidRPr="00680B44">
        <w:rPr>
          <w:rFonts w:ascii="Georgia" w:hAnsi="Georgia" w:hint="cs"/>
          <w:sz w:val="18"/>
          <w:szCs w:val="20"/>
          <w:rtl/>
        </w:rPr>
        <w:t>בית המשפט העליון</w:t>
      </w:r>
      <w:r w:rsidRPr="00680B44">
        <w:rPr>
          <w:rFonts w:ascii="Georgia" w:hAnsi="Georgia"/>
          <w:sz w:val="18"/>
          <w:szCs w:val="20"/>
          <w:rtl/>
        </w:rPr>
        <w:t xml:space="preserve"> דחה את עתירת המדינה וקבע כי פסק דינו של בית הדין הארצי לעבודה יחול באופן רטרוספקטיבי, כלומר גם על העבר, ולא רק פרוספקטיבי (מכאן ולהבא)</w:t>
      </w:r>
      <w:r w:rsidRPr="00680B44">
        <w:rPr>
          <w:rFonts w:ascii="Georgia" w:hAnsi="Georgia" w:hint="cs"/>
          <w:sz w:val="18"/>
          <w:szCs w:val="20"/>
          <w:rtl/>
        </w:rPr>
        <w:t xml:space="preserve">, והציג שני נימוקים עיקריים לכך. ראשית, </w:t>
      </w:r>
      <w:r w:rsidRPr="00680B44">
        <w:rPr>
          <w:rFonts w:ascii="Georgia" w:hAnsi="Georgia"/>
          <w:sz w:val="18"/>
          <w:szCs w:val="20"/>
          <w:rtl/>
        </w:rPr>
        <w:t xml:space="preserve">הוא קבע שפסק הדין של בית הדין הארצי לעבודה לא </w:t>
      </w:r>
      <w:r w:rsidRPr="00680B44">
        <w:rPr>
          <w:rFonts w:ascii="Georgia" w:hAnsi="Georgia" w:hint="cs"/>
          <w:sz w:val="18"/>
          <w:szCs w:val="20"/>
          <w:rtl/>
        </w:rPr>
        <w:t xml:space="preserve">הציג </w:t>
      </w:r>
      <w:r w:rsidRPr="00680B44">
        <w:rPr>
          <w:rFonts w:ascii="Georgia" w:hAnsi="Georgia" w:hint="cs"/>
          <w:sz w:val="18"/>
          <w:szCs w:val="20"/>
          <w:rtl/>
        </w:rPr>
        <w:lastRenderedPageBreak/>
        <w:t xml:space="preserve">חידוש </w:t>
      </w:r>
      <w:r w:rsidRPr="00680B44">
        <w:rPr>
          <w:rFonts w:ascii="Georgia" w:hAnsi="Georgia"/>
          <w:sz w:val="18"/>
          <w:szCs w:val="20"/>
          <w:rtl/>
        </w:rPr>
        <w:t>דרמטי בדין, אלא רק הבהיר והרחיב את מה שכבר היה קיים</w:t>
      </w:r>
      <w:r w:rsidRPr="00680B44">
        <w:rPr>
          <w:rFonts w:ascii="Georgia" w:hAnsi="Georgia" w:hint="cs"/>
          <w:sz w:val="18"/>
          <w:szCs w:val="20"/>
          <w:rtl/>
        </w:rPr>
        <w:t xml:space="preserve"> </w:t>
      </w:r>
      <w:r w:rsidRPr="00680B44">
        <w:rPr>
          <w:rFonts w:ascii="Georgia" w:hAnsi="Georgia" w:hint="eastAsia"/>
          <w:sz w:val="18"/>
          <w:szCs w:val="20"/>
          <w:rtl/>
        </w:rPr>
        <w:t>–</w:t>
      </w:r>
      <w:r w:rsidRPr="00680B44">
        <w:rPr>
          <w:rFonts w:ascii="Georgia" w:hAnsi="Georgia"/>
          <w:sz w:val="18"/>
          <w:szCs w:val="20"/>
          <w:rtl/>
        </w:rPr>
        <w:t xml:space="preserve"> שיש לבדוק בכל מקרה לגופו אם מועסק במפעל מוגן נחשב כעובד.</w:t>
      </w:r>
      <w:r w:rsidRPr="00680B44">
        <w:rPr>
          <w:rFonts w:ascii="Georgia" w:hAnsi="Georgia" w:hint="cs"/>
          <w:sz w:val="18"/>
          <w:szCs w:val="20"/>
          <w:rtl/>
        </w:rPr>
        <w:t xml:space="preserve"> </w:t>
      </w:r>
      <w:r w:rsidRPr="00680B44">
        <w:rPr>
          <w:rFonts w:ascii="Georgia" w:hAnsi="Georgia"/>
          <w:sz w:val="18"/>
          <w:szCs w:val="20"/>
          <w:rtl/>
        </w:rPr>
        <w:t xml:space="preserve">שנית, המדינה לא הצליחה להוכיח שיש סיבה טובה </w:t>
      </w:r>
      <w:r w:rsidRPr="00680B44">
        <w:rPr>
          <w:rFonts w:ascii="Georgia" w:hAnsi="Georgia" w:hint="cs"/>
          <w:sz w:val="18"/>
          <w:szCs w:val="20"/>
          <w:rtl/>
        </w:rPr>
        <w:t xml:space="preserve">דייה </w:t>
      </w:r>
      <w:r w:rsidRPr="00680B44">
        <w:rPr>
          <w:rFonts w:ascii="Georgia" w:hAnsi="Georgia"/>
          <w:sz w:val="18"/>
          <w:szCs w:val="20"/>
          <w:rtl/>
        </w:rPr>
        <w:t>להחיל את פסק הדין רק מכאן ולהבא, מכמה סיבות:</w:t>
      </w:r>
      <w:r w:rsidRPr="00680B44">
        <w:rPr>
          <w:rFonts w:ascii="Georgia" w:hAnsi="Georgia" w:hint="cs"/>
          <w:sz w:val="18"/>
          <w:szCs w:val="20"/>
          <w:rtl/>
        </w:rPr>
        <w:t xml:space="preserve"> </w:t>
      </w:r>
      <w:r w:rsidRPr="00680B44">
        <w:rPr>
          <w:rFonts w:ascii="Georgia" w:hAnsi="Georgia"/>
          <w:sz w:val="18"/>
          <w:szCs w:val="20"/>
          <w:rtl/>
        </w:rPr>
        <w:t>החלה כזו תמנע מאנשים עם מוגבלויות, שממילא הם קבוצה חלשה, לתבוע את זכויותיהם על העבר</w:t>
      </w:r>
      <w:r w:rsidRPr="00680B44">
        <w:rPr>
          <w:rFonts w:ascii="Georgia" w:hAnsi="Georgia" w:hint="cs"/>
          <w:sz w:val="18"/>
          <w:szCs w:val="20"/>
          <w:rtl/>
        </w:rPr>
        <w:t xml:space="preserve">; </w:t>
      </w:r>
      <w:r w:rsidRPr="00680B44">
        <w:rPr>
          <w:rFonts w:ascii="Georgia" w:hAnsi="Georgia"/>
          <w:sz w:val="18"/>
          <w:szCs w:val="20"/>
          <w:rtl/>
        </w:rPr>
        <w:t xml:space="preserve">המדינה לא הראתה נתונים אמיתיים </w:t>
      </w:r>
      <w:r w:rsidRPr="00680B44">
        <w:rPr>
          <w:rFonts w:ascii="Georgia" w:hAnsi="Georgia" w:hint="cs"/>
          <w:sz w:val="18"/>
          <w:szCs w:val="20"/>
          <w:rtl/>
        </w:rPr>
        <w:t xml:space="preserve">של העלות האמיתית של ההכרה </w:t>
      </w:r>
      <w:r w:rsidRPr="00680B44">
        <w:rPr>
          <w:rFonts w:ascii="Georgia" w:hAnsi="Georgia"/>
          <w:sz w:val="18"/>
          <w:szCs w:val="20"/>
          <w:rtl/>
        </w:rPr>
        <w:t>בזכויות הללו</w:t>
      </w:r>
      <w:r w:rsidRPr="00680B44">
        <w:rPr>
          <w:rFonts w:ascii="Georgia" w:hAnsi="Georgia" w:hint="cs"/>
          <w:sz w:val="18"/>
          <w:szCs w:val="20"/>
          <w:rtl/>
        </w:rPr>
        <w:t xml:space="preserve">; מאז </w:t>
      </w:r>
      <w:r w:rsidRPr="00680B44">
        <w:rPr>
          <w:rFonts w:ascii="Georgia" w:hAnsi="Georgia"/>
          <w:sz w:val="18"/>
          <w:szCs w:val="20"/>
          <w:rtl/>
        </w:rPr>
        <w:t xml:space="preserve">פסק הדין לא הוגשה </w:t>
      </w:r>
      <w:r w:rsidRPr="00680B44">
        <w:rPr>
          <w:rFonts w:ascii="Georgia" w:hAnsi="Georgia" w:hint="cs"/>
          <w:sz w:val="18"/>
          <w:szCs w:val="20"/>
          <w:rtl/>
        </w:rPr>
        <w:t xml:space="preserve">שום </w:t>
      </w:r>
      <w:r w:rsidRPr="00680B44">
        <w:rPr>
          <w:rFonts w:ascii="Georgia" w:hAnsi="Georgia"/>
          <w:sz w:val="18"/>
          <w:szCs w:val="20"/>
          <w:rtl/>
        </w:rPr>
        <w:t>תביעה חדשה</w:t>
      </w:r>
      <w:r w:rsidRPr="00680B44">
        <w:rPr>
          <w:rFonts w:ascii="Georgia" w:hAnsi="Georgia" w:hint="cs"/>
          <w:sz w:val="18"/>
          <w:szCs w:val="20"/>
          <w:rtl/>
        </w:rPr>
        <w:t xml:space="preserve">, כך </w:t>
      </w:r>
      <w:r w:rsidRPr="00680B44">
        <w:rPr>
          <w:rFonts w:ascii="Georgia" w:hAnsi="Georgia"/>
          <w:sz w:val="18"/>
          <w:szCs w:val="20"/>
          <w:rtl/>
        </w:rPr>
        <w:t>שהחשש מהצפת תביעות אינו מבוסס</w:t>
      </w:r>
      <w:r w:rsidRPr="00680B44">
        <w:rPr>
          <w:rFonts w:ascii="Georgia" w:hAnsi="Georgia" w:hint="cs"/>
          <w:sz w:val="18"/>
          <w:szCs w:val="20"/>
          <w:rtl/>
        </w:rPr>
        <w:t xml:space="preserve">; </w:t>
      </w:r>
      <w:r w:rsidRPr="00680B44">
        <w:rPr>
          <w:rFonts w:ascii="Georgia" w:hAnsi="Georgia"/>
          <w:sz w:val="18"/>
          <w:szCs w:val="20"/>
          <w:rtl/>
        </w:rPr>
        <w:t>המדינה בחרה שלא לקדם חקיקה בנושא במשך שנים, ולכן אין הצדקה לתת לה הגנה מיוחדת עכשיו</w:t>
      </w:r>
      <w:r w:rsidRPr="00680B44">
        <w:rPr>
          <w:rFonts w:ascii="Georgia" w:hAnsi="Georgia" w:hint="cs"/>
          <w:sz w:val="18"/>
          <w:szCs w:val="20"/>
          <w:rtl/>
        </w:rPr>
        <w:t>.</w:t>
      </w:r>
    </w:p>
    <w:p w14:paraId="6CBE4372" w14:textId="77777777" w:rsidR="00680B44" w:rsidRPr="00E35340" w:rsidRDefault="00680B44" w:rsidP="00680B44">
      <w:pPr>
        <w:spacing w:after="180" w:line="260" w:lineRule="exact"/>
        <w:jc w:val="both"/>
        <w:rPr>
          <w:rFonts w:ascii="Georgia" w:hAnsi="Georgia"/>
          <w:sz w:val="18"/>
          <w:szCs w:val="20"/>
          <w:rtl/>
        </w:rPr>
      </w:pPr>
    </w:p>
    <w:p w14:paraId="5A2E5FCD" w14:textId="77777777" w:rsidR="00680B44" w:rsidRPr="009624B0" w:rsidRDefault="00680B44" w:rsidP="00680B44">
      <w:pPr>
        <w:pStyle w:val="KOT4"/>
        <w:spacing w:after="240"/>
        <w:ind w:right="0"/>
        <w:rPr>
          <w:rFonts w:cs="Guttman Aharoni"/>
          <w:color w:val="2A8E8C"/>
          <w:sz w:val="32"/>
          <w:szCs w:val="32"/>
          <w:rtl/>
        </w:rPr>
      </w:pPr>
      <w:r w:rsidRPr="009624B0">
        <w:rPr>
          <w:rFonts w:cs="Guttman Aharoni"/>
          <w:color w:val="2A8E8C"/>
          <w:sz w:val="32"/>
          <w:szCs w:val="32"/>
          <w:rtl/>
        </w:rPr>
        <w:t>חידושי חקיקה</w:t>
      </w:r>
    </w:p>
    <w:p w14:paraId="370E700D" w14:textId="123C3C9C" w:rsidR="00680B44" w:rsidRPr="00680B44" w:rsidRDefault="00680B44" w:rsidP="00680B44">
      <w:pPr>
        <w:pStyle w:val="KOT5"/>
        <w:spacing w:after="240"/>
        <w:jc w:val="both"/>
        <w:rPr>
          <w:b/>
          <w:bCs/>
          <w:color w:val="2A8E8C"/>
        </w:rPr>
      </w:pPr>
      <w:r w:rsidRPr="00680B44">
        <w:rPr>
          <w:b/>
          <w:bCs/>
          <w:color w:val="2A8E8C"/>
          <w:rtl/>
        </w:rPr>
        <w:t>תקנות הכשרות המשפטית והאפוטרופסות (קבלת החלטות נתמכת), תשפ"ד</w:t>
      </w:r>
      <w:r w:rsidRPr="00680B44">
        <w:rPr>
          <w:rFonts w:ascii="David" w:hAnsi="David" w:cs="David"/>
          <w:b/>
          <w:bCs/>
          <w:color w:val="2A8E8C"/>
          <w:rtl/>
        </w:rPr>
        <w:t>-</w:t>
      </w:r>
      <w:r w:rsidRPr="00680B44">
        <w:rPr>
          <w:b/>
          <w:bCs/>
          <w:color w:val="2A8E8C"/>
          <w:rtl/>
        </w:rPr>
        <w:t>2024</w:t>
      </w:r>
      <w:r w:rsidRPr="00680B44">
        <w:rPr>
          <w:rFonts w:hint="cs"/>
          <w:b/>
          <w:bCs/>
          <w:color w:val="2A8E8C"/>
          <w:rtl/>
        </w:rPr>
        <w:t xml:space="preserve"> </w:t>
      </w:r>
    </w:p>
    <w:p w14:paraId="3FED7020" w14:textId="77777777" w:rsidR="00680B44" w:rsidRPr="00680B44" w:rsidRDefault="00680B44" w:rsidP="00680B44">
      <w:pPr>
        <w:spacing w:after="180" w:line="260" w:lineRule="exact"/>
        <w:jc w:val="both"/>
        <w:rPr>
          <w:rFonts w:ascii="Georgia" w:hAnsi="Georgia"/>
          <w:sz w:val="18"/>
          <w:szCs w:val="20"/>
          <w:rtl/>
        </w:rPr>
      </w:pPr>
      <w:r w:rsidRPr="00680B44">
        <w:rPr>
          <w:rFonts w:ascii="Georgia" w:hAnsi="Georgia"/>
          <w:sz w:val="18"/>
          <w:szCs w:val="20"/>
          <w:rtl/>
        </w:rPr>
        <w:t>תיקון 18 לחוק הכשרות המשפטית והאפוטרופסות</w:t>
      </w:r>
      <w:r w:rsidRPr="00680B44">
        <w:rPr>
          <w:rFonts w:ascii="Georgia" w:hAnsi="Georgia" w:hint="cs"/>
          <w:sz w:val="18"/>
          <w:szCs w:val="20"/>
          <w:rtl/>
        </w:rPr>
        <w:t>, תשכ"ב-1962</w:t>
      </w:r>
      <w:r w:rsidRPr="00680B44">
        <w:rPr>
          <w:rFonts w:ascii="Georgia" w:hAnsi="Georgia"/>
          <w:sz w:val="18"/>
          <w:szCs w:val="20"/>
          <w:rtl/>
        </w:rPr>
        <w:t xml:space="preserve"> עיגן את הסדר קבלת החלטות נתמכת כחלופה לאפוטרופסות. על פי התיקון, לא ימונה אפוטרופוס אם קיימות חלופות המגבילות פחות את עצמאות האדם. עיקרון זה תואם את אמנת האו"ם בדבר זכויותיהם של אנשים עם מוגבלות. בהמשך לתיקון זה,</w:t>
      </w:r>
      <w:r w:rsidRPr="00680B44">
        <w:rPr>
          <w:rFonts w:ascii="Georgia" w:hAnsi="Georgia" w:hint="cs"/>
          <w:sz w:val="18"/>
          <w:szCs w:val="20"/>
          <w:rtl/>
        </w:rPr>
        <w:t xml:space="preserve"> ה</w:t>
      </w:r>
      <w:r w:rsidRPr="00680B44">
        <w:rPr>
          <w:rFonts w:ascii="Georgia" w:hAnsi="Georgia"/>
          <w:sz w:val="18"/>
          <w:szCs w:val="20"/>
          <w:rtl/>
        </w:rPr>
        <w:t xml:space="preserve">תקנות מסדירות את מערך התמיכה באנשים הזקוקים לסיוע בקבלת החלטות, תוך </w:t>
      </w:r>
      <w:r w:rsidRPr="00680B44">
        <w:rPr>
          <w:rFonts w:ascii="Georgia" w:hAnsi="Georgia" w:hint="cs"/>
          <w:sz w:val="18"/>
          <w:szCs w:val="20"/>
          <w:rtl/>
        </w:rPr>
        <w:t xml:space="preserve">כדי </w:t>
      </w:r>
      <w:r w:rsidRPr="00680B44">
        <w:rPr>
          <w:rFonts w:ascii="Georgia" w:hAnsi="Georgia"/>
          <w:sz w:val="18"/>
          <w:szCs w:val="20"/>
          <w:rtl/>
        </w:rPr>
        <w:t>שמירה על האוטונומיה שלהם. התקנות מגדירות שלושה סוגי תומכים: תומך קרוב (בן משפחה או אדם עם קרבה אישית), תומך מתנדב, ותומך מקצועי.</w:t>
      </w:r>
      <w:r w:rsidRPr="00680B44">
        <w:rPr>
          <w:rFonts w:ascii="Georgia" w:hAnsi="Georgia" w:hint="cs"/>
          <w:sz w:val="18"/>
          <w:szCs w:val="20"/>
          <w:rtl/>
        </w:rPr>
        <w:t xml:space="preserve"> </w:t>
      </w:r>
      <w:r w:rsidRPr="00680B44">
        <w:rPr>
          <w:rFonts w:ascii="Georgia" w:hAnsi="Georgia"/>
          <w:sz w:val="18"/>
          <w:szCs w:val="20"/>
          <w:rtl/>
        </w:rPr>
        <w:t xml:space="preserve">כדי להתמנות </w:t>
      </w:r>
      <w:r w:rsidRPr="00680B44">
        <w:rPr>
          <w:rFonts w:ascii="Georgia" w:hAnsi="Georgia" w:hint="cs"/>
          <w:sz w:val="18"/>
          <w:szCs w:val="20"/>
          <w:rtl/>
        </w:rPr>
        <w:t>ל</w:t>
      </w:r>
      <w:r w:rsidRPr="00680B44">
        <w:rPr>
          <w:rFonts w:ascii="Georgia" w:hAnsi="Georgia"/>
          <w:sz w:val="18"/>
          <w:szCs w:val="20"/>
          <w:rtl/>
        </w:rPr>
        <w:t>תומך</w:t>
      </w:r>
      <w:r w:rsidRPr="00680B44">
        <w:rPr>
          <w:rFonts w:ascii="Georgia" w:hAnsi="Georgia" w:hint="cs"/>
          <w:sz w:val="18"/>
          <w:szCs w:val="20"/>
          <w:rtl/>
        </w:rPr>
        <w:t xml:space="preserve"> על </w:t>
      </w:r>
      <w:r w:rsidRPr="00680B44">
        <w:rPr>
          <w:rFonts w:ascii="Georgia" w:hAnsi="Georgia"/>
          <w:sz w:val="18"/>
          <w:szCs w:val="20"/>
          <w:rtl/>
        </w:rPr>
        <w:t xml:space="preserve">האדם לעמוד בתנאי סף: לא מונה לו אפוטרופוס, </w:t>
      </w:r>
      <w:r w:rsidRPr="00680B44">
        <w:rPr>
          <w:rFonts w:ascii="Georgia" w:hAnsi="Georgia" w:hint="cs"/>
          <w:sz w:val="18"/>
          <w:szCs w:val="20"/>
          <w:rtl/>
        </w:rPr>
        <w:t xml:space="preserve">הוא </w:t>
      </w:r>
      <w:r w:rsidRPr="00680B44">
        <w:rPr>
          <w:rFonts w:ascii="Georgia" w:hAnsi="Georgia"/>
          <w:sz w:val="18"/>
          <w:szCs w:val="20"/>
          <w:rtl/>
        </w:rPr>
        <w:t>אינו מצוי בניגוד עניינים עם מקבל ההחלטות, ו</w:t>
      </w:r>
      <w:r w:rsidRPr="00680B44">
        <w:rPr>
          <w:rFonts w:ascii="Georgia" w:hAnsi="Georgia" w:hint="cs"/>
          <w:sz w:val="18"/>
          <w:szCs w:val="20"/>
          <w:rtl/>
        </w:rPr>
        <w:t xml:space="preserve">הוא </w:t>
      </w:r>
      <w:r w:rsidRPr="00680B44">
        <w:rPr>
          <w:rFonts w:ascii="Georgia" w:hAnsi="Georgia"/>
          <w:sz w:val="18"/>
          <w:szCs w:val="20"/>
          <w:rtl/>
        </w:rPr>
        <w:t xml:space="preserve">לא הורשע בעבירה </w:t>
      </w:r>
      <w:r w:rsidRPr="00680B44">
        <w:rPr>
          <w:rFonts w:ascii="Georgia" w:hAnsi="Georgia" w:hint="cs"/>
          <w:sz w:val="18"/>
          <w:szCs w:val="20"/>
          <w:rtl/>
        </w:rPr>
        <w:t>חמורה</w:t>
      </w:r>
      <w:r w:rsidRPr="00680B44">
        <w:rPr>
          <w:rFonts w:ascii="Georgia" w:hAnsi="Georgia"/>
          <w:sz w:val="18"/>
          <w:szCs w:val="20"/>
          <w:rtl/>
        </w:rPr>
        <w:t>. תומכים מתנדבים ומקצועיים נדרשים גם לעבור הכשרה מקצועית (</w:t>
      </w:r>
      <w:r w:rsidRPr="00680B44">
        <w:rPr>
          <w:rFonts w:ascii="Georgia" w:hAnsi="Georgia" w:hint="cs"/>
          <w:sz w:val="18"/>
          <w:szCs w:val="20"/>
          <w:rtl/>
        </w:rPr>
        <w:t>חמש</w:t>
      </w:r>
      <w:r w:rsidRPr="00680B44">
        <w:rPr>
          <w:rFonts w:ascii="Georgia" w:hAnsi="Georgia"/>
          <w:sz w:val="18"/>
          <w:szCs w:val="20"/>
          <w:rtl/>
        </w:rPr>
        <w:t xml:space="preserve"> שעות למתנדב ו</w:t>
      </w:r>
      <w:r w:rsidRPr="00680B44">
        <w:rPr>
          <w:rFonts w:ascii="Georgia" w:hAnsi="Georgia" w:hint="cs"/>
          <w:sz w:val="18"/>
          <w:szCs w:val="20"/>
          <w:rtl/>
        </w:rPr>
        <w:t>ארבעים</w:t>
      </w:r>
      <w:r w:rsidRPr="00680B44">
        <w:rPr>
          <w:rFonts w:ascii="Georgia" w:hAnsi="Georgia"/>
          <w:sz w:val="18"/>
          <w:szCs w:val="20"/>
          <w:rtl/>
        </w:rPr>
        <w:t xml:space="preserve"> שעות למקצועי)</w:t>
      </w:r>
      <w:r w:rsidRPr="00680B44">
        <w:rPr>
          <w:rFonts w:ascii="Georgia" w:hAnsi="Georgia" w:hint="cs"/>
          <w:sz w:val="18"/>
          <w:szCs w:val="20"/>
          <w:rtl/>
        </w:rPr>
        <w:t>,</w:t>
      </w:r>
      <w:r w:rsidRPr="00680B44">
        <w:rPr>
          <w:rFonts w:ascii="Georgia" w:hAnsi="Georgia"/>
          <w:sz w:val="18"/>
          <w:szCs w:val="20"/>
          <w:rtl/>
        </w:rPr>
        <w:t xml:space="preserve"> והכשרה מעשית לאחר מינויָם.</w:t>
      </w:r>
    </w:p>
    <w:p w14:paraId="12F34775" w14:textId="77777777" w:rsidR="00680B44" w:rsidRPr="00680B44" w:rsidRDefault="00680B44" w:rsidP="00680B44">
      <w:pPr>
        <w:spacing w:after="180" w:line="260" w:lineRule="exact"/>
        <w:jc w:val="both"/>
        <w:rPr>
          <w:rFonts w:ascii="Georgia" w:hAnsi="Georgia"/>
          <w:sz w:val="18"/>
          <w:szCs w:val="20"/>
          <w:rtl/>
        </w:rPr>
      </w:pPr>
      <w:r w:rsidRPr="00680B44">
        <w:rPr>
          <w:rFonts w:ascii="Georgia" w:hAnsi="Georgia"/>
          <w:sz w:val="18"/>
          <w:szCs w:val="20"/>
          <w:rtl/>
        </w:rPr>
        <w:t>תפקידי התומך כוללים סיוע בקבלת מידע ו</w:t>
      </w:r>
      <w:r w:rsidRPr="00680B44">
        <w:rPr>
          <w:rFonts w:ascii="Georgia" w:hAnsi="Georgia" w:hint="cs"/>
          <w:sz w:val="18"/>
          <w:szCs w:val="20"/>
          <w:rtl/>
        </w:rPr>
        <w:t>ב</w:t>
      </w:r>
      <w:r w:rsidRPr="00680B44">
        <w:rPr>
          <w:rFonts w:ascii="Georgia" w:hAnsi="Georgia"/>
          <w:sz w:val="18"/>
          <w:szCs w:val="20"/>
          <w:rtl/>
        </w:rPr>
        <w:t xml:space="preserve">הבנתו, הסבר על חלופות אפשריות והשלכותיהן, סיוע בביטוי רצונו של מקבל ההחלטות, וליווי בפגישות לפי בקשתו. התומך מחויב לפעול בשקידה, במיומנות ובתום לב, תוך </w:t>
      </w:r>
      <w:r w:rsidRPr="00680B44">
        <w:rPr>
          <w:rFonts w:ascii="Georgia" w:hAnsi="Georgia" w:hint="cs"/>
          <w:sz w:val="18"/>
          <w:szCs w:val="20"/>
          <w:rtl/>
        </w:rPr>
        <w:t xml:space="preserve">כדי </w:t>
      </w:r>
      <w:r w:rsidRPr="00680B44">
        <w:rPr>
          <w:rFonts w:ascii="Georgia" w:hAnsi="Georgia"/>
          <w:sz w:val="18"/>
          <w:szCs w:val="20"/>
          <w:rtl/>
        </w:rPr>
        <w:t>שמירה על כבודו ופרטיותו של מקבל ההחלטות. עליו להיפגש עם מקבל ההחלטות אחת לחודש לפחות</w:t>
      </w:r>
      <w:r w:rsidRPr="00680B44">
        <w:rPr>
          <w:rFonts w:ascii="Georgia" w:hAnsi="Georgia" w:hint="cs"/>
          <w:sz w:val="18"/>
          <w:szCs w:val="20"/>
          <w:rtl/>
        </w:rPr>
        <w:t>,</w:t>
      </w:r>
      <w:r w:rsidRPr="00680B44">
        <w:rPr>
          <w:rFonts w:ascii="Georgia" w:hAnsi="Georgia"/>
          <w:sz w:val="18"/>
          <w:szCs w:val="20"/>
          <w:rtl/>
        </w:rPr>
        <w:t xml:space="preserve"> ולתעד פעולות מהותיות</w:t>
      </w:r>
      <w:r w:rsidRPr="00680B44">
        <w:rPr>
          <w:rFonts w:ascii="Georgia" w:hAnsi="Georgia" w:hint="cs"/>
          <w:sz w:val="18"/>
          <w:szCs w:val="20"/>
          <w:rtl/>
        </w:rPr>
        <w:t xml:space="preserve"> שנעשו</w:t>
      </w:r>
      <w:r w:rsidRPr="00680B44">
        <w:rPr>
          <w:rFonts w:ascii="Georgia" w:hAnsi="Georgia"/>
          <w:sz w:val="18"/>
          <w:szCs w:val="20"/>
          <w:rtl/>
        </w:rPr>
        <w:t>.</w:t>
      </w:r>
    </w:p>
    <w:p w14:paraId="1A090017" w14:textId="77777777" w:rsidR="00680B44" w:rsidRDefault="00680B44" w:rsidP="00680B44">
      <w:pPr>
        <w:spacing w:after="180" w:line="260" w:lineRule="exact"/>
        <w:jc w:val="both"/>
        <w:rPr>
          <w:rFonts w:ascii="Georgia" w:hAnsi="Georgia"/>
          <w:sz w:val="18"/>
          <w:szCs w:val="20"/>
        </w:rPr>
      </w:pPr>
      <w:r w:rsidRPr="00680B44">
        <w:rPr>
          <w:rFonts w:ascii="Georgia" w:hAnsi="Georgia"/>
          <w:sz w:val="18"/>
          <w:szCs w:val="20"/>
          <w:rtl/>
        </w:rPr>
        <w:t xml:space="preserve">הליך המינוי כולל הגשת בקשה לבית המשפט לענייני משפחה, </w:t>
      </w:r>
      <w:r w:rsidRPr="00680B44">
        <w:rPr>
          <w:rFonts w:ascii="Georgia" w:hAnsi="Georgia" w:hint="cs"/>
          <w:sz w:val="18"/>
          <w:szCs w:val="20"/>
          <w:rtl/>
        </w:rPr>
        <w:t>ו</w:t>
      </w:r>
      <w:r w:rsidRPr="00680B44">
        <w:rPr>
          <w:rFonts w:ascii="Georgia" w:hAnsi="Georgia"/>
          <w:sz w:val="18"/>
          <w:szCs w:val="20"/>
          <w:rtl/>
        </w:rPr>
        <w:t>לרוב נדרשת השתתפות בפגישת מידע מקדימה עם האפוטרופוס הכללי. המינוי נעשה בצו בית משפט</w:t>
      </w:r>
      <w:r w:rsidRPr="00680B44">
        <w:rPr>
          <w:rFonts w:ascii="Georgia" w:hAnsi="Georgia" w:hint="cs"/>
          <w:sz w:val="18"/>
          <w:szCs w:val="20"/>
          <w:rtl/>
        </w:rPr>
        <w:t>.</w:t>
      </w:r>
      <w:r w:rsidRPr="00680B44">
        <w:rPr>
          <w:rFonts w:ascii="Georgia" w:hAnsi="Georgia"/>
          <w:sz w:val="18"/>
          <w:szCs w:val="20"/>
          <w:rtl/>
        </w:rPr>
        <w:t xml:space="preserve"> מינוי ראשון של תומך קרוב הוא זמני לשלושה חודשים</w:t>
      </w:r>
      <w:r w:rsidRPr="00680B44">
        <w:rPr>
          <w:rFonts w:ascii="Georgia" w:hAnsi="Georgia" w:hint="cs"/>
          <w:sz w:val="18"/>
          <w:szCs w:val="20"/>
          <w:rtl/>
        </w:rPr>
        <w:t>,</w:t>
      </w:r>
      <w:r w:rsidRPr="00680B44">
        <w:rPr>
          <w:rFonts w:ascii="Georgia" w:hAnsi="Georgia"/>
          <w:sz w:val="18"/>
          <w:szCs w:val="20"/>
          <w:rtl/>
        </w:rPr>
        <w:t xml:space="preserve"> עד להשלמת פגישת הנחיה.</w:t>
      </w:r>
      <w:r w:rsidRPr="00680B44">
        <w:rPr>
          <w:rFonts w:ascii="Georgia" w:hAnsi="Georgia" w:hint="cs"/>
          <w:sz w:val="18"/>
          <w:szCs w:val="20"/>
          <w:rtl/>
        </w:rPr>
        <w:t xml:space="preserve"> </w:t>
      </w:r>
      <w:r w:rsidRPr="00680B44">
        <w:rPr>
          <w:rFonts w:ascii="Georgia" w:hAnsi="Georgia"/>
          <w:sz w:val="18"/>
          <w:szCs w:val="20"/>
          <w:rtl/>
        </w:rPr>
        <w:t xml:space="preserve">התקנות מסדירות </w:t>
      </w:r>
      <w:r w:rsidRPr="00680B44">
        <w:rPr>
          <w:rFonts w:ascii="Georgia" w:hAnsi="Georgia" w:hint="cs"/>
          <w:sz w:val="18"/>
          <w:szCs w:val="20"/>
          <w:rtl/>
        </w:rPr>
        <w:t xml:space="preserve">גם </w:t>
      </w:r>
      <w:r w:rsidRPr="00680B44">
        <w:rPr>
          <w:rFonts w:ascii="Georgia" w:hAnsi="Georgia"/>
          <w:sz w:val="18"/>
          <w:szCs w:val="20"/>
          <w:rtl/>
        </w:rPr>
        <w:t>את הפיקוח על התומכים, כולל אפשרות להגשת תלונות לאפוטרופוס הכללי, וקובעות מגבלות על פעולות משפטיות בין התומך ל</w:t>
      </w:r>
      <w:r w:rsidRPr="00680B44">
        <w:rPr>
          <w:rFonts w:ascii="Georgia" w:hAnsi="Georgia" w:hint="cs"/>
          <w:sz w:val="18"/>
          <w:szCs w:val="20"/>
          <w:rtl/>
        </w:rPr>
        <w:t xml:space="preserve">בין </w:t>
      </w:r>
      <w:r w:rsidRPr="00680B44">
        <w:rPr>
          <w:rFonts w:ascii="Georgia" w:hAnsi="Georgia"/>
          <w:sz w:val="18"/>
          <w:szCs w:val="20"/>
          <w:rtl/>
        </w:rPr>
        <w:t>מקבל ההחלטות שדורשות אישור בית משפט.</w:t>
      </w:r>
    </w:p>
    <w:p w14:paraId="469B0AD4" w14:textId="77777777" w:rsidR="004D6C3E" w:rsidRDefault="004D6C3E" w:rsidP="00680B44">
      <w:pPr>
        <w:spacing w:after="180" w:line="260" w:lineRule="exact"/>
        <w:jc w:val="both"/>
        <w:rPr>
          <w:rFonts w:ascii="Georgia" w:hAnsi="Georgia"/>
          <w:sz w:val="18"/>
          <w:szCs w:val="20"/>
        </w:rPr>
      </w:pPr>
    </w:p>
    <w:p w14:paraId="665528C0" w14:textId="5ADF7CBA" w:rsidR="00680B44" w:rsidRPr="00680B44" w:rsidRDefault="00680B44" w:rsidP="00680B44">
      <w:pPr>
        <w:pStyle w:val="KOT5"/>
        <w:spacing w:after="240"/>
        <w:jc w:val="both"/>
        <w:rPr>
          <w:b/>
          <w:bCs/>
          <w:color w:val="2A8E8C"/>
        </w:rPr>
      </w:pPr>
      <w:r w:rsidRPr="00680B44">
        <w:rPr>
          <w:b/>
          <w:bCs/>
          <w:color w:val="2A8E8C"/>
          <w:rtl/>
        </w:rPr>
        <w:lastRenderedPageBreak/>
        <w:t xml:space="preserve">חוק זכויות החולה (תיקון מס' </w:t>
      </w:r>
      <w:r w:rsidRPr="00680B44">
        <w:rPr>
          <w:rFonts w:hint="cs"/>
          <w:b/>
          <w:bCs/>
          <w:color w:val="2A8E8C"/>
          <w:rtl/>
        </w:rPr>
        <w:t>16</w:t>
      </w:r>
      <w:r w:rsidRPr="00680B44">
        <w:rPr>
          <w:b/>
          <w:bCs/>
          <w:color w:val="2A8E8C"/>
          <w:rtl/>
        </w:rPr>
        <w:t xml:space="preserve"> והוראת שעה), התשפ</w:t>
      </w:r>
      <w:r w:rsidR="00AA73F3">
        <w:rPr>
          <w:rFonts w:hint="cs"/>
          <w:b/>
          <w:bCs/>
          <w:color w:val="2A8E8C"/>
          <w:rtl/>
        </w:rPr>
        <w:t>"</w:t>
      </w:r>
      <w:r w:rsidRPr="00680B44">
        <w:rPr>
          <w:b/>
          <w:bCs/>
          <w:color w:val="2A8E8C"/>
          <w:rtl/>
        </w:rPr>
        <w:t>ד</w:t>
      </w:r>
      <w:r w:rsidRPr="00680B44">
        <w:rPr>
          <w:rFonts w:ascii="David" w:hAnsi="David" w:cs="David"/>
          <w:b/>
          <w:bCs/>
          <w:color w:val="2A8E8C"/>
          <w:rtl/>
        </w:rPr>
        <w:t>-</w:t>
      </w:r>
      <w:r w:rsidRPr="00680B44">
        <w:rPr>
          <w:b/>
          <w:bCs/>
          <w:color w:val="2A8E8C"/>
          <w:rtl/>
        </w:rPr>
        <w:t>2024</w:t>
      </w:r>
    </w:p>
    <w:p w14:paraId="6C094901" w14:textId="43AA544A" w:rsidR="00680B44" w:rsidRPr="00680B44" w:rsidRDefault="00680B44" w:rsidP="00D84EB4">
      <w:pPr>
        <w:spacing w:after="180" w:line="260" w:lineRule="exact"/>
        <w:jc w:val="both"/>
        <w:rPr>
          <w:rFonts w:ascii="Georgia" w:hAnsi="Georgia"/>
          <w:sz w:val="18"/>
          <w:szCs w:val="20"/>
          <w:rtl/>
        </w:rPr>
      </w:pPr>
      <w:r w:rsidRPr="00680B44">
        <w:rPr>
          <w:rFonts w:ascii="Georgia" w:hAnsi="Georgia"/>
          <w:sz w:val="18"/>
          <w:szCs w:val="20"/>
          <w:rtl/>
        </w:rPr>
        <w:t>התיקון מסדיר מנגנון חדש למינוי "מקבל החלטות זמני" עבור מטופל בגיר שאינו מסוגל לתת הסכמה מדעת לטיפול רפואי דחוף. המנגנון נועד לאפשר קבלת הסכמה מדעת בשם המטופל בלי צורך בפנייה לבית המשפט</w:t>
      </w:r>
      <w:r w:rsidRPr="00680B44">
        <w:rPr>
          <w:rFonts w:ascii="Georgia" w:hAnsi="Georgia" w:hint="cs"/>
          <w:sz w:val="18"/>
          <w:szCs w:val="20"/>
          <w:rtl/>
        </w:rPr>
        <w:t xml:space="preserve">. </w:t>
      </w:r>
      <w:r w:rsidRPr="00680B44">
        <w:rPr>
          <w:rFonts w:ascii="Georgia" w:hAnsi="Georgia"/>
          <w:sz w:val="18"/>
          <w:szCs w:val="20"/>
          <w:rtl/>
        </w:rPr>
        <w:t>המצב הקיים עד התיקון היה שכאשר מטופל נזקק לטיפול רפואי דחוף ו</w:t>
      </w:r>
      <w:r w:rsidR="00D84EB4">
        <w:rPr>
          <w:rFonts w:ascii="Georgia" w:hAnsi="Georgia" w:hint="cs"/>
          <w:sz w:val="18"/>
          <w:szCs w:val="20"/>
          <w:rtl/>
        </w:rPr>
        <w:t xml:space="preserve">לא היה </w:t>
      </w:r>
      <w:r w:rsidRPr="00680B44">
        <w:rPr>
          <w:rFonts w:ascii="Georgia" w:hAnsi="Georgia"/>
          <w:sz w:val="18"/>
          <w:szCs w:val="20"/>
          <w:rtl/>
        </w:rPr>
        <w:t>מסוגל לתת הסכמה מדעת, היה צורך בפנייה לבית המשפט למינוי אפוטרופוס או לאישור הפעולה הרפואית. תהליך זה היה מכביד על המשפחות בשעות קשות</w:t>
      </w:r>
      <w:r w:rsidRPr="00680B44">
        <w:rPr>
          <w:rFonts w:ascii="Georgia" w:hAnsi="Georgia" w:hint="cs"/>
          <w:sz w:val="18"/>
          <w:szCs w:val="20"/>
          <w:rtl/>
        </w:rPr>
        <w:t xml:space="preserve"> שבהן </w:t>
      </w:r>
      <w:r w:rsidRPr="00680B44">
        <w:rPr>
          <w:rFonts w:ascii="Georgia" w:hAnsi="Georgia"/>
          <w:sz w:val="18"/>
          <w:szCs w:val="20"/>
          <w:rtl/>
        </w:rPr>
        <w:t>יקיר</w:t>
      </w:r>
      <w:r w:rsidRPr="00680B44">
        <w:rPr>
          <w:rFonts w:ascii="Georgia" w:hAnsi="Georgia" w:hint="cs"/>
          <w:sz w:val="18"/>
          <w:szCs w:val="20"/>
          <w:rtl/>
        </w:rPr>
        <w:t>ן</w:t>
      </w:r>
      <w:r w:rsidRPr="00680B44">
        <w:rPr>
          <w:rFonts w:ascii="Georgia" w:hAnsi="Georgia"/>
          <w:sz w:val="18"/>
          <w:szCs w:val="20"/>
          <w:rtl/>
        </w:rPr>
        <w:t xml:space="preserve"> זקוק</w:t>
      </w:r>
      <w:r w:rsidRPr="00680B44">
        <w:rPr>
          <w:rFonts w:ascii="Georgia" w:hAnsi="Georgia" w:hint="cs"/>
          <w:sz w:val="18"/>
          <w:szCs w:val="20"/>
          <w:rtl/>
        </w:rPr>
        <w:t>ים</w:t>
      </w:r>
      <w:r w:rsidRPr="00680B44">
        <w:rPr>
          <w:rFonts w:ascii="Georgia" w:hAnsi="Georgia"/>
          <w:sz w:val="18"/>
          <w:szCs w:val="20"/>
          <w:rtl/>
        </w:rPr>
        <w:t xml:space="preserve"> לטיפול דחוף וה</w:t>
      </w:r>
      <w:r w:rsidRPr="00680B44">
        <w:rPr>
          <w:rFonts w:ascii="Georgia" w:hAnsi="Georgia" w:hint="cs"/>
          <w:sz w:val="18"/>
          <w:szCs w:val="20"/>
          <w:rtl/>
        </w:rPr>
        <w:t>ן</w:t>
      </w:r>
      <w:r w:rsidRPr="00680B44">
        <w:rPr>
          <w:rFonts w:ascii="Georgia" w:hAnsi="Georgia"/>
          <w:sz w:val="18"/>
          <w:szCs w:val="20"/>
          <w:rtl/>
        </w:rPr>
        <w:t xml:space="preserve"> סועד</w:t>
      </w:r>
      <w:r w:rsidRPr="00680B44">
        <w:rPr>
          <w:rFonts w:ascii="Georgia" w:hAnsi="Georgia" w:hint="cs"/>
          <w:sz w:val="18"/>
          <w:szCs w:val="20"/>
          <w:rtl/>
        </w:rPr>
        <w:t>ות</w:t>
      </w:r>
      <w:r w:rsidRPr="00680B44">
        <w:rPr>
          <w:rFonts w:ascii="Georgia" w:hAnsi="Georgia"/>
          <w:sz w:val="18"/>
          <w:szCs w:val="20"/>
          <w:rtl/>
        </w:rPr>
        <w:t xml:space="preserve"> אות</w:t>
      </w:r>
      <w:r w:rsidRPr="00680B44">
        <w:rPr>
          <w:rFonts w:ascii="Georgia" w:hAnsi="Georgia" w:hint="cs"/>
          <w:sz w:val="18"/>
          <w:szCs w:val="20"/>
          <w:rtl/>
        </w:rPr>
        <w:t>ו</w:t>
      </w:r>
      <w:r w:rsidRPr="00680B44">
        <w:rPr>
          <w:rFonts w:ascii="Georgia" w:hAnsi="Georgia"/>
          <w:sz w:val="18"/>
          <w:szCs w:val="20"/>
          <w:rtl/>
        </w:rPr>
        <w:t>.</w:t>
      </w:r>
      <w:r w:rsidRPr="00680B44">
        <w:rPr>
          <w:rFonts w:ascii="Georgia" w:hAnsi="Georgia" w:hint="cs"/>
          <w:sz w:val="18"/>
          <w:szCs w:val="20"/>
          <w:rtl/>
        </w:rPr>
        <w:t xml:space="preserve"> </w:t>
      </w:r>
      <w:r w:rsidRPr="00680B44">
        <w:rPr>
          <w:rFonts w:ascii="Georgia" w:hAnsi="Georgia"/>
          <w:sz w:val="18"/>
          <w:szCs w:val="20"/>
          <w:rtl/>
        </w:rPr>
        <w:t xml:space="preserve">מטרת התיקון היא מצד אחד לשמור על כבודם וזכויותיהם של המטופל ומשפחתו, ומצד </w:t>
      </w:r>
      <w:r w:rsidRPr="00680B44">
        <w:rPr>
          <w:rFonts w:ascii="Georgia" w:hAnsi="Georgia" w:hint="cs"/>
          <w:sz w:val="18"/>
          <w:szCs w:val="20"/>
          <w:rtl/>
        </w:rPr>
        <w:t xml:space="preserve">אחר </w:t>
      </w:r>
      <w:r w:rsidRPr="00680B44">
        <w:rPr>
          <w:rFonts w:ascii="Georgia" w:hAnsi="Georgia"/>
          <w:sz w:val="18"/>
          <w:szCs w:val="20"/>
          <w:rtl/>
        </w:rPr>
        <w:t>לייעל את המערכת ולחסוך במשאבים של המשפחות, המוסדות הרפואיים, מערכת הרווחה ובתי המשפט.</w:t>
      </w:r>
    </w:p>
    <w:p w14:paraId="3B42A3D9" w14:textId="78706549" w:rsidR="00680B44" w:rsidRPr="00680B44" w:rsidRDefault="00680B44" w:rsidP="00D84EB4">
      <w:pPr>
        <w:spacing w:after="180" w:line="260" w:lineRule="exact"/>
        <w:jc w:val="both"/>
        <w:rPr>
          <w:rFonts w:ascii="Georgia" w:hAnsi="Georgia"/>
          <w:sz w:val="18"/>
          <w:szCs w:val="20"/>
          <w:rtl/>
        </w:rPr>
      </w:pPr>
      <w:r w:rsidRPr="00680B44">
        <w:rPr>
          <w:rFonts w:ascii="Georgia" w:hAnsi="Georgia"/>
          <w:sz w:val="18"/>
          <w:szCs w:val="20"/>
          <w:rtl/>
        </w:rPr>
        <w:t>התיקון מציע פתרון חדש בדמות מנגנון "מקבל החלטות זמני", המאפשר מינוי מהיר של בן משפחה שיוכל לקבל החלטות רפואיות בשם המטופל, בלי צורך בפנייה לבית המשפט. המנגנון מבוסס על התובנה שממילא ברוב המקרים שבהם ממונה אפוטרופוס הוא נבחר מקרב בני המשפחה</w:t>
      </w:r>
      <w:r w:rsidRPr="00680B44">
        <w:rPr>
          <w:rFonts w:ascii="Georgia" w:hAnsi="Georgia" w:hint="cs"/>
          <w:sz w:val="18"/>
          <w:szCs w:val="20"/>
          <w:rtl/>
        </w:rPr>
        <w:t>,</w:t>
      </w:r>
      <w:r w:rsidRPr="00680B44">
        <w:rPr>
          <w:rFonts w:ascii="Georgia" w:hAnsi="Georgia"/>
          <w:sz w:val="18"/>
          <w:szCs w:val="20"/>
          <w:rtl/>
        </w:rPr>
        <w:t xml:space="preserve"> בהסכמה.</w:t>
      </w:r>
    </w:p>
    <w:p w14:paraId="069498AC" w14:textId="77777777" w:rsidR="00680B44" w:rsidRPr="00680B44" w:rsidRDefault="00680B44" w:rsidP="00680B44">
      <w:pPr>
        <w:spacing w:after="180" w:line="260" w:lineRule="exact"/>
        <w:jc w:val="both"/>
        <w:rPr>
          <w:rFonts w:ascii="Georgia" w:hAnsi="Georgia"/>
          <w:sz w:val="18"/>
          <w:szCs w:val="20"/>
          <w:rtl/>
        </w:rPr>
      </w:pPr>
      <w:r w:rsidRPr="00680B44">
        <w:rPr>
          <w:rFonts w:ascii="Georgia" w:hAnsi="Georgia"/>
          <w:sz w:val="18"/>
          <w:szCs w:val="20"/>
          <w:rtl/>
        </w:rPr>
        <w:t>ההסדר החדש מערב את בני המשפחה באופן פעיל בקבלת ההחלטות הרפואיות, תוך התחקות אחר רצונו והשקפת עולמו של המטופל. האישור ניתן על ידי עובד סוציאלי</w:t>
      </w:r>
      <w:r w:rsidRPr="00680B44">
        <w:rPr>
          <w:rFonts w:ascii="Georgia" w:hAnsi="Georgia" w:hint="cs"/>
          <w:sz w:val="18"/>
          <w:szCs w:val="20"/>
          <w:rtl/>
        </w:rPr>
        <w:t>,</w:t>
      </w:r>
      <w:r w:rsidRPr="00680B44">
        <w:rPr>
          <w:rFonts w:ascii="Georgia" w:hAnsi="Georgia"/>
          <w:sz w:val="18"/>
          <w:szCs w:val="20"/>
          <w:rtl/>
        </w:rPr>
        <w:t xml:space="preserve"> באישור מנהל </w:t>
      </w:r>
      <w:r w:rsidRPr="00680B44">
        <w:rPr>
          <w:rFonts w:ascii="Georgia" w:hAnsi="Georgia" w:hint="cs"/>
          <w:sz w:val="18"/>
          <w:szCs w:val="20"/>
          <w:rtl/>
        </w:rPr>
        <w:t xml:space="preserve">בית החולים </w:t>
      </w:r>
      <w:r w:rsidRPr="00680B44">
        <w:rPr>
          <w:rFonts w:ascii="Georgia" w:hAnsi="Georgia"/>
          <w:sz w:val="18"/>
          <w:szCs w:val="20"/>
          <w:rtl/>
        </w:rPr>
        <w:t>או מי שהוא הסמיך לכך</w:t>
      </w:r>
      <w:r w:rsidRPr="00680B44">
        <w:rPr>
          <w:rFonts w:ascii="Georgia" w:hAnsi="Georgia" w:hint="cs"/>
          <w:sz w:val="18"/>
          <w:szCs w:val="20"/>
          <w:rtl/>
        </w:rPr>
        <w:t>. האישור ניתן לת</w:t>
      </w:r>
      <w:r w:rsidRPr="00680B44">
        <w:rPr>
          <w:rFonts w:ascii="Georgia" w:hAnsi="Georgia"/>
          <w:sz w:val="18"/>
          <w:szCs w:val="20"/>
          <w:rtl/>
        </w:rPr>
        <w:t xml:space="preserve">קופה של שישה חודשים, ומאפשר קבלת החלטות גם </w:t>
      </w:r>
      <w:r w:rsidRPr="00680B44">
        <w:rPr>
          <w:rFonts w:ascii="Georgia" w:hAnsi="Georgia" w:hint="cs"/>
          <w:sz w:val="18"/>
          <w:szCs w:val="20"/>
          <w:rtl/>
        </w:rPr>
        <w:t xml:space="preserve">בנוגע </w:t>
      </w:r>
      <w:r w:rsidRPr="00680B44">
        <w:rPr>
          <w:rFonts w:ascii="Georgia" w:hAnsi="Georgia"/>
          <w:sz w:val="18"/>
          <w:szCs w:val="20"/>
          <w:rtl/>
        </w:rPr>
        <w:t>לטיפולי המשך בקהילה</w:t>
      </w:r>
      <w:r w:rsidRPr="00680B44">
        <w:rPr>
          <w:rFonts w:ascii="Georgia" w:hAnsi="Georgia" w:hint="cs"/>
          <w:sz w:val="18"/>
          <w:szCs w:val="20"/>
          <w:rtl/>
        </w:rPr>
        <w:t xml:space="preserve"> </w:t>
      </w:r>
      <w:r w:rsidRPr="00680B44">
        <w:rPr>
          <w:rFonts w:ascii="Georgia" w:hAnsi="Georgia" w:hint="eastAsia"/>
          <w:sz w:val="18"/>
          <w:szCs w:val="20"/>
          <w:rtl/>
        </w:rPr>
        <w:t>–</w:t>
      </w:r>
      <w:r w:rsidRPr="00680B44">
        <w:rPr>
          <w:rFonts w:ascii="Georgia" w:hAnsi="Georgia"/>
          <w:sz w:val="18"/>
          <w:szCs w:val="20"/>
          <w:rtl/>
        </w:rPr>
        <w:t xml:space="preserve"> בתנאי שלפני כל טיפול נבדקת מחדש יכולתו של המטופל לתת הסכמה בעצמו.</w:t>
      </w:r>
    </w:p>
    <w:p w14:paraId="0DB1B3FD" w14:textId="77777777" w:rsidR="00680B44" w:rsidRPr="00680B44" w:rsidRDefault="00680B44" w:rsidP="00680B44">
      <w:pPr>
        <w:spacing w:after="180" w:line="260" w:lineRule="exact"/>
        <w:jc w:val="both"/>
        <w:rPr>
          <w:rFonts w:ascii="Georgia" w:hAnsi="Georgia"/>
          <w:spacing w:val="2"/>
          <w:sz w:val="18"/>
          <w:szCs w:val="20"/>
        </w:rPr>
      </w:pPr>
      <w:r w:rsidRPr="00680B44">
        <w:rPr>
          <w:rFonts w:ascii="Georgia" w:hAnsi="Georgia"/>
          <w:spacing w:val="2"/>
          <w:sz w:val="18"/>
          <w:szCs w:val="20"/>
          <w:rtl/>
        </w:rPr>
        <w:t>החוק קובע סדר קדימויות ברור למינוי (בן זוג, ילד, הורה, אח), אך מאפשר גם הסכמה אחרת בין בני המשפחה. ההסדר יחול רק כשאין למטופל אפוטרופוס או מיופה כוח קיים. במקרים של מחלוקת בין בני המשפחה או היעדר קרובי משפחה מתאימים, נשמרת האפשרות לפנות לבית המשפט.</w:t>
      </w:r>
      <w:r w:rsidRPr="00680B44">
        <w:rPr>
          <w:rFonts w:ascii="Georgia" w:hAnsi="Georgia" w:hint="cs"/>
          <w:spacing w:val="2"/>
          <w:sz w:val="18"/>
          <w:szCs w:val="20"/>
          <w:rtl/>
        </w:rPr>
        <w:t xml:space="preserve"> </w:t>
      </w:r>
    </w:p>
    <w:p w14:paraId="0A72949C" w14:textId="77777777" w:rsidR="00680B44" w:rsidRPr="00680B44" w:rsidRDefault="00680B44" w:rsidP="00680B44">
      <w:pPr>
        <w:spacing w:after="180" w:line="260" w:lineRule="exact"/>
        <w:jc w:val="both"/>
        <w:rPr>
          <w:rFonts w:ascii="Georgia" w:hAnsi="Georgia"/>
          <w:sz w:val="18"/>
          <w:szCs w:val="20"/>
          <w:rtl/>
        </w:rPr>
      </w:pPr>
    </w:p>
    <w:p w14:paraId="7552988B" w14:textId="0AEBD2D9" w:rsidR="00680B44" w:rsidRPr="00680B44" w:rsidRDefault="00680B44" w:rsidP="00680B44">
      <w:pPr>
        <w:pStyle w:val="KOT5"/>
        <w:spacing w:after="240"/>
        <w:jc w:val="both"/>
        <w:rPr>
          <w:b/>
          <w:bCs/>
          <w:color w:val="2A8E8C"/>
          <w:rtl/>
        </w:rPr>
      </w:pPr>
      <w:r w:rsidRPr="00680B44">
        <w:rPr>
          <w:b/>
          <w:bCs/>
          <w:color w:val="2A8E8C"/>
          <w:rtl/>
        </w:rPr>
        <w:t>תקנות שוויון זכויות לאנשים עם מוגבלות (מאגר מידע לסיוע לאנשים עם מוגבלות בחירום), תשפ"ד</w:t>
      </w:r>
      <w:r w:rsidRPr="00680B44">
        <w:rPr>
          <w:rFonts w:ascii="David" w:hAnsi="David" w:cs="David"/>
          <w:b/>
          <w:bCs/>
          <w:color w:val="2A8E8C"/>
          <w:rtl/>
        </w:rPr>
        <w:t>-</w:t>
      </w:r>
      <w:r w:rsidRPr="00680B44">
        <w:rPr>
          <w:b/>
          <w:bCs/>
          <w:color w:val="2A8E8C"/>
          <w:rtl/>
        </w:rPr>
        <w:t>2024</w:t>
      </w:r>
    </w:p>
    <w:p w14:paraId="7CB31011" w14:textId="77777777" w:rsidR="00680B44" w:rsidRPr="00680B44" w:rsidRDefault="00680B44" w:rsidP="00680B44">
      <w:pPr>
        <w:spacing w:after="180" w:line="260" w:lineRule="exact"/>
        <w:jc w:val="both"/>
        <w:rPr>
          <w:rFonts w:ascii="Georgia" w:hAnsi="Georgia"/>
          <w:sz w:val="18"/>
          <w:szCs w:val="20"/>
          <w:rtl/>
        </w:rPr>
      </w:pPr>
      <w:r w:rsidRPr="004D6C3E">
        <w:rPr>
          <w:rFonts w:ascii="Georgia" w:hAnsi="Georgia"/>
          <w:sz w:val="18"/>
          <w:szCs w:val="20"/>
          <w:rtl/>
        </w:rPr>
        <w:t>התקנות עוסקות בהקמת מערכת מאגרי מידע לסיוע לאנשים עם מוגבלות במצבי חירום</w:t>
      </w:r>
      <w:r w:rsidRPr="004D6C3E">
        <w:rPr>
          <w:rFonts w:ascii="Georgia" w:hAnsi="Georgia" w:hint="cs"/>
          <w:sz w:val="18"/>
          <w:szCs w:val="20"/>
          <w:rtl/>
        </w:rPr>
        <w:t>.</w:t>
      </w:r>
      <w:r w:rsidRPr="004D6C3E">
        <w:rPr>
          <w:rFonts w:ascii="Georgia" w:hAnsi="Georgia"/>
          <w:sz w:val="18"/>
          <w:szCs w:val="20"/>
          <w:rtl/>
        </w:rPr>
        <w:t xml:space="preserve"> </w:t>
      </w:r>
      <w:r w:rsidRPr="004D6C3E">
        <w:rPr>
          <w:rFonts w:ascii="Georgia" w:hAnsi="Georgia" w:hint="cs"/>
          <w:sz w:val="18"/>
          <w:szCs w:val="20"/>
          <w:rtl/>
        </w:rPr>
        <w:t xml:space="preserve">המאגרים יוקמו </w:t>
      </w:r>
      <w:r w:rsidRPr="004D6C3E">
        <w:rPr>
          <w:rFonts w:ascii="Georgia" w:hAnsi="Georgia"/>
          <w:sz w:val="18"/>
          <w:szCs w:val="20"/>
          <w:rtl/>
        </w:rPr>
        <w:t xml:space="preserve">על ידי משרד הרווחה והביטחון החברתי, </w:t>
      </w:r>
      <w:r w:rsidRPr="004D6C3E">
        <w:rPr>
          <w:rFonts w:ascii="Georgia" w:hAnsi="Georgia" w:hint="cs"/>
          <w:sz w:val="18"/>
          <w:szCs w:val="20"/>
          <w:rtl/>
        </w:rPr>
        <w:t xml:space="preserve">וינוהלו </w:t>
      </w:r>
      <w:r w:rsidRPr="004D6C3E">
        <w:rPr>
          <w:rFonts w:ascii="Georgia" w:hAnsi="Georgia"/>
          <w:sz w:val="18"/>
          <w:szCs w:val="20"/>
          <w:rtl/>
        </w:rPr>
        <w:t>על ידי הרשויות המקומיות. מאגרים אלה נועדו לרכז מידע על אנשים עם מוגבלות המתגוררים בתחומ</w:t>
      </w:r>
      <w:r w:rsidRPr="004D6C3E">
        <w:rPr>
          <w:rFonts w:ascii="Georgia" w:hAnsi="Georgia" w:hint="cs"/>
          <w:sz w:val="18"/>
          <w:szCs w:val="20"/>
          <w:rtl/>
        </w:rPr>
        <w:t>ן</w:t>
      </w:r>
      <w:r w:rsidRPr="004D6C3E">
        <w:rPr>
          <w:rFonts w:ascii="Georgia" w:hAnsi="Georgia"/>
          <w:sz w:val="18"/>
          <w:szCs w:val="20"/>
          <w:rtl/>
        </w:rPr>
        <w:t xml:space="preserve">. התקנות מפרטות את ההוראות הטכניות </w:t>
      </w:r>
      <w:proofErr w:type="spellStart"/>
      <w:r w:rsidRPr="004D6C3E">
        <w:rPr>
          <w:rFonts w:ascii="Georgia" w:hAnsi="Georgia"/>
          <w:sz w:val="18"/>
          <w:szCs w:val="20"/>
          <w:rtl/>
        </w:rPr>
        <w:t>והמ</w:t>
      </w:r>
      <w:r w:rsidRPr="004D6C3E">
        <w:rPr>
          <w:rFonts w:ascii="Georgia" w:hAnsi="Georgia" w:hint="cs"/>
          <w:sz w:val="18"/>
          <w:szCs w:val="20"/>
          <w:rtl/>
        </w:rPr>
        <w:t>י</w:t>
      </w:r>
      <w:r w:rsidRPr="004D6C3E">
        <w:rPr>
          <w:rFonts w:ascii="Georgia" w:hAnsi="Georgia"/>
          <w:sz w:val="18"/>
          <w:szCs w:val="20"/>
          <w:rtl/>
        </w:rPr>
        <w:t>נהליות</w:t>
      </w:r>
      <w:proofErr w:type="spellEnd"/>
      <w:r w:rsidRPr="004D6C3E">
        <w:rPr>
          <w:rFonts w:ascii="Georgia" w:hAnsi="Georgia"/>
          <w:sz w:val="18"/>
          <w:szCs w:val="20"/>
          <w:rtl/>
        </w:rPr>
        <w:t xml:space="preserve"> ליישום המאגר, תוך </w:t>
      </w:r>
      <w:r w:rsidRPr="004D6C3E">
        <w:rPr>
          <w:rFonts w:ascii="Georgia" w:hAnsi="Georgia" w:hint="cs"/>
          <w:sz w:val="18"/>
          <w:szCs w:val="20"/>
          <w:rtl/>
        </w:rPr>
        <w:t xml:space="preserve">כדי </w:t>
      </w:r>
      <w:r w:rsidRPr="004D6C3E">
        <w:rPr>
          <w:rFonts w:ascii="Georgia" w:hAnsi="Georgia"/>
          <w:sz w:val="18"/>
          <w:szCs w:val="20"/>
          <w:rtl/>
        </w:rPr>
        <w:t>שמירה על איזון בין הצורך במידע לצורכי חירום לבין הגנת הפרטיות.</w:t>
      </w:r>
    </w:p>
    <w:p w14:paraId="7C7C5AE0" w14:textId="77777777" w:rsidR="00680B44" w:rsidRPr="00680B44" w:rsidRDefault="00680B44" w:rsidP="00680B44">
      <w:pPr>
        <w:spacing w:after="180" w:line="260" w:lineRule="exact"/>
        <w:jc w:val="both"/>
        <w:rPr>
          <w:rFonts w:ascii="Georgia" w:hAnsi="Georgia"/>
          <w:sz w:val="18"/>
          <w:szCs w:val="20"/>
          <w:rtl/>
        </w:rPr>
      </w:pPr>
      <w:r w:rsidRPr="00680B44">
        <w:rPr>
          <w:rFonts w:ascii="Georgia" w:hAnsi="Georgia"/>
          <w:sz w:val="18"/>
          <w:szCs w:val="20"/>
          <w:rtl/>
        </w:rPr>
        <w:t xml:space="preserve">בזמן חירום, המידע ישמש ליצירת קשר עם אנשים עם מוגבלות לבירור מצבם וצורכיהם, </w:t>
      </w:r>
      <w:r w:rsidRPr="00680B44">
        <w:rPr>
          <w:rFonts w:ascii="Georgia" w:hAnsi="Georgia" w:hint="cs"/>
          <w:sz w:val="18"/>
          <w:szCs w:val="20"/>
          <w:rtl/>
        </w:rPr>
        <w:t>ל</w:t>
      </w:r>
      <w:r w:rsidRPr="00680B44">
        <w:rPr>
          <w:rFonts w:ascii="Georgia" w:hAnsi="Georgia"/>
          <w:sz w:val="18"/>
          <w:szCs w:val="20"/>
          <w:rtl/>
        </w:rPr>
        <w:t xml:space="preserve">מתן סיוע והצלה במידת הצורך, </w:t>
      </w:r>
      <w:r w:rsidRPr="00680B44">
        <w:rPr>
          <w:rFonts w:ascii="Georgia" w:hAnsi="Georgia" w:hint="cs"/>
          <w:sz w:val="18"/>
          <w:szCs w:val="20"/>
          <w:rtl/>
        </w:rPr>
        <w:t>ל</w:t>
      </w:r>
      <w:r w:rsidRPr="00680B44">
        <w:rPr>
          <w:rFonts w:ascii="Georgia" w:hAnsi="Georgia"/>
          <w:sz w:val="18"/>
          <w:szCs w:val="20"/>
          <w:rtl/>
        </w:rPr>
        <w:t>פינוי במקרה הצורך ו</w:t>
      </w:r>
      <w:r w:rsidRPr="00680B44">
        <w:rPr>
          <w:rFonts w:ascii="Georgia" w:hAnsi="Georgia" w:hint="cs"/>
          <w:sz w:val="18"/>
          <w:szCs w:val="20"/>
          <w:rtl/>
        </w:rPr>
        <w:t>ל</w:t>
      </w:r>
      <w:r w:rsidRPr="00680B44">
        <w:rPr>
          <w:rFonts w:ascii="Georgia" w:hAnsi="Georgia"/>
          <w:sz w:val="18"/>
          <w:szCs w:val="20"/>
          <w:rtl/>
        </w:rPr>
        <w:t xml:space="preserve">אספקת צרכים חיוניים. המערכת תכלול מידע מקיף הכולל פרטים אישיים ופרטי התקשרות, מידע על צרכים מיוחדים וצרכים חיוניים, פרטי אנשי קשר למצבי חירום, ומידע על קיומו של עורף חברתי או משפחתי. איסוף המידע </w:t>
      </w:r>
      <w:r w:rsidRPr="00680B44">
        <w:rPr>
          <w:rFonts w:ascii="Georgia" w:hAnsi="Georgia"/>
          <w:sz w:val="18"/>
          <w:szCs w:val="20"/>
          <w:rtl/>
        </w:rPr>
        <w:lastRenderedPageBreak/>
        <w:t xml:space="preserve">יתבצע באמצעות גורמים מאתרים </w:t>
      </w:r>
      <w:r w:rsidRPr="00680B44">
        <w:rPr>
          <w:rFonts w:ascii="Georgia" w:hAnsi="Georgia" w:hint="cs"/>
          <w:sz w:val="18"/>
          <w:szCs w:val="20"/>
          <w:rtl/>
        </w:rPr>
        <w:t xml:space="preserve">דוגמת </w:t>
      </w:r>
      <w:r w:rsidRPr="00680B44">
        <w:rPr>
          <w:rFonts w:ascii="Georgia" w:hAnsi="Georgia"/>
          <w:sz w:val="18"/>
          <w:szCs w:val="20"/>
          <w:rtl/>
        </w:rPr>
        <w:t>הביטוח הלאומי ומשרד הבריאות</w:t>
      </w:r>
      <w:r w:rsidRPr="00680B44">
        <w:rPr>
          <w:rFonts w:ascii="Georgia" w:hAnsi="Georgia" w:hint="cs"/>
          <w:sz w:val="18"/>
          <w:szCs w:val="20"/>
          <w:rtl/>
        </w:rPr>
        <w:t xml:space="preserve">. אלה </w:t>
      </w:r>
      <w:r w:rsidRPr="00680B44">
        <w:rPr>
          <w:rFonts w:ascii="Georgia" w:hAnsi="Georgia"/>
          <w:sz w:val="18"/>
          <w:szCs w:val="20"/>
          <w:rtl/>
        </w:rPr>
        <w:t xml:space="preserve">יעבירו את המידע למשרד הרווחה, ומשם </w:t>
      </w:r>
      <w:r w:rsidRPr="00680B44">
        <w:rPr>
          <w:rFonts w:ascii="Georgia" w:hAnsi="Georgia" w:hint="cs"/>
          <w:sz w:val="18"/>
          <w:szCs w:val="20"/>
          <w:rtl/>
        </w:rPr>
        <w:t xml:space="preserve">הוא </w:t>
      </w:r>
      <w:r w:rsidRPr="00680B44">
        <w:rPr>
          <w:rFonts w:ascii="Georgia" w:hAnsi="Georgia"/>
          <w:sz w:val="18"/>
          <w:szCs w:val="20"/>
          <w:rtl/>
        </w:rPr>
        <w:t>יועבר לרשויות המקומיות.</w:t>
      </w:r>
    </w:p>
    <w:p w14:paraId="49B74992" w14:textId="77777777" w:rsidR="00680B44" w:rsidRPr="00680B44" w:rsidRDefault="00680B44" w:rsidP="00680B44">
      <w:pPr>
        <w:spacing w:after="180" w:line="260" w:lineRule="exact"/>
        <w:jc w:val="both"/>
        <w:rPr>
          <w:rFonts w:ascii="Georgia" w:hAnsi="Georgia"/>
          <w:sz w:val="18"/>
          <w:szCs w:val="20"/>
          <w:rtl/>
        </w:rPr>
      </w:pPr>
      <w:r w:rsidRPr="00680B44">
        <w:rPr>
          <w:rFonts w:ascii="Georgia" w:hAnsi="Georgia"/>
          <w:sz w:val="18"/>
          <w:szCs w:val="20"/>
          <w:rtl/>
        </w:rPr>
        <w:t xml:space="preserve">התקנות קובעות שמשרד הרווחה חייב להעמיד שירות נגיש בשני אופנים </w:t>
      </w:r>
      <w:r w:rsidRPr="00680B44">
        <w:rPr>
          <w:rFonts w:ascii="Georgia" w:hAnsi="Georgia" w:hint="cs"/>
          <w:sz w:val="18"/>
          <w:szCs w:val="20"/>
          <w:rtl/>
        </w:rPr>
        <w:t>–</w:t>
      </w:r>
      <w:r w:rsidRPr="00680B44">
        <w:rPr>
          <w:rFonts w:ascii="Georgia" w:hAnsi="Georgia"/>
          <w:sz w:val="18"/>
          <w:szCs w:val="20"/>
          <w:rtl/>
        </w:rPr>
        <w:t xml:space="preserve"> דיגיטלי וטלפוני </w:t>
      </w:r>
      <w:r w:rsidRPr="00680B44">
        <w:rPr>
          <w:rFonts w:ascii="Georgia" w:hAnsi="Georgia" w:hint="cs"/>
          <w:sz w:val="18"/>
          <w:szCs w:val="20"/>
          <w:rtl/>
        </w:rPr>
        <w:t>–</w:t>
      </w:r>
      <w:r w:rsidRPr="00680B44">
        <w:rPr>
          <w:rFonts w:ascii="Georgia" w:hAnsi="Georgia"/>
          <w:sz w:val="18"/>
          <w:szCs w:val="20"/>
          <w:rtl/>
        </w:rPr>
        <w:t xml:space="preserve"> ש</w:t>
      </w:r>
      <w:r w:rsidRPr="00680B44">
        <w:rPr>
          <w:rFonts w:ascii="Georgia" w:hAnsi="Georgia" w:hint="cs"/>
          <w:sz w:val="18"/>
          <w:szCs w:val="20"/>
          <w:rtl/>
        </w:rPr>
        <w:t xml:space="preserve">באמצעותו </w:t>
      </w:r>
      <w:r w:rsidRPr="00680B44">
        <w:rPr>
          <w:rFonts w:ascii="Georgia" w:hAnsi="Georgia"/>
          <w:sz w:val="18"/>
          <w:szCs w:val="20"/>
          <w:rtl/>
        </w:rPr>
        <w:t>אדם עם מוגבלות יכול לבדוק אם הוא נמצא במאגר</w:t>
      </w:r>
      <w:r w:rsidRPr="00680B44">
        <w:rPr>
          <w:rFonts w:ascii="Georgia" w:hAnsi="Georgia" w:hint="cs"/>
          <w:sz w:val="18"/>
          <w:szCs w:val="20"/>
          <w:rtl/>
        </w:rPr>
        <w:t>,</w:t>
      </w:r>
      <w:r w:rsidRPr="00680B44">
        <w:rPr>
          <w:rFonts w:ascii="Georgia" w:hAnsi="Georgia"/>
          <w:sz w:val="18"/>
          <w:szCs w:val="20"/>
          <w:rtl/>
        </w:rPr>
        <w:t xml:space="preserve"> באיזו רשות מקומית נשמר המידע עליו, לבקש למחוק את המידע עליו למשך שלוש שנים, או לעדכן ולתקן את המידע הקיים עליו במאגר. השירות חייב להיות נגיש דרך טלפון ומחשב, כולל אפשרות לתקשורת בשפת סימנים ובהתכתבות, וכל המידע צריך להינתן בשפה פשוטה ובהירה, בעברית ובערבית. </w:t>
      </w:r>
    </w:p>
    <w:p w14:paraId="178E4C2B" w14:textId="77777777" w:rsidR="00680B44" w:rsidRPr="00680B44" w:rsidRDefault="00680B44" w:rsidP="00680B44">
      <w:pPr>
        <w:spacing w:after="180" w:line="260" w:lineRule="exact"/>
        <w:jc w:val="both"/>
        <w:rPr>
          <w:rFonts w:ascii="Georgia" w:hAnsi="Georgia"/>
          <w:sz w:val="18"/>
          <w:szCs w:val="20"/>
          <w:rtl/>
        </w:rPr>
      </w:pPr>
      <w:r w:rsidRPr="00680B44">
        <w:rPr>
          <w:rFonts w:ascii="Georgia" w:hAnsi="Georgia"/>
          <w:sz w:val="18"/>
          <w:szCs w:val="20"/>
          <w:rtl/>
        </w:rPr>
        <w:t xml:space="preserve">התקנות מעגנות את זכויות הפרט ומבטיחות את שמירת סודיות המידע. כשאדם מבקש למחוק את המידע עליו, המשרד חייב לעשות זאת </w:t>
      </w:r>
      <w:r w:rsidRPr="00680B44">
        <w:rPr>
          <w:rFonts w:ascii="Georgia" w:hAnsi="Georgia" w:hint="cs"/>
          <w:sz w:val="18"/>
          <w:szCs w:val="20"/>
          <w:rtl/>
        </w:rPr>
        <w:t>ב</w:t>
      </w:r>
      <w:r w:rsidRPr="00680B44">
        <w:rPr>
          <w:rFonts w:ascii="Georgia" w:hAnsi="Georgia"/>
          <w:sz w:val="18"/>
          <w:szCs w:val="20"/>
          <w:rtl/>
        </w:rPr>
        <w:t xml:space="preserve">תוך 14 ימים לכל היותר, וכשאדם מבקש לתקן מידע, המשרד חייב לעשות זאת </w:t>
      </w:r>
      <w:r w:rsidRPr="00680B44">
        <w:rPr>
          <w:rFonts w:ascii="Georgia" w:hAnsi="Georgia" w:hint="cs"/>
          <w:sz w:val="18"/>
          <w:szCs w:val="20"/>
          <w:rtl/>
        </w:rPr>
        <w:t>ב</w:t>
      </w:r>
      <w:r w:rsidRPr="00680B44">
        <w:rPr>
          <w:rFonts w:ascii="Georgia" w:hAnsi="Georgia"/>
          <w:sz w:val="18"/>
          <w:szCs w:val="20"/>
          <w:rtl/>
        </w:rPr>
        <w:t>תוך חודש לכל היותר. חשוב לציין שכל מי שמתקשר עם אדם שנמצא במאגר חייב להזדהות ולהסביר לו שיש לו זכות למחוק או לתקן את המידע עליו, ולהסביר לו איך לעשות זאת.</w:t>
      </w:r>
    </w:p>
    <w:p w14:paraId="2AD6136B" w14:textId="77777777" w:rsidR="00680B44" w:rsidRPr="00680B44" w:rsidRDefault="00680B44" w:rsidP="00680B44">
      <w:pPr>
        <w:spacing w:after="180" w:line="260" w:lineRule="exact"/>
        <w:jc w:val="both"/>
        <w:rPr>
          <w:rFonts w:ascii="Georgia" w:hAnsi="Georgia"/>
          <w:sz w:val="18"/>
          <w:szCs w:val="20"/>
          <w:rtl/>
        </w:rPr>
      </w:pPr>
    </w:p>
    <w:sectPr w:rsidR="00680B44" w:rsidRPr="00680B44" w:rsidSect="00963C9B">
      <w:headerReference w:type="even" r:id="rId8"/>
      <w:headerReference w:type="default" r:id="rId9"/>
      <w:pgSz w:w="11906" w:h="16838" w:code="9"/>
      <w:pgMar w:top="3402" w:right="2608" w:bottom="2722" w:left="2608" w:header="2552" w:footer="2438" w:gutter="0"/>
      <w:pgNumType w:start="2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7047D" w14:textId="77777777" w:rsidR="000A54AC" w:rsidRDefault="000A54AC">
      <w:pPr>
        <w:spacing w:line="240" w:lineRule="auto"/>
      </w:pPr>
      <w:r>
        <w:separator/>
      </w:r>
    </w:p>
  </w:endnote>
  <w:endnote w:type="continuationSeparator" w:id="0">
    <w:p w14:paraId="12518059" w14:textId="77777777" w:rsidR="000A54AC" w:rsidRDefault="000A54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uttman Aharoni">
    <w:panose1 w:val="02010401010101010101"/>
    <w:charset w:val="B1"/>
    <w:family w:val="auto"/>
    <w:pitch w:val="variable"/>
    <w:sig w:usb0="00000801" w:usb1="40000000" w:usb2="00000000" w:usb3="00000000" w:csb0="00000020" w:csb1="00000000"/>
  </w:font>
  <w:font w:name="Guttman Hodes">
    <w:altName w:val="Arial"/>
    <w:charset w:val="B1"/>
    <w:family w:val="auto"/>
    <w:pitch w:val="variable"/>
    <w:sig w:usb0="00000801" w:usb1="40000000" w:usb2="00000000" w:usb3="00000000" w:csb0="00000020" w:csb1="00000000"/>
  </w:font>
  <w:font w:name="Code">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TUR">
    <w:altName w:val="Arial"/>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7DE1D" w14:textId="77777777" w:rsidR="000A54AC" w:rsidRDefault="000A54AC" w:rsidP="00A04D35">
      <w:pPr>
        <w:spacing w:before="120" w:after="80"/>
        <w:rPr>
          <w:rFonts w:cs="FrankRuehl"/>
          <w:sz w:val="18"/>
          <w:szCs w:val="18"/>
        </w:rPr>
      </w:pPr>
      <w:r>
        <w:rPr>
          <w:rFonts w:cs="FrankRuehl" w:hint="cs"/>
          <w:sz w:val="18"/>
          <w:szCs w:val="18"/>
          <w:rtl/>
        </w:rPr>
        <w:t>_____________</w:t>
      </w:r>
    </w:p>
  </w:footnote>
  <w:footnote w:type="continuationSeparator" w:id="0">
    <w:p w14:paraId="4DAA96A6" w14:textId="77777777" w:rsidR="000A54AC" w:rsidRDefault="000A54AC">
      <w:r>
        <w:continuationSeparator/>
      </w:r>
    </w:p>
  </w:footnote>
  <w:footnote w:type="continuationNotice" w:id="1">
    <w:p w14:paraId="6A2CF14A" w14:textId="77777777" w:rsidR="000A54AC" w:rsidRDefault="000A54AC">
      <w:pPr>
        <w:rPr>
          <w:rtl/>
        </w:rPr>
      </w:pPr>
    </w:p>
  </w:footnote>
  <w:footnote w:id="2">
    <w:p w14:paraId="0CA8A79B" w14:textId="77777777" w:rsidR="00680B44" w:rsidRPr="00680B44" w:rsidRDefault="00680B44" w:rsidP="00680B44">
      <w:pPr>
        <w:pStyle w:val="FootnoteText"/>
        <w:keepLines/>
        <w:spacing w:line="200" w:lineRule="exact"/>
        <w:ind w:left="397" w:hanging="397"/>
        <w:jc w:val="both"/>
        <w:rPr>
          <w:rStyle w:val="FootnoteReference"/>
          <w:rFonts w:cs="David"/>
          <w:sz w:val="14"/>
          <w:szCs w:val="16"/>
          <w:vertAlign w:val="baseline"/>
          <w:rtl/>
        </w:rPr>
      </w:pPr>
      <w:r w:rsidRPr="00680B44">
        <w:rPr>
          <w:rStyle w:val="FootnoteReference"/>
          <w:rFonts w:cs="David"/>
          <w:sz w:val="14"/>
          <w:szCs w:val="16"/>
          <w:vertAlign w:val="baseline"/>
        </w:rPr>
        <w:footnoteRef/>
      </w:r>
      <w:r w:rsidRPr="00680B44">
        <w:rPr>
          <w:rStyle w:val="FootnoteReference"/>
          <w:rFonts w:cs="David"/>
          <w:sz w:val="14"/>
          <w:szCs w:val="16"/>
          <w:vertAlign w:val="baseline"/>
          <w:rtl/>
        </w:rPr>
        <w:t xml:space="preserve"> </w:t>
      </w:r>
      <w:r w:rsidRPr="00680B44">
        <w:rPr>
          <w:rStyle w:val="FootnoteReference"/>
          <w:rFonts w:cs="David"/>
          <w:sz w:val="14"/>
          <w:szCs w:val="16"/>
          <w:vertAlign w:val="baseline"/>
          <w:rtl/>
        </w:rPr>
        <w:tab/>
      </w:r>
      <w:r w:rsidRPr="00680B44">
        <w:rPr>
          <w:rStyle w:val="FootnoteReference"/>
          <w:rFonts w:cs="David" w:hint="cs"/>
          <w:sz w:val="14"/>
          <w:szCs w:val="16"/>
          <w:vertAlign w:val="baseline"/>
          <w:rtl/>
        </w:rPr>
        <w:t>דוקטור, החוג לעבודה סוציאלית, המכללה האקדמית תל-חי</w:t>
      </w:r>
    </w:p>
  </w:footnote>
  <w:footnote w:id="3">
    <w:p w14:paraId="3D32A440" w14:textId="77777777" w:rsidR="00680B44" w:rsidRPr="00680B44" w:rsidRDefault="00680B44" w:rsidP="00680B44">
      <w:pPr>
        <w:pStyle w:val="FootnoteText"/>
        <w:keepLines/>
        <w:spacing w:line="200" w:lineRule="exact"/>
        <w:ind w:left="397" w:hanging="397"/>
        <w:jc w:val="both"/>
        <w:rPr>
          <w:rStyle w:val="FootnoteReference"/>
          <w:rFonts w:cs="David"/>
          <w:sz w:val="14"/>
          <w:szCs w:val="16"/>
          <w:vertAlign w:val="baseline"/>
        </w:rPr>
      </w:pPr>
      <w:r w:rsidRPr="00680B44">
        <w:rPr>
          <w:rStyle w:val="FootnoteReference"/>
          <w:rFonts w:cs="David"/>
          <w:sz w:val="14"/>
          <w:szCs w:val="16"/>
          <w:vertAlign w:val="baseline"/>
        </w:rPr>
        <w:footnoteRef/>
      </w:r>
      <w:r w:rsidRPr="00680B44">
        <w:rPr>
          <w:rStyle w:val="FootnoteReference"/>
          <w:rFonts w:cs="David"/>
          <w:sz w:val="14"/>
          <w:szCs w:val="16"/>
          <w:vertAlign w:val="baseline"/>
          <w:rtl/>
        </w:rPr>
        <w:t xml:space="preserve"> </w:t>
      </w:r>
      <w:r w:rsidRPr="00680B44">
        <w:rPr>
          <w:rStyle w:val="FootnoteReference"/>
          <w:rFonts w:cs="David"/>
          <w:sz w:val="14"/>
          <w:szCs w:val="16"/>
          <w:vertAlign w:val="baseline"/>
          <w:rtl/>
        </w:rPr>
        <w:tab/>
      </w:r>
      <w:r w:rsidRPr="00680B44">
        <w:rPr>
          <w:rStyle w:val="FootnoteReference"/>
          <w:rFonts w:cs="David" w:hint="cs"/>
          <w:sz w:val="14"/>
          <w:szCs w:val="16"/>
          <w:vertAlign w:val="baseline"/>
          <w:rtl/>
        </w:rPr>
        <w:t xml:space="preserve">גוף דו-מהותי: </w:t>
      </w:r>
      <w:r w:rsidRPr="00680B44">
        <w:rPr>
          <w:rStyle w:val="FootnoteReference"/>
          <w:rFonts w:cs="David"/>
          <w:sz w:val="14"/>
          <w:szCs w:val="16"/>
          <w:vertAlign w:val="baseline"/>
          <w:rtl/>
        </w:rPr>
        <w:t>גוף ש</w:t>
      </w:r>
      <w:r w:rsidRPr="00680B44">
        <w:rPr>
          <w:rStyle w:val="FootnoteReference"/>
          <w:rFonts w:cs="David" w:hint="cs"/>
          <w:sz w:val="14"/>
          <w:szCs w:val="16"/>
          <w:vertAlign w:val="baseline"/>
          <w:rtl/>
        </w:rPr>
        <w:t xml:space="preserve">אף </w:t>
      </w:r>
      <w:r w:rsidRPr="00680B44">
        <w:rPr>
          <w:rStyle w:val="FootnoteReference"/>
          <w:rFonts w:cs="David"/>
          <w:sz w:val="14"/>
          <w:szCs w:val="16"/>
          <w:vertAlign w:val="baseline"/>
          <w:rtl/>
        </w:rPr>
        <w:t xml:space="preserve">שאינו ממשלתי במהותו, חלות עליו חובות מכוח המשפט </w:t>
      </w:r>
      <w:proofErr w:type="spellStart"/>
      <w:r w:rsidRPr="00680B44">
        <w:rPr>
          <w:rStyle w:val="FootnoteReference"/>
          <w:rFonts w:cs="David"/>
          <w:sz w:val="14"/>
          <w:szCs w:val="16"/>
          <w:vertAlign w:val="baseline"/>
          <w:rtl/>
        </w:rPr>
        <w:t>המ</w:t>
      </w:r>
      <w:r w:rsidRPr="00680B44">
        <w:rPr>
          <w:rStyle w:val="FootnoteReference"/>
          <w:rFonts w:cs="David" w:hint="cs"/>
          <w:sz w:val="14"/>
          <w:szCs w:val="16"/>
          <w:vertAlign w:val="baseline"/>
          <w:rtl/>
        </w:rPr>
        <w:t>י</w:t>
      </w:r>
      <w:r w:rsidRPr="00680B44">
        <w:rPr>
          <w:rStyle w:val="FootnoteReference"/>
          <w:rFonts w:cs="David"/>
          <w:sz w:val="14"/>
          <w:szCs w:val="16"/>
          <w:vertAlign w:val="baseline"/>
          <w:rtl/>
        </w:rPr>
        <w:t>נהלי</w:t>
      </w:r>
      <w:proofErr w:type="spellEnd"/>
      <w:r w:rsidRPr="00680B44">
        <w:rPr>
          <w:rStyle w:val="FootnoteReference"/>
          <w:rFonts w:cs="David"/>
          <w:sz w:val="14"/>
          <w:szCs w:val="16"/>
          <w:vertAlign w:val="baseline"/>
          <w:rtl/>
        </w:rPr>
        <w:t>. חובות אלה כוללות דרישות מוגברות לסבירות, שוויון, ניקיון כפיים והגינות בקבלת החלטות</w:t>
      </w:r>
      <w:r w:rsidRPr="00680B44">
        <w:rPr>
          <w:rStyle w:val="FootnoteReference"/>
          <w:rFonts w:cs="David" w:hint="cs"/>
          <w:sz w:val="14"/>
          <w:szCs w:val="16"/>
          <w:vertAlign w:val="baseline"/>
          <w:rtl/>
        </w:rPr>
        <w:t>.</w:t>
      </w:r>
      <w:r w:rsidRPr="00680B44">
        <w:rPr>
          <w:rStyle w:val="FootnoteReference"/>
          <w:rFonts w:cs="David"/>
          <w:sz w:val="14"/>
          <w:szCs w:val="16"/>
          <w:vertAlign w:val="baseline"/>
        </w:rPr>
        <w:t xml:space="preserve"> </w:t>
      </w:r>
    </w:p>
  </w:footnote>
  <w:footnote w:id="4">
    <w:p w14:paraId="5AD3F4E7" w14:textId="77777777" w:rsidR="00680B44" w:rsidRPr="00680B44" w:rsidRDefault="00680B44" w:rsidP="00680B44">
      <w:pPr>
        <w:pStyle w:val="FootnoteText"/>
        <w:keepLines/>
        <w:spacing w:line="200" w:lineRule="exact"/>
        <w:ind w:left="397" w:hanging="397"/>
        <w:jc w:val="both"/>
        <w:rPr>
          <w:rStyle w:val="FootnoteReference"/>
          <w:rFonts w:cs="David"/>
          <w:sz w:val="14"/>
          <w:szCs w:val="16"/>
          <w:vertAlign w:val="baseline"/>
        </w:rPr>
      </w:pPr>
      <w:r w:rsidRPr="00680B44">
        <w:rPr>
          <w:rStyle w:val="FootnoteReference"/>
          <w:rFonts w:cs="David"/>
          <w:sz w:val="14"/>
          <w:szCs w:val="16"/>
          <w:vertAlign w:val="baseline"/>
        </w:rPr>
        <w:footnoteRef/>
      </w:r>
      <w:r w:rsidRPr="00680B44">
        <w:rPr>
          <w:rStyle w:val="FootnoteReference"/>
          <w:rFonts w:cs="David"/>
          <w:sz w:val="14"/>
          <w:szCs w:val="16"/>
          <w:vertAlign w:val="baseline"/>
          <w:rtl/>
        </w:rPr>
        <w:t xml:space="preserve"> </w:t>
      </w:r>
      <w:r w:rsidRPr="00680B44">
        <w:rPr>
          <w:rStyle w:val="FootnoteReference"/>
          <w:rFonts w:cs="David"/>
          <w:sz w:val="14"/>
          <w:szCs w:val="16"/>
          <w:vertAlign w:val="baseline"/>
          <w:rtl/>
        </w:rPr>
        <w:tab/>
      </w:r>
      <w:r w:rsidRPr="00680B44">
        <w:rPr>
          <w:rStyle w:val="FootnoteReference"/>
          <w:rFonts w:cs="David" w:hint="cs"/>
          <w:sz w:val="14"/>
          <w:szCs w:val="16"/>
          <w:vertAlign w:val="baseline"/>
          <w:rtl/>
        </w:rPr>
        <w:t xml:space="preserve">ידיד בית משפט: </w:t>
      </w:r>
      <w:r w:rsidRPr="00680B44">
        <w:rPr>
          <w:rStyle w:val="FootnoteReference"/>
          <w:rFonts w:cs="David"/>
          <w:sz w:val="14"/>
          <w:szCs w:val="16"/>
          <w:vertAlign w:val="baseline"/>
          <w:rtl/>
        </w:rPr>
        <w:t xml:space="preserve">גוף שאינו צד פורמלי להליך אך הוא בעל עניין בנושא הנדון בעתירה, </w:t>
      </w:r>
      <w:r w:rsidRPr="00680B44">
        <w:rPr>
          <w:rStyle w:val="FootnoteReference"/>
          <w:rFonts w:cs="David" w:hint="cs"/>
          <w:sz w:val="14"/>
          <w:szCs w:val="16"/>
          <w:vertAlign w:val="baseline"/>
          <w:rtl/>
        </w:rPr>
        <w:t>ה</w:t>
      </w:r>
      <w:r w:rsidRPr="00680B44">
        <w:rPr>
          <w:rStyle w:val="FootnoteReference"/>
          <w:rFonts w:cs="David"/>
          <w:sz w:val="14"/>
          <w:szCs w:val="16"/>
          <w:vertAlign w:val="baseline"/>
          <w:rtl/>
        </w:rPr>
        <w:t xml:space="preserve">מגיש חוות דעת משפטית </w:t>
      </w:r>
      <w:r w:rsidRPr="00680B44">
        <w:rPr>
          <w:rStyle w:val="FootnoteReference"/>
          <w:rFonts w:cs="David" w:hint="cs"/>
          <w:sz w:val="14"/>
          <w:szCs w:val="16"/>
          <w:vertAlign w:val="baseline"/>
          <w:rtl/>
        </w:rPr>
        <w:t>באשר ל</w:t>
      </w:r>
      <w:r w:rsidRPr="00680B44">
        <w:rPr>
          <w:rStyle w:val="FootnoteReference"/>
          <w:rFonts w:cs="David"/>
          <w:sz w:val="14"/>
          <w:szCs w:val="16"/>
          <w:vertAlign w:val="baseline"/>
          <w:rtl/>
        </w:rPr>
        <w:t>מצב החוקי החל על המקרה הנדון</w:t>
      </w:r>
      <w:r w:rsidRPr="00680B44">
        <w:rPr>
          <w:rStyle w:val="FootnoteReference"/>
          <w:rFonts w:cs="David"/>
          <w:sz w:val="14"/>
          <w:szCs w:val="16"/>
          <w:vertAlign w:val="baseli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BF758" w14:textId="40E3CFCE" w:rsidR="00D541A6" w:rsidRPr="00AE7DAB" w:rsidRDefault="00D541A6" w:rsidP="00AE7DAB">
    <w:pPr>
      <w:pStyle w:val="Heading1"/>
      <w:tabs>
        <w:tab w:val="center" w:pos="4536"/>
        <w:tab w:val="right" w:pos="9072"/>
      </w:tabs>
      <w:rPr>
        <w:rFonts w:ascii="David" w:hAnsi="David"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95337E">
      <w:rPr>
        <w:rFonts w:ascii="David" w:hAnsi="David" w:cs="David"/>
        <w:noProof/>
        <w:sz w:val="24"/>
        <w:szCs w:val="24"/>
        <w:rtl/>
      </w:rPr>
      <w:t>148</w:t>
    </w:r>
    <w:r w:rsidRPr="00A17DA2">
      <w:rPr>
        <w:rFonts w:ascii="David" w:hAnsi="David" w:cs="David"/>
        <w:noProof/>
        <w:sz w:val="24"/>
        <w:szCs w:val="24"/>
      </w:rPr>
      <w:fldChar w:fldCharType="end"/>
    </w:r>
    <w:r>
      <w:rPr>
        <w:rFonts w:ascii="David" w:hAnsi="David" w:cs="David"/>
        <w:b w:val="0"/>
        <w:bCs w:val="0"/>
        <w:color w:val="A6A6A6"/>
        <w:sz w:val="20"/>
        <w:szCs w:val="20"/>
        <w:rtl/>
      </w:rPr>
      <w:t xml:space="preserve">  |  ביטחון סוציאלי </w:t>
    </w:r>
    <w:r>
      <w:rPr>
        <w:rFonts w:ascii="David" w:hAnsi="David" w:cs="David" w:hint="cs"/>
        <w:b w:val="0"/>
        <w:bCs w:val="0"/>
        <w:color w:val="A6A6A6"/>
        <w:sz w:val="20"/>
        <w:szCs w:val="20"/>
        <w:rtl/>
      </w:rPr>
      <w:t>12</w:t>
    </w:r>
    <w:r w:rsidR="00AA73F3">
      <w:rPr>
        <w:rFonts w:ascii="David" w:hAnsi="David" w:cs="David" w:hint="cs"/>
        <w:b w:val="0"/>
        <w:bCs w:val="0"/>
        <w:color w:val="A6A6A6"/>
        <w:sz w:val="20"/>
        <w:szCs w:val="20"/>
        <w:rt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83794" w14:textId="4CCE791C" w:rsidR="00D541A6" w:rsidRPr="00CA633F" w:rsidRDefault="00D541A6" w:rsidP="00E72215">
    <w:pPr>
      <w:pStyle w:val="Heading1"/>
      <w:tabs>
        <w:tab w:val="center" w:pos="4536"/>
        <w:tab w:val="right" w:pos="9072"/>
      </w:tabs>
      <w:jc w:val="right"/>
      <w:rPr>
        <w:rFonts w:ascii="David" w:hAnsi="David" w:cs="David"/>
        <w:b w:val="0"/>
        <w:bCs w:val="0"/>
        <w:noProof/>
        <w:color w:val="A6A6A6"/>
        <w:sz w:val="20"/>
        <w:szCs w:val="20"/>
      </w:rPr>
    </w:pPr>
    <w:r w:rsidRPr="00E72215">
      <w:rPr>
        <w:rFonts w:ascii="David" w:hAnsi="David" w:cs="David"/>
        <w:b w:val="0"/>
        <w:bCs w:val="0"/>
        <w:noProof/>
        <w:color w:val="A6A6A6"/>
        <w:sz w:val="20"/>
        <w:szCs w:val="20"/>
        <w:rtl/>
      </w:rPr>
      <w:t>חקיקה ופסיקה חברתית</w:t>
    </w:r>
    <w:r w:rsidRPr="00CA633F">
      <w:rPr>
        <w:rFonts w:ascii="David" w:hAnsi="David" w:cs="David"/>
        <w:b w:val="0"/>
        <w:bCs w:val="0"/>
        <w:noProof/>
        <w:color w:val="A6A6A6"/>
        <w:sz w:val="20"/>
        <w:szCs w:val="20"/>
        <w:rtl/>
      </w:rPr>
      <w:t xml:space="preserve">  |  </w:t>
    </w: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95337E">
      <w:rPr>
        <w:rFonts w:ascii="David" w:hAnsi="David" w:cs="David"/>
        <w:noProof/>
        <w:sz w:val="24"/>
        <w:szCs w:val="24"/>
        <w:rtl/>
      </w:rPr>
      <w:t>151</w:t>
    </w:r>
    <w:r w:rsidRPr="00A17DA2">
      <w:rPr>
        <w:rFonts w:ascii="David" w:hAnsi="David" w:cs="David"/>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6001B"/>
    <w:multiLevelType w:val="hybridMultilevel"/>
    <w:tmpl w:val="B2C4B5E4"/>
    <w:lvl w:ilvl="0" w:tplc="B914BFE2">
      <w:start w:val="1"/>
      <w:numFmt w:val="decimal"/>
      <w:pStyle w:val="Ruller4"/>
      <w:lvlText w:val="%1."/>
      <w:lvlJc w:val="left"/>
      <w:pPr>
        <w:tabs>
          <w:tab w:val="num" w:pos="907"/>
        </w:tabs>
        <w:ind w:left="0" w:firstLine="0"/>
      </w:pPr>
      <w:rPr>
        <w:rFonts w:hint="default"/>
      </w:rPr>
    </w:lvl>
    <w:lvl w:ilvl="1" w:tplc="BF0A78CA" w:tentative="1">
      <w:start w:val="1"/>
      <w:numFmt w:val="lowerLetter"/>
      <w:lvlText w:val="%2."/>
      <w:lvlJc w:val="left"/>
      <w:pPr>
        <w:tabs>
          <w:tab w:val="num" w:pos="1440"/>
        </w:tabs>
        <w:ind w:left="1440" w:hanging="360"/>
      </w:pPr>
    </w:lvl>
    <w:lvl w:ilvl="2" w:tplc="3DB0D620" w:tentative="1">
      <w:start w:val="1"/>
      <w:numFmt w:val="lowerRoman"/>
      <w:lvlText w:val="%3."/>
      <w:lvlJc w:val="right"/>
      <w:pPr>
        <w:tabs>
          <w:tab w:val="num" w:pos="2160"/>
        </w:tabs>
        <w:ind w:left="2160" w:hanging="180"/>
      </w:pPr>
    </w:lvl>
    <w:lvl w:ilvl="3" w:tplc="3DAC6F7E" w:tentative="1">
      <w:start w:val="1"/>
      <w:numFmt w:val="decimal"/>
      <w:lvlText w:val="%4."/>
      <w:lvlJc w:val="left"/>
      <w:pPr>
        <w:tabs>
          <w:tab w:val="num" w:pos="2880"/>
        </w:tabs>
        <w:ind w:left="2880" w:hanging="360"/>
      </w:pPr>
    </w:lvl>
    <w:lvl w:ilvl="4" w:tplc="CF0224A6" w:tentative="1">
      <w:start w:val="1"/>
      <w:numFmt w:val="lowerLetter"/>
      <w:lvlText w:val="%5."/>
      <w:lvlJc w:val="left"/>
      <w:pPr>
        <w:tabs>
          <w:tab w:val="num" w:pos="3600"/>
        </w:tabs>
        <w:ind w:left="3600" w:hanging="360"/>
      </w:pPr>
    </w:lvl>
    <w:lvl w:ilvl="5" w:tplc="5D422DE6" w:tentative="1">
      <w:start w:val="1"/>
      <w:numFmt w:val="lowerRoman"/>
      <w:lvlText w:val="%6."/>
      <w:lvlJc w:val="right"/>
      <w:pPr>
        <w:tabs>
          <w:tab w:val="num" w:pos="4320"/>
        </w:tabs>
        <w:ind w:left="4320" w:hanging="180"/>
      </w:pPr>
    </w:lvl>
    <w:lvl w:ilvl="6" w:tplc="441EABFA" w:tentative="1">
      <w:start w:val="1"/>
      <w:numFmt w:val="decimal"/>
      <w:lvlText w:val="%7."/>
      <w:lvlJc w:val="left"/>
      <w:pPr>
        <w:tabs>
          <w:tab w:val="num" w:pos="5040"/>
        </w:tabs>
        <w:ind w:left="5040" w:hanging="360"/>
      </w:pPr>
    </w:lvl>
    <w:lvl w:ilvl="7" w:tplc="0B4A70C4" w:tentative="1">
      <w:start w:val="1"/>
      <w:numFmt w:val="lowerLetter"/>
      <w:lvlText w:val="%8."/>
      <w:lvlJc w:val="left"/>
      <w:pPr>
        <w:tabs>
          <w:tab w:val="num" w:pos="5760"/>
        </w:tabs>
        <w:ind w:left="5760" w:hanging="360"/>
      </w:pPr>
    </w:lvl>
    <w:lvl w:ilvl="8" w:tplc="9AA4F1EE" w:tentative="1">
      <w:start w:val="1"/>
      <w:numFmt w:val="lowerRoman"/>
      <w:lvlText w:val="%9."/>
      <w:lvlJc w:val="right"/>
      <w:pPr>
        <w:tabs>
          <w:tab w:val="num" w:pos="6480"/>
        </w:tabs>
        <w:ind w:left="6480" w:hanging="180"/>
      </w:pPr>
    </w:lvl>
  </w:abstractNum>
  <w:abstractNum w:abstractNumId="4" w15:restartNumberingAfterBreak="0">
    <w:nsid w:val="0D09499D"/>
    <w:multiLevelType w:val="hybridMultilevel"/>
    <w:tmpl w:val="810892D2"/>
    <w:lvl w:ilvl="0" w:tplc="20B8B7F4">
      <w:start w:val="1"/>
      <w:numFmt w:val="bullet"/>
      <w:lvlText w:val=""/>
      <w:lvlJc w:val="left"/>
      <w:rPr>
        <w:rFonts w:ascii="Symbol" w:eastAsia="Times New Roman" w:hAnsi="Symbol" w:cs="David" w:hint="default"/>
        <w:lang w:bidi="he-IL"/>
      </w:rPr>
    </w:lvl>
    <w:lvl w:ilvl="1" w:tplc="B14C5A44" w:tentative="1">
      <w:start w:val="1"/>
      <w:numFmt w:val="bullet"/>
      <w:lvlText w:val="o"/>
      <w:lvlJc w:val="left"/>
      <w:pPr>
        <w:ind w:left="1080" w:hanging="360"/>
      </w:pPr>
      <w:rPr>
        <w:rFonts w:ascii="Courier New" w:hAnsi="Courier New" w:cs="Courier New" w:hint="default"/>
      </w:rPr>
    </w:lvl>
    <w:lvl w:ilvl="2" w:tplc="4DEE1A78" w:tentative="1">
      <w:start w:val="1"/>
      <w:numFmt w:val="bullet"/>
      <w:lvlText w:val=""/>
      <w:lvlJc w:val="left"/>
      <w:pPr>
        <w:ind w:left="1800" w:hanging="360"/>
      </w:pPr>
      <w:rPr>
        <w:rFonts w:ascii="Wingdings" w:hAnsi="Wingdings" w:hint="default"/>
      </w:rPr>
    </w:lvl>
    <w:lvl w:ilvl="3" w:tplc="AE046094" w:tentative="1">
      <w:start w:val="1"/>
      <w:numFmt w:val="bullet"/>
      <w:lvlText w:val=""/>
      <w:lvlJc w:val="left"/>
      <w:pPr>
        <w:ind w:left="2520" w:hanging="360"/>
      </w:pPr>
      <w:rPr>
        <w:rFonts w:ascii="Symbol" w:hAnsi="Symbol" w:hint="default"/>
      </w:rPr>
    </w:lvl>
    <w:lvl w:ilvl="4" w:tplc="9286BFF2" w:tentative="1">
      <w:start w:val="1"/>
      <w:numFmt w:val="bullet"/>
      <w:lvlText w:val="o"/>
      <w:lvlJc w:val="left"/>
      <w:pPr>
        <w:ind w:left="3240" w:hanging="360"/>
      </w:pPr>
      <w:rPr>
        <w:rFonts w:ascii="Courier New" w:hAnsi="Courier New" w:cs="Courier New" w:hint="default"/>
      </w:rPr>
    </w:lvl>
    <w:lvl w:ilvl="5" w:tplc="33CCA05C" w:tentative="1">
      <w:start w:val="1"/>
      <w:numFmt w:val="bullet"/>
      <w:lvlText w:val=""/>
      <w:lvlJc w:val="left"/>
      <w:pPr>
        <w:ind w:left="3960" w:hanging="360"/>
      </w:pPr>
      <w:rPr>
        <w:rFonts w:ascii="Wingdings" w:hAnsi="Wingdings" w:hint="default"/>
      </w:rPr>
    </w:lvl>
    <w:lvl w:ilvl="6" w:tplc="8D544728" w:tentative="1">
      <w:start w:val="1"/>
      <w:numFmt w:val="bullet"/>
      <w:lvlText w:val=""/>
      <w:lvlJc w:val="left"/>
      <w:pPr>
        <w:ind w:left="4680" w:hanging="360"/>
      </w:pPr>
      <w:rPr>
        <w:rFonts w:ascii="Symbol" w:hAnsi="Symbol" w:hint="default"/>
      </w:rPr>
    </w:lvl>
    <w:lvl w:ilvl="7" w:tplc="4E36E492" w:tentative="1">
      <w:start w:val="1"/>
      <w:numFmt w:val="bullet"/>
      <w:lvlText w:val="o"/>
      <w:lvlJc w:val="left"/>
      <w:pPr>
        <w:ind w:left="5400" w:hanging="360"/>
      </w:pPr>
      <w:rPr>
        <w:rFonts w:ascii="Courier New" w:hAnsi="Courier New" w:cs="Courier New" w:hint="default"/>
      </w:rPr>
    </w:lvl>
    <w:lvl w:ilvl="8" w:tplc="655A8A44" w:tentative="1">
      <w:start w:val="1"/>
      <w:numFmt w:val="bullet"/>
      <w:lvlText w:val=""/>
      <w:lvlJc w:val="left"/>
      <w:pPr>
        <w:ind w:left="6120" w:hanging="360"/>
      </w:pPr>
      <w:rPr>
        <w:rFonts w:ascii="Wingdings" w:hAnsi="Wingdings" w:hint="default"/>
      </w:rPr>
    </w:lvl>
  </w:abstractNum>
  <w:abstractNum w:abstractNumId="5"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40180"/>
    <w:multiLevelType w:val="multilevel"/>
    <w:tmpl w:val="9EFA45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o"/>
      <w:lvlJc w:val="left"/>
      <w:pPr>
        <w:tabs>
          <w:tab w:val="num" w:pos="1800"/>
        </w:tabs>
        <w:ind w:left="1800" w:hanging="360"/>
      </w:pPr>
      <w:rPr>
        <w:rFonts w:ascii="Courier New" w:hAnsi="Courier New" w:cs="Courier New"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02DA3"/>
    <w:multiLevelType w:val="hybridMultilevel"/>
    <w:tmpl w:val="3A181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64523"/>
    <w:multiLevelType w:val="hybridMultilevel"/>
    <w:tmpl w:val="AB52E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15:restartNumberingAfterBreak="0">
    <w:nsid w:val="190E6293"/>
    <w:multiLevelType w:val="hybridMultilevel"/>
    <w:tmpl w:val="BB4E43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4"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4E41F0"/>
    <w:multiLevelType w:val="multilevel"/>
    <w:tmpl w:val="AF62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8" w15:restartNumberingAfterBreak="0">
    <w:nsid w:val="34112B3F"/>
    <w:multiLevelType w:val="hybridMultilevel"/>
    <w:tmpl w:val="DBAAB1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E03EA"/>
    <w:multiLevelType w:val="hybridMultilevel"/>
    <w:tmpl w:val="3B26B22E"/>
    <w:lvl w:ilvl="0" w:tplc="E3EA104A">
      <w:numFmt w:val="bullet"/>
      <w:lvlText w:val=""/>
      <w:lvlJc w:val="left"/>
      <w:pPr>
        <w:ind w:left="360" w:hanging="360"/>
      </w:pPr>
      <w:rPr>
        <w:rFonts w:ascii="Symbol" w:eastAsia="Times New Roman" w:hAnsi="Symbol" w:cs="Aria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7F646C"/>
    <w:multiLevelType w:val="hybridMultilevel"/>
    <w:tmpl w:val="DBAAB1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205F6D"/>
    <w:multiLevelType w:val="hybridMultilevel"/>
    <w:tmpl w:val="CEE2519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8"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DB3815"/>
    <w:multiLevelType w:val="multilevel"/>
    <w:tmpl w:val="6154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BE1CAB"/>
    <w:multiLevelType w:val="hybridMultilevel"/>
    <w:tmpl w:val="B60EB136"/>
    <w:lvl w:ilvl="0" w:tplc="54B41068">
      <w:start w:val="40"/>
      <w:numFmt w:val="bullet"/>
      <w:lvlText w:val=""/>
      <w:lvlJc w:val="left"/>
      <w:pPr>
        <w:ind w:left="360" w:hanging="360"/>
      </w:pPr>
      <w:rPr>
        <w:rFonts w:ascii="Symbol" w:eastAsia="Calibri" w:hAnsi="Symbo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1" w15:restartNumberingAfterBreak="0">
    <w:nsid w:val="56413207"/>
    <w:multiLevelType w:val="hybridMultilevel"/>
    <w:tmpl w:val="E7289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5B63D7"/>
    <w:multiLevelType w:val="multilevel"/>
    <w:tmpl w:val="0FAC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5F51EB"/>
    <w:multiLevelType w:val="hybridMultilevel"/>
    <w:tmpl w:val="4288AC66"/>
    <w:lvl w:ilvl="0" w:tplc="1A7C478C">
      <w:start w:val="1"/>
      <w:numFmt w:val="bullet"/>
      <w:lvlText w:val=""/>
      <w:lvlJc w:val="left"/>
      <w:rPr>
        <w:rFonts w:ascii="Symbol" w:eastAsia="Calibri" w:hAnsi="Symbol"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4A6C94"/>
    <w:multiLevelType w:val="hybridMultilevel"/>
    <w:tmpl w:val="A75862A8"/>
    <w:lvl w:ilvl="0" w:tplc="509AB09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20E5D45"/>
    <w:multiLevelType w:val="multilevel"/>
    <w:tmpl w:val="BC5A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E835E5"/>
    <w:multiLevelType w:val="hybridMultilevel"/>
    <w:tmpl w:val="7F36C370"/>
    <w:lvl w:ilvl="0" w:tplc="96B2C59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AF2B54"/>
    <w:multiLevelType w:val="hybridMultilevel"/>
    <w:tmpl w:val="DBAAB1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23178630">
    <w:abstractNumId w:val="19"/>
  </w:num>
  <w:num w:numId="2" w16cid:durableId="1131821893">
    <w:abstractNumId w:val="23"/>
  </w:num>
  <w:num w:numId="3" w16cid:durableId="300381384">
    <w:abstractNumId w:val="39"/>
  </w:num>
  <w:num w:numId="4" w16cid:durableId="1198275784">
    <w:abstractNumId w:val="32"/>
  </w:num>
  <w:num w:numId="5" w16cid:durableId="49690330">
    <w:abstractNumId w:val="13"/>
  </w:num>
  <w:num w:numId="6" w16cid:durableId="634137701">
    <w:abstractNumId w:val="28"/>
  </w:num>
  <w:num w:numId="7" w16cid:durableId="477962814">
    <w:abstractNumId w:val="21"/>
  </w:num>
  <w:num w:numId="8" w16cid:durableId="1719428156">
    <w:abstractNumId w:val="0"/>
  </w:num>
  <w:num w:numId="9" w16cid:durableId="550650493">
    <w:abstractNumId w:val="11"/>
  </w:num>
  <w:num w:numId="10" w16cid:durableId="805010951">
    <w:abstractNumId w:val="38"/>
  </w:num>
  <w:num w:numId="11" w16cid:durableId="1166628851">
    <w:abstractNumId w:val="33"/>
  </w:num>
  <w:num w:numId="12" w16cid:durableId="957368745">
    <w:abstractNumId w:val="25"/>
  </w:num>
  <w:num w:numId="13" w16cid:durableId="1641033519">
    <w:abstractNumId w:val="17"/>
  </w:num>
  <w:num w:numId="14" w16cid:durableId="942150707">
    <w:abstractNumId w:val="8"/>
  </w:num>
  <w:num w:numId="15" w16cid:durableId="1556699758">
    <w:abstractNumId w:val="16"/>
  </w:num>
  <w:num w:numId="16" w16cid:durableId="1665663912">
    <w:abstractNumId w:val="5"/>
  </w:num>
  <w:num w:numId="17" w16cid:durableId="367873198">
    <w:abstractNumId w:val="41"/>
  </w:num>
  <w:num w:numId="18" w16cid:durableId="1134250320">
    <w:abstractNumId w:val="26"/>
  </w:num>
  <w:num w:numId="19" w16cid:durableId="178662657">
    <w:abstractNumId w:val="14"/>
  </w:num>
  <w:num w:numId="20" w16cid:durableId="338428074">
    <w:abstractNumId w:val="2"/>
  </w:num>
  <w:num w:numId="21" w16cid:durableId="1907107915">
    <w:abstractNumId w:val="1"/>
  </w:num>
  <w:num w:numId="22" w16cid:durableId="897858880">
    <w:abstractNumId w:val="7"/>
  </w:num>
  <w:num w:numId="23" w16cid:durableId="542062240">
    <w:abstractNumId w:val="22"/>
  </w:num>
  <w:num w:numId="24" w16cid:durableId="363597667">
    <w:abstractNumId w:val="15"/>
  </w:num>
  <w:num w:numId="25" w16cid:durableId="418872858">
    <w:abstractNumId w:val="34"/>
  </w:num>
  <w:num w:numId="26" w16cid:durableId="94398955">
    <w:abstractNumId w:val="20"/>
  </w:num>
  <w:num w:numId="27" w16cid:durableId="515533517">
    <w:abstractNumId w:val="27"/>
  </w:num>
  <w:num w:numId="28" w16cid:durableId="648944705">
    <w:abstractNumId w:val="6"/>
  </w:num>
  <w:num w:numId="29" w16cid:durableId="1530994259">
    <w:abstractNumId w:val="3"/>
  </w:num>
  <w:num w:numId="30" w16cid:durableId="259072631">
    <w:abstractNumId w:val="30"/>
  </w:num>
  <w:num w:numId="31" w16cid:durableId="1001154879">
    <w:abstractNumId w:val="29"/>
  </w:num>
  <w:num w:numId="32" w16cid:durableId="733551925">
    <w:abstractNumId w:val="9"/>
  </w:num>
  <w:num w:numId="33" w16cid:durableId="2083719139">
    <w:abstractNumId w:val="35"/>
  </w:num>
  <w:num w:numId="34" w16cid:durableId="1118649198">
    <w:abstractNumId w:val="31"/>
  </w:num>
  <w:num w:numId="35" w16cid:durableId="1988825190">
    <w:abstractNumId w:val="10"/>
  </w:num>
  <w:num w:numId="36" w16cid:durableId="714936429">
    <w:abstractNumId w:val="4"/>
  </w:num>
  <w:num w:numId="37" w16cid:durableId="794635911">
    <w:abstractNumId w:val="37"/>
  </w:num>
  <w:num w:numId="38" w16cid:durableId="511575295">
    <w:abstractNumId w:val="12"/>
  </w:num>
  <w:num w:numId="39" w16cid:durableId="5641154">
    <w:abstractNumId w:val="36"/>
  </w:num>
  <w:num w:numId="40" w16cid:durableId="11346779">
    <w:abstractNumId w:val="40"/>
  </w:num>
  <w:num w:numId="41" w16cid:durableId="484393851">
    <w:abstractNumId w:val="42"/>
  </w:num>
  <w:num w:numId="42" w16cid:durableId="799497755">
    <w:abstractNumId w:val="18"/>
  </w:num>
  <w:num w:numId="43" w16cid:durableId="7779902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141E2"/>
    <w:rsid w:val="000238CB"/>
    <w:rsid w:val="00030EAD"/>
    <w:rsid w:val="00036E97"/>
    <w:rsid w:val="00054209"/>
    <w:rsid w:val="000552ED"/>
    <w:rsid w:val="0005633A"/>
    <w:rsid w:val="000718C2"/>
    <w:rsid w:val="00087316"/>
    <w:rsid w:val="00087B26"/>
    <w:rsid w:val="00087B87"/>
    <w:rsid w:val="000A3731"/>
    <w:rsid w:val="000A54AC"/>
    <w:rsid w:val="000A7604"/>
    <w:rsid w:val="000B01C4"/>
    <w:rsid w:val="000B766E"/>
    <w:rsid w:val="000C131C"/>
    <w:rsid w:val="000C13C4"/>
    <w:rsid w:val="000C236E"/>
    <w:rsid w:val="000C24D2"/>
    <w:rsid w:val="000C32F6"/>
    <w:rsid w:val="000C4352"/>
    <w:rsid w:val="000C7415"/>
    <w:rsid w:val="000D0CA3"/>
    <w:rsid w:val="000D10A7"/>
    <w:rsid w:val="000D7955"/>
    <w:rsid w:val="000E38FA"/>
    <w:rsid w:val="000E6E34"/>
    <w:rsid w:val="000F4488"/>
    <w:rsid w:val="00113D45"/>
    <w:rsid w:val="00130D3B"/>
    <w:rsid w:val="001462D0"/>
    <w:rsid w:val="00157782"/>
    <w:rsid w:val="00160BCD"/>
    <w:rsid w:val="001645B1"/>
    <w:rsid w:val="00164AB3"/>
    <w:rsid w:val="00170E1D"/>
    <w:rsid w:val="001742E8"/>
    <w:rsid w:val="00181D16"/>
    <w:rsid w:val="0018721E"/>
    <w:rsid w:val="00192673"/>
    <w:rsid w:val="001A0002"/>
    <w:rsid w:val="001B5F02"/>
    <w:rsid w:val="001D2C96"/>
    <w:rsid w:val="001D2FDC"/>
    <w:rsid w:val="001D3641"/>
    <w:rsid w:val="001D4749"/>
    <w:rsid w:val="001E6A9C"/>
    <w:rsid w:val="001F2FFC"/>
    <w:rsid w:val="001F75BF"/>
    <w:rsid w:val="002044C6"/>
    <w:rsid w:val="00211D18"/>
    <w:rsid w:val="00212324"/>
    <w:rsid w:val="002159DD"/>
    <w:rsid w:val="002178D5"/>
    <w:rsid w:val="00217A08"/>
    <w:rsid w:val="00224C6A"/>
    <w:rsid w:val="00227591"/>
    <w:rsid w:val="00234C6B"/>
    <w:rsid w:val="00240506"/>
    <w:rsid w:val="0024191D"/>
    <w:rsid w:val="002519BC"/>
    <w:rsid w:val="00261F65"/>
    <w:rsid w:val="00263722"/>
    <w:rsid w:val="00272B00"/>
    <w:rsid w:val="00275E42"/>
    <w:rsid w:val="002A2B0C"/>
    <w:rsid w:val="002B3E4A"/>
    <w:rsid w:val="002C45DF"/>
    <w:rsid w:val="002E5DFE"/>
    <w:rsid w:val="002F0EE3"/>
    <w:rsid w:val="002F0FCF"/>
    <w:rsid w:val="00305880"/>
    <w:rsid w:val="003119FD"/>
    <w:rsid w:val="00314821"/>
    <w:rsid w:val="003151B1"/>
    <w:rsid w:val="00317DCD"/>
    <w:rsid w:val="003446BB"/>
    <w:rsid w:val="0035035B"/>
    <w:rsid w:val="00351FEF"/>
    <w:rsid w:val="00356957"/>
    <w:rsid w:val="00360F01"/>
    <w:rsid w:val="00365E60"/>
    <w:rsid w:val="00374196"/>
    <w:rsid w:val="0038402D"/>
    <w:rsid w:val="0038496B"/>
    <w:rsid w:val="00393D19"/>
    <w:rsid w:val="00393F32"/>
    <w:rsid w:val="003A3D84"/>
    <w:rsid w:val="003B04E0"/>
    <w:rsid w:val="003B537C"/>
    <w:rsid w:val="003C6AA7"/>
    <w:rsid w:val="003D0578"/>
    <w:rsid w:val="003D1152"/>
    <w:rsid w:val="003D4AF9"/>
    <w:rsid w:val="003E0A56"/>
    <w:rsid w:val="003F0A7C"/>
    <w:rsid w:val="003F33C0"/>
    <w:rsid w:val="003F51A7"/>
    <w:rsid w:val="003F66A7"/>
    <w:rsid w:val="003F78BB"/>
    <w:rsid w:val="00405788"/>
    <w:rsid w:val="0041068E"/>
    <w:rsid w:val="004112B2"/>
    <w:rsid w:val="00413580"/>
    <w:rsid w:val="00416142"/>
    <w:rsid w:val="00424C06"/>
    <w:rsid w:val="0044272F"/>
    <w:rsid w:val="0044308F"/>
    <w:rsid w:val="00446E1E"/>
    <w:rsid w:val="004543DB"/>
    <w:rsid w:val="00457193"/>
    <w:rsid w:val="0045735A"/>
    <w:rsid w:val="00466666"/>
    <w:rsid w:val="00470FED"/>
    <w:rsid w:val="00471658"/>
    <w:rsid w:val="004814E6"/>
    <w:rsid w:val="0049377A"/>
    <w:rsid w:val="004A305D"/>
    <w:rsid w:val="004A71EC"/>
    <w:rsid w:val="004B1C7A"/>
    <w:rsid w:val="004C57F6"/>
    <w:rsid w:val="004D6C3E"/>
    <w:rsid w:val="004E0958"/>
    <w:rsid w:val="004F4211"/>
    <w:rsid w:val="005005D6"/>
    <w:rsid w:val="0050192F"/>
    <w:rsid w:val="00510316"/>
    <w:rsid w:val="00512B59"/>
    <w:rsid w:val="005211F2"/>
    <w:rsid w:val="00527001"/>
    <w:rsid w:val="005368B8"/>
    <w:rsid w:val="005416E9"/>
    <w:rsid w:val="00550D8D"/>
    <w:rsid w:val="005550EA"/>
    <w:rsid w:val="005619D8"/>
    <w:rsid w:val="0057021D"/>
    <w:rsid w:val="0057781E"/>
    <w:rsid w:val="00584764"/>
    <w:rsid w:val="00584CB0"/>
    <w:rsid w:val="0059386B"/>
    <w:rsid w:val="00594AD6"/>
    <w:rsid w:val="00597BDD"/>
    <w:rsid w:val="005A4E4A"/>
    <w:rsid w:val="005D669A"/>
    <w:rsid w:val="005D7151"/>
    <w:rsid w:val="005F608C"/>
    <w:rsid w:val="005F635C"/>
    <w:rsid w:val="005F7159"/>
    <w:rsid w:val="00607F1B"/>
    <w:rsid w:val="00610B49"/>
    <w:rsid w:val="0061346A"/>
    <w:rsid w:val="006154FA"/>
    <w:rsid w:val="00616982"/>
    <w:rsid w:val="0062321C"/>
    <w:rsid w:val="006358E3"/>
    <w:rsid w:val="006512A7"/>
    <w:rsid w:val="0065160D"/>
    <w:rsid w:val="00652D7C"/>
    <w:rsid w:val="0065482B"/>
    <w:rsid w:val="00657997"/>
    <w:rsid w:val="00667945"/>
    <w:rsid w:val="00680B44"/>
    <w:rsid w:val="006813A3"/>
    <w:rsid w:val="0068148C"/>
    <w:rsid w:val="006824DB"/>
    <w:rsid w:val="00683B19"/>
    <w:rsid w:val="00686290"/>
    <w:rsid w:val="006A07E8"/>
    <w:rsid w:val="006A0E9A"/>
    <w:rsid w:val="006A39DE"/>
    <w:rsid w:val="006B1072"/>
    <w:rsid w:val="006B543C"/>
    <w:rsid w:val="006D0DA1"/>
    <w:rsid w:val="006D3625"/>
    <w:rsid w:val="006E0F39"/>
    <w:rsid w:val="006E4295"/>
    <w:rsid w:val="006F5773"/>
    <w:rsid w:val="006F5E47"/>
    <w:rsid w:val="006F6786"/>
    <w:rsid w:val="00702D1B"/>
    <w:rsid w:val="00704779"/>
    <w:rsid w:val="00716740"/>
    <w:rsid w:val="007178F3"/>
    <w:rsid w:val="00720415"/>
    <w:rsid w:val="007240DD"/>
    <w:rsid w:val="00725FD5"/>
    <w:rsid w:val="00733272"/>
    <w:rsid w:val="00736438"/>
    <w:rsid w:val="00736791"/>
    <w:rsid w:val="007377A3"/>
    <w:rsid w:val="007405C7"/>
    <w:rsid w:val="007506C0"/>
    <w:rsid w:val="00753896"/>
    <w:rsid w:val="007667D8"/>
    <w:rsid w:val="007742CB"/>
    <w:rsid w:val="00776EE2"/>
    <w:rsid w:val="00777381"/>
    <w:rsid w:val="00787937"/>
    <w:rsid w:val="00796021"/>
    <w:rsid w:val="007A0E9A"/>
    <w:rsid w:val="007A1DAF"/>
    <w:rsid w:val="007A31E7"/>
    <w:rsid w:val="007A6CDA"/>
    <w:rsid w:val="007B3AF9"/>
    <w:rsid w:val="007B7399"/>
    <w:rsid w:val="007C09DD"/>
    <w:rsid w:val="007C2EB1"/>
    <w:rsid w:val="007C7168"/>
    <w:rsid w:val="007C726C"/>
    <w:rsid w:val="007D3C42"/>
    <w:rsid w:val="007D3C93"/>
    <w:rsid w:val="007D6EEE"/>
    <w:rsid w:val="007E5546"/>
    <w:rsid w:val="007E6EFF"/>
    <w:rsid w:val="007F1459"/>
    <w:rsid w:val="007F29C9"/>
    <w:rsid w:val="008046BD"/>
    <w:rsid w:val="008118B6"/>
    <w:rsid w:val="00815B57"/>
    <w:rsid w:val="00826FF6"/>
    <w:rsid w:val="00830DEF"/>
    <w:rsid w:val="00837F2F"/>
    <w:rsid w:val="00840D01"/>
    <w:rsid w:val="0084161C"/>
    <w:rsid w:val="0084750E"/>
    <w:rsid w:val="00851BDA"/>
    <w:rsid w:val="00852711"/>
    <w:rsid w:val="0085752E"/>
    <w:rsid w:val="00863FB9"/>
    <w:rsid w:val="00881FB9"/>
    <w:rsid w:val="00882945"/>
    <w:rsid w:val="0088603E"/>
    <w:rsid w:val="00892A98"/>
    <w:rsid w:val="008C0830"/>
    <w:rsid w:val="008E3B75"/>
    <w:rsid w:val="008F5AA2"/>
    <w:rsid w:val="008F7821"/>
    <w:rsid w:val="009023FC"/>
    <w:rsid w:val="009041F4"/>
    <w:rsid w:val="00910E15"/>
    <w:rsid w:val="00913099"/>
    <w:rsid w:val="00937F47"/>
    <w:rsid w:val="00940C99"/>
    <w:rsid w:val="00941F73"/>
    <w:rsid w:val="009522CA"/>
    <w:rsid w:val="00952905"/>
    <w:rsid w:val="0095337E"/>
    <w:rsid w:val="009624B0"/>
    <w:rsid w:val="00963C78"/>
    <w:rsid w:val="00963C9B"/>
    <w:rsid w:val="00964C3B"/>
    <w:rsid w:val="00980980"/>
    <w:rsid w:val="009A29C1"/>
    <w:rsid w:val="009A755C"/>
    <w:rsid w:val="009B3DC4"/>
    <w:rsid w:val="009B53E8"/>
    <w:rsid w:val="009C1F8B"/>
    <w:rsid w:val="009C5E89"/>
    <w:rsid w:val="009D4AFE"/>
    <w:rsid w:val="009D6526"/>
    <w:rsid w:val="009D7325"/>
    <w:rsid w:val="009E1AC8"/>
    <w:rsid w:val="009E4BBC"/>
    <w:rsid w:val="009E6FD9"/>
    <w:rsid w:val="00A04D35"/>
    <w:rsid w:val="00A11A7E"/>
    <w:rsid w:val="00A14F23"/>
    <w:rsid w:val="00A16EDE"/>
    <w:rsid w:val="00A228ED"/>
    <w:rsid w:val="00A23653"/>
    <w:rsid w:val="00A27C04"/>
    <w:rsid w:val="00A34A5C"/>
    <w:rsid w:val="00A35FB3"/>
    <w:rsid w:val="00A36D7F"/>
    <w:rsid w:val="00A41266"/>
    <w:rsid w:val="00A41FB6"/>
    <w:rsid w:val="00A50FBE"/>
    <w:rsid w:val="00A54674"/>
    <w:rsid w:val="00A54A00"/>
    <w:rsid w:val="00A61580"/>
    <w:rsid w:val="00A62B5E"/>
    <w:rsid w:val="00A6397F"/>
    <w:rsid w:val="00A72247"/>
    <w:rsid w:val="00A7387C"/>
    <w:rsid w:val="00A801F0"/>
    <w:rsid w:val="00A8097E"/>
    <w:rsid w:val="00A80EBE"/>
    <w:rsid w:val="00A84CB3"/>
    <w:rsid w:val="00A910EE"/>
    <w:rsid w:val="00A953FC"/>
    <w:rsid w:val="00A95F73"/>
    <w:rsid w:val="00AA3788"/>
    <w:rsid w:val="00AA73F3"/>
    <w:rsid w:val="00AC5C15"/>
    <w:rsid w:val="00AC7681"/>
    <w:rsid w:val="00AD38FA"/>
    <w:rsid w:val="00AE03A0"/>
    <w:rsid w:val="00AE0A3D"/>
    <w:rsid w:val="00AE31E1"/>
    <w:rsid w:val="00AE7DAB"/>
    <w:rsid w:val="00AF2301"/>
    <w:rsid w:val="00AF7379"/>
    <w:rsid w:val="00B01614"/>
    <w:rsid w:val="00B045C9"/>
    <w:rsid w:val="00B108F2"/>
    <w:rsid w:val="00B23956"/>
    <w:rsid w:val="00B405E1"/>
    <w:rsid w:val="00B43027"/>
    <w:rsid w:val="00B468E5"/>
    <w:rsid w:val="00B80567"/>
    <w:rsid w:val="00B8506D"/>
    <w:rsid w:val="00B86340"/>
    <w:rsid w:val="00B9682F"/>
    <w:rsid w:val="00BB7C63"/>
    <w:rsid w:val="00BC0FE8"/>
    <w:rsid w:val="00BC5859"/>
    <w:rsid w:val="00BE3BDF"/>
    <w:rsid w:val="00BE7538"/>
    <w:rsid w:val="00BF32DB"/>
    <w:rsid w:val="00C05FDD"/>
    <w:rsid w:val="00C1139E"/>
    <w:rsid w:val="00C12622"/>
    <w:rsid w:val="00C351D9"/>
    <w:rsid w:val="00C36BC7"/>
    <w:rsid w:val="00C36CE5"/>
    <w:rsid w:val="00C44B37"/>
    <w:rsid w:val="00C44CE1"/>
    <w:rsid w:val="00C45AA4"/>
    <w:rsid w:val="00C541C3"/>
    <w:rsid w:val="00C75652"/>
    <w:rsid w:val="00C83840"/>
    <w:rsid w:val="00C93533"/>
    <w:rsid w:val="00CA3EF1"/>
    <w:rsid w:val="00CA5B5A"/>
    <w:rsid w:val="00CA7399"/>
    <w:rsid w:val="00CA7495"/>
    <w:rsid w:val="00CB48B4"/>
    <w:rsid w:val="00CC1091"/>
    <w:rsid w:val="00CD2DFC"/>
    <w:rsid w:val="00CE14F5"/>
    <w:rsid w:val="00CE7E78"/>
    <w:rsid w:val="00CF5FCA"/>
    <w:rsid w:val="00CF7A4A"/>
    <w:rsid w:val="00D01697"/>
    <w:rsid w:val="00D061E7"/>
    <w:rsid w:val="00D20DE5"/>
    <w:rsid w:val="00D21D40"/>
    <w:rsid w:val="00D226D8"/>
    <w:rsid w:val="00D31A54"/>
    <w:rsid w:val="00D541A6"/>
    <w:rsid w:val="00D6176D"/>
    <w:rsid w:val="00D7163E"/>
    <w:rsid w:val="00D75644"/>
    <w:rsid w:val="00D84EB4"/>
    <w:rsid w:val="00D92080"/>
    <w:rsid w:val="00D9338F"/>
    <w:rsid w:val="00D94E6C"/>
    <w:rsid w:val="00D97001"/>
    <w:rsid w:val="00DA2B25"/>
    <w:rsid w:val="00DA764B"/>
    <w:rsid w:val="00DB0203"/>
    <w:rsid w:val="00DC0593"/>
    <w:rsid w:val="00DD7635"/>
    <w:rsid w:val="00DE368F"/>
    <w:rsid w:val="00DE50A8"/>
    <w:rsid w:val="00DF30C9"/>
    <w:rsid w:val="00DF330D"/>
    <w:rsid w:val="00E072FE"/>
    <w:rsid w:val="00E262A6"/>
    <w:rsid w:val="00E35340"/>
    <w:rsid w:val="00E45F82"/>
    <w:rsid w:val="00E60DB0"/>
    <w:rsid w:val="00E61D38"/>
    <w:rsid w:val="00E6797F"/>
    <w:rsid w:val="00E72215"/>
    <w:rsid w:val="00E75662"/>
    <w:rsid w:val="00E7703B"/>
    <w:rsid w:val="00E86DC5"/>
    <w:rsid w:val="00E91315"/>
    <w:rsid w:val="00E94167"/>
    <w:rsid w:val="00E95AF5"/>
    <w:rsid w:val="00E95DB4"/>
    <w:rsid w:val="00EA2CFC"/>
    <w:rsid w:val="00EB0106"/>
    <w:rsid w:val="00EB244B"/>
    <w:rsid w:val="00EC6C70"/>
    <w:rsid w:val="00EC6F48"/>
    <w:rsid w:val="00ED3C01"/>
    <w:rsid w:val="00ED6F02"/>
    <w:rsid w:val="00EF07B4"/>
    <w:rsid w:val="00EF2087"/>
    <w:rsid w:val="00F0418C"/>
    <w:rsid w:val="00F077DB"/>
    <w:rsid w:val="00F20863"/>
    <w:rsid w:val="00F20E96"/>
    <w:rsid w:val="00F216E0"/>
    <w:rsid w:val="00F21D80"/>
    <w:rsid w:val="00F243ED"/>
    <w:rsid w:val="00F30EC2"/>
    <w:rsid w:val="00F3107D"/>
    <w:rsid w:val="00F31C6D"/>
    <w:rsid w:val="00F32B2F"/>
    <w:rsid w:val="00F341CC"/>
    <w:rsid w:val="00F352B5"/>
    <w:rsid w:val="00F64DF6"/>
    <w:rsid w:val="00F70364"/>
    <w:rsid w:val="00F75137"/>
    <w:rsid w:val="00F90F55"/>
    <w:rsid w:val="00F97D85"/>
    <w:rsid w:val="00F97F9E"/>
    <w:rsid w:val="00FA1C8B"/>
    <w:rsid w:val="00FB16BF"/>
    <w:rsid w:val="00FB281F"/>
    <w:rsid w:val="00FB4B8A"/>
    <w:rsid w:val="00FB5A9D"/>
    <w:rsid w:val="00FC336F"/>
    <w:rsid w:val="00FD1A0B"/>
    <w:rsid w:val="00FD3B59"/>
    <w:rsid w:val="00FE0965"/>
    <w:rsid w:val="00FE70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AB25EB"/>
  <w15:docId w15:val="{D5519596-7042-4226-B2E2-37ECD375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Heading3Char">
    <w:name w:val="Heading 3 Char"/>
    <w:link w:val="Heading3"/>
    <w:uiPriority w:val="9"/>
    <w:rsid w:val="00E95DB4"/>
    <w:rPr>
      <w:rFonts w:cs="FrankRuehl"/>
      <w:b/>
      <w:bCs/>
    </w:rPr>
  </w:style>
  <w:style w:type="character" w:customStyle="1" w:styleId="Heading9Char">
    <w:name w:val="Heading 9 Char"/>
    <w:link w:val="Heading9"/>
    <w:uiPriority w:val="9"/>
    <w:rsid w:val="00471658"/>
    <w:rPr>
      <w:rFonts w:cs="FrankRuehl"/>
      <w:b/>
      <w:bCs/>
      <w:sz w:val="26"/>
      <w:szCs w:val="26"/>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7E6EFF"/>
    <w:pPr>
      <w:spacing w:after="0"/>
      <w:ind w:right="0"/>
    </w:pPr>
    <w:rPr>
      <w:rFonts w:cs="Guttman Aharoni"/>
      <w:b w:val="0"/>
      <w:bCs w:val="0"/>
      <w:color w:val="0070C0"/>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sid w:val="00E95DB4"/>
    <w:rPr>
      <w:rFonts w:cs="David"/>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E95DB4"/>
    <w:rPr>
      <w:rFonts w:cs="David"/>
      <w:sz w:val="24"/>
      <w:szCs w:val="24"/>
    </w:r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qFormat/>
    <w:pPr>
      <w:spacing w:line="240" w:lineRule="auto"/>
    </w:pPr>
    <w:rPr>
      <w:rFonts w:cs="Times New Roman"/>
      <w:sz w:val="20"/>
      <w:szCs w:val="20"/>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95DB4"/>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CommentTextChar">
    <w:name w:val="Comment Text Char"/>
    <w:link w:val="CommentText"/>
    <w:uiPriority w:val="99"/>
    <w:rsid w:val="00E95DB4"/>
  </w:style>
  <w:style w:type="character" w:customStyle="1" w:styleId="CommentSubjectChar">
    <w:name w:val="Comment Subject Char"/>
    <w:link w:val="CommentSubject"/>
    <w:uiPriority w:val="99"/>
    <w:semiHidden/>
    <w:rsid w:val="00E95DB4"/>
    <w:rPr>
      <w:b/>
      <w:bCs/>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character" w:customStyle="1" w:styleId="TitleChar">
    <w:name w:val="Title Char"/>
    <w:link w:val="Title"/>
    <w:uiPriority w:val="10"/>
    <w:rsid w:val="00E95DB4"/>
    <w:rPr>
      <w:rFonts w:cs="David"/>
      <w:sz w:val="24"/>
      <w:szCs w:val="24"/>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styleId="CommentReference">
    <w:name w:val="annotation reference"/>
    <w:uiPriority w:val="99"/>
    <w:semiHidden/>
    <w:unhideWhenUsed/>
    <w:rsid w:val="00E95DB4"/>
    <w:rPr>
      <w:sz w:val="16"/>
      <w:szCs w:val="16"/>
    </w:rPr>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pple-converted-space">
    <w:name w:val="apple-converted-space"/>
    <w:rsid w:val="00E95DB4"/>
  </w:style>
  <w:style w:type="character" w:customStyle="1" w:styleId="personname">
    <w:name w:val="person_name"/>
    <w:rsid w:val="00E95DB4"/>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7E6EFF"/>
    <w:pPr>
      <w:outlineLvl w:val="3"/>
    </w:pPr>
    <w:rPr>
      <w:rFonts w:ascii="Times New Roman" w:hAnsi="Times New Roman" w:cs="Times New Roman"/>
      <w:b/>
      <w:bCs/>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E6797F"/>
    <w:pPr>
      <w:spacing w:before="120" w:after="120" w:line="280" w:lineRule="exact"/>
    </w:pPr>
    <w:rPr>
      <w:color w:val="0B5294"/>
      <w:sz w:val="20"/>
      <w:szCs w:val="20"/>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FootnoteTextChar1">
    <w:name w:val="Footnote Text Char1"/>
    <w:aliases w:val="תו Char"/>
    <w:uiPriority w:val="99"/>
    <w:semiHidden/>
    <w:locked/>
    <w:rsid w:val="00F30EC2"/>
    <w:rPr>
      <w:rFonts w:ascii="Times New Roman" w:eastAsia="Calibri" w:hAnsi="Times New Roman" w:cs="David"/>
      <w:sz w:val="20"/>
      <w:szCs w:val="20"/>
    </w:rPr>
  </w:style>
  <w:style w:type="paragraph" w:styleId="BodyText2">
    <w:name w:val="Body Text 2"/>
    <w:basedOn w:val="Normal"/>
    <w:link w:val="BodyText2Char"/>
    <w:uiPriority w:val="99"/>
    <w:unhideWhenUsed/>
    <w:rsid w:val="00A50FBE"/>
    <w:pPr>
      <w:spacing w:after="120" w:line="300" w:lineRule="exact"/>
      <w:jc w:val="both"/>
    </w:pPr>
    <w:rPr>
      <w:rFonts w:cs="Times New Roman"/>
      <w:sz w:val="22"/>
      <w:szCs w:val="22"/>
    </w:rPr>
  </w:style>
  <w:style w:type="character" w:customStyle="1" w:styleId="BodyText2Char">
    <w:name w:val="Body Text 2 Char"/>
    <w:link w:val="BodyText2"/>
    <w:uiPriority w:val="99"/>
    <w:rsid w:val="00A50FBE"/>
    <w:rPr>
      <w:rFonts w:ascii="Times New Roman" w:hAnsi="Times New Roman" w:cs="Times New Roman"/>
      <w:sz w:val="22"/>
      <w:szCs w:val="22"/>
    </w:rPr>
  </w:style>
  <w:style w:type="paragraph" w:styleId="BodyTextIndent2">
    <w:name w:val="Body Text Indent 2"/>
    <w:basedOn w:val="Normal"/>
    <w:link w:val="BodyTextIndent2Char"/>
    <w:uiPriority w:val="99"/>
    <w:unhideWhenUsed/>
    <w:rsid w:val="008C0830"/>
    <w:pPr>
      <w:spacing w:after="120" w:line="300" w:lineRule="exact"/>
      <w:ind w:left="567"/>
      <w:jc w:val="both"/>
    </w:pPr>
    <w:rPr>
      <w:rFonts w:cs="Times New Roman"/>
      <w:sz w:val="22"/>
      <w:szCs w:val="22"/>
    </w:rPr>
  </w:style>
  <w:style w:type="character" w:customStyle="1" w:styleId="BodyTextIndent2Char">
    <w:name w:val="Body Text Indent 2 Char"/>
    <w:link w:val="BodyTextIndent2"/>
    <w:uiPriority w:val="99"/>
    <w:rsid w:val="008C0830"/>
    <w:rPr>
      <w:sz w:val="22"/>
      <w:szCs w:val="22"/>
    </w:rPr>
  </w:style>
  <w:style w:type="paragraph" w:customStyle="1" w:styleId="Default0">
    <w:name w:val="Default"/>
    <w:rsid w:val="007506C0"/>
    <w:pPr>
      <w:autoSpaceDE w:val="0"/>
      <w:autoSpaceDN w:val="0"/>
      <w:adjustRightInd w:val="0"/>
    </w:pPr>
    <w:rPr>
      <w:rFonts w:ascii="Code" w:eastAsia="Calibri" w:hAnsi="Code" w:cs="Code"/>
      <w:color w:val="000000"/>
      <w:sz w:val="24"/>
      <w:szCs w:val="24"/>
      <w:lang w:val="en-GB"/>
    </w:rPr>
  </w:style>
  <w:style w:type="paragraph" w:customStyle="1" w:styleId="m5913543275134307516xm-6574082299105977569xmsonormal">
    <w:name w:val="m_5913543275134307516x_m_-6574082299105977569x_msonormal"/>
    <w:basedOn w:val="Normal"/>
    <w:rsid w:val="00787937"/>
    <w:pPr>
      <w:bidi w:val="0"/>
      <w:spacing w:before="100" w:beforeAutospacing="1" w:after="100" w:afterAutospacing="1" w:line="240" w:lineRule="auto"/>
    </w:pPr>
    <w:rPr>
      <w:rFonts w:cs="Times New Roman"/>
      <w:lang w:val="en-GB" w:eastAsia="en-GB"/>
    </w:rPr>
  </w:style>
  <w:style w:type="paragraph" w:customStyle="1" w:styleId="Hesber">
    <w:name w:val="Hesber"/>
    <w:basedOn w:val="Normal"/>
    <w:rsid w:val="00E72215"/>
    <w:pPr>
      <w:widowControl w:val="0"/>
      <w:autoSpaceDE w:val="0"/>
      <w:autoSpaceDN w:val="0"/>
      <w:adjustRightInd w:val="0"/>
      <w:snapToGrid w:val="0"/>
      <w:spacing w:line="360" w:lineRule="auto"/>
      <w:ind w:firstLine="340"/>
      <w:jc w:val="both"/>
    </w:pPr>
    <w:rPr>
      <w:rFonts w:ascii="Arial" w:eastAsia="Arial Unicode MS" w:hAnsi="Arial"/>
      <w:color w:val="000000"/>
      <w:sz w:val="20"/>
      <w:szCs w:val="26"/>
      <w:lang w:eastAsia="ja-JP"/>
    </w:rPr>
  </w:style>
  <w:style w:type="character" w:customStyle="1" w:styleId="mw-headline">
    <w:name w:val="mw-headline"/>
    <w:rsid w:val="00E72215"/>
  </w:style>
  <w:style w:type="paragraph" w:customStyle="1" w:styleId="Ruller4">
    <w:name w:val="Ruller 4 ממוספר"/>
    <w:basedOn w:val="Normal"/>
    <w:next w:val="Normal"/>
    <w:rsid w:val="00E72215"/>
    <w:pPr>
      <w:numPr>
        <w:numId w:val="29"/>
      </w:numPr>
      <w:tabs>
        <w:tab w:val="left" w:pos="800"/>
      </w:tabs>
      <w:overflowPunct w:val="0"/>
      <w:autoSpaceDE w:val="0"/>
      <w:autoSpaceDN w:val="0"/>
      <w:adjustRightInd w:val="0"/>
      <w:spacing w:line="360" w:lineRule="auto"/>
      <w:jc w:val="both"/>
      <w:textAlignment w:val="baseline"/>
    </w:pPr>
    <w:rPr>
      <w:rFonts w:ascii="Garamond" w:hAnsi="Garamond" w:cs="FrankRuehl"/>
      <w:spacing w:val="10"/>
      <w:szCs w:val="28"/>
    </w:rPr>
  </w:style>
  <w:style w:type="paragraph" w:customStyle="1" w:styleId="Ruller40">
    <w:name w:val="Ruller4"/>
    <w:basedOn w:val="Normal"/>
    <w:link w:val="Ruller41"/>
    <w:qFormat/>
    <w:rsid w:val="00E72215"/>
    <w:pPr>
      <w:tabs>
        <w:tab w:val="left" w:pos="800"/>
      </w:tabs>
      <w:overflowPunct w:val="0"/>
      <w:autoSpaceDE w:val="0"/>
      <w:autoSpaceDN w:val="0"/>
      <w:adjustRightInd w:val="0"/>
      <w:spacing w:line="360" w:lineRule="auto"/>
      <w:jc w:val="both"/>
      <w:textAlignment w:val="baseline"/>
    </w:pPr>
    <w:rPr>
      <w:rFonts w:ascii="Arial TUR" w:hAnsi="Arial TUR" w:cs="FrankRuehl"/>
      <w:spacing w:val="10"/>
      <w:sz w:val="22"/>
      <w:szCs w:val="28"/>
    </w:rPr>
  </w:style>
  <w:style w:type="character" w:customStyle="1" w:styleId="Ruller41">
    <w:name w:val="Ruller4 תו"/>
    <w:link w:val="Ruller40"/>
    <w:locked/>
    <w:rsid w:val="00E72215"/>
    <w:rPr>
      <w:rFonts w:ascii="Arial TUR" w:hAnsi="Arial TUR" w:cs="FrankRuehl"/>
      <w:spacing w:val="10"/>
      <w:sz w:val="22"/>
      <w:szCs w:val="28"/>
    </w:rPr>
  </w:style>
  <w:style w:type="character" w:customStyle="1" w:styleId="law-external">
    <w:name w:val="law-external"/>
    <w:rsid w:val="00E72215"/>
  </w:style>
  <w:style w:type="paragraph" w:styleId="BodyTextIndent3">
    <w:name w:val="Body Text Indent 3"/>
    <w:basedOn w:val="Normal"/>
    <w:link w:val="BodyTextIndent3Char"/>
    <w:uiPriority w:val="99"/>
    <w:unhideWhenUsed/>
    <w:rsid w:val="00393F32"/>
    <w:pPr>
      <w:spacing w:after="120" w:line="300" w:lineRule="exact"/>
      <w:ind w:left="567"/>
      <w:jc w:val="both"/>
    </w:pPr>
    <w:rPr>
      <w:rFonts w:ascii="David" w:hAnsi="David"/>
      <w:sz w:val="20"/>
      <w:szCs w:val="20"/>
    </w:rPr>
  </w:style>
  <w:style w:type="character" w:customStyle="1" w:styleId="BodyTextIndent3Char">
    <w:name w:val="Body Text Indent 3 Char"/>
    <w:link w:val="BodyTextIndent3"/>
    <w:uiPriority w:val="99"/>
    <w:rsid w:val="00393F32"/>
    <w:rPr>
      <w:rFonts w:ascii="David" w:hAnsi="David" w:cs="David"/>
    </w:rPr>
  </w:style>
  <w:style w:type="paragraph" w:customStyle="1" w:styleId="BODYVERDICT">
    <w:name w:val="BODY VERDICT"/>
    <w:basedOn w:val="Normal"/>
    <w:rsid w:val="00AE7DAB"/>
    <w:pPr>
      <w:overflowPunct w:val="0"/>
      <w:autoSpaceDE w:val="0"/>
      <w:autoSpaceDN w:val="0"/>
      <w:adjustRightInd w:val="0"/>
      <w:spacing w:line="240" w:lineRule="auto"/>
    </w:pPr>
    <w:rPr>
      <w:rFonts w:cs="FrankRuehl"/>
      <w:spacing w:val="10"/>
      <w:sz w:val="22"/>
      <w:szCs w:val="28"/>
    </w:rPr>
  </w:style>
  <w:style w:type="paragraph" w:styleId="Revision">
    <w:name w:val="Revision"/>
    <w:hidden/>
    <w:uiPriority w:val="99"/>
    <w:semiHidden/>
    <w:rsid w:val="00AE7DAB"/>
    <w:rPr>
      <w:rFonts w:ascii="Calibri" w:eastAsia="Calibri" w:hAnsi="Calibri" w:cs="Arial"/>
      <w:noProof/>
      <w:sz w:val="22"/>
      <w:szCs w:val="22"/>
    </w:rPr>
  </w:style>
  <w:style w:type="paragraph" w:customStyle="1" w:styleId="big-header">
    <w:name w:val="big-header"/>
    <w:basedOn w:val="Normal"/>
    <w:rsid w:val="00AE7DAB"/>
    <w:pPr>
      <w:bidi w:val="0"/>
      <w:spacing w:before="100" w:beforeAutospacing="1" w:after="100" w:afterAutospacing="1" w:line="240" w:lineRule="auto"/>
    </w:pPr>
    <w:rPr>
      <w:rFonts w:cs="Times New Roman"/>
    </w:rPr>
  </w:style>
  <w:style w:type="paragraph" w:customStyle="1" w:styleId="p00">
    <w:name w:val="p00"/>
    <w:basedOn w:val="Normal"/>
    <w:rsid w:val="00AE7DAB"/>
    <w:pPr>
      <w:bidi w:val="0"/>
      <w:spacing w:before="100" w:beforeAutospacing="1" w:after="100" w:afterAutospacing="1" w:line="240" w:lineRule="auto"/>
    </w:pPr>
    <w:rPr>
      <w:rFonts w:cs="Times New Roman"/>
    </w:rPr>
  </w:style>
  <w:style w:type="character" w:customStyle="1" w:styleId="big-number">
    <w:name w:val="big-number"/>
    <w:basedOn w:val="DefaultParagraphFont"/>
    <w:rsid w:val="00AE7DAB"/>
  </w:style>
  <w:style w:type="paragraph" w:customStyle="1" w:styleId="p22">
    <w:name w:val="p22"/>
    <w:basedOn w:val="Normal"/>
    <w:rsid w:val="00AE7DAB"/>
    <w:pPr>
      <w:bidi w:val="0"/>
      <w:spacing w:before="100" w:beforeAutospacing="1" w:after="100" w:afterAutospacing="1" w:line="240" w:lineRule="auto"/>
    </w:pPr>
    <w:rPr>
      <w:rFonts w:cs="Times New Roman"/>
    </w:rPr>
  </w:style>
  <w:style w:type="paragraph" w:customStyle="1" w:styleId="p33">
    <w:name w:val="p33"/>
    <w:basedOn w:val="Normal"/>
    <w:rsid w:val="00AE7DAB"/>
    <w:pPr>
      <w:bidi w:val="0"/>
      <w:spacing w:before="100" w:beforeAutospacing="1" w:after="100" w:afterAutospacing="1" w:line="240" w:lineRule="auto"/>
    </w:pPr>
    <w:rPr>
      <w:rFonts w:cs="Times New Roman"/>
    </w:rPr>
  </w:style>
  <w:style w:type="character" w:customStyle="1" w:styleId="il">
    <w:name w:val="il"/>
    <w:basedOn w:val="DefaultParagraphFont"/>
    <w:rsid w:val="00EC6C70"/>
  </w:style>
  <w:style w:type="character" w:customStyle="1" w:styleId="law-local">
    <w:name w:val="law-local"/>
    <w:basedOn w:val="DefaultParagraphFont"/>
    <w:rsid w:val="00EC6C70"/>
  </w:style>
  <w:style w:type="character" w:customStyle="1" w:styleId="cf01">
    <w:name w:val="cf01"/>
    <w:basedOn w:val="DefaultParagraphFont"/>
    <w:rsid w:val="00D541A6"/>
    <w:rPr>
      <w:rFonts w:ascii="Tahoma" w:hAnsi="Tahoma" w:cs="Tahoma" w:hint="default"/>
      <w:sz w:val="18"/>
      <w:szCs w:val="18"/>
    </w:rPr>
  </w:style>
  <w:style w:type="paragraph" w:customStyle="1" w:styleId="11">
    <w:name w:val="פיסקת רשימה1"/>
    <w:basedOn w:val="Normal"/>
    <w:qFormat/>
    <w:rsid w:val="00263722"/>
    <w:pPr>
      <w:spacing w:after="160" w:line="256" w:lineRule="auto"/>
      <w:ind w:left="720"/>
      <w:contextualSpacing/>
    </w:pPr>
    <w:rPr>
      <w:rFonts w:ascii="Calibri" w:hAnsi="Calibri" w:cs="Arial"/>
      <w:sz w:val="22"/>
      <w:szCs w:val="22"/>
    </w:rPr>
  </w:style>
  <w:style w:type="paragraph" w:customStyle="1" w:styleId="ruller5">
    <w:name w:val="ruller5"/>
    <w:basedOn w:val="Normal"/>
    <w:rsid w:val="00263722"/>
    <w:pPr>
      <w:bidi w:val="0"/>
      <w:spacing w:before="100" w:beforeAutospacing="1" w:after="100" w:afterAutospacing="1"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74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48B1B9E943322048AB0E0EBD928CE729" ma:contentTypeVersion="1" ma:contentTypeDescription="צור מסמך חדש." ma:contentTypeScope="" ma:versionID="150c2e7f5ce4fe1d1d10a1557b210b88">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0DD440-515D-44D1-9BAE-88A839F9BC61}"/>
</file>

<file path=customXml/itemProps2.xml><?xml version="1.0" encoding="utf-8"?>
<ds:datastoreItem xmlns:ds="http://schemas.openxmlformats.org/officeDocument/2006/customXml" ds:itemID="{6DA79FBD-8A6F-4F20-AC60-B8CC51B3FA9C}"/>
</file>

<file path=customXml/itemProps3.xml><?xml version="1.0" encoding="utf-8"?>
<ds:datastoreItem xmlns:ds="http://schemas.openxmlformats.org/officeDocument/2006/customXml" ds:itemID="{3AD8C0AA-C99E-48F1-9E01-E5EF4A886158}"/>
</file>

<file path=docProps/app.xml><?xml version="1.0" encoding="utf-8"?>
<Properties xmlns="http://schemas.openxmlformats.org/officeDocument/2006/extended-properties" xmlns:vt="http://schemas.openxmlformats.org/officeDocument/2006/docPropsVTypes">
  <Template>Normal.dotm</Template>
  <TotalTime>71</TotalTime>
  <Pages>7</Pages>
  <Words>2100</Words>
  <Characters>11972</Characters>
  <Application>Microsoft Office Word</Application>
  <DocSecurity>0</DocSecurity>
  <Lines>99</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חקיקה ופסיקה חברתית</vt:lpstr>
      <vt:lpstr>חקיקה ופסיקה חברתית</vt:lpstr>
    </vt:vector>
  </TitlesOfParts>
  <Company>Onit Computer Services Ltd</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חקיקה ופסיקה חברתית</dc:title>
  <dc:creator>Mordechai Frankel</dc:creator>
  <cp:lastModifiedBy>שולמית פרנקל</cp:lastModifiedBy>
  <cp:revision>19</cp:revision>
  <cp:lastPrinted>2025-01-28T06:26:00Z</cp:lastPrinted>
  <dcterms:created xsi:type="dcterms:W3CDTF">2024-11-16T08:09:00Z</dcterms:created>
  <dcterms:modified xsi:type="dcterms:W3CDTF">2025-01-28T06:27:00Z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0x01010048B1B9E943322048AB0E0EBD928CE729</vt:lpwstr>
  </property>
  <property fmtid="{D5CDD505-2E9C-101B-9397-08002B2CF9AE}" pid="3" name="Order">
    <vt:r8>1700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