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2EA65" w14:textId="77777777" w:rsidR="00122DB8" w:rsidRPr="00122DB8" w:rsidRDefault="00122DB8" w:rsidP="00122DB8">
      <w:pPr>
        <w:pStyle w:val="NAME"/>
        <w:pBdr>
          <w:bottom w:val="none" w:sz="0" w:space="0" w:color="auto"/>
        </w:pBdr>
        <w:spacing w:before="360" w:after="0" w:line="480" w:lineRule="exact"/>
        <w:rPr>
          <w:rFonts w:ascii="Tahoma" w:hAnsi="Tahoma" w:cs="Guttman Aharoni"/>
          <w:b/>
          <w:bCs/>
          <w:color w:val="2A8E8C"/>
          <w:sz w:val="32"/>
          <w:szCs w:val="32"/>
          <w:rtl/>
        </w:rPr>
      </w:pPr>
      <w:r w:rsidRPr="00122DB8">
        <w:rPr>
          <w:rFonts w:ascii="Tahoma" w:hAnsi="Tahoma" w:cs="Guttman Aharoni"/>
          <w:b/>
          <w:bCs/>
          <w:color w:val="2A8E8C"/>
          <w:sz w:val="32"/>
          <w:szCs w:val="32"/>
          <w:rtl/>
        </w:rPr>
        <w:t>חקיקה ופסיקה חברתית</w:t>
      </w:r>
    </w:p>
    <w:p w14:paraId="7FC23962" w14:textId="77777777" w:rsidR="00122DB8" w:rsidRPr="009B3DC4" w:rsidRDefault="00122DB8" w:rsidP="00122DB8">
      <w:pPr>
        <w:pStyle w:val="KOT5T"/>
        <w:spacing w:after="960" w:line="360" w:lineRule="exact"/>
        <w:jc w:val="right"/>
        <w:rPr>
          <w:color w:val="2A8E8C"/>
          <w:sz w:val="22"/>
          <w:szCs w:val="22"/>
          <w:rtl/>
        </w:rPr>
      </w:pPr>
      <w:r w:rsidRPr="009B3DC4">
        <w:rPr>
          <w:color w:val="2A8E8C"/>
          <w:sz w:val="22"/>
          <w:szCs w:val="22"/>
          <w:rtl/>
        </w:rPr>
        <w:t>מיכל סגל</w:t>
      </w:r>
      <w:r w:rsidRPr="009B3DC4">
        <w:rPr>
          <w:color w:val="2A8E8C"/>
          <w:sz w:val="22"/>
          <w:szCs w:val="22"/>
          <w:vertAlign w:val="superscript"/>
          <w:rtl/>
        </w:rPr>
        <w:footnoteReference w:id="2"/>
      </w:r>
    </w:p>
    <w:p w14:paraId="30D27896" w14:textId="77777777" w:rsidR="00122DB8" w:rsidRPr="009624B0" w:rsidRDefault="00122DB8" w:rsidP="00122DB8">
      <w:pPr>
        <w:pStyle w:val="KOT4"/>
        <w:spacing w:after="0"/>
        <w:ind w:right="0"/>
        <w:rPr>
          <w:rFonts w:cs="Guttman Aharoni"/>
          <w:color w:val="2A8E8C"/>
          <w:sz w:val="32"/>
          <w:szCs w:val="32"/>
          <w:rtl/>
        </w:rPr>
      </w:pPr>
      <w:r w:rsidRPr="009624B0">
        <w:rPr>
          <w:rFonts w:cs="Guttman Aharoni"/>
          <w:color w:val="2A8E8C"/>
          <w:sz w:val="32"/>
          <w:szCs w:val="32"/>
          <w:rtl/>
        </w:rPr>
        <w:t>חידושי פסיקה</w:t>
      </w:r>
    </w:p>
    <w:p w14:paraId="1568D10F" w14:textId="77777777" w:rsidR="00122DB8" w:rsidRPr="00863FB9" w:rsidRDefault="00122DB8" w:rsidP="00122DB8">
      <w:pPr>
        <w:spacing w:after="120" w:line="300" w:lineRule="exact"/>
        <w:jc w:val="both"/>
        <w:rPr>
          <w:color w:val="2A8E8C"/>
          <w:sz w:val="20"/>
          <w:szCs w:val="20"/>
        </w:rPr>
      </w:pPr>
    </w:p>
    <w:p w14:paraId="320A4F6E" w14:textId="3DFFD631" w:rsidR="00122DB8" w:rsidRPr="00122DB8" w:rsidRDefault="00122DB8" w:rsidP="00122DB8">
      <w:pPr>
        <w:pStyle w:val="KOT5"/>
        <w:jc w:val="both"/>
        <w:rPr>
          <w:b/>
          <w:bCs/>
          <w:color w:val="2A8E8C"/>
          <w:rtl/>
        </w:rPr>
      </w:pPr>
      <w:r w:rsidRPr="00122DB8">
        <w:rPr>
          <w:b/>
          <w:bCs/>
          <w:color w:val="2A8E8C"/>
          <w:rtl/>
        </w:rPr>
        <w:t xml:space="preserve">זכות המבקשת לעיין בפנקס </w:t>
      </w:r>
      <w:proofErr w:type="spellStart"/>
      <w:r w:rsidRPr="00122DB8">
        <w:rPr>
          <w:b/>
          <w:bCs/>
          <w:color w:val="2A8E8C"/>
          <w:rtl/>
        </w:rPr>
        <w:t>אימוצים</w:t>
      </w:r>
      <w:proofErr w:type="spellEnd"/>
      <w:r w:rsidRPr="00122DB8">
        <w:rPr>
          <w:rFonts w:hint="cs"/>
          <w:b/>
          <w:bCs/>
          <w:color w:val="2A8E8C"/>
          <w:rtl/>
        </w:rPr>
        <w:t xml:space="preserve"> </w:t>
      </w:r>
    </w:p>
    <w:p w14:paraId="50960C2C" w14:textId="77777777" w:rsidR="00122DB8" w:rsidRPr="00122DB8" w:rsidRDefault="00122DB8" w:rsidP="00122DB8">
      <w:pPr>
        <w:pStyle w:val="Bauther"/>
        <w:keepNext/>
        <w:spacing w:before="0" w:after="240" w:line="280" w:lineRule="exact"/>
        <w:jc w:val="both"/>
        <w:rPr>
          <w:rFonts w:ascii="Georgia" w:hAnsi="Georgia" w:cs="Guttman Aharoni"/>
          <w:b/>
          <w:bCs/>
          <w:sz w:val="18"/>
          <w:szCs w:val="20"/>
          <w:rtl/>
        </w:rPr>
      </w:pPr>
      <w:proofErr w:type="spellStart"/>
      <w:r w:rsidRPr="00122DB8">
        <w:rPr>
          <w:rFonts w:ascii="Georgia" w:hAnsi="Georgia" w:cs="Guttman Aharoni"/>
          <w:sz w:val="18"/>
          <w:szCs w:val="20"/>
          <w:rtl/>
        </w:rPr>
        <w:t>בעמ</w:t>
      </w:r>
      <w:proofErr w:type="spellEnd"/>
      <w:r w:rsidRPr="00122DB8">
        <w:rPr>
          <w:rFonts w:ascii="Georgia" w:hAnsi="Georgia" w:cs="Guttman Aharoni"/>
          <w:sz w:val="18"/>
          <w:szCs w:val="20"/>
          <w:rtl/>
        </w:rPr>
        <w:t xml:space="preserve"> 420/24 </w:t>
      </w:r>
      <w:r w:rsidRPr="00122DB8">
        <w:rPr>
          <w:rFonts w:ascii="Georgia" w:hAnsi="Georgia" w:cs="Guttman Aharoni"/>
          <w:b/>
          <w:bCs/>
          <w:sz w:val="18"/>
          <w:szCs w:val="20"/>
          <w:rtl/>
        </w:rPr>
        <w:t xml:space="preserve">פלונית נ' פרקליטות המדינה </w:t>
      </w:r>
      <w:r w:rsidRPr="00122DB8">
        <w:rPr>
          <w:rFonts w:ascii="Georgia" w:hAnsi="Georgia" w:cs="Guttman Aharoni" w:hint="cs"/>
          <w:b/>
          <w:bCs/>
          <w:sz w:val="18"/>
          <w:szCs w:val="20"/>
          <w:rtl/>
        </w:rPr>
        <w:t>–</w:t>
      </w:r>
      <w:r w:rsidRPr="00122DB8">
        <w:rPr>
          <w:rFonts w:ascii="Georgia" w:hAnsi="Georgia" w:cs="Guttman Aharoni"/>
          <w:b/>
          <w:bCs/>
          <w:sz w:val="18"/>
          <w:szCs w:val="20"/>
          <w:rtl/>
        </w:rPr>
        <w:t xml:space="preserve"> המחלקה האזרחית</w:t>
      </w:r>
      <w:r w:rsidRPr="00122DB8">
        <w:rPr>
          <w:rFonts w:ascii="Georgia" w:hAnsi="Georgia" w:cs="Guttman Aharoni"/>
          <w:sz w:val="18"/>
          <w:szCs w:val="20"/>
          <w:rtl/>
        </w:rPr>
        <w:t xml:space="preserve"> (ניתן בבית המשפט העליון ב</w:t>
      </w:r>
      <w:r w:rsidRPr="00122DB8">
        <w:rPr>
          <w:rFonts w:ascii="David" w:hAnsi="David" w:cs="David"/>
          <w:sz w:val="18"/>
          <w:szCs w:val="20"/>
          <w:rtl/>
        </w:rPr>
        <w:t>-</w:t>
      </w:r>
      <w:r w:rsidRPr="00122DB8">
        <w:rPr>
          <w:rFonts w:ascii="Georgia" w:hAnsi="Georgia" w:cs="Guttman Aharoni"/>
          <w:sz w:val="18"/>
          <w:szCs w:val="20"/>
          <w:rtl/>
        </w:rPr>
        <w:t>29 בספטמבר 2024)</w:t>
      </w:r>
    </w:p>
    <w:p w14:paraId="275DCC54" w14:textId="77777777" w:rsidR="00122DB8" w:rsidRPr="00122DB8" w:rsidRDefault="00122DB8" w:rsidP="00122DB8">
      <w:pPr>
        <w:spacing w:after="180" w:line="260" w:lineRule="exact"/>
        <w:jc w:val="both"/>
        <w:rPr>
          <w:rFonts w:ascii="Georgia" w:hAnsi="Georgia"/>
          <w:sz w:val="18"/>
          <w:szCs w:val="20"/>
          <w:rtl/>
        </w:rPr>
      </w:pPr>
      <w:r w:rsidRPr="00122DB8">
        <w:rPr>
          <w:rFonts w:ascii="Georgia" w:hAnsi="Georgia"/>
          <w:sz w:val="18"/>
          <w:szCs w:val="20"/>
          <w:rtl/>
        </w:rPr>
        <w:t>בפסק דין נדונה בקשת ערעור על פסק דינו של בית המשפט המחוזי מרכז-לוד</w:t>
      </w:r>
      <w:r w:rsidRPr="00122DB8">
        <w:rPr>
          <w:rFonts w:ascii="Georgia" w:hAnsi="Georgia" w:hint="cs"/>
          <w:sz w:val="18"/>
          <w:szCs w:val="20"/>
          <w:rtl/>
        </w:rPr>
        <w:t>,</w:t>
      </w:r>
      <w:r w:rsidRPr="00122DB8">
        <w:rPr>
          <w:rFonts w:ascii="Georgia" w:hAnsi="Georgia"/>
          <w:sz w:val="18"/>
          <w:szCs w:val="20"/>
          <w:rtl/>
        </w:rPr>
        <w:t xml:space="preserve"> שדחה ערעור על החלטת בית המשפט לענייני משפחה שלא לאפשר למערערת לעיין בפרטים המזהים של א</w:t>
      </w:r>
      <w:r w:rsidRPr="00122DB8">
        <w:rPr>
          <w:rFonts w:ascii="Georgia" w:hAnsi="Georgia" w:hint="cs"/>
          <w:sz w:val="18"/>
          <w:szCs w:val="20"/>
          <w:rtl/>
        </w:rPr>
        <w:t>י</w:t>
      </w:r>
      <w:r w:rsidRPr="00122DB8">
        <w:rPr>
          <w:rFonts w:ascii="Georgia" w:hAnsi="Georgia"/>
          <w:sz w:val="18"/>
          <w:szCs w:val="20"/>
          <w:rtl/>
        </w:rPr>
        <w:t xml:space="preserve">מה הביולוגית בפנקס </w:t>
      </w:r>
      <w:proofErr w:type="spellStart"/>
      <w:r w:rsidRPr="00122DB8">
        <w:rPr>
          <w:rFonts w:ascii="Georgia" w:hAnsi="Georgia"/>
          <w:sz w:val="18"/>
          <w:szCs w:val="20"/>
          <w:rtl/>
        </w:rPr>
        <w:t>האימוצים</w:t>
      </w:r>
      <w:proofErr w:type="spellEnd"/>
      <w:r w:rsidRPr="00122DB8">
        <w:rPr>
          <w:rFonts w:ascii="Georgia" w:hAnsi="Georgia"/>
          <w:sz w:val="18"/>
          <w:szCs w:val="20"/>
          <w:rtl/>
        </w:rPr>
        <w:t>. המערערת</w:t>
      </w:r>
      <w:r w:rsidRPr="00122DB8">
        <w:rPr>
          <w:rFonts w:ascii="Georgia" w:hAnsi="Georgia" w:hint="cs"/>
          <w:sz w:val="18"/>
          <w:szCs w:val="20"/>
          <w:rtl/>
        </w:rPr>
        <w:t>,</w:t>
      </w:r>
      <w:r w:rsidRPr="00122DB8">
        <w:rPr>
          <w:rFonts w:ascii="Georgia" w:hAnsi="Georgia"/>
          <w:sz w:val="18"/>
          <w:szCs w:val="20"/>
          <w:rtl/>
        </w:rPr>
        <w:t xml:space="preserve"> שנמסרה לאימוץ בהיותה בת שבועות מספר, פנתה לראשונה לשירות למען הילד בשנת 1999 בבקשה לקבל מידע על אודות א</w:t>
      </w:r>
      <w:r w:rsidRPr="00122DB8">
        <w:rPr>
          <w:rFonts w:ascii="Georgia" w:hAnsi="Georgia" w:hint="cs"/>
          <w:sz w:val="18"/>
          <w:szCs w:val="20"/>
          <w:rtl/>
        </w:rPr>
        <w:t>י</w:t>
      </w:r>
      <w:r w:rsidRPr="00122DB8">
        <w:rPr>
          <w:rFonts w:ascii="Georgia" w:hAnsi="Georgia"/>
          <w:sz w:val="18"/>
          <w:szCs w:val="20"/>
          <w:rtl/>
        </w:rPr>
        <w:t>מה הביולוגית. בעקבות פנייתה נמסר לה מידע לא מזהה, ובכלל זה כי א</w:t>
      </w:r>
      <w:r w:rsidRPr="00122DB8">
        <w:rPr>
          <w:rFonts w:ascii="Georgia" w:hAnsi="Georgia" w:hint="cs"/>
          <w:sz w:val="18"/>
          <w:szCs w:val="20"/>
          <w:rtl/>
        </w:rPr>
        <w:t>י</w:t>
      </w:r>
      <w:r w:rsidRPr="00122DB8">
        <w:rPr>
          <w:rFonts w:ascii="Georgia" w:hAnsi="Georgia"/>
          <w:sz w:val="18"/>
          <w:szCs w:val="20"/>
          <w:rtl/>
        </w:rPr>
        <w:t xml:space="preserve">מה </w:t>
      </w:r>
      <w:proofErr w:type="spellStart"/>
      <w:r w:rsidRPr="00122DB8">
        <w:rPr>
          <w:rFonts w:ascii="Georgia" w:hAnsi="Georgia"/>
          <w:sz w:val="18"/>
          <w:szCs w:val="20"/>
          <w:rtl/>
        </w:rPr>
        <w:t>היתה</w:t>
      </w:r>
      <w:proofErr w:type="spellEnd"/>
      <w:r w:rsidRPr="00122DB8">
        <w:rPr>
          <w:rFonts w:ascii="Georgia" w:hAnsi="Georgia"/>
          <w:sz w:val="18"/>
          <w:szCs w:val="20"/>
          <w:rtl/>
        </w:rPr>
        <w:t xml:space="preserve"> בת 19 בעת הלידה, בת למשפחה דתית, וכי מסרה אותה לאימוץ מחשש לתגובת משפחתה. כן נמסר לה כי האם נישאה לאחר מכן ונולדו לה ארבעה ילדים. בשנים 1999, 2007 ו-2016 ניסה השירות למען הילד ליצור קשר עם האם הביולוגית</w:t>
      </w:r>
      <w:r w:rsidRPr="00122DB8">
        <w:rPr>
          <w:rFonts w:ascii="Georgia" w:hAnsi="Georgia" w:hint="cs"/>
          <w:sz w:val="18"/>
          <w:szCs w:val="20"/>
          <w:rtl/>
        </w:rPr>
        <w:t>,</w:t>
      </w:r>
      <w:r w:rsidRPr="00122DB8">
        <w:rPr>
          <w:rFonts w:ascii="Georgia" w:hAnsi="Georgia"/>
          <w:sz w:val="18"/>
          <w:szCs w:val="20"/>
          <w:rtl/>
        </w:rPr>
        <w:t xml:space="preserve"> לבקשת המערערת, אך האם הביעה התנגדות נחרצת למפגש והתקשתה לתפקד בעקבות הפניות אליה. בשנת 2021 הגישה המערערת בקשה לפי סעיף 30(ב) לחוק אימוץ ילדים, התשמ"א-1981 לעיין בפנקס </w:t>
      </w:r>
      <w:proofErr w:type="spellStart"/>
      <w:r w:rsidRPr="00122DB8">
        <w:rPr>
          <w:rFonts w:ascii="Georgia" w:hAnsi="Georgia"/>
          <w:sz w:val="18"/>
          <w:szCs w:val="20"/>
          <w:rtl/>
        </w:rPr>
        <w:t>האימוצים</w:t>
      </w:r>
      <w:proofErr w:type="spellEnd"/>
      <w:r w:rsidRPr="00122DB8">
        <w:rPr>
          <w:rFonts w:ascii="Georgia" w:hAnsi="Georgia"/>
          <w:sz w:val="18"/>
          <w:szCs w:val="20"/>
          <w:rtl/>
        </w:rPr>
        <w:t>:</w:t>
      </w:r>
    </w:p>
    <w:p w14:paraId="54746BE9" w14:textId="77777777" w:rsidR="00122DB8" w:rsidRPr="00122DB8" w:rsidRDefault="00122DB8" w:rsidP="00122DB8">
      <w:pPr>
        <w:spacing w:after="180" w:line="260" w:lineRule="exact"/>
        <w:ind w:left="567"/>
        <w:jc w:val="both"/>
        <w:rPr>
          <w:rFonts w:ascii="Georgia" w:hAnsi="Georgia"/>
          <w:sz w:val="18"/>
          <w:szCs w:val="20"/>
          <w:rtl/>
        </w:rPr>
      </w:pPr>
      <w:r w:rsidRPr="00122DB8">
        <w:rPr>
          <w:rFonts w:ascii="Georgia" w:hAnsi="Georgia"/>
          <w:sz w:val="18"/>
          <w:szCs w:val="20"/>
          <w:rtl/>
        </w:rPr>
        <w:t>לפי בקשת מאומץ שמלאו לו 18 שנים, רשאי עובד סוציאלי לפי חוק האימוץ להתיר לו לעיין בפנקס ברישום המתייחס אליו; סירב העובד הסוציאלי לבקשה, רשאי בית המשפט להתיר את העיון לאחר קבלת תסקיר מעובד סוציאלי לפי חוק האימוץ.</w:t>
      </w:r>
    </w:p>
    <w:p w14:paraId="115CA8BB" w14:textId="77777777" w:rsidR="00122DB8" w:rsidRPr="00122DB8" w:rsidRDefault="00122DB8" w:rsidP="00122DB8">
      <w:pPr>
        <w:spacing w:after="180" w:line="260" w:lineRule="exact"/>
        <w:jc w:val="both"/>
        <w:rPr>
          <w:rFonts w:ascii="Georgia" w:hAnsi="Georgia"/>
          <w:spacing w:val="2"/>
          <w:sz w:val="18"/>
          <w:szCs w:val="20"/>
          <w:rtl/>
        </w:rPr>
      </w:pPr>
      <w:r w:rsidRPr="00122DB8">
        <w:rPr>
          <w:rFonts w:ascii="Georgia" w:hAnsi="Georgia"/>
          <w:spacing w:val="2"/>
          <w:sz w:val="18"/>
          <w:szCs w:val="20"/>
          <w:rtl/>
        </w:rPr>
        <w:t>הבקשה נדחתה בבית המשפט לענייני משפחה ובבית המשפט המחוזי, חרף התחייבות המערערת להסתפק בקבלת פרטי זיהוי בלבד ולהימנע מיצירת קשר עם האם</w:t>
      </w:r>
      <w:r w:rsidRPr="00122DB8">
        <w:rPr>
          <w:rFonts w:ascii="Georgia" w:hAnsi="Georgia" w:hint="cs"/>
          <w:spacing w:val="2"/>
          <w:sz w:val="18"/>
          <w:szCs w:val="20"/>
          <w:rtl/>
        </w:rPr>
        <w:t>.</w:t>
      </w:r>
      <w:r w:rsidRPr="00122DB8">
        <w:rPr>
          <w:rFonts w:ascii="Georgia" w:hAnsi="Georgia"/>
          <w:spacing w:val="2"/>
          <w:sz w:val="18"/>
          <w:szCs w:val="20"/>
          <w:rtl/>
        </w:rPr>
        <w:t xml:space="preserve"> מכאן הערעור לבית המשפט העליון.</w:t>
      </w:r>
    </w:p>
    <w:p w14:paraId="2AC1D4AB" w14:textId="77777777" w:rsidR="00122DB8" w:rsidRPr="00122DB8" w:rsidRDefault="00122DB8" w:rsidP="00122DB8">
      <w:pPr>
        <w:spacing w:after="180" w:line="260" w:lineRule="exact"/>
        <w:jc w:val="both"/>
        <w:rPr>
          <w:rFonts w:ascii="Georgia" w:hAnsi="Georgia"/>
          <w:sz w:val="18"/>
          <w:szCs w:val="20"/>
          <w:rtl/>
        </w:rPr>
      </w:pPr>
      <w:r w:rsidRPr="00122DB8">
        <w:rPr>
          <w:rFonts w:ascii="Georgia" w:hAnsi="Georgia"/>
          <w:sz w:val="18"/>
          <w:szCs w:val="20"/>
          <w:rtl/>
        </w:rPr>
        <w:t xml:space="preserve">המערערת טענה כי זכותה לדעת את זהות הוריה הביולוגיים היא זכות יסוד מהמעלה </w:t>
      </w:r>
      <w:r w:rsidRPr="00122DB8">
        <w:rPr>
          <w:rFonts w:ascii="Georgia" w:hAnsi="Georgia" w:hint="cs"/>
          <w:sz w:val="18"/>
          <w:szCs w:val="20"/>
          <w:rtl/>
        </w:rPr>
        <w:t xml:space="preserve">הראשונה, </w:t>
      </w:r>
      <w:r w:rsidRPr="00122DB8">
        <w:rPr>
          <w:rFonts w:ascii="Georgia" w:hAnsi="Georgia"/>
          <w:sz w:val="18"/>
          <w:szCs w:val="20"/>
          <w:rtl/>
        </w:rPr>
        <w:t>הנגזרת מכבוד האדם, וכי הפרקטיקה הנוהגת מעניקה להורה הביולוגי זכות וטו שאינה מעוגנת בחוק. היא הדגישה את נכונותה להסתפק בקבלת פרטי זיהוי בלבד</w:t>
      </w:r>
      <w:r w:rsidRPr="00122DB8">
        <w:rPr>
          <w:rFonts w:ascii="Georgia" w:hAnsi="Georgia" w:hint="cs"/>
          <w:sz w:val="18"/>
          <w:szCs w:val="20"/>
          <w:rtl/>
        </w:rPr>
        <w:t>,</w:t>
      </w:r>
      <w:r w:rsidRPr="00122DB8">
        <w:rPr>
          <w:rFonts w:ascii="Georgia" w:hAnsi="Georgia"/>
          <w:sz w:val="18"/>
          <w:szCs w:val="20"/>
          <w:rtl/>
        </w:rPr>
        <w:t xml:space="preserve"> והתחייבה שלא ליצור קשר עם האם. מנגד, המשיבה טענה כי יש לאזן בין זכות המאומץ לבין זכות ההורה הביולוגי </w:t>
      </w:r>
      <w:r w:rsidRPr="00122DB8">
        <w:rPr>
          <w:rFonts w:ascii="Georgia" w:hAnsi="Georgia"/>
          <w:sz w:val="18"/>
          <w:szCs w:val="20"/>
          <w:rtl/>
        </w:rPr>
        <w:lastRenderedPageBreak/>
        <w:t xml:space="preserve">לפרטיות, והדגישה את החשש לפגיעה </w:t>
      </w:r>
      <w:r w:rsidRPr="00122DB8">
        <w:rPr>
          <w:rFonts w:ascii="Georgia" w:hAnsi="Georgia" w:hint="cs"/>
          <w:sz w:val="18"/>
          <w:szCs w:val="20"/>
          <w:rtl/>
        </w:rPr>
        <w:t>קשה</w:t>
      </w:r>
      <w:r w:rsidRPr="00122DB8">
        <w:rPr>
          <w:rFonts w:ascii="Georgia" w:hAnsi="Georgia"/>
          <w:sz w:val="18"/>
          <w:szCs w:val="20"/>
          <w:rtl/>
        </w:rPr>
        <w:t xml:space="preserve"> באם הביולוגית אם זהותה תיחשף</w:t>
      </w:r>
      <w:r w:rsidRPr="00122DB8">
        <w:rPr>
          <w:rFonts w:ascii="Georgia" w:hAnsi="Georgia" w:hint="cs"/>
          <w:sz w:val="18"/>
          <w:szCs w:val="20"/>
          <w:rtl/>
        </w:rPr>
        <w:t xml:space="preserve"> </w:t>
      </w:r>
      <w:r w:rsidRPr="00122DB8">
        <w:rPr>
          <w:rFonts w:ascii="Georgia" w:hAnsi="Georgia" w:hint="eastAsia"/>
          <w:sz w:val="18"/>
          <w:szCs w:val="20"/>
          <w:rtl/>
        </w:rPr>
        <w:t>–</w:t>
      </w:r>
      <w:r w:rsidRPr="00122DB8">
        <w:rPr>
          <w:rFonts w:ascii="Georgia" w:hAnsi="Georgia"/>
          <w:sz w:val="18"/>
          <w:szCs w:val="20"/>
          <w:rtl/>
        </w:rPr>
        <w:t xml:space="preserve"> במיוחד לאור התנגדותה העקבית והחד-משמעית</w:t>
      </w:r>
      <w:r w:rsidRPr="00122DB8">
        <w:rPr>
          <w:rFonts w:ascii="Georgia" w:hAnsi="Georgia" w:hint="cs"/>
          <w:sz w:val="18"/>
          <w:szCs w:val="20"/>
          <w:rtl/>
        </w:rPr>
        <w:t>,</w:t>
      </w:r>
      <w:r w:rsidRPr="00122DB8">
        <w:rPr>
          <w:rFonts w:ascii="Georgia" w:hAnsi="Georgia"/>
          <w:sz w:val="18"/>
          <w:szCs w:val="20"/>
          <w:rtl/>
        </w:rPr>
        <w:t xml:space="preserve"> לאורך שנים</w:t>
      </w:r>
      <w:r w:rsidRPr="00122DB8">
        <w:rPr>
          <w:rFonts w:ascii="Georgia" w:hAnsi="Georgia" w:hint="cs"/>
          <w:sz w:val="18"/>
          <w:szCs w:val="20"/>
          <w:rtl/>
        </w:rPr>
        <w:t>,</w:t>
      </w:r>
      <w:r w:rsidRPr="00122DB8" w:rsidDel="007B6A15">
        <w:rPr>
          <w:rFonts w:ascii="Georgia" w:hAnsi="Georgia"/>
          <w:sz w:val="18"/>
          <w:szCs w:val="20"/>
          <w:rtl/>
        </w:rPr>
        <w:t xml:space="preserve"> </w:t>
      </w:r>
      <w:r w:rsidRPr="00122DB8">
        <w:rPr>
          <w:rFonts w:ascii="Georgia" w:hAnsi="Georgia" w:hint="cs"/>
          <w:sz w:val="18"/>
          <w:szCs w:val="20"/>
          <w:rtl/>
        </w:rPr>
        <w:t>ל</w:t>
      </w:r>
      <w:r w:rsidRPr="00122DB8">
        <w:rPr>
          <w:rFonts w:ascii="Georgia" w:hAnsi="Georgia"/>
          <w:sz w:val="18"/>
          <w:szCs w:val="20"/>
          <w:rtl/>
        </w:rPr>
        <w:t>חשיפת זהותה.</w:t>
      </w:r>
    </w:p>
    <w:p w14:paraId="69086994" w14:textId="77777777" w:rsidR="00122DB8" w:rsidRPr="00122DB8" w:rsidRDefault="00122DB8" w:rsidP="00122DB8">
      <w:pPr>
        <w:spacing w:after="180" w:line="260" w:lineRule="exact"/>
        <w:jc w:val="both"/>
        <w:rPr>
          <w:rFonts w:ascii="Georgia" w:hAnsi="Georgia"/>
          <w:sz w:val="18"/>
          <w:szCs w:val="20"/>
          <w:rtl/>
        </w:rPr>
      </w:pPr>
      <w:r w:rsidRPr="00122DB8">
        <w:rPr>
          <w:rFonts w:ascii="Georgia" w:hAnsi="Georgia"/>
          <w:sz w:val="18"/>
          <w:szCs w:val="20"/>
          <w:rtl/>
        </w:rPr>
        <w:t xml:space="preserve">בפסק דין שניתן בבית המשפט העליון על ידי השופטת יעל </w:t>
      </w:r>
      <w:proofErr w:type="spellStart"/>
      <w:r w:rsidRPr="00122DB8">
        <w:rPr>
          <w:rFonts w:ascii="Georgia" w:hAnsi="Georgia"/>
          <w:sz w:val="18"/>
          <w:szCs w:val="20"/>
          <w:rtl/>
        </w:rPr>
        <w:t>וילנר</w:t>
      </w:r>
      <w:proofErr w:type="spellEnd"/>
      <w:r w:rsidRPr="00122DB8">
        <w:rPr>
          <w:rFonts w:ascii="Georgia" w:hAnsi="Georgia"/>
          <w:sz w:val="18"/>
          <w:szCs w:val="20"/>
          <w:rtl/>
        </w:rPr>
        <w:t xml:space="preserve"> והשופטים חאלד כבוב וא' שטיין נבחן האיזון בין רצונה של המבקשת לעיין בפנקס האימוץ ולגלות את ז</w:t>
      </w:r>
      <w:r w:rsidRPr="00122DB8">
        <w:rPr>
          <w:rFonts w:ascii="Georgia" w:hAnsi="Georgia" w:hint="cs"/>
          <w:sz w:val="18"/>
          <w:szCs w:val="20"/>
          <w:rtl/>
        </w:rPr>
        <w:t xml:space="preserve">הות </w:t>
      </w:r>
      <w:r w:rsidRPr="00122DB8">
        <w:rPr>
          <w:rFonts w:ascii="Georgia" w:hAnsi="Georgia"/>
          <w:sz w:val="18"/>
          <w:szCs w:val="20"/>
          <w:rtl/>
        </w:rPr>
        <w:t>הוריה הביולוגי</w:t>
      </w:r>
      <w:r w:rsidRPr="00122DB8">
        <w:rPr>
          <w:rFonts w:ascii="Georgia" w:hAnsi="Georgia" w:hint="cs"/>
          <w:sz w:val="18"/>
          <w:szCs w:val="20"/>
          <w:rtl/>
        </w:rPr>
        <w:t>ים</w:t>
      </w:r>
      <w:r w:rsidRPr="00122DB8">
        <w:rPr>
          <w:rFonts w:ascii="Georgia" w:hAnsi="Georgia"/>
          <w:sz w:val="18"/>
          <w:szCs w:val="20"/>
          <w:rtl/>
        </w:rPr>
        <w:t xml:space="preserve"> לבין זכות האם ש</w:t>
      </w:r>
      <w:r w:rsidRPr="00122DB8">
        <w:rPr>
          <w:rFonts w:ascii="Georgia" w:hAnsi="Georgia" w:hint="cs"/>
          <w:sz w:val="18"/>
          <w:szCs w:val="20"/>
          <w:rtl/>
        </w:rPr>
        <w:t>ז</w:t>
      </w:r>
      <w:r w:rsidRPr="00122DB8">
        <w:rPr>
          <w:rFonts w:ascii="Georgia" w:hAnsi="Georgia"/>
          <w:sz w:val="18"/>
          <w:szCs w:val="20"/>
          <w:rtl/>
        </w:rPr>
        <w:t>הותה לא תיחשף בפני המבקשת.</w:t>
      </w:r>
    </w:p>
    <w:p w14:paraId="02C73B38" w14:textId="77777777" w:rsidR="00122DB8" w:rsidRPr="00122DB8" w:rsidRDefault="00122DB8" w:rsidP="00122DB8">
      <w:pPr>
        <w:spacing w:after="180" w:line="260" w:lineRule="exact"/>
        <w:jc w:val="both"/>
        <w:rPr>
          <w:rFonts w:ascii="Georgia" w:hAnsi="Georgia"/>
          <w:sz w:val="18"/>
          <w:szCs w:val="20"/>
          <w:rtl/>
        </w:rPr>
      </w:pPr>
      <w:r w:rsidRPr="00122DB8">
        <w:rPr>
          <w:rFonts w:ascii="Georgia" w:hAnsi="Georgia" w:hint="cs"/>
          <w:sz w:val="18"/>
          <w:szCs w:val="20"/>
          <w:rtl/>
        </w:rPr>
        <w:t xml:space="preserve">בפסק הדין, השופטים מדגישים שחוק האימוץ </w:t>
      </w:r>
      <w:r w:rsidRPr="00122DB8">
        <w:rPr>
          <w:rFonts w:ascii="Georgia" w:hAnsi="Georgia"/>
          <w:sz w:val="18"/>
          <w:szCs w:val="20"/>
          <w:rtl/>
        </w:rPr>
        <w:t>מעדיף בב</w:t>
      </w:r>
      <w:r w:rsidRPr="00122DB8">
        <w:rPr>
          <w:rFonts w:ascii="Georgia" w:hAnsi="Georgia" w:hint="cs"/>
          <w:sz w:val="18"/>
          <w:szCs w:val="20"/>
          <w:rtl/>
        </w:rPr>
        <w:t>י</w:t>
      </w:r>
      <w:r w:rsidRPr="00122DB8">
        <w:rPr>
          <w:rFonts w:ascii="Georgia" w:hAnsi="Georgia"/>
          <w:sz w:val="18"/>
          <w:szCs w:val="20"/>
          <w:rtl/>
        </w:rPr>
        <w:t xml:space="preserve">רור את זכותו של המאומץ לדעת </w:t>
      </w:r>
      <w:r w:rsidRPr="00122DB8">
        <w:rPr>
          <w:rFonts w:ascii="Georgia" w:hAnsi="Georgia" w:hint="cs"/>
          <w:sz w:val="18"/>
          <w:szCs w:val="20"/>
          <w:rtl/>
        </w:rPr>
        <w:t>את</w:t>
      </w:r>
      <w:r w:rsidRPr="00122DB8">
        <w:rPr>
          <w:rFonts w:ascii="Georgia" w:hAnsi="Georgia"/>
          <w:sz w:val="18"/>
          <w:szCs w:val="20"/>
          <w:rtl/>
        </w:rPr>
        <w:t xml:space="preserve"> זהות הוריו הביולוגיים על פני זכותם של ההורים הביולוגיים למנוע זאת. הדבר ניכר בכך שהחוק מאפשר למאומץ לערער לבית המשפט אם נדחתה בקשתו </w:t>
      </w:r>
      <w:r w:rsidRPr="00122DB8">
        <w:rPr>
          <w:rFonts w:ascii="Georgia" w:hAnsi="Georgia" w:hint="cs"/>
          <w:sz w:val="18"/>
          <w:szCs w:val="20"/>
          <w:rtl/>
        </w:rPr>
        <w:t xml:space="preserve">כי העובד הסוציאלי לחוק האימוץ יעיין בפרטי הוריו, </w:t>
      </w:r>
      <w:r w:rsidRPr="00122DB8">
        <w:rPr>
          <w:rFonts w:ascii="Georgia" w:hAnsi="Georgia"/>
          <w:sz w:val="18"/>
          <w:szCs w:val="20"/>
          <w:rtl/>
        </w:rPr>
        <w:t xml:space="preserve">אך אינו מעניק זכות דומה להורה הביולוגי לערער אם הבקשה התקבלה. עם זאת, זכות המאומץ אינה מוחלטת </w:t>
      </w:r>
      <w:r w:rsidRPr="00122DB8">
        <w:rPr>
          <w:rFonts w:ascii="Georgia" w:hAnsi="Georgia" w:hint="cs"/>
          <w:sz w:val="18"/>
          <w:szCs w:val="20"/>
          <w:rtl/>
        </w:rPr>
        <w:t>–</w:t>
      </w:r>
      <w:r w:rsidRPr="00122DB8">
        <w:rPr>
          <w:rFonts w:ascii="Georgia" w:hAnsi="Georgia"/>
          <w:sz w:val="18"/>
          <w:szCs w:val="20"/>
          <w:rtl/>
        </w:rPr>
        <w:t xml:space="preserve"> יש להתחשב גם בזכות הפרטיות של ההורים הביולוגיים ובהשלכות שעשויות להיות לחשיפת זהותם. במקרים מיוחדים, כאשר ההשלכות על ההורה הביולוגי הן קשות במיוחד, ניתן לדחות את בקשת המאומץ</w:t>
      </w:r>
      <w:r w:rsidRPr="00122DB8">
        <w:rPr>
          <w:rFonts w:ascii="Georgia" w:hAnsi="Georgia"/>
          <w:sz w:val="18"/>
          <w:szCs w:val="20"/>
        </w:rPr>
        <w:t>.</w:t>
      </w:r>
    </w:p>
    <w:p w14:paraId="30378EC3" w14:textId="77777777" w:rsidR="00122DB8" w:rsidRPr="00122DB8" w:rsidRDefault="00122DB8" w:rsidP="00122DB8">
      <w:pPr>
        <w:spacing w:after="180" w:line="260" w:lineRule="exact"/>
        <w:jc w:val="both"/>
        <w:rPr>
          <w:rFonts w:ascii="Georgia" w:hAnsi="Georgia"/>
          <w:sz w:val="18"/>
          <w:szCs w:val="20"/>
          <w:rtl/>
        </w:rPr>
      </w:pPr>
      <w:r w:rsidRPr="00122DB8">
        <w:rPr>
          <w:rFonts w:ascii="Georgia" w:hAnsi="Georgia"/>
          <w:sz w:val="18"/>
          <w:szCs w:val="20"/>
          <w:rtl/>
        </w:rPr>
        <w:t xml:space="preserve">בית המשפט העליון קיבל את הערעור בחלקו וקבע כי קיימת חזקת גילוי לטובת המבקשת, </w:t>
      </w:r>
      <w:r w:rsidRPr="00122DB8">
        <w:rPr>
          <w:rFonts w:ascii="Georgia" w:hAnsi="Georgia" w:hint="cs"/>
          <w:sz w:val="18"/>
          <w:szCs w:val="20"/>
          <w:rtl/>
        </w:rPr>
        <w:t xml:space="preserve">וזו </w:t>
      </w:r>
      <w:r w:rsidRPr="00122DB8">
        <w:rPr>
          <w:rFonts w:ascii="Georgia" w:hAnsi="Georgia"/>
          <w:sz w:val="18"/>
          <w:szCs w:val="20"/>
          <w:rtl/>
        </w:rPr>
        <w:t xml:space="preserve">ניתנת לסתירה רק במקרים </w:t>
      </w:r>
      <w:r w:rsidRPr="00122DB8">
        <w:rPr>
          <w:rFonts w:ascii="Georgia" w:hAnsi="Georgia" w:hint="cs"/>
          <w:sz w:val="18"/>
          <w:szCs w:val="20"/>
          <w:rtl/>
        </w:rPr>
        <w:t>ש</w:t>
      </w:r>
      <w:r w:rsidRPr="00122DB8">
        <w:rPr>
          <w:rFonts w:ascii="Georgia" w:hAnsi="Georgia"/>
          <w:sz w:val="18"/>
          <w:szCs w:val="20"/>
          <w:rtl/>
        </w:rPr>
        <w:t>בהם קיים חשש לנזק ממשי לאם (ההורה הביולוגי). בהתאם, הוחלט להחזיר את התיק לבית המשפט לענייני משפחה לדיון מחדש, תוך התחשבות בהתחייבות המערערת שלא ליצור קשר עם האם. בהנמקתו התבסס בית המשפט על סעיף 1(ב) לחוק האימוץ</w:t>
      </w:r>
      <w:r w:rsidRPr="00122DB8">
        <w:rPr>
          <w:rFonts w:ascii="Georgia" w:hAnsi="Georgia" w:hint="cs"/>
          <w:sz w:val="18"/>
          <w:szCs w:val="20"/>
          <w:rtl/>
        </w:rPr>
        <w:t>,</w:t>
      </w:r>
      <w:r w:rsidRPr="00122DB8">
        <w:rPr>
          <w:rFonts w:ascii="Georgia" w:hAnsi="Georgia"/>
          <w:sz w:val="18"/>
          <w:szCs w:val="20"/>
          <w:rtl/>
        </w:rPr>
        <w:t xml:space="preserve"> הקובע כי טובת המאומץ היא השיקול המרכזי, והדגיש כי </w:t>
      </w:r>
      <w:r w:rsidRPr="00122DB8">
        <w:rPr>
          <w:rFonts w:ascii="Georgia" w:hAnsi="Georgia" w:hint="cs"/>
          <w:sz w:val="18"/>
          <w:szCs w:val="20"/>
          <w:rtl/>
        </w:rPr>
        <w:t xml:space="preserve">אין </w:t>
      </w:r>
      <w:r w:rsidRPr="00122DB8">
        <w:rPr>
          <w:rFonts w:ascii="Georgia" w:hAnsi="Georgia"/>
          <w:sz w:val="18"/>
          <w:szCs w:val="20"/>
          <w:rtl/>
        </w:rPr>
        <w:t>בחוק זכות וטו להורה הביולוגי. נקבע כי יש לאזן בין הזכויות תוך מתן משקל מיוחד לטובת המאומץ, וכי כאשר החשש העיקרי הוא מיצירת קשר, התחייבות המאומץ להימנע מכך עשויה לשנות את האיזון. השופט שטיין הוסיף בדעת יחיד כי הפרת התחייבות</w:t>
      </w:r>
      <w:r w:rsidRPr="00122DB8">
        <w:rPr>
          <w:rFonts w:ascii="Georgia" w:hAnsi="Georgia" w:hint="cs"/>
          <w:sz w:val="18"/>
          <w:szCs w:val="20"/>
          <w:rtl/>
        </w:rPr>
        <w:t>ו של</w:t>
      </w:r>
      <w:r w:rsidRPr="00122DB8">
        <w:rPr>
          <w:rFonts w:ascii="Georgia" w:hAnsi="Georgia"/>
          <w:sz w:val="18"/>
          <w:szCs w:val="20"/>
          <w:rtl/>
        </w:rPr>
        <w:t xml:space="preserve"> המאומץ שלא ליצור קשר עלולה לה</w:t>
      </w:r>
      <w:r w:rsidRPr="00122DB8">
        <w:rPr>
          <w:rFonts w:ascii="Georgia" w:hAnsi="Georgia" w:hint="cs"/>
          <w:sz w:val="18"/>
          <w:szCs w:val="20"/>
          <w:rtl/>
        </w:rPr>
        <w:t>יחשב בגדר</w:t>
      </w:r>
      <w:r w:rsidRPr="00122DB8">
        <w:rPr>
          <w:rFonts w:ascii="Georgia" w:hAnsi="Georgia"/>
          <w:sz w:val="18"/>
          <w:szCs w:val="20"/>
          <w:rtl/>
        </w:rPr>
        <w:t xml:space="preserve"> הטרדה מאיימת.</w:t>
      </w:r>
    </w:p>
    <w:p w14:paraId="5E6CAA41" w14:textId="77777777" w:rsidR="00122DB8" w:rsidRPr="00122DB8" w:rsidRDefault="00122DB8" w:rsidP="00122DB8">
      <w:pPr>
        <w:spacing w:after="180" w:line="260" w:lineRule="exact"/>
        <w:jc w:val="both"/>
        <w:rPr>
          <w:rFonts w:ascii="Georgia" w:hAnsi="Georgia"/>
          <w:sz w:val="18"/>
          <w:szCs w:val="20"/>
          <w:rtl/>
        </w:rPr>
      </w:pPr>
    </w:p>
    <w:p w14:paraId="09CC612C" w14:textId="14FC599A" w:rsidR="00122DB8" w:rsidRPr="00122DB8" w:rsidRDefault="00122DB8" w:rsidP="00122DB8">
      <w:pPr>
        <w:pStyle w:val="KOT5"/>
        <w:jc w:val="both"/>
        <w:rPr>
          <w:b/>
          <w:bCs/>
          <w:color w:val="2A8E8C"/>
          <w:rtl/>
        </w:rPr>
      </w:pPr>
      <w:r w:rsidRPr="00122DB8">
        <w:rPr>
          <w:rFonts w:hint="cs"/>
          <w:b/>
          <w:bCs/>
          <w:color w:val="2A8E8C"/>
          <w:rtl/>
        </w:rPr>
        <w:t>ייצוג הולם של נשים בתפקידים בכירים בממשלה</w:t>
      </w:r>
    </w:p>
    <w:p w14:paraId="00B89B7F" w14:textId="77777777" w:rsidR="00122DB8" w:rsidRPr="00122DB8" w:rsidRDefault="00122DB8" w:rsidP="00122DB8">
      <w:pPr>
        <w:pStyle w:val="Bauther"/>
        <w:keepNext/>
        <w:spacing w:before="0" w:after="240" w:line="280" w:lineRule="exact"/>
        <w:jc w:val="both"/>
        <w:rPr>
          <w:rFonts w:ascii="Georgia" w:hAnsi="Georgia" w:cs="Guttman Aharoni"/>
          <w:b/>
          <w:bCs/>
          <w:sz w:val="18"/>
          <w:szCs w:val="20"/>
          <w:rtl/>
        </w:rPr>
      </w:pPr>
      <w:r w:rsidRPr="00122DB8">
        <w:rPr>
          <w:rFonts w:ascii="Georgia" w:hAnsi="Georgia" w:cs="Guttman Aharoni"/>
          <w:sz w:val="18"/>
          <w:szCs w:val="20"/>
          <w:rtl/>
        </w:rPr>
        <w:t>בג</w:t>
      </w:r>
      <w:r w:rsidRPr="00122DB8">
        <w:rPr>
          <w:rFonts w:ascii="Georgia" w:hAnsi="Georgia" w:cs="Guttman Aharoni" w:hint="cs"/>
          <w:sz w:val="18"/>
          <w:szCs w:val="20"/>
          <w:rtl/>
        </w:rPr>
        <w:t>"</w:t>
      </w:r>
      <w:r w:rsidRPr="00122DB8">
        <w:rPr>
          <w:rFonts w:ascii="Georgia" w:hAnsi="Georgia" w:cs="Guttman Aharoni"/>
          <w:sz w:val="18"/>
          <w:szCs w:val="20"/>
          <w:rtl/>
        </w:rPr>
        <w:t xml:space="preserve">ץ 1363/23 </w:t>
      </w:r>
      <w:r w:rsidRPr="00122DB8">
        <w:rPr>
          <w:rFonts w:ascii="Georgia" w:hAnsi="Georgia" w:cs="Guttman Aharoni"/>
          <w:b/>
          <w:bCs/>
          <w:sz w:val="18"/>
          <w:szCs w:val="20"/>
          <w:rtl/>
        </w:rPr>
        <w:t>שדולת הנשים בישראל נ' הממשלה ו</w:t>
      </w:r>
      <w:r w:rsidRPr="00122DB8">
        <w:rPr>
          <w:rFonts w:ascii="David" w:hAnsi="David" w:cs="David"/>
          <w:b/>
          <w:bCs/>
          <w:sz w:val="18"/>
          <w:szCs w:val="20"/>
          <w:rtl/>
        </w:rPr>
        <w:t>-</w:t>
      </w:r>
      <w:r w:rsidRPr="00122DB8">
        <w:rPr>
          <w:rFonts w:ascii="Georgia" w:hAnsi="Georgia" w:cs="Guttman Aharoni"/>
          <w:b/>
          <w:bCs/>
          <w:sz w:val="18"/>
          <w:szCs w:val="20"/>
          <w:rtl/>
        </w:rPr>
        <w:t>33 אח'</w:t>
      </w:r>
      <w:r w:rsidRPr="00122DB8">
        <w:rPr>
          <w:rFonts w:ascii="Georgia" w:hAnsi="Georgia" w:cs="Guttman Aharoni" w:hint="cs"/>
          <w:sz w:val="18"/>
          <w:szCs w:val="20"/>
          <w:rtl/>
        </w:rPr>
        <w:t xml:space="preserve"> </w:t>
      </w:r>
      <w:r w:rsidRPr="00122DB8">
        <w:rPr>
          <w:rFonts w:ascii="Georgia" w:hAnsi="Georgia" w:cs="Guttman Aharoni"/>
          <w:sz w:val="18"/>
          <w:szCs w:val="20"/>
          <w:rtl/>
        </w:rPr>
        <w:t>(ניתן בבית המשפט העליון ב</w:t>
      </w:r>
      <w:r w:rsidRPr="00122DB8">
        <w:rPr>
          <w:rFonts w:ascii="David" w:hAnsi="David" w:cs="David"/>
          <w:sz w:val="18"/>
          <w:szCs w:val="20"/>
          <w:rtl/>
        </w:rPr>
        <w:t>-</w:t>
      </w:r>
      <w:r w:rsidRPr="00122DB8">
        <w:rPr>
          <w:rFonts w:ascii="Georgia" w:hAnsi="Georgia" w:cs="Guttman Aharoni" w:hint="cs"/>
          <w:sz w:val="18"/>
          <w:szCs w:val="20"/>
          <w:rtl/>
        </w:rPr>
        <w:t xml:space="preserve">24 </w:t>
      </w:r>
      <w:r w:rsidRPr="00122DB8">
        <w:rPr>
          <w:rFonts w:ascii="Georgia" w:hAnsi="Georgia" w:cs="Guttman Aharoni"/>
          <w:sz w:val="18"/>
          <w:szCs w:val="20"/>
          <w:rtl/>
        </w:rPr>
        <w:t>ב</w:t>
      </w:r>
      <w:r w:rsidRPr="00122DB8">
        <w:rPr>
          <w:rFonts w:ascii="Georgia" w:hAnsi="Georgia" w:cs="Guttman Aharoni" w:hint="cs"/>
          <w:sz w:val="18"/>
          <w:szCs w:val="20"/>
          <w:rtl/>
        </w:rPr>
        <w:t>פברואר</w:t>
      </w:r>
      <w:r w:rsidRPr="00122DB8">
        <w:rPr>
          <w:rFonts w:ascii="Georgia" w:hAnsi="Georgia" w:cs="Guttman Aharoni"/>
          <w:sz w:val="18"/>
          <w:szCs w:val="20"/>
          <w:rtl/>
        </w:rPr>
        <w:t xml:space="preserve"> 202</w:t>
      </w:r>
      <w:r w:rsidRPr="00122DB8">
        <w:rPr>
          <w:rFonts w:ascii="Georgia" w:hAnsi="Georgia" w:cs="Guttman Aharoni" w:hint="cs"/>
          <w:sz w:val="18"/>
          <w:szCs w:val="20"/>
          <w:rtl/>
        </w:rPr>
        <w:t>5</w:t>
      </w:r>
      <w:r w:rsidRPr="00122DB8">
        <w:rPr>
          <w:rFonts w:ascii="Georgia" w:hAnsi="Georgia" w:cs="Guttman Aharoni"/>
          <w:sz w:val="18"/>
          <w:szCs w:val="20"/>
          <w:rtl/>
        </w:rPr>
        <w:t>)</w:t>
      </w:r>
    </w:p>
    <w:p w14:paraId="453207B1" w14:textId="77777777" w:rsidR="00122DB8" w:rsidRPr="00122DB8" w:rsidRDefault="00122DB8" w:rsidP="00122DB8">
      <w:pPr>
        <w:spacing w:after="180" w:line="260" w:lineRule="exact"/>
        <w:jc w:val="both"/>
        <w:rPr>
          <w:rFonts w:ascii="Georgia" w:hAnsi="Georgia"/>
          <w:sz w:val="18"/>
          <w:szCs w:val="20"/>
          <w:rtl/>
        </w:rPr>
      </w:pPr>
      <w:r w:rsidRPr="00122DB8">
        <w:rPr>
          <w:rFonts w:ascii="Georgia" w:hAnsi="Georgia"/>
          <w:sz w:val="18"/>
          <w:szCs w:val="20"/>
          <w:rtl/>
        </w:rPr>
        <w:t xml:space="preserve">לאחר הקמת הממשלה ה-37 התברר כי </w:t>
      </w:r>
      <w:r w:rsidRPr="00122DB8">
        <w:rPr>
          <w:rFonts w:ascii="Georgia" w:hAnsi="Georgia" w:hint="cs"/>
          <w:sz w:val="18"/>
          <w:szCs w:val="20"/>
          <w:rtl/>
        </w:rPr>
        <w:t>ב</w:t>
      </w:r>
      <w:r w:rsidRPr="00122DB8">
        <w:rPr>
          <w:rFonts w:ascii="Georgia" w:hAnsi="Georgia"/>
          <w:sz w:val="18"/>
          <w:szCs w:val="20"/>
          <w:rtl/>
        </w:rPr>
        <w:t xml:space="preserve">גל המינויים של מנכ"לים למשרדי הממשלה, כמעט </w:t>
      </w:r>
      <w:r w:rsidRPr="00122DB8">
        <w:rPr>
          <w:rFonts w:ascii="Georgia" w:hAnsi="Georgia" w:hint="cs"/>
          <w:sz w:val="18"/>
          <w:szCs w:val="20"/>
          <w:rtl/>
        </w:rPr>
        <w:t>ש</w:t>
      </w:r>
      <w:r w:rsidRPr="00122DB8">
        <w:rPr>
          <w:rFonts w:ascii="Georgia" w:hAnsi="Georgia"/>
          <w:sz w:val="18"/>
          <w:szCs w:val="20"/>
          <w:rtl/>
        </w:rPr>
        <w:t>לא מונו נשים לתפקידים אלה. עד מאי 2023, מ</w:t>
      </w:r>
      <w:r w:rsidRPr="00122DB8">
        <w:rPr>
          <w:rFonts w:ascii="Georgia" w:hAnsi="Georgia" w:hint="cs"/>
          <w:sz w:val="18"/>
          <w:szCs w:val="20"/>
          <w:rtl/>
        </w:rPr>
        <w:t>קרב</w:t>
      </w:r>
      <w:r w:rsidRPr="00122DB8">
        <w:rPr>
          <w:rFonts w:ascii="Georgia" w:hAnsi="Georgia"/>
          <w:sz w:val="18"/>
          <w:szCs w:val="20"/>
          <w:rtl/>
        </w:rPr>
        <w:t xml:space="preserve"> 18 מנכ"לים שמונו, רק אחת הייתה אישה. נתונים אלה שיקפו מגמה מדאיגה: מתוך 29 מנכ"לים בסך </w:t>
      </w:r>
      <w:proofErr w:type="spellStart"/>
      <w:r w:rsidRPr="00122DB8">
        <w:rPr>
          <w:rFonts w:ascii="Georgia" w:hAnsi="Georgia"/>
          <w:sz w:val="18"/>
          <w:szCs w:val="20"/>
          <w:rtl/>
        </w:rPr>
        <w:t>הכל</w:t>
      </w:r>
      <w:proofErr w:type="spellEnd"/>
      <w:r w:rsidRPr="00122DB8">
        <w:rPr>
          <w:rFonts w:ascii="Georgia" w:hAnsi="Georgia" w:hint="cs"/>
          <w:sz w:val="18"/>
          <w:szCs w:val="20"/>
          <w:rtl/>
        </w:rPr>
        <w:t xml:space="preserve"> </w:t>
      </w:r>
      <w:r w:rsidRPr="00122DB8">
        <w:rPr>
          <w:rFonts w:ascii="Georgia" w:hAnsi="Georgia" w:hint="eastAsia"/>
          <w:sz w:val="18"/>
          <w:szCs w:val="20"/>
          <w:rtl/>
        </w:rPr>
        <w:t>–</w:t>
      </w:r>
      <w:r w:rsidRPr="00122DB8">
        <w:rPr>
          <w:rFonts w:ascii="Georgia" w:hAnsi="Georgia"/>
          <w:sz w:val="18"/>
          <w:szCs w:val="20"/>
          <w:rtl/>
        </w:rPr>
        <w:t xml:space="preserve"> רק</w:t>
      </w:r>
      <w:r w:rsidRPr="00122DB8">
        <w:rPr>
          <w:rFonts w:ascii="Georgia" w:hAnsi="Georgia" w:hint="cs"/>
          <w:sz w:val="18"/>
          <w:szCs w:val="20"/>
          <w:rtl/>
        </w:rPr>
        <w:t xml:space="preserve"> שתיים</w:t>
      </w:r>
      <w:r w:rsidRPr="00122DB8">
        <w:rPr>
          <w:rFonts w:ascii="Georgia" w:hAnsi="Georgia"/>
          <w:sz w:val="18"/>
          <w:szCs w:val="20"/>
          <w:rtl/>
        </w:rPr>
        <w:t xml:space="preserve"> היו נשים; מתוך </w:t>
      </w:r>
      <w:r w:rsidRPr="00122DB8">
        <w:rPr>
          <w:rFonts w:ascii="Georgia" w:hAnsi="Georgia" w:hint="cs"/>
          <w:sz w:val="18"/>
          <w:szCs w:val="20"/>
          <w:rtl/>
        </w:rPr>
        <w:t>שישים</w:t>
      </w:r>
      <w:r w:rsidRPr="00122DB8">
        <w:rPr>
          <w:rFonts w:ascii="Georgia" w:hAnsi="Georgia"/>
          <w:sz w:val="18"/>
          <w:szCs w:val="20"/>
          <w:rtl/>
        </w:rPr>
        <w:t xml:space="preserve"> תפקידים בכירים מקבילים למנכ"ל</w:t>
      </w:r>
      <w:r w:rsidRPr="00122DB8">
        <w:rPr>
          <w:rFonts w:ascii="Georgia" w:hAnsi="Georgia" w:hint="cs"/>
          <w:sz w:val="18"/>
          <w:szCs w:val="20"/>
          <w:rtl/>
        </w:rPr>
        <w:t xml:space="preserve"> </w:t>
      </w:r>
      <w:r w:rsidRPr="00122DB8">
        <w:rPr>
          <w:rFonts w:ascii="Georgia" w:hAnsi="Georgia" w:hint="eastAsia"/>
          <w:sz w:val="18"/>
          <w:szCs w:val="20"/>
          <w:rtl/>
        </w:rPr>
        <w:t>–</w:t>
      </w:r>
      <w:r w:rsidRPr="00122DB8">
        <w:rPr>
          <w:rFonts w:ascii="Georgia" w:hAnsi="Georgia"/>
          <w:sz w:val="18"/>
          <w:szCs w:val="20"/>
          <w:rtl/>
        </w:rPr>
        <w:t xml:space="preserve"> רק </w:t>
      </w:r>
      <w:r w:rsidRPr="00122DB8">
        <w:rPr>
          <w:rFonts w:ascii="Georgia" w:hAnsi="Georgia" w:hint="cs"/>
          <w:sz w:val="18"/>
          <w:szCs w:val="20"/>
          <w:rtl/>
        </w:rPr>
        <w:t>תשע</w:t>
      </w:r>
      <w:r w:rsidRPr="00122DB8">
        <w:rPr>
          <w:rFonts w:ascii="Georgia" w:hAnsi="Georgia"/>
          <w:sz w:val="18"/>
          <w:szCs w:val="20"/>
          <w:rtl/>
        </w:rPr>
        <w:t xml:space="preserve"> נשים; ומתוך 15 משנים למנכ"לים</w:t>
      </w:r>
      <w:r w:rsidRPr="00122DB8">
        <w:rPr>
          <w:rFonts w:ascii="Georgia" w:hAnsi="Georgia" w:hint="cs"/>
          <w:sz w:val="18"/>
          <w:szCs w:val="20"/>
          <w:rtl/>
        </w:rPr>
        <w:t xml:space="preserve"> </w:t>
      </w:r>
      <w:r w:rsidRPr="00122DB8">
        <w:rPr>
          <w:rFonts w:ascii="Georgia" w:hAnsi="Georgia" w:hint="eastAsia"/>
          <w:sz w:val="18"/>
          <w:szCs w:val="20"/>
          <w:rtl/>
        </w:rPr>
        <w:t>–</w:t>
      </w:r>
      <w:r w:rsidRPr="00122DB8">
        <w:rPr>
          <w:rFonts w:ascii="Georgia" w:hAnsi="Georgia"/>
          <w:sz w:val="18"/>
          <w:szCs w:val="20"/>
          <w:rtl/>
        </w:rPr>
        <w:t xml:space="preserve"> רק</w:t>
      </w:r>
      <w:r w:rsidRPr="00122DB8">
        <w:rPr>
          <w:rFonts w:ascii="Georgia" w:hAnsi="Georgia" w:hint="cs"/>
          <w:sz w:val="18"/>
          <w:szCs w:val="20"/>
          <w:rtl/>
        </w:rPr>
        <w:t xml:space="preserve"> שתי</w:t>
      </w:r>
      <w:r w:rsidRPr="00122DB8">
        <w:rPr>
          <w:rFonts w:ascii="Georgia" w:hAnsi="Georgia"/>
          <w:sz w:val="18"/>
          <w:szCs w:val="20"/>
          <w:rtl/>
        </w:rPr>
        <w:t xml:space="preserve"> נשים.</w:t>
      </w:r>
    </w:p>
    <w:p w14:paraId="2B5DDFC1" w14:textId="77777777" w:rsidR="00122DB8" w:rsidRPr="00122DB8" w:rsidRDefault="00122DB8" w:rsidP="00122DB8">
      <w:pPr>
        <w:tabs>
          <w:tab w:val="left" w:pos="368"/>
        </w:tabs>
        <w:spacing w:after="180" w:line="260" w:lineRule="exact"/>
        <w:jc w:val="both"/>
        <w:rPr>
          <w:rFonts w:ascii="Georgia" w:hAnsi="Georgia"/>
          <w:sz w:val="18"/>
          <w:szCs w:val="20"/>
          <w:rtl/>
        </w:rPr>
      </w:pPr>
      <w:r w:rsidRPr="00122DB8">
        <w:rPr>
          <w:rFonts w:ascii="Georgia" w:hAnsi="Georgia"/>
          <w:sz w:val="18"/>
          <w:szCs w:val="20"/>
          <w:rtl/>
        </w:rPr>
        <w:t xml:space="preserve">למרות פניות מוקדמות של גורמים משפטיים ומקצועיים לממשלה </w:t>
      </w:r>
      <w:r w:rsidRPr="00122DB8">
        <w:rPr>
          <w:rFonts w:ascii="Georgia" w:hAnsi="Georgia" w:hint="cs"/>
          <w:sz w:val="18"/>
          <w:szCs w:val="20"/>
          <w:rtl/>
        </w:rPr>
        <w:t>–</w:t>
      </w:r>
      <w:r w:rsidRPr="00122DB8">
        <w:rPr>
          <w:rFonts w:ascii="Georgia" w:hAnsi="Georgia"/>
          <w:sz w:val="18"/>
          <w:szCs w:val="20"/>
          <w:rtl/>
        </w:rPr>
        <w:t xml:space="preserve"> כולל המשנה ליועצת המשפטית לממשלה ומנהלת הרשות לקידום מעמד האישה </w:t>
      </w:r>
      <w:r w:rsidRPr="00122DB8">
        <w:rPr>
          <w:rFonts w:ascii="Georgia" w:hAnsi="Georgia" w:hint="cs"/>
          <w:sz w:val="18"/>
          <w:szCs w:val="20"/>
          <w:rtl/>
        </w:rPr>
        <w:t>–</w:t>
      </w:r>
      <w:r w:rsidRPr="00122DB8">
        <w:rPr>
          <w:rFonts w:ascii="Georgia" w:hAnsi="Georgia"/>
          <w:sz w:val="18"/>
          <w:szCs w:val="20"/>
          <w:rtl/>
        </w:rPr>
        <w:t xml:space="preserve"> שהזכירו לשרים את חובתם החוקית לדאוג לייצוג הולם של נשים, המצב לא השתפר. לפיכך, בפברואר 2023 הגישו שדולת הנשים בישראל עם שני ארגוני נשים נוספים עתירה לבג"ץ, בבקשה לקבוע כי הממשלה מפ</w:t>
      </w:r>
      <w:r w:rsidRPr="00122DB8">
        <w:rPr>
          <w:rFonts w:ascii="Georgia" w:hAnsi="Georgia" w:hint="cs"/>
          <w:sz w:val="18"/>
          <w:szCs w:val="20"/>
          <w:rtl/>
        </w:rPr>
        <w:t>י</w:t>
      </w:r>
      <w:r w:rsidRPr="00122DB8">
        <w:rPr>
          <w:rFonts w:ascii="Georgia" w:hAnsi="Georgia"/>
          <w:sz w:val="18"/>
          <w:szCs w:val="20"/>
          <w:rtl/>
        </w:rPr>
        <w:t>רה את החוק ולהורות לה לקבוע הנחיות ברורות שיבטיחו ייצוג הולם לנשים בתפקידים בכירים.</w:t>
      </w:r>
    </w:p>
    <w:p w14:paraId="4B5DB4DF" w14:textId="77777777" w:rsidR="00122DB8" w:rsidRPr="00122DB8" w:rsidRDefault="00122DB8" w:rsidP="00122DB8">
      <w:pPr>
        <w:spacing w:after="180" w:line="260" w:lineRule="exact"/>
        <w:jc w:val="both"/>
        <w:rPr>
          <w:rFonts w:ascii="Georgia" w:hAnsi="Georgia"/>
          <w:sz w:val="18"/>
          <w:szCs w:val="20"/>
          <w:rtl/>
        </w:rPr>
      </w:pPr>
      <w:r w:rsidRPr="00122DB8">
        <w:rPr>
          <w:rFonts w:ascii="Georgia" w:hAnsi="Georgia" w:hint="cs"/>
          <w:sz w:val="18"/>
          <w:szCs w:val="20"/>
          <w:rtl/>
        </w:rPr>
        <w:lastRenderedPageBreak/>
        <w:t xml:space="preserve">העותרות טענו כי </w:t>
      </w:r>
      <w:r w:rsidRPr="00122DB8">
        <w:rPr>
          <w:rFonts w:ascii="Georgia" w:hAnsi="Georgia"/>
          <w:b/>
          <w:sz w:val="18"/>
          <w:szCs w:val="20"/>
          <w:rtl/>
        </w:rPr>
        <w:t>"הדרתן של נשים משולחן מקבלי ההחלטות במשרדי הממשלה פוגעת פגיעה קשה בשוויון"</w:t>
      </w:r>
      <w:r w:rsidRPr="00122DB8">
        <w:rPr>
          <w:rFonts w:ascii="Georgia" w:hAnsi="Georgia"/>
          <w:sz w:val="18"/>
          <w:szCs w:val="20"/>
          <w:rtl/>
        </w:rPr>
        <w:t>, מה שמביא ל</w:t>
      </w:r>
      <w:r w:rsidRPr="00122DB8">
        <w:rPr>
          <w:rFonts w:ascii="Georgia" w:hAnsi="Georgia"/>
          <w:b/>
          <w:sz w:val="18"/>
          <w:szCs w:val="20"/>
          <w:rtl/>
        </w:rPr>
        <w:t>"פגיעה קשה ביותר בנשים עצמן"</w:t>
      </w:r>
      <w:r w:rsidRPr="00122DB8">
        <w:rPr>
          <w:rFonts w:ascii="Georgia" w:hAnsi="Georgia"/>
          <w:sz w:val="18"/>
          <w:szCs w:val="20"/>
          <w:rtl/>
        </w:rPr>
        <w:t>; להנצחת סטראוטיפים ו</w:t>
      </w:r>
      <w:r w:rsidRPr="00122DB8">
        <w:rPr>
          <w:rFonts w:ascii="Georgia" w:hAnsi="Georgia" w:hint="cs"/>
          <w:sz w:val="18"/>
          <w:szCs w:val="20"/>
          <w:rtl/>
        </w:rPr>
        <w:t>לה</w:t>
      </w:r>
      <w:r w:rsidRPr="00122DB8">
        <w:rPr>
          <w:rFonts w:ascii="Georgia" w:hAnsi="Georgia"/>
          <w:sz w:val="18"/>
          <w:szCs w:val="20"/>
          <w:rtl/>
        </w:rPr>
        <w:t>פליה;</w:t>
      </w:r>
      <w:r w:rsidRPr="00122DB8">
        <w:rPr>
          <w:rFonts w:ascii="Georgia" w:hAnsi="Georgia"/>
          <w:b/>
          <w:sz w:val="18"/>
          <w:szCs w:val="20"/>
          <w:rtl/>
        </w:rPr>
        <w:t xml:space="preserve"> </w:t>
      </w:r>
      <w:r w:rsidRPr="00122DB8">
        <w:rPr>
          <w:rFonts w:ascii="Georgia" w:hAnsi="Georgia"/>
          <w:sz w:val="18"/>
          <w:szCs w:val="20"/>
          <w:rtl/>
        </w:rPr>
        <w:t xml:space="preserve">לפגיעה קשה באינטרס הציבורי; ולהעברת </w:t>
      </w:r>
      <w:r w:rsidRPr="00122DB8">
        <w:rPr>
          <w:rFonts w:ascii="Georgia" w:hAnsi="Georgia"/>
          <w:b/>
          <w:sz w:val="18"/>
          <w:szCs w:val="20"/>
          <w:rtl/>
        </w:rPr>
        <w:t>"מסר ברור לכלל הנשים בישראל שהן אינן אזרחיות שוות זכויות"</w:t>
      </w:r>
      <w:r w:rsidRPr="00122DB8">
        <w:rPr>
          <w:rFonts w:ascii="Georgia" w:hAnsi="Georgia" w:hint="cs"/>
          <w:sz w:val="18"/>
          <w:szCs w:val="20"/>
          <w:rtl/>
        </w:rPr>
        <w:t xml:space="preserve"> (עמ' 5).</w:t>
      </w:r>
    </w:p>
    <w:p w14:paraId="64F0ACF8" w14:textId="77777777" w:rsidR="00122DB8" w:rsidRPr="00122DB8" w:rsidRDefault="00122DB8" w:rsidP="00122DB8">
      <w:pPr>
        <w:spacing w:after="180" w:line="260" w:lineRule="exact"/>
        <w:jc w:val="both"/>
        <w:rPr>
          <w:rFonts w:ascii="Georgia" w:hAnsi="Georgia"/>
          <w:sz w:val="18"/>
          <w:szCs w:val="20"/>
        </w:rPr>
      </w:pPr>
      <w:r w:rsidRPr="00122DB8">
        <w:rPr>
          <w:rFonts w:ascii="Georgia" w:hAnsi="Georgia" w:hint="cs"/>
          <w:sz w:val="18"/>
          <w:szCs w:val="20"/>
          <w:rtl/>
        </w:rPr>
        <w:t>ע</w:t>
      </w:r>
      <w:r w:rsidRPr="00122DB8">
        <w:rPr>
          <w:rFonts w:ascii="Georgia" w:hAnsi="Georgia"/>
          <w:sz w:val="18"/>
          <w:szCs w:val="20"/>
          <w:rtl/>
        </w:rPr>
        <w:t xml:space="preserve">מדת הממשלה, מנגד, לא חלקה על </w:t>
      </w:r>
      <w:r w:rsidRPr="00122DB8">
        <w:rPr>
          <w:rFonts w:ascii="Georgia" w:hAnsi="Georgia" w:hint="cs"/>
          <w:sz w:val="18"/>
          <w:szCs w:val="20"/>
          <w:rtl/>
        </w:rPr>
        <w:t>ה</w:t>
      </w:r>
      <w:r w:rsidRPr="00122DB8">
        <w:rPr>
          <w:rFonts w:ascii="Georgia" w:hAnsi="Georgia"/>
          <w:sz w:val="18"/>
          <w:szCs w:val="20"/>
          <w:rtl/>
        </w:rPr>
        <w:t xml:space="preserve">חשיבות </w:t>
      </w:r>
      <w:r w:rsidRPr="00122DB8">
        <w:rPr>
          <w:rFonts w:ascii="Georgia" w:hAnsi="Georgia" w:hint="cs"/>
          <w:sz w:val="18"/>
          <w:szCs w:val="20"/>
          <w:rtl/>
        </w:rPr>
        <w:t>שב</w:t>
      </w:r>
      <w:r w:rsidRPr="00122DB8">
        <w:rPr>
          <w:rFonts w:ascii="Georgia" w:hAnsi="Georgia"/>
          <w:sz w:val="18"/>
          <w:szCs w:val="20"/>
          <w:rtl/>
        </w:rPr>
        <w:t>שילוב נשים בתפקידים בכירים, אך טענה כי תפקיד המנכ"ל הוא מיוחד</w:t>
      </w:r>
      <w:r w:rsidRPr="00122DB8">
        <w:rPr>
          <w:rFonts w:ascii="Georgia" w:hAnsi="Georgia" w:hint="cs"/>
          <w:sz w:val="18"/>
          <w:szCs w:val="20"/>
          <w:rtl/>
        </w:rPr>
        <w:t>:</w:t>
      </w:r>
      <w:r w:rsidRPr="00122DB8">
        <w:rPr>
          <w:rFonts w:ascii="Georgia" w:hAnsi="Georgia"/>
          <w:sz w:val="18"/>
          <w:szCs w:val="20"/>
          <w:rtl/>
        </w:rPr>
        <w:t xml:space="preserve"> הוא מבוסס על יחסי אמון אישיים עם השר, ולכן יש להעניק לשרים שיקול דעת רחב יותר במינויים אלה. עוד נטען כי קשה ליישם ייצוג הולם כאשר בכל משרד יש רק מנכ"ל אחד</w:t>
      </w:r>
      <w:r w:rsidRPr="00122DB8">
        <w:rPr>
          <w:rFonts w:ascii="Georgia" w:hAnsi="Georgia"/>
          <w:sz w:val="18"/>
          <w:szCs w:val="20"/>
        </w:rPr>
        <w:t>.</w:t>
      </w:r>
    </w:p>
    <w:p w14:paraId="00289DC2" w14:textId="5558C075" w:rsidR="00122DB8" w:rsidRPr="00122DB8" w:rsidRDefault="00122DB8" w:rsidP="003D416C">
      <w:pPr>
        <w:spacing w:after="180" w:line="260" w:lineRule="exact"/>
        <w:jc w:val="both"/>
        <w:rPr>
          <w:rFonts w:ascii="Georgia" w:hAnsi="Georgia"/>
          <w:sz w:val="18"/>
          <w:szCs w:val="20"/>
        </w:rPr>
      </w:pPr>
      <w:r w:rsidRPr="00122DB8">
        <w:rPr>
          <w:rFonts w:ascii="Georgia" w:hAnsi="Georgia"/>
          <w:sz w:val="18"/>
          <w:szCs w:val="20"/>
          <w:rtl/>
        </w:rPr>
        <w:t xml:space="preserve">בית המשפט העליון, מפי השופט </w:t>
      </w:r>
      <w:proofErr w:type="spellStart"/>
      <w:r w:rsidRPr="00122DB8">
        <w:rPr>
          <w:rFonts w:ascii="Georgia" w:hAnsi="Georgia"/>
          <w:sz w:val="18"/>
          <w:szCs w:val="20"/>
          <w:rtl/>
        </w:rPr>
        <w:t>סולברג</w:t>
      </w:r>
      <w:proofErr w:type="spellEnd"/>
      <w:r w:rsidRPr="00122DB8">
        <w:rPr>
          <w:rFonts w:ascii="Georgia" w:hAnsi="Georgia"/>
          <w:sz w:val="18"/>
          <w:szCs w:val="20"/>
          <w:rtl/>
        </w:rPr>
        <w:t xml:space="preserve"> ובהסכמת השופטת ברק-ארז והשופט כבוב</w:t>
      </w:r>
      <w:r w:rsidRPr="00122DB8">
        <w:rPr>
          <w:rFonts w:ascii="Georgia" w:hAnsi="Georgia" w:hint="cs"/>
          <w:sz w:val="18"/>
          <w:szCs w:val="20"/>
          <w:rtl/>
        </w:rPr>
        <w:t>,</w:t>
      </w:r>
      <w:r w:rsidRPr="00122DB8">
        <w:rPr>
          <w:rFonts w:ascii="Georgia" w:hAnsi="Georgia"/>
          <w:sz w:val="18"/>
          <w:szCs w:val="20"/>
          <w:rtl/>
        </w:rPr>
        <w:t xml:space="preserve"> </w:t>
      </w:r>
      <w:r w:rsidRPr="00122DB8">
        <w:rPr>
          <w:rFonts w:ascii="Georgia" w:hAnsi="Georgia" w:hint="cs"/>
          <w:sz w:val="18"/>
          <w:szCs w:val="20"/>
          <w:rtl/>
        </w:rPr>
        <w:t>סקר</w:t>
      </w:r>
      <w:r w:rsidRPr="00122DB8">
        <w:rPr>
          <w:rFonts w:ascii="Georgia" w:hAnsi="Georgia"/>
          <w:sz w:val="18"/>
          <w:szCs w:val="20"/>
          <w:rtl/>
        </w:rPr>
        <w:t xml:space="preserve"> את החוקים המחייבים ייצוג הולם לנשים במגזר הציבורי: חוק שירות המדינה (מינויים), התשי"ט-1959 קובע כי בקרב העובדים בשירות המדינה יינתן ביטוי הולם לייצוגם של בני שני המינים "בכלל הדרגות והמקצועות, בכל משרד ובכל יחידת סמך"</w:t>
      </w:r>
      <w:r w:rsidRPr="00122DB8">
        <w:rPr>
          <w:rFonts w:ascii="Georgia" w:hAnsi="Georgia" w:hint="cs"/>
          <w:sz w:val="18"/>
          <w:szCs w:val="20"/>
          <w:rtl/>
        </w:rPr>
        <w:t xml:space="preserve"> [סעיף 15א (א)]</w:t>
      </w:r>
      <w:r w:rsidRPr="00122DB8">
        <w:rPr>
          <w:rFonts w:ascii="Georgia" w:hAnsi="Georgia"/>
          <w:sz w:val="18"/>
          <w:szCs w:val="20"/>
          <w:rtl/>
        </w:rPr>
        <w:t xml:space="preserve">; חוק שיווי זכויות האישה, התשי"א-1951 קובע כי </w:t>
      </w:r>
      <w:r w:rsidRPr="00122DB8">
        <w:rPr>
          <w:rFonts w:ascii="Georgia" w:hAnsi="Georgia" w:hint="cs"/>
          <w:sz w:val="18"/>
          <w:szCs w:val="20"/>
          <w:rtl/>
        </w:rPr>
        <w:t>"</w:t>
      </w:r>
      <w:r w:rsidRPr="00122DB8">
        <w:rPr>
          <w:rFonts w:ascii="Georgia" w:hAnsi="Georgia"/>
          <w:sz w:val="18"/>
          <w:szCs w:val="20"/>
          <w:rtl/>
        </w:rPr>
        <w:t>בגוף ציבורי יינתן ביטוי הולם לייצוגן של נשים בסוגי המשרות ובדירוגים השונים</w:t>
      </w:r>
      <w:r w:rsidRPr="00122DB8">
        <w:rPr>
          <w:rFonts w:ascii="Georgia" w:hAnsi="Georgia" w:hint="cs"/>
          <w:sz w:val="18"/>
          <w:szCs w:val="20"/>
          <w:rtl/>
        </w:rPr>
        <w:t xml:space="preserve"> בקרב העובדים" (סעיף 6ג)</w:t>
      </w:r>
      <w:r w:rsidRPr="00122DB8">
        <w:rPr>
          <w:rFonts w:ascii="Georgia" w:hAnsi="Georgia"/>
          <w:sz w:val="18"/>
          <w:szCs w:val="20"/>
          <w:rtl/>
        </w:rPr>
        <w:t xml:space="preserve">; וחוק החברות הממשלתיות, התשל"ה-1975 קובע כי בהרכב דירקטוריון של חברה ממשלתית </w:t>
      </w:r>
      <w:r w:rsidRPr="00122DB8">
        <w:rPr>
          <w:rFonts w:ascii="Georgia" w:hAnsi="Georgia" w:hint="cs"/>
          <w:sz w:val="18"/>
          <w:szCs w:val="20"/>
          <w:rtl/>
        </w:rPr>
        <w:t>"</w:t>
      </w:r>
      <w:r w:rsidRPr="00122DB8">
        <w:rPr>
          <w:rFonts w:ascii="Georgia" w:hAnsi="Georgia"/>
          <w:sz w:val="18"/>
          <w:szCs w:val="20"/>
          <w:rtl/>
        </w:rPr>
        <w:t xml:space="preserve">יינתן ביטוי הולם לייצוגם של בני שני </w:t>
      </w:r>
      <w:r w:rsidRPr="00122DB8">
        <w:rPr>
          <w:rFonts w:ascii="Georgia" w:hAnsi="Georgia" w:hint="cs"/>
          <w:sz w:val="18"/>
          <w:szCs w:val="20"/>
          <w:rtl/>
        </w:rPr>
        <w:t>המינים" (סעיף 18א).</w:t>
      </w:r>
    </w:p>
    <w:p w14:paraId="3138D207" w14:textId="77777777" w:rsidR="00122DB8" w:rsidRPr="00122DB8" w:rsidRDefault="00122DB8" w:rsidP="00122DB8">
      <w:pPr>
        <w:spacing w:after="180" w:line="260" w:lineRule="exact"/>
        <w:jc w:val="both"/>
        <w:rPr>
          <w:rFonts w:ascii="Georgia" w:hAnsi="Georgia"/>
          <w:sz w:val="18"/>
          <w:szCs w:val="20"/>
        </w:rPr>
      </w:pPr>
      <w:r w:rsidRPr="00122DB8">
        <w:rPr>
          <w:rFonts w:ascii="Georgia" w:hAnsi="Georgia" w:hint="cs"/>
          <w:sz w:val="18"/>
          <w:szCs w:val="20"/>
          <w:rtl/>
        </w:rPr>
        <w:t>עוד נקבע בפסק הדין</w:t>
      </w:r>
      <w:r w:rsidRPr="00122DB8">
        <w:rPr>
          <w:rFonts w:ascii="Georgia" w:hAnsi="Georgia"/>
          <w:sz w:val="18"/>
          <w:szCs w:val="20"/>
          <w:rtl/>
        </w:rPr>
        <w:t xml:space="preserve"> כי חובת הייצוג ההולם חלה באופן ברור גם על תפקידי מנכ"ל במשרדי ממשלה וגם על משרות פטורות ממכרז, כולל משרות אמון בלשכות שרים. אף שיחסי האמון בין השר למנכ"ל הם שיקול חשוב, אין בהם כדי לפטור את הממשלה מחובתה לדאוג לייצוג הולם</w:t>
      </w:r>
      <w:r w:rsidRPr="00122DB8">
        <w:rPr>
          <w:rFonts w:ascii="Georgia" w:hAnsi="Georgia"/>
          <w:sz w:val="18"/>
          <w:szCs w:val="20"/>
        </w:rPr>
        <w:t>.</w:t>
      </w:r>
    </w:p>
    <w:p w14:paraId="6BDE1302" w14:textId="77777777" w:rsidR="00122DB8" w:rsidRPr="00122DB8" w:rsidRDefault="00122DB8" w:rsidP="00122DB8">
      <w:pPr>
        <w:spacing w:after="180" w:line="260" w:lineRule="exact"/>
        <w:jc w:val="both"/>
        <w:rPr>
          <w:rFonts w:ascii="Georgia" w:hAnsi="Georgia"/>
          <w:sz w:val="18"/>
          <w:szCs w:val="20"/>
        </w:rPr>
      </w:pPr>
      <w:r w:rsidRPr="00122DB8">
        <w:rPr>
          <w:rFonts w:ascii="Georgia" w:hAnsi="Georgia"/>
          <w:sz w:val="18"/>
          <w:szCs w:val="20"/>
          <w:rtl/>
        </w:rPr>
        <w:t xml:space="preserve">בית המשפט </w:t>
      </w:r>
      <w:r w:rsidRPr="00122DB8">
        <w:rPr>
          <w:rFonts w:ascii="Georgia" w:hAnsi="Georgia" w:hint="cs"/>
          <w:sz w:val="18"/>
          <w:szCs w:val="20"/>
          <w:rtl/>
        </w:rPr>
        <w:t xml:space="preserve">העליון </w:t>
      </w:r>
      <w:r w:rsidRPr="00122DB8">
        <w:rPr>
          <w:rFonts w:ascii="Georgia" w:hAnsi="Georgia"/>
          <w:sz w:val="18"/>
          <w:szCs w:val="20"/>
          <w:rtl/>
        </w:rPr>
        <w:t xml:space="preserve">דחה את הצעת הממשלה לקבוע הנחיה שתחייב את הגורם הממנה להצהיר כי ראיין מספר שווה של מועמדים ומועמדות, </w:t>
      </w:r>
      <w:proofErr w:type="spellStart"/>
      <w:r w:rsidRPr="00122DB8">
        <w:rPr>
          <w:rFonts w:ascii="Georgia" w:hAnsi="Georgia"/>
          <w:sz w:val="18"/>
          <w:szCs w:val="20"/>
          <w:rtl/>
        </w:rPr>
        <w:t>בקובעו</w:t>
      </w:r>
      <w:proofErr w:type="spellEnd"/>
      <w:r w:rsidRPr="00122DB8">
        <w:rPr>
          <w:rFonts w:ascii="Georgia" w:hAnsi="Georgia"/>
          <w:sz w:val="18"/>
          <w:szCs w:val="20"/>
          <w:rtl/>
        </w:rPr>
        <w:t xml:space="preserve"> כי הצעה זו אינה מספקת לעמידה בדרישות החוק. בסופו של דבר, בית המשפט קיבל את העתירה והורה לממשלה לקבוע בתוך שישה חודשים הנחיות חדשות שיבטיחו ייצוג הולם לנשים</w:t>
      </w:r>
      <w:r w:rsidRPr="00122DB8">
        <w:rPr>
          <w:rFonts w:ascii="Georgia" w:hAnsi="Georgia" w:hint="cs"/>
          <w:sz w:val="18"/>
          <w:szCs w:val="20"/>
          <w:rtl/>
        </w:rPr>
        <w:t>.</w:t>
      </w:r>
      <w:r w:rsidRPr="00122DB8">
        <w:rPr>
          <w:rFonts w:ascii="Georgia" w:hAnsi="Georgia"/>
          <w:sz w:val="18"/>
          <w:szCs w:val="20"/>
          <w:rtl/>
        </w:rPr>
        <w:t xml:space="preserve"> </w:t>
      </w:r>
      <w:r w:rsidRPr="00122DB8">
        <w:rPr>
          <w:rFonts w:ascii="Georgia" w:hAnsi="Georgia" w:hint="cs"/>
          <w:sz w:val="18"/>
          <w:szCs w:val="20"/>
          <w:rtl/>
        </w:rPr>
        <w:t xml:space="preserve">הנחיות אלה </w:t>
      </w:r>
      <w:r w:rsidRPr="00122DB8">
        <w:rPr>
          <w:rFonts w:ascii="Georgia" w:hAnsi="Georgia"/>
          <w:sz w:val="18"/>
          <w:szCs w:val="20"/>
          <w:rtl/>
        </w:rPr>
        <w:t xml:space="preserve">יכללו </w:t>
      </w:r>
      <w:r w:rsidRPr="00122DB8">
        <w:rPr>
          <w:rFonts w:ascii="Georgia" w:hAnsi="Georgia" w:hint="cs"/>
          <w:sz w:val="18"/>
          <w:szCs w:val="20"/>
          <w:rtl/>
        </w:rPr>
        <w:t xml:space="preserve">את </w:t>
      </w:r>
      <w:r w:rsidRPr="00122DB8">
        <w:rPr>
          <w:rFonts w:ascii="Georgia" w:hAnsi="Georgia"/>
          <w:sz w:val="18"/>
          <w:szCs w:val="20"/>
          <w:rtl/>
        </w:rPr>
        <w:t>חובת השרים לפעול באופן אקטיבי לאיתור מועמדות מתאימות; הטלת נטל על השר להראות מדוע לא ניתן למנות אישה במקרים המתאימים; וחובת הממשלה להביא בחשבון את שיקול הייצוג ההולם</w:t>
      </w:r>
      <w:r w:rsidRPr="00122DB8">
        <w:rPr>
          <w:rFonts w:ascii="Georgia" w:hAnsi="Georgia" w:hint="cs"/>
          <w:sz w:val="18"/>
          <w:szCs w:val="20"/>
          <w:rtl/>
        </w:rPr>
        <w:t>.</w:t>
      </w:r>
    </w:p>
    <w:p w14:paraId="418C325B" w14:textId="77777777" w:rsidR="00122DB8" w:rsidRPr="00122DB8" w:rsidRDefault="00122DB8" w:rsidP="00122DB8">
      <w:pPr>
        <w:spacing w:after="180" w:line="260" w:lineRule="exact"/>
        <w:ind w:right="142"/>
        <w:jc w:val="both"/>
        <w:rPr>
          <w:rFonts w:ascii="Georgia" w:hAnsi="Georgia"/>
          <w:b/>
          <w:bCs/>
          <w:color w:val="4F81BD" w:themeColor="accent1"/>
          <w:sz w:val="18"/>
          <w:szCs w:val="20"/>
          <w:rtl/>
        </w:rPr>
      </w:pPr>
    </w:p>
    <w:p w14:paraId="082DCA67" w14:textId="77777777" w:rsidR="00122DB8" w:rsidRPr="009624B0" w:rsidRDefault="00122DB8" w:rsidP="00122DB8">
      <w:pPr>
        <w:pStyle w:val="KOT4"/>
        <w:spacing w:after="240"/>
        <w:ind w:right="0"/>
        <w:rPr>
          <w:rFonts w:cs="Guttman Aharoni"/>
          <w:color w:val="2A8E8C"/>
          <w:sz w:val="32"/>
          <w:szCs w:val="32"/>
          <w:rtl/>
        </w:rPr>
      </w:pPr>
      <w:r w:rsidRPr="009624B0">
        <w:rPr>
          <w:rFonts w:cs="Guttman Aharoni"/>
          <w:color w:val="2A8E8C"/>
          <w:sz w:val="32"/>
          <w:szCs w:val="32"/>
          <w:rtl/>
        </w:rPr>
        <w:t>חידושי חקיקה</w:t>
      </w:r>
    </w:p>
    <w:p w14:paraId="281118C8" w14:textId="0FCB170B" w:rsidR="00122DB8" w:rsidRPr="00122DB8" w:rsidRDefault="00122DB8" w:rsidP="00122DB8">
      <w:pPr>
        <w:pStyle w:val="KOT5"/>
        <w:spacing w:after="240"/>
        <w:jc w:val="both"/>
        <w:rPr>
          <w:b/>
          <w:bCs/>
          <w:color w:val="2A8E8C"/>
          <w:rtl/>
        </w:rPr>
      </w:pPr>
      <w:r w:rsidRPr="00122DB8">
        <w:rPr>
          <w:b/>
          <w:bCs/>
          <w:color w:val="2A8E8C"/>
          <w:rtl/>
        </w:rPr>
        <w:t>חוק הסיוע המשפטי (תיקון מס' 26 והוראת שעה), התשפ״ד</w:t>
      </w:r>
      <w:r w:rsidRPr="007222C6">
        <w:rPr>
          <w:rFonts w:ascii="David" w:hAnsi="David" w:cs="David"/>
          <w:b/>
          <w:bCs/>
          <w:color w:val="2A8E8C"/>
          <w:rtl/>
        </w:rPr>
        <w:t>-</w:t>
      </w:r>
      <w:r w:rsidRPr="00122DB8">
        <w:rPr>
          <w:b/>
          <w:bCs/>
          <w:color w:val="2A8E8C"/>
          <w:rtl/>
        </w:rPr>
        <w:t>2024 – 1192</w:t>
      </w:r>
    </w:p>
    <w:p w14:paraId="32F06EC6" w14:textId="77777777" w:rsidR="00122DB8" w:rsidRPr="00122DB8" w:rsidRDefault="00122DB8" w:rsidP="00122DB8">
      <w:pPr>
        <w:spacing w:after="180" w:line="260" w:lineRule="exact"/>
        <w:jc w:val="both"/>
        <w:rPr>
          <w:rFonts w:ascii="Georgia" w:hAnsi="Georgia"/>
          <w:sz w:val="18"/>
          <w:szCs w:val="20"/>
          <w:rtl/>
        </w:rPr>
      </w:pPr>
      <w:r w:rsidRPr="00122DB8">
        <w:rPr>
          <w:rFonts w:ascii="Georgia" w:hAnsi="Georgia"/>
          <w:sz w:val="18"/>
          <w:szCs w:val="20"/>
          <w:rtl/>
        </w:rPr>
        <w:t xml:space="preserve">התיקון החדש לחוק הסיוע המשפטי, שנקבע כהוראת שעה </w:t>
      </w:r>
      <w:r w:rsidRPr="00122DB8">
        <w:rPr>
          <w:rFonts w:ascii="Georgia" w:hAnsi="Georgia" w:hint="cs"/>
          <w:sz w:val="18"/>
          <w:szCs w:val="20"/>
          <w:rtl/>
        </w:rPr>
        <w:t>לחמש שנים</w:t>
      </w:r>
      <w:r w:rsidRPr="00122DB8">
        <w:rPr>
          <w:rFonts w:ascii="Georgia" w:hAnsi="Georgia"/>
          <w:sz w:val="18"/>
          <w:szCs w:val="20"/>
          <w:rtl/>
        </w:rPr>
        <w:t xml:space="preserve">, מרחיב </w:t>
      </w:r>
      <w:r w:rsidRPr="00122DB8">
        <w:rPr>
          <w:rFonts w:ascii="Georgia" w:hAnsi="Georgia" w:hint="cs"/>
          <w:sz w:val="18"/>
          <w:szCs w:val="20"/>
          <w:rtl/>
        </w:rPr>
        <w:t xml:space="preserve">במידה ניכרת </w:t>
      </w:r>
      <w:r w:rsidRPr="00122DB8">
        <w:rPr>
          <w:rFonts w:ascii="Georgia" w:hAnsi="Georgia"/>
          <w:sz w:val="18"/>
          <w:szCs w:val="20"/>
          <w:rtl/>
        </w:rPr>
        <w:t xml:space="preserve">את היקף הסיוע המשפטי הניתן לנפגעי עבירות. על פי התיקון, נפגעי עבירות מין יקבלו כעת סיוע משפטי כבר </w:t>
      </w:r>
      <w:r w:rsidRPr="00122DB8">
        <w:rPr>
          <w:rFonts w:ascii="Georgia" w:hAnsi="Georgia" w:hint="cs"/>
          <w:sz w:val="18"/>
          <w:szCs w:val="20"/>
          <w:rtl/>
        </w:rPr>
        <w:t>ב</w:t>
      </w:r>
      <w:r w:rsidRPr="00122DB8">
        <w:rPr>
          <w:rFonts w:ascii="Georgia" w:hAnsi="Georgia"/>
          <w:sz w:val="18"/>
          <w:szCs w:val="20"/>
          <w:rtl/>
        </w:rPr>
        <w:t xml:space="preserve">שלב החקירה המשטרתית, ולא רק לאחר הגשת כתב אישום כפי שהיה עד כה. הסיוע כולל גם ליווי בהחלטות הקשורות לחשיפת מידע מטיפול נפשי ועזרה בתביעות אזרחיות הנובעות מהעבירה, </w:t>
      </w:r>
      <w:r w:rsidRPr="00122DB8">
        <w:rPr>
          <w:rFonts w:ascii="Georgia" w:hAnsi="Georgia" w:hint="cs"/>
          <w:sz w:val="18"/>
          <w:szCs w:val="20"/>
          <w:rtl/>
        </w:rPr>
        <w:t>ו</w:t>
      </w:r>
      <w:r w:rsidRPr="00122DB8">
        <w:rPr>
          <w:rFonts w:ascii="Georgia" w:hAnsi="Georgia"/>
          <w:sz w:val="18"/>
          <w:szCs w:val="20"/>
          <w:rtl/>
        </w:rPr>
        <w:t>במקרים דחופים הסיוע יינתן גם אם טרם הוגש כתב אישום. ב</w:t>
      </w:r>
      <w:r w:rsidRPr="00122DB8">
        <w:rPr>
          <w:rFonts w:ascii="Georgia" w:hAnsi="Georgia" w:hint="cs"/>
          <w:sz w:val="18"/>
          <w:szCs w:val="20"/>
          <w:rtl/>
        </w:rPr>
        <w:t xml:space="preserve">ד </w:t>
      </w:r>
      <w:r w:rsidRPr="00122DB8">
        <w:rPr>
          <w:rFonts w:ascii="Georgia" w:hAnsi="Georgia" w:hint="cs"/>
          <w:sz w:val="18"/>
          <w:szCs w:val="20"/>
          <w:rtl/>
        </w:rPr>
        <w:lastRenderedPageBreak/>
        <w:t>בבד,</w:t>
      </w:r>
      <w:r w:rsidRPr="00122DB8">
        <w:rPr>
          <w:rFonts w:ascii="Georgia" w:hAnsi="Georgia"/>
          <w:sz w:val="18"/>
          <w:szCs w:val="20"/>
          <w:rtl/>
        </w:rPr>
        <w:t xml:space="preserve"> הסיוע הורחב גם לנפגעי עבירות סחר בבני אדם, </w:t>
      </w:r>
      <w:r w:rsidRPr="00122DB8">
        <w:rPr>
          <w:rFonts w:ascii="Georgia" w:hAnsi="Georgia" w:hint="cs"/>
          <w:sz w:val="18"/>
          <w:szCs w:val="20"/>
          <w:rtl/>
        </w:rPr>
        <w:t xml:space="preserve">והם </w:t>
      </w:r>
      <w:r w:rsidRPr="00122DB8">
        <w:rPr>
          <w:rFonts w:ascii="Georgia" w:hAnsi="Georgia"/>
          <w:sz w:val="18"/>
          <w:szCs w:val="20"/>
          <w:rtl/>
        </w:rPr>
        <w:t>יקבלו ליווי משפטי מקיף החל משלב החקירה המשטרתית</w:t>
      </w:r>
      <w:r w:rsidRPr="00122DB8">
        <w:rPr>
          <w:rFonts w:ascii="Georgia" w:hAnsi="Georgia" w:hint="cs"/>
          <w:sz w:val="18"/>
          <w:szCs w:val="20"/>
          <w:rtl/>
        </w:rPr>
        <w:t xml:space="preserve"> ו</w:t>
      </w:r>
      <w:r w:rsidRPr="00122DB8">
        <w:rPr>
          <w:rFonts w:ascii="Georgia" w:hAnsi="Georgia"/>
          <w:sz w:val="18"/>
          <w:szCs w:val="20"/>
          <w:rtl/>
        </w:rPr>
        <w:t xml:space="preserve">בכל ההליכים הפליליים </w:t>
      </w:r>
      <w:proofErr w:type="spellStart"/>
      <w:r w:rsidRPr="00122DB8">
        <w:rPr>
          <w:rFonts w:ascii="Georgia" w:hAnsi="Georgia"/>
          <w:sz w:val="18"/>
          <w:szCs w:val="20"/>
          <w:rtl/>
        </w:rPr>
        <w:t>והמ</w:t>
      </w:r>
      <w:r w:rsidRPr="00122DB8">
        <w:rPr>
          <w:rFonts w:ascii="Georgia" w:hAnsi="Georgia" w:hint="cs"/>
          <w:sz w:val="18"/>
          <w:szCs w:val="20"/>
          <w:rtl/>
        </w:rPr>
        <w:t>י</w:t>
      </w:r>
      <w:r w:rsidRPr="00122DB8">
        <w:rPr>
          <w:rFonts w:ascii="Georgia" w:hAnsi="Georgia"/>
          <w:sz w:val="18"/>
          <w:szCs w:val="20"/>
          <w:rtl/>
        </w:rPr>
        <w:t>נהליים</w:t>
      </w:r>
      <w:proofErr w:type="spellEnd"/>
      <w:r w:rsidRPr="00122DB8">
        <w:rPr>
          <w:rFonts w:ascii="Georgia" w:hAnsi="Georgia"/>
          <w:sz w:val="18"/>
          <w:szCs w:val="20"/>
          <w:rtl/>
        </w:rPr>
        <w:t xml:space="preserve">, ללא </w:t>
      </w:r>
      <w:r w:rsidRPr="00122DB8">
        <w:rPr>
          <w:rFonts w:ascii="Georgia" w:hAnsi="Georgia" w:hint="cs"/>
          <w:sz w:val="18"/>
          <w:szCs w:val="20"/>
          <w:rtl/>
        </w:rPr>
        <w:t>קשר ל</w:t>
      </w:r>
      <w:r w:rsidRPr="00122DB8">
        <w:rPr>
          <w:rFonts w:ascii="Georgia" w:hAnsi="Georgia"/>
          <w:sz w:val="18"/>
          <w:szCs w:val="20"/>
          <w:rtl/>
        </w:rPr>
        <w:t xml:space="preserve">מצבם הכלכלי. </w:t>
      </w:r>
      <w:r w:rsidRPr="00122DB8">
        <w:rPr>
          <w:rFonts w:ascii="Georgia" w:hAnsi="Georgia" w:hint="cs"/>
          <w:sz w:val="18"/>
          <w:szCs w:val="20"/>
          <w:rtl/>
        </w:rPr>
        <w:t xml:space="preserve">נוסף על כך, </w:t>
      </w:r>
      <w:r w:rsidRPr="00122DB8">
        <w:rPr>
          <w:rFonts w:ascii="Georgia" w:hAnsi="Georgia"/>
          <w:sz w:val="18"/>
          <w:szCs w:val="20"/>
          <w:rtl/>
        </w:rPr>
        <w:t xml:space="preserve">התיקון מעגן בחוק את הסיוע למשפחות של קורבנות רצח, למעט חשודים או נאשמים מקרב המשפחה, וכולל ליווי בהליכים פליליים, </w:t>
      </w:r>
      <w:proofErr w:type="spellStart"/>
      <w:r w:rsidRPr="00122DB8">
        <w:rPr>
          <w:rFonts w:ascii="Georgia" w:hAnsi="Georgia"/>
          <w:sz w:val="18"/>
          <w:szCs w:val="20"/>
          <w:rtl/>
        </w:rPr>
        <w:t>מ</w:t>
      </w:r>
      <w:r w:rsidRPr="00122DB8">
        <w:rPr>
          <w:rFonts w:ascii="Georgia" w:hAnsi="Georgia" w:hint="cs"/>
          <w:sz w:val="18"/>
          <w:szCs w:val="20"/>
          <w:rtl/>
        </w:rPr>
        <w:t>י</w:t>
      </w:r>
      <w:r w:rsidRPr="00122DB8">
        <w:rPr>
          <w:rFonts w:ascii="Georgia" w:hAnsi="Georgia"/>
          <w:sz w:val="18"/>
          <w:szCs w:val="20"/>
          <w:rtl/>
        </w:rPr>
        <w:t>נהליים</w:t>
      </w:r>
      <w:proofErr w:type="spellEnd"/>
      <w:r w:rsidRPr="00122DB8">
        <w:rPr>
          <w:rFonts w:ascii="Georgia" w:hAnsi="Georgia"/>
          <w:sz w:val="18"/>
          <w:szCs w:val="20"/>
          <w:rtl/>
        </w:rPr>
        <w:t xml:space="preserve"> ואזרחיים הקשורים לעבירה. הסיוע המשפטי יינתן </w:t>
      </w:r>
      <w:r w:rsidRPr="00122DB8">
        <w:rPr>
          <w:rFonts w:ascii="Georgia" w:hAnsi="Georgia" w:hint="cs"/>
          <w:sz w:val="18"/>
          <w:szCs w:val="20"/>
          <w:rtl/>
        </w:rPr>
        <w:t xml:space="preserve">כולו </w:t>
      </w:r>
      <w:r w:rsidRPr="00122DB8">
        <w:rPr>
          <w:rFonts w:ascii="Georgia" w:hAnsi="Georgia"/>
          <w:sz w:val="18"/>
          <w:szCs w:val="20"/>
          <w:rtl/>
        </w:rPr>
        <w:t>בתיאום עם משרד הרווחה והביטחון החברתי, במטרה להבטיח טיפול מקיף ומותאם לצ</w:t>
      </w:r>
      <w:r w:rsidRPr="00122DB8">
        <w:rPr>
          <w:rFonts w:ascii="Georgia" w:hAnsi="Georgia" w:hint="cs"/>
          <w:sz w:val="18"/>
          <w:szCs w:val="20"/>
          <w:rtl/>
        </w:rPr>
        <w:t>ו</w:t>
      </w:r>
      <w:r w:rsidRPr="00122DB8">
        <w:rPr>
          <w:rFonts w:ascii="Georgia" w:hAnsi="Georgia"/>
          <w:sz w:val="18"/>
          <w:szCs w:val="20"/>
          <w:rtl/>
        </w:rPr>
        <w:t>רכי הנפגעים.</w:t>
      </w:r>
    </w:p>
    <w:p w14:paraId="16A41E40" w14:textId="77777777" w:rsidR="00122DB8" w:rsidRPr="00122DB8" w:rsidRDefault="00122DB8" w:rsidP="00122DB8">
      <w:pPr>
        <w:spacing w:after="180" w:line="260" w:lineRule="exact"/>
        <w:jc w:val="both"/>
        <w:rPr>
          <w:rFonts w:ascii="Georgia" w:hAnsi="Georgia"/>
          <w:sz w:val="18"/>
          <w:szCs w:val="20"/>
          <w:rtl/>
        </w:rPr>
      </w:pPr>
    </w:p>
    <w:sectPr w:rsidR="00122DB8" w:rsidRPr="00122DB8" w:rsidSect="0044272F">
      <w:headerReference w:type="even" r:id="rId8"/>
      <w:headerReference w:type="default" r:id="rId9"/>
      <w:footnotePr>
        <w:numRestart w:val="eachPage"/>
      </w:footnotePr>
      <w:pgSz w:w="11906" w:h="16838" w:code="9"/>
      <w:pgMar w:top="3402" w:right="2608" w:bottom="2722" w:left="2608" w:header="2552" w:footer="2438" w:gutter="0"/>
      <w:pgNumType w:start="14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DEAD1" w14:textId="77777777" w:rsidR="00445500" w:rsidRDefault="00445500">
      <w:pPr>
        <w:spacing w:line="240" w:lineRule="auto"/>
      </w:pPr>
      <w:r>
        <w:separator/>
      </w:r>
    </w:p>
  </w:endnote>
  <w:endnote w:type="continuationSeparator" w:id="0">
    <w:p w14:paraId="337A4BE0" w14:textId="77777777" w:rsidR="00445500" w:rsidRDefault="004455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uttman Aharoni">
    <w:panose1 w:val="02010401010101010101"/>
    <w:charset w:val="B1"/>
    <w:family w:val="auto"/>
    <w:pitch w:val="variable"/>
    <w:sig w:usb0="00000801" w:usb1="40000000" w:usb2="00000000" w:usb3="00000000" w:csb0="00000020" w:csb1="00000000"/>
  </w:font>
  <w:font w:name="Guttman Hodes">
    <w:altName w:val="Arial"/>
    <w:charset w:val="B1"/>
    <w:family w:val="auto"/>
    <w:pitch w:val="variable"/>
    <w:sig w:usb0="00000801" w:usb1="40000000" w:usb2="00000000" w:usb3="00000000" w:csb0="00000020" w:csb1="00000000"/>
  </w:font>
  <w:font w:name="Code">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TUR">
    <w:altName w:val="Arial"/>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6D638" w14:textId="77777777" w:rsidR="00445500" w:rsidRDefault="00445500" w:rsidP="00A04D35">
      <w:pPr>
        <w:spacing w:before="120" w:after="80"/>
        <w:rPr>
          <w:rFonts w:cs="FrankRuehl"/>
          <w:sz w:val="18"/>
          <w:szCs w:val="18"/>
        </w:rPr>
      </w:pPr>
      <w:r>
        <w:rPr>
          <w:rFonts w:cs="FrankRuehl" w:hint="cs"/>
          <w:sz w:val="18"/>
          <w:szCs w:val="18"/>
          <w:rtl/>
        </w:rPr>
        <w:t>_____________</w:t>
      </w:r>
    </w:p>
  </w:footnote>
  <w:footnote w:type="continuationSeparator" w:id="0">
    <w:p w14:paraId="28672EB2" w14:textId="77777777" w:rsidR="00445500" w:rsidRDefault="00445500">
      <w:r>
        <w:continuationSeparator/>
      </w:r>
    </w:p>
  </w:footnote>
  <w:footnote w:type="continuationNotice" w:id="1">
    <w:p w14:paraId="0DF17732" w14:textId="77777777" w:rsidR="00445500" w:rsidRDefault="00445500">
      <w:pPr>
        <w:rPr>
          <w:rtl/>
        </w:rPr>
      </w:pPr>
    </w:p>
  </w:footnote>
  <w:footnote w:id="2">
    <w:p w14:paraId="5920567E" w14:textId="77777777" w:rsidR="00122DB8" w:rsidRPr="009B3DC4" w:rsidRDefault="00122DB8" w:rsidP="00122DB8">
      <w:pPr>
        <w:pStyle w:val="FootnoteText"/>
        <w:keepLines/>
        <w:spacing w:line="200" w:lineRule="exact"/>
        <w:ind w:left="397" w:hanging="397"/>
        <w:jc w:val="both"/>
        <w:rPr>
          <w:rStyle w:val="FootnoteReference"/>
          <w:rFonts w:cs="David"/>
          <w:sz w:val="14"/>
          <w:szCs w:val="16"/>
          <w:vertAlign w:val="baseline"/>
          <w:rtl/>
        </w:rPr>
      </w:pPr>
      <w:r w:rsidRPr="009B3DC4">
        <w:rPr>
          <w:rStyle w:val="FootnoteReference"/>
          <w:rFonts w:cs="David"/>
          <w:sz w:val="14"/>
          <w:szCs w:val="16"/>
          <w:vertAlign w:val="baseline"/>
        </w:rPr>
        <w:footnoteRef/>
      </w:r>
      <w:r w:rsidRPr="009B3DC4">
        <w:rPr>
          <w:rStyle w:val="FootnoteReference"/>
          <w:rFonts w:cs="David"/>
          <w:sz w:val="14"/>
          <w:szCs w:val="16"/>
          <w:vertAlign w:val="baseline"/>
          <w:rtl/>
        </w:rPr>
        <w:t xml:space="preserve"> </w:t>
      </w:r>
      <w:r w:rsidRPr="009B3DC4">
        <w:rPr>
          <w:rStyle w:val="FootnoteReference"/>
          <w:rFonts w:cs="David"/>
          <w:sz w:val="14"/>
          <w:szCs w:val="16"/>
          <w:vertAlign w:val="baseline"/>
          <w:rtl/>
        </w:rPr>
        <w:tab/>
      </w:r>
      <w:r w:rsidRPr="009B3DC4">
        <w:rPr>
          <w:rStyle w:val="FootnoteReference"/>
          <w:rFonts w:cs="David" w:hint="cs"/>
          <w:sz w:val="14"/>
          <w:szCs w:val="16"/>
          <w:vertAlign w:val="baseline"/>
          <w:rtl/>
        </w:rPr>
        <w:t>דוקטור, החוג לעבודה סוציאלית, המכללה האקדמית תל-חי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BF758" w14:textId="79E7944D" w:rsidR="00D541A6" w:rsidRPr="00AE7DAB" w:rsidRDefault="00D541A6" w:rsidP="00AE7DAB">
    <w:pPr>
      <w:pStyle w:val="Heading1"/>
      <w:tabs>
        <w:tab w:val="center" w:pos="4536"/>
        <w:tab w:val="right" w:pos="9072"/>
      </w:tabs>
      <w:rPr>
        <w:rFonts w:ascii="David" w:hAnsi="David"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3D416C">
      <w:rPr>
        <w:rFonts w:ascii="David" w:hAnsi="David" w:cs="David"/>
        <w:noProof/>
        <w:sz w:val="24"/>
        <w:szCs w:val="24"/>
        <w:rtl/>
      </w:rPr>
      <w:t>148</w:t>
    </w:r>
    <w:r w:rsidRPr="00A17DA2">
      <w:rPr>
        <w:rFonts w:ascii="David" w:hAnsi="David" w:cs="David"/>
        <w:noProof/>
        <w:sz w:val="24"/>
        <w:szCs w:val="24"/>
      </w:rPr>
      <w:fldChar w:fldCharType="end"/>
    </w:r>
    <w:r>
      <w:rPr>
        <w:rFonts w:ascii="David" w:hAnsi="David" w:cs="David"/>
        <w:b w:val="0"/>
        <w:bCs w:val="0"/>
        <w:color w:val="A6A6A6"/>
        <w:sz w:val="20"/>
        <w:szCs w:val="20"/>
        <w:rtl/>
      </w:rPr>
      <w:t xml:space="preserve">  |  ביטחון סוציאלי </w:t>
    </w:r>
    <w:r>
      <w:rPr>
        <w:rFonts w:ascii="David" w:hAnsi="David" w:cs="David" w:hint="cs"/>
        <w:b w:val="0"/>
        <w:bCs w:val="0"/>
        <w:color w:val="A6A6A6"/>
        <w:sz w:val="20"/>
        <w:szCs w:val="20"/>
        <w:rtl/>
      </w:rPr>
      <w:t>12</w:t>
    </w:r>
    <w:r w:rsidR="00122DB8">
      <w:rPr>
        <w:rFonts w:ascii="David" w:hAnsi="David" w:cs="David" w:hint="cs"/>
        <w:b w:val="0"/>
        <w:bCs w:val="0"/>
        <w:color w:val="A6A6A6"/>
        <w:sz w:val="20"/>
        <w:szCs w:val="20"/>
        <w:rtl/>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83794" w14:textId="28E7FA7A" w:rsidR="00D541A6" w:rsidRPr="00CA633F" w:rsidRDefault="00D541A6" w:rsidP="00E72215">
    <w:pPr>
      <w:pStyle w:val="Heading1"/>
      <w:tabs>
        <w:tab w:val="center" w:pos="4536"/>
        <w:tab w:val="right" w:pos="9072"/>
      </w:tabs>
      <w:jc w:val="right"/>
      <w:rPr>
        <w:rFonts w:ascii="David" w:hAnsi="David" w:cs="David"/>
        <w:b w:val="0"/>
        <w:bCs w:val="0"/>
        <w:noProof/>
        <w:color w:val="A6A6A6"/>
        <w:sz w:val="20"/>
        <w:szCs w:val="20"/>
      </w:rPr>
    </w:pPr>
    <w:r w:rsidRPr="00E72215">
      <w:rPr>
        <w:rFonts w:ascii="David" w:hAnsi="David" w:cs="David"/>
        <w:b w:val="0"/>
        <w:bCs w:val="0"/>
        <w:noProof/>
        <w:color w:val="A6A6A6"/>
        <w:sz w:val="20"/>
        <w:szCs w:val="20"/>
        <w:rtl/>
      </w:rPr>
      <w:t>חקיקה ופסיקה חברתית</w:t>
    </w:r>
    <w:r w:rsidRPr="00CA633F">
      <w:rPr>
        <w:rFonts w:ascii="David" w:hAnsi="David" w:cs="David"/>
        <w:b w:val="0"/>
        <w:bCs w:val="0"/>
        <w:noProof/>
        <w:color w:val="A6A6A6"/>
        <w:sz w:val="20"/>
        <w:szCs w:val="20"/>
        <w:rtl/>
      </w:rPr>
      <w:t xml:space="preserve">  |  </w:t>
    </w: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3D416C">
      <w:rPr>
        <w:rFonts w:ascii="David" w:hAnsi="David" w:cs="David"/>
        <w:noProof/>
        <w:sz w:val="24"/>
        <w:szCs w:val="24"/>
        <w:rtl/>
      </w:rPr>
      <w:t>147</w:t>
    </w:r>
    <w:r w:rsidRPr="00A17DA2">
      <w:rPr>
        <w:rFonts w:ascii="David" w:hAnsi="David" w:cs="David"/>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6001B"/>
    <w:multiLevelType w:val="hybridMultilevel"/>
    <w:tmpl w:val="B2C4B5E4"/>
    <w:lvl w:ilvl="0" w:tplc="B914BFE2">
      <w:start w:val="1"/>
      <w:numFmt w:val="decimal"/>
      <w:pStyle w:val="Ruller4"/>
      <w:lvlText w:val="%1."/>
      <w:lvlJc w:val="left"/>
      <w:pPr>
        <w:tabs>
          <w:tab w:val="num" w:pos="907"/>
        </w:tabs>
        <w:ind w:left="0" w:firstLine="0"/>
      </w:pPr>
      <w:rPr>
        <w:rFonts w:hint="default"/>
      </w:rPr>
    </w:lvl>
    <w:lvl w:ilvl="1" w:tplc="BF0A78CA" w:tentative="1">
      <w:start w:val="1"/>
      <w:numFmt w:val="lowerLetter"/>
      <w:lvlText w:val="%2."/>
      <w:lvlJc w:val="left"/>
      <w:pPr>
        <w:tabs>
          <w:tab w:val="num" w:pos="1440"/>
        </w:tabs>
        <w:ind w:left="1440" w:hanging="360"/>
      </w:pPr>
    </w:lvl>
    <w:lvl w:ilvl="2" w:tplc="3DB0D620" w:tentative="1">
      <w:start w:val="1"/>
      <w:numFmt w:val="lowerRoman"/>
      <w:lvlText w:val="%3."/>
      <w:lvlJc w:val="right"/>
      <w:pPr>
        <w:tabs>
          <w:tab w:val="num" w:pos="2160"/>
        </w:tabs>
        <w:ind w:left="2160" w:hanging="180"/>
      </w:pPr>
    </w:lvl>
    <w:lvl w:ilvl="3" w:tplc="3DAC6F7E" w:tentative="1">
      <w:start w:val="1"/>
      <w:numFmt w:val="decimal"/>
      <w:lvlText w:val="%4."/>
      <w:lvlJc w:val="left"/>
      <w:pPr>
        <w:tabs>
          <w:tab w:val="num" w:pos="2880"/>
        </w:tabs>
        <w:ind w:left="2880" w:hanging="360"/>
      </w:pPr>
    </w:lvl>
    <w:lvl w:ilvl="4" w:tplc="CF0224A6" w:tentative="1">
      <w:start w:val="1"/>
      <w:numFmt w:val="lowerLetter"/>
      <w:lvlText w:val="%5."/>
      <w:lvlJc w:val="left"/>
      <w:pPr>
        <w:tabs>
          <w:tab w:val="num" w:pos="3600"/>
        </w:tabs>
        <w:ind w:left="3600" w:hanging="360"/>
      </w:pPr>
    </w:lvl>
    <w:lvl w:ilvl="5" w:tplc="5D422DE6" w:tentative="1">
      <w:start w:val="1"/>
      <w:numFmt w:val="lowerRoman"/>
      <w:lvlText w:val="%6."/>
      <w:lvlJc w:val="right"/>
      <w:pPr>
        <w:tabs>
          <w:tab w:val="num" w:pos="4320"/>
        </w:tabs>
        <w:ind w:left="4320" w:hanging="180"/>
      </w:pPr>
    </w:lvl>
    <w:lvl w:ilvl="6" w:tplc="441EABFA" w:tentative="1">
      <w:start w:val="1"/>
      <w:numFmt w:val="decimal"/>
      <w:lvlText w:val="%7."/>
      <w:lvlJc w:val="left"/>
      <w:pPr>
        <w:tabs>
          <w:tab w:val="num" w:pos="5040"/>
        </w:tabs>
        <w:ind w:left="5040" w:hanging="360"/>
      </w:pPr>
    </w:lvl>
    <w:lvl w:ilvl="7" w:tplc="0B4A70C4" w:tentative="1">
      <w:start w:val="1"/>
      <w:numFmt w:val="lowerLetter"/>
      <w:lvlText w:val="%8."/>
      <w:lvlJc w:val="left"/>
      <w:pPr>
        <w:tabs>
          <w:tab w:val="num" w:pos="5760"/>
        </w:tabs>
        <w:ind w:left="5760" w:hanging="360"/>
      </w:pPr>
    </w:lvl>
    <w:lvl w:ilvl="8" w:tplc="9AA4F1EE" w:tentative="1">
      <w:start w:val="1"/>
      <w:numFmt w:val="lowerRoman"/>
      <w:lvlText w:val="%9."/>
      <w:lvlJc w:val="right"/>
      <w:pPr>
        <w:tabs>
          <w:tab w:val="num" w:pos="6480"/>
        </w:tabs>
        <w:ind w:left="6480" w:hanging="180"/>
      </w:pPr>
    </w:lvl>
  </w:abstractNum>
  <w:abstractNum w:abstractNumId="4" w15:restartNumberingAfterBreak="0">
    <w:nsid w:val="0D09499D"/>
    <w:multiLevelType w:val="hybridMultilevel"/>
    <w:tmpl w:val="810892D2"/>
    <w:lvl w:ilvl="0" w:tplc="20B8B7F4">
      <w:start w:val="1"/>
      <w:numFmt w:val="bullet"/>
      <w:lvlText w:val=""/>
      <w:lvlJc w:val="left"/>
      <w:rPr>
        <w:rFonts w:ascii="Symbol" w:eastAsia="Times New Roman" w:hAnsi="Symbol" w:cs="David" w:hint="default"/>
        <w:lang w:bidi="he-IL"/>
      </w:rPr>
    </w:lvl>
    <w:lvl w:ilvl="1" w:tplc="B14C5A44" w:tentative="1">
      <w:start w:val="1"/>
      <w:numFmt w:val="bullet"/>
      <w:lvlText w:val="o"/>
      <w:lvlJc w:val="left"/>
      <w:pPr>
        <w:ind w:left="1080" w:hanging="360"/>
      </w:pPr>
      <w:rPr>
        <w:rFonts w:ascii="Courier New" w:hAnsi="Courier New" w:cs="Courier New" w:hint="default"/>
      </w:rPr>
    </w:lvl>
    <w:lvl w:ilvl="2" w:tplc="4DEE1A78" w:tentative="1">
      <w:start w:val="1"/>
      <w:numFmt w:val="bullet"/>
      <w:lvlText w:val=""/>
      <w:lvlJc w:val="left"/>
      <w:pPr>
        <w:ind w:left="1800" w:hanging="360"/>
      </w:pPr>
      <w:rPr>
        <w:rFonts w:ascii="Wingdings" w:hAnsi="Wingdings" w:hint="default"/>
      </w:rPr>
    </w:lvl>
    <w:lvl w:ilvl="3" w:tplc="AE046094" w:tentative="1">
      <w:start w:val="1"/>
      <w:numFmt w:val="bullet"/>
      <w:lvlText w:val=""/>
      <w:lvlJc w:val="left"/>
      <w:pPr>
        <w:ind w:left="2520" w:hanging="360"/>
      </w:pPr>
      <w:rPr>
        <w:rFonts w:ascii="Symbol" w:hAnsi="Symbol" w:hint="default"/>
      </w:rPr>
    </w:lvl>
    <w:lvl w:ilvl="4" w:tplc="9286BFF2" w:tentative="1">
      <w:start w:val="1"/>
      <w:numFmt w:val="bullet"/>
      <w:lvlText w:val="o"/>
      <w:lvlJc w:val="left"/>
      <w:pPr>
        <w:ind w:left="3240" w:hanging="360"/>
      </w:pPr>
      <w:rPr>
        <w:rFonts w:ascii="Courier New" w:hAnsi="Courier New" w:cs="Courier New" w:hint="default"/>
      </w:rPr>
    </w:lvl>
    <w:lvl w:ilvl="5" w:tplc="33CCA05C" w:tentative="1">
      <w:start w:val="1"/>
      <w:numFmt w:val="bullet"/>
      <w:lvlText w:val=""/>
      <w:lvlJc w:val="left"/>
      <w:pPr>
        <w:ind w:left="3960" w:hanging="360"/>
      </w:pPr>
      <w:rPr>
        <w:rFonts w:ascii="Wingdings" w:hAnsi="Wingdings" w:hint="default"/>
      </w:rPr>
    </w:lvl>
    <w:lvl w:ilvl="6" w:tplc="8D544728" w:tentative="1">
      <w:start w:val="1"/>
      <w:numFmt w:val="bullet"/>
      <w:lvlText w:val=""/>
      <w:lvlJc w:val="left"/>
      <w:pPr>
        <w:ind w:left="4680" w:hanging="360"/>
      </w:pPr>
      <w:rPr>
        <w:rFonts w:ascii="Symbol" w:hAnsi="Symbol" w:hint="default"/>
      </w:rPr>
    </w:lvl>
    <w:lvl w:ilvl="7" w:tplc="4E36E492" w:tentative="1">
      <w:start w:val="1"/>
      <w:numFmt w:val="bullet"/>
      <w:lvlText w:val="o"/>
      <w:lvlJc w:val="left"/>
      <w:pPr>
        <w:ind w:left="5400" w:hanging="360"/>
      </w:pPr>
      <w:rPr>
        <w:rFonts w:ascii="Courier New" w:hAnsi="Courier New" w:cs="Courier New" w:hint="default"/>
      </w:rPr>
    </w:lvl>
    <w:lvl w:ilvl="8" w:tplc="655A8A44" w:tentative="1">
      <w:start w:val="1"/>
      <w:numFmt w:val="bullet"/>
      <w:lvlText w:val=""/>
      <w:lvlJc w:val="left"/>
      <w:pPr>
        <w:ind w:left="6120" w:hanging="360"/>
      </w:pPr>
      <w:rPr>
        <w:rFonts w:ascii="Wingdings" w:hAnsi="Wingdings" w:hint="default"/>
      </w:rPr>
    </w:lvl>
  </w:abstractNum>
  <w:abstractNum w:abstractNumId="5"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40180"/>
    <w:multiLevelType w:val="multilevel"/>
    <w:tmpl w:val="9EFA45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o"/>
      <w:lvlJc w:val="left"/>
      <w:pPr>
        <w:tabs>
          <w:tab w:val="num" w:pos="1800"/>
        </w:tabs>
        <w:ind w:left="1800" w:hanging="360"/>
      </w:pPr>
      <w:rPr>
        <w:rFonts w:ascii="Courier New" w:hAnsi="Courier New" w:cs="Courier New"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02DA3"/>
    <w:multiLevelType w:val="hybridMultilevel"/>
    <w:tmpl w:val="3A181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64523"/>
    <w:multiLevelType w:val="hybridMultilevel"/>
    <w:tmpl w:val="AB52E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190E6293"/>
    <w:multiLevelType w:val="hybridMultilevel"/>
    <w:tmpl w:val="BB4E43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4"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4E41F0"/>
    <w:multiLevelType w:val="multilevel"/>
    <w:tmpl w:val="AF62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8" w15:restartNumberingAfterBreak="0">
    <w:nsid w:val="34112B3F"/>
    <w:multiLevelType w:val="hybridMultilevel"/>
    <w:tmpl w:val="DBAAB1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E03EA"/>
    <w:multiLevelType w:val="hybridMultilevel"/>
    <w:tmpl w:val="3B26B22E"/>
    <w:lvl w:ilvl="0" w:tplc="E3EA104A">
      <w:numFmt w:val="bullet"/>
      <w:lvlText w:val=""/>
      <w:lvlJc w:val="left"/>
      <w:pPr>
        <w:ind w:left="360" w:hanging="360"/>
      </w:pPr>
      <w:rPr>
        <w:rFonts w:ascii="Symbol" w:eastAsia="Times New Roman" w:hAnsi="Symbol" w:cs="Aria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7F646C"/>
    <w:multiLevelType w:val="hybridMultilevel"/>
    <w:tmpl w:val="DBAAB1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205F6D"/>
    <w:multiLevelType w:val="hybridMultilevel"/>
    <w:tmpl w:val="CEE2519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DB3815"/>
    <w:multiLevelType w:val="multilevel"/>
    <w:tmpl w:val="6154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BE1CAB"/>
    <w:multiLevelType w:val="hybridMultilevel"/>
    <w:tmpl w:val="B60EB136"/>
    <w:lvl w:ilvl="0" w:tplc="54B41068">
      <w:start w:val="40"/>
      <w:numFmt w:val="bullet"/>
      <w:lvlText w:val=""/>
      <w:lvlJc w:val="left"/>
      <w:pPr>
        <w:ind w:left="360" w:hanging="360"/>
      </w:pPr>
      <w:rPr>
        <w:rFonts w:ascii="Symbol" w:eastAsia="Calibri" w:hAnsi="Symbo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1" w15:restartNumberingAfterBreak="0">
    <w:nsid w:val="56413207"/>
    <w:multiLevelType w:val="hybridMultilevel"/>
    <w:tmpl w:val="E7289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5B63D7"/>
    <w:multiLevelType w:val="multilevel"/>
    <w:tmpl w:val="0FAC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5F51EB"/>
    <w:multiLevelType w:val="hybridMultilevel"/>
    <w:tmpl w:val="4288AC66"/>
    <w:lvl w:ilvl="0" w:tplc="1A7C478C">
      <w:start w:val="1"/>
      <w:numFmt w:val="bullet"/>
      <w:lvlText w:val=""/>
      <w:lvlJc w:val="left"/>
      <w:rPr>
        <w:rFonts w:ascii="Symbol" w:eastAsia="Calibri" w:hAnsi="Symbol"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4A6C94"/>
    <w:multiLevelType w:val="hybridMultilevel"/>
    <w:tmpl w:val="A75862A8"/>
    <w:lvl w:ilvl="0" w:tplc="509AB09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20E5D45"/>
    <w:multiLevelType w:val="multilevel"/>
    <w:tmpl w:val="BC5A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E835E5"/>
    <w:multiLevelType w:val="hybridMultilevel"/>
    <w:tmpl w:val="7F36C370"/>
    <w:lvl w:ilvl="0" w:tplc="96B2C59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AF2B54"/>
    <w:multiLevelType w:val="hybridMultilevel"/>
    <w:tmpl w:val="DBAAB1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2037869">
    <w:abstractNumId w:val="19"/>
  </w:num>
  <w:num w:numId="2" w16cid:durableId="1267620051">
    <w:abstractNumId w:val="23"/>
  </w:num>
  <w:num w:numId="3" w16cid:durableId="1833182180">
    <w:abstractNumId w:val="39"/>
  </w:num>
  <w:num w:numId="4" w16cid:durableId="1074662664">
    <w:abstractNumId w:val="32"/>
  </w:num>
  <w:num w:numId="5" w16cid:durableId="595746754">
    <w:abstractNumId w:val="13"/>
  </w:num>
  <w:num w:numId="6" w16cid:durableId="323243102">
    <w:abstractNumId w:val="28"/>
  </w:num>
  <w:num w:numId="7" w16cid:durableId="1327129164">
    <w:abstractNumId w:val="21"/>
  </w:num>
  <w:num w:numId="8" w16cid:durableId="1602370352">
    <w:abstractNumId w:val="0"/>
  </w:num>
  <w:num w:numId="9" w16cid:durableId="1708606128">
    <w:abstractNumId w:val="11"/>
  </w:num>
  <w:num w:numId="10" w16cid:durableId="412701037">
    <w:abstractNumId w:val="38"/>
  </w:num>
  <w:num w:numId="11" w16cid:durableId="1626228135">
    <w:abstractNumId w:val="33"/>
  </w:num>
  <w:num w:numId="12" w16cid:durableId="541401313">
    <w:abstractNumId w:val="25"/>
  </w:num>
  <w:num w:numId="13" w16cid:durableId="921178191">
    <w:abstractNumId w:val="17"/>
  </w:num>
  <w:num w:numId="14" w16cid:durableId="601769874">
    <w:abstractNumId w:val="8"/>
  </w:num>
  <w:num w:numId="15" w16cid:durableId="1028216085">
    <w:abstractNumId w:val="16"/>
  </w:num>
  <w:num w:numId="16" w16cid:durableId="1637684717">
    <w:abstractNumId w:val="5"/>
  </w:num>
  <w:num w:numId="17" w16cid:durableId="648246681">
    <w:abstractNumId w:val="41"/>
  </w:num>
  <w:num w:numId="18" w16cid:durableId="1466702286">
    <w:abstractNumId w:val="26"/>
  </w:num>
  <w:num w:numId="19" w16cid:durableId="822237897">
    <w:abstractNumId w:val="14"/>
  </w:num>
  <w:num w:numId="20" w16cid:durableId="1557231975">
    <w:abstractNumId w:val="2"/>
  </w:num>
  <w:num w:numId="21" w16cid:durableId="81606819">
    <w:abstractNumId w:val="1"/>
  </w:num>
  <w:num w:numId="22" w16cid:durableId="1508590537">
    <w:abstractNumId w:val="7"/>
  </w:num>
  <w:num w:numId="23" w16cid:durableId="918753611">
    <w:abstractNumId w:val="22"/>
  </w:num>
  <w:num w:numId="24" w16cid:durableId="638875244">
    <w:abstractNumId w:val="15"/>
  </w:num>
  <w:num w:numId="25" w16cid:durableId="536048945">
    <w:abstractNumId w:val="34"/>
  </w:num>
  <w:num w:numId="26" w16cid:durableId="548961641">
    <w:abstractNumId w:val="20"/>
  </w:num>
  <w:num w:numId="27" w16cid:durableId="1326974372">
    <w:abstractNumId w:val="27"/>
  </w:num>
  <w:num w:numId="28" w16cid:durableId="809058145">
    <w:abstractNumId w:val="6"/>
  </w:num>
  <w:num w:numId="29" w16cid:durableId="1956056683">
    <w:abstractNumId w:val="3"/>
  </w:num>
  <w:num w:numId="30" w16cid:durableId="780492819">
    <w:abstractNumId w:val="30"/>
  </w:num>
  <w:num w:numId="31" w16cid:durableId="341903043">
    <w:abstractNumId w:val="29"/>
  </w:num>
  <w:num w:numId="32" w16cid:durableId="1138373404">
    <w:abstractNumId w:val="9"/>
  </w:num>
  <w:num w:numId="33" w16cid:durableId="609511989">
    <w:abstractNumId w:val="35"/>
  </w:num>
  <w:num w:numId="34" w16cid:durableId="879974342">
    <w:abstractNumId w:val="31"/>
  </w:num>
  <w:num w:numId="35" w16cid:durableId="1366061050">
    <w:abstractNumId w:val="10"/>
  </w:num>
  <w:num w:numId="36" w16cid:durableId="876895368">
    <w:abstractNumId w:val="4"/>
  </w:num>
  <w:num w:numId="37" w16cid:durableId="33507177">
    <w:abstractNumId w:val="37"/>
  </w:num>
  <w:num w:numId="38" w16cid:durableId="1198161907">
    <w:abstractNumId w:val="12"/>
  </w:num>
  <w:num w:numId="39" w16cid:durableId="531960203">
    <w:abstractNumId w:val="36"/>
  </w:num>
  <w:num w:numId="40" w16cid:durableId="1617249571">
    <w:abstractNumId w:val="40"/>
  </w:num>
  <w:num w:numId="41" w16cid:durableId="1730878070">
    <w:abstractNumId w:val="42"/>
  </w:num>
  <w:num w:numId="42" w16cid:durableId="88283574">
    <w:abstractNumId w:val="18"/>
  </w:num>
  <w:num w:numId="43" w16cid:durableId="13333391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397"/>
  <w:evenAndOddHeaders/>
  <w:noPunctuationKerning/>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141E2"/>
    <w:rsid w:val="000238CB"/>
    <w:rsid w:val="00036E97"/>
    <w:rsid w:val="000552ED"/>
    <w:rsid w:val="000718C2"/>
    <w:rsid w:val="00087316"/>
    <w:rsid w:val="00087B26"/>
    <w:rsid w:val="00087B87"/>
    <w:rsid w:val="000A3731"/>
    <w:rsid w:val="000A7604"/>
    <w:rsid w:val="000B01C4"/>
    <w:rsid w:val="000B766E"/>
    <w:rsid w:val="000C131C"/>
    <w:rsid w:val="000C13C4"/>
    <w:rsid w:val="000C236E"/>
    <w:rsid w:val="000C24D2"/>
    <w:rsid w:val="000C32F6"/>
    <w:rsid w:val="000C4352"/>
    <w:rsid w:val="000C7415"/>
    <w:rsid w:val="000D0CA3"/>
    <w:rsid w:val="000D10A7"/>
    <w:rsid w:val="000D7955"/>
    <w:rsid w:val="000E38FA"/>
    <w:rsid w:val="000E6E34"/>
    <w:rsid w:val="00113D45"/>
    <w:rsid w:val="00122DB8"/>
    <w:rsid w:val="00130D3B"/>
    <w:rsid w:val="00141DCF"/>
    <w:rsid w:val="001462D0"/>
    <w:rsid w:val="00157782"/>
    <w:rsid w:val="00160BCD"/>
    <w:rsid w:val="001645B1"/>
    <w:rsid w:val="00164AB3"/>
    <w:rsid w:val="00170E1D"/>
    <w:rsid w:val="001742E8"/>
    <w:rsid w:val="00181D16"/>
    <w:rsid w:val="0018721E"/>
    <w:rsid w:val="00192673"/>
    <w:rsid w:val="001A0002"/>
    <w:rsid w:val="001B5F02"/>
    <w:rsid w:val="001D2C96"/>
    <w:rsid w:val="001D2FDC"/>
    <w:rsid w:val="001D3641"/>
    <w:rsid w:val="001D4749"/>
    <w:rsid w:val="001E6A9C"/>
    <w:rsid w:val="001F2FFC"/>
    <w:rsid w:val="001F75BF"/>
    <w:rsid w:val="002044C6"/>
    <w:rsid w:val="00211D18"/>
    <w:rsid w:val="00212324"/>
    <w:rsid w:val="002159DD"/>
    <w:rsid w:val="002178D5"/>
    <w:rsid w:val="00217A08"/>
    <w:rsid w:val="00224C6A"/>
    <w:rsid w:val="00227591"/>
    <w:rsid w:val="00234C6B"/>
    <w:rsid w:val="00240506"/>
    <w:rsid w:val="0024191D"/>
    <w:rsid w:val="002519BC"/>
    <w:rsid w:val="00261F65"/>
    <w:rsid w:val="00263722"/>
    <w:rsid w:val="00272B00"/>
    <w:rsid w:val="00275E42"/>
    <w:rsid w:val="002A2B0C"/>
    <w:rsid w:val="002B3E4A"/>
    <w:rsid w:val="002C45DF"/>
    <w:rsid w:val="002E5DFE"/>
    <w:rsid w:val="002F0EE3"/>
    <w:rsid w:val="002F0FCF"/>
    <w:rsid w:val="00305880"/>
    <w:rsid w:val="003119FD"/>
    <w:rsid w:val="00314821"/>
    <w:rsid w:val="003151B1"/>
    <w:rsid w:val="00317DCD"/>
    <w:rsid w:val="003446BB"/>
    <w:rsid w:val="0035035B"/>
    <w:rsid w:val="00351FEF"/>
    <w:rsid w:val="00356957"/>
    <w:rsid w:val="00360F01"/>
    <w:rsid w:val="00365E60"/>
    <w:rsid w:val="00374196"/>
    <w:rsid w:val="0038402D"/>
    <w:rsid w:val="0038496B"/>
    <w:rsid w:val="00393D19"/>
    <w:rsid w:val="00393F32"/>
    <w:rsid w:val="003A3D84"/>
    <w:rsid w:val="003B04E0"/>
    <w:rsid w:val="003B537C"/>
    <w:rsid w:val="003C6AA7"/>
    <w:rsid w:val="003D0578"/>
    <w:rsid w:val="003D1152"/>
    <w:rsid w:val="003D416C"/>
    <w:rsid w:val="003D4AF9"/>
    <w:rsid w:val="003E0A56"/>
    <w:rsid w:val="003F0A7C"/>
    <w:rsid w:val="003F33C0"/>
    <w:rsid w:val="003F51A7"/>
    <w:rsid w:val="003F66A7"/>
    <w:rsid w:val="003F78BB"/>
    <w:rsid w:val="00405788"/>
    <w:rsid w:val="004112B2"/>
    <w:rsid w:val="00413580"/>
    <w:rsid w:val="00416142"/>
    <w:rsid w:val="00424C06"/>
    <w:rsid w:val="0044272F"/>
    <w:rsid w:val="0044308F"/>
    <w:rsid w:val="00445500"/>
    <w:rsid w:val="00446E1E"/>
    <w:rsid w:val="004543DB"/>
    <w:rsid w:val="00457193"/>
    <w:rsid w:val="0045735A"/>
    <w:rsid w:val="00466666"/>
    <w:rsid w:val="00470FED"/>
    <w:rsid w:val="00471658"/>
    <w:rsid w:val="004814E6"/>
    <w:rsid w:val="0049377A"/>
    <w:rsid w:val="004A305D"/>
    <w:rsid w:val="004A71EC"/>
    <w:rsid w:val="004B1C7A"/>
    <w:rsid w:val="004C57F6"/>
    <w:rsid w:val="004E0958"/>
    <w:rsid w:val="004F4211"/>
    <w:rsid w:val="005005D6"/>
    <w:rsid w:val="0050192F"/>
    <w:rsid w:val="00510316"/>
    <w:rsid w:val="00512B59"/>
    <w:rsid w:val="005211F2"/>
    <w:rsid w:val="00527001"/>
    <w:rsid w:val="005368B8"/>
    <w:rsid w:val="005416E9"/>
    <w:rsid w:val="00550D8D"/>
    <w:rsid w:val="005550EA"/>
    <w:rsid w:val="005619D8"/>
    <w:rsid w:val="0057021D"/>
    <w:rsid w:val="0057781E"/>
    <w:rsid w:val="00584764"/>
    <w:rsid w:val="00584CB0"/>
    <w:rsid w:val="0059386B"/>
    <w:rsid w:val="00594AD6"/>
    <w:rsid w:val="00597BDD"/>
    <w:rsid w:val="005A4E4A"/>
    <w:rsid w:val="005D669A"/>
    <w:rsid w:val="005D7151"/>
    <w:rsid w:val="005F608C"/>
    <w:rsid w:val="005F635C"/>
    <w:rsid w:val="005F7159"/>
    <w:rsid w:val="00607F1B"/>
    <w:rsid w:val="00610B49"/>
    <w:rsid w:val="0061346A"/>
    <w:rsid w:val="006154FA"/>
    <w:rsid w:val="00616982"/>
    <w:rsid w:val="0062321C"/>
    <w:rsid w:val="006358E3"/>
    <w:rsid w:val="006512A7"/>
    <w:rsid w:val="0065160D"/>
    <w:rsid w:val="00652D7C"/>
    <w:rsid w:val="0065482B"/>
    <w:rsid w:val="00657997"/>
    <w:rsid w:val="00667945"/>
    <w:rsid w:val="006813A3"/>
    <w:rsid w:val="0068148C"/>
    <w:rsid w:val="006824DB"/>
    <w:rsid w:val="00683B19"/>
    <w:rsid w:val="00686290"/>
    <w:rsid w:val="006A07E8"/>
    <w:rsid w:val="006A0E9A"/>
    <w:rsid w:val="006A39DE"/>
    <w:rsid w:val="006B1072"/>
    <w:rsid w:val="006B543C"/>
    <w:rsid w:val="006D0DA1"/>
    <w:rsid w:val="006E0F39"/>
    <w:rsid w:val="006E4295"/>
    <w:rsid w:val="006F5773"/>
    <w:rsid w:val="006F5E47"/>
    <w:rsid w:val="006F6786"/>
    <w:rsid w:val="006F6A07"/>
    <w:rsid w:val="00702D1B"/>
    <w:rsid w:val="00704779"/>
    <w:rsid w:val="00716740"/>
    <w:rsid w:val="007178F3"/>
    <w:rsid w:val="00720415"/>
    <w:rsid w:val="007222C6"/>
    <w:rsid w:val="007240DD"/>
    <w:rsid w:val="00725FD5"/>
    <w:rsid w:val="00733272"/>
    <w:rsid w:val="00736438"/>
    <w:rsid w:val="00736791"/>
    <w:rsid w:val="007377A3"/>
    <w:rsid w:val="007405C7"/>
    <w:rsid w:val="00746AC8"/>
    <w:rsid w:val="007506C0"/>
    <w:rsid w:val="00752821"/>
    <w:rsid w:val="00753896"/>
    <w:rsid w:val="007667D8"/>
    <w:rsid w:val="007742CB"/>
    <w:rsid w:val="00776EE2"/>
    <w:rsid w:val="00777381"/>
    <w:rsid w:val="00787937"/>
    <w:rsid w:val="00796021"/>
    <w:rsid w:val="007A0E9A"/>
    <w:rsid w:val="007A1DAF"/>
    <w:rsid w:val="007A31E7"/>
    <w:rsid w:val="007A6CDA"/>
    <w:rsid w:val="007B3AF9"/>
    <w:rsid w:val="007B7399"/>
    <w:rsid w:val="007C09DD"/>
    <w:rsid w:val="007C2EB1"/>
    <w:rsid w:val="007C7168"/>
    <w:rsid w:val="007C726C"/>
    <w:rsid w:val="007D3C42"/>
    <w:rsid w:val="007D3C93"/>
    <w:rsid w:val="007D6EEE"/>
    <w:rsid w:val="007E5546"/>
    <w:rsid w:val="007E6EFF"/>
    <w:rsid w:val="007F1459"/>
    <w:rsid w:val="007F29C9"/>
    <w:rsid w:val="008046BD"/>
    <w:rsid w:val="008118B6"/>
    <w:rsid w:val="00815B57"/>
    <w:rsid w:val="00826FF6"/>
    <w:rsid w:val="00830DEF"/>
    <w:rsid w:val="00837F2F"/>
    <w:rsid w:val="00840D01"/>
    <w:rsid w:val="0084161C"/>
    <w:rsid w:val="0084750E"/>
    <w:rsid w:val="00851BDA"/>
    <w:rsid w:val="00852711"/>
    <w:rsid w:val="0085752E"/>
    <w:rsid w:val="00863FB9"/>
    <w:rsid w:val="00881FB9"/>
    <w:rsid w:val="00882945"/>
    <w:rsid w:val="0088603E"/>
    <w:rsid w:val="00892A98"/>
    <w:rsid w:val="008C0830"/>
    <w:rsid w:val="008E3B75"/>
    <w:rsid w:val="008F5AA2"/>
    <w:rsid w:val="008F7821"/>
    <w:rsid w:val="009023FC"/>
    <w:rsid w:val="009041F4"/>
    <w:rsid w:val="00910E15"/>
    <w:rsid w:val="00913099"/>
    <w:rsid w:val="00937F47"/>
    <w:rsid w:val="00940C99"/>
    <w:rsid w:val="00941F73"/>
    <w:rsid w:val="009522CA"/>
    <w:rsid w:val="00952905"/>
    <w:rsid w:val="009624B0"/>
    <w:rsid w:val="00964C3B"/>
    <w:rsid w:val="00980980"/>
    <w:rsid w:val="009A29C1"/>
    <w:rsid w:val="009B3DC4"/>
    <w:rsid w:val="009B53E8"/>
    <w:rsid w:val="009C1F8B"/>
    <w:rsid w:val="009C5E89"/>
    <w:rsid w:val="009D4AFE"/>
    <w:rsid w:val="009D6526"/>
    <w:rsid w:val="009D7325"/>
    <w:rsid w:val="009E1AC8"/>
    <w:rsid w:val="009E4BBC"/>
    <w:rsid w:val="009E6FD9"/>
    <w:rsid w:val="00A04D35"/>
    <w:rsid w:val="00A11A7E"/>
    <w:rsid w:val="00A14F23"/>
    <w:rsid w:val="00A16EDE"/>
    <w:rsid w:val="00A228ED"/>
    <w:rsid w:val="00A23653"/>
    <w:rsid w:val="00A27C04"/>
    <w:rsid w:val="00A34A5C"/>
    <w:rsid w:val="00A35FB3"/>
    <w:rsid w:val="00A36D7F"/>
    <w:rsid w:val="00A41266"/>
    <w:rsid w:val="00A41FB6"/>
    <w:rsid w:val="00A50FBE"/>
    <w:rsid w:val="00A54674"/>
    <w:rsid w:val="00A54A00"/>
    <w:rsid w:val="00A61580"/>
    <w:rsid w:val="00A62B5E"/>
    <w:rsid w:val="00A6397F"/>
    <w:rsid w:val="00A72247"/>
    <w:rsid w:val="00A7387C"/>
    <w:rsid w:val="00A801F0"/>
    <w:rsid w:val="00A8097E"/>
    <w:rsid w:val="00A80EBE"/>
    <w:rsid w:val="00A84CB3"/>
    <w:rsid w:val="00A910EE"/>
    <w:rsid w:val="00A953FC"/>
    <w:rsid w:val="00A95F73"/>
    <w:rsid w:val="00AC5C15"/>
    <w:rsid w:val="00AC7681"/>
    <w:rsid w:val="00AD38FA"/>
    <w:rsid w:val="00AE03A0"/>
    <w:rsid w:val="00AE0A3D"/>
    <w:rsid w:val="00AE31E1"/>
    <w:rsid w:val="00AE7DAB"/>
    <w:rsid w:val="00AF2301"/>
    <w:rsid w:val="00AF7379"/>
    <w:rsid w:val="00B01614"/>
    <w:rsid w:val="00B045C9"/>
    <w:rsid w:val="00B108F2"/>
    <w:rsid w:val="00B23956"/>
    <w:rsid w:val="00B405E1"/>
    <w:rsid w:val="00B43027"/>
    <w:rsid w:val="00B468E5"/>
    <w:rsid w:val="00B80567"/>
    <w:rsid w:val="00B8506D"/>
    <w:rsid w:val="00B86340"/>
    <w:rsid w:val="00B9682F"/>
    <w:rsid w:val="00BB7C63"/>
    <w:rsid w:val="00BC0FE8"/>
    <w:rsid w:val="00BC5859"/>
    <w:rsid w:val="00BE3BDF"/>
    <w:rsid w:val="00BE7538"/>
    <w:rsid w:val="00BF32DB"/>
    <w:rsid w:val="00C04F1E"/>
    <w:rsid w:val="00C1139E"/>
    <w:rsid w:val="00C12622"/>
    <w:rsid w:val="00C351D9"/>
    <w:rsid w:val="00C36BC7"/>
    <w:rsid w:val="00C36CE5"/>
    <w:rsid w:val="00C44B37"/>
    <w:rsid w:val="00C44CE1"/>
    <w:rsid w:val="00C45AA4"/>
    <w:rsid w:val="00C541C3"/>
    <w:rsid w:val="00C75652"/>
    <w:rsid w:val="00C83840"/>
    <w:rsid w:val="00C93533"/>
    <w:rsid w:val="00CA3EF1"/>
    <w:rsid w:val="00CA5B5A"/>
    <w:rsid w:val="00CA7399"/>
    <w:rsid w:val="00CA7495"/>
    <w:rsid w:val="00CB48B4"/>
    <w:rsid w:val="00CC1091"/>
    <w:rsid w:val="00CD2DFC"/>
    <w:rsid w:val="00CE7E78"/>
    <w:rsid w:val="00CF5FCA"/>
    <w:rsid w:val="00CF7A4A"/>
    <w:rsid w:val="00D20DE5"/>
    <w:rsid w:val="00D21D40"/>
    <w:rsid w:val="00D226D8"/>
    <w:rsid w:val="00D31A54"/>
    <w:rsid w:val="00D541A6"/>
    <w:rsid w:val="00D6176D"/>
    <w:rsid w:val="00D7163E"/>
    <w:rsid w:val="00D75644"/>
    <w:rsid w:val="00D92080"/>
    <w:rsid w:val="00D9338F"/>
    <w:rsid w:val="00D94E6C"/>
    <w:rsid w:val="00D97001"/>
    <w:rsid w:val="00DA2B25"/>
    <w:rsid w:val="00DA764B"/>
    <w:rsid w:val="00DB0203"/>
    <w:rsid w:val="00DC0593"/>
    <w:rsid w:val="00DD7635"/>
    <w:rsid w:val="00DE368F"/>
    <w:rsid w:val="00DE50A8"/>
    <w:rsid w:val="00DF30C9"/>
    <w:rsid w:val="00DF330D"/>
    <w:rsid w:val="00E072FE"/>
    <w:rsid w:val="00E262A6"/>
    <w:rsid w:val="00E35340"/>
    <w:rsid w:val="00E45F82"/>
    <w:rsid w:val="00E60DB0"/>
    <w:rsid w:val="00E61D38"/>
    <w:rsid w:val="00E6797F"/>
    <w:rsid w:val="00E72215"/>
    <w:rsid w:val="00E74ADE"/>
    <w:rsid w:val="00E75662"/>
    <w:rsid w:val="00E7703B"/>
    <w:rsid w:val="00E86DC5"/>
    <w:rsid w:val="00E91315"/>
    <w:rsid w:val="00E94167"/>
    <w:rsid w:val="00E95AF5"/>
    <w:rsid w:val="00E95DB4"/>
    <w:rsid w:val="00EA2CFC"/>
    <w:rsid w:val="00EB0106"/>
    <w:rsid w:val="00EB244B"/>
    <w:rsid w:val="00EC6C70"/>
    <w:rsid w:val="00EC6F48"/>
    <w:rsid w:val="00ED3C01"/>
    <w:rsid w:val="00ED6F02"/>
    <w:rsid w:val="00EF07B4"/>
    <w:rsid w:val="00EF2087"/>
    <w:rsid w:val="00F0418C"/>
    <w:rsid w:val="00F077DB"/>
    <w:rsid w:val="00F20863"/>
    <w:rsid w:val="00F20E96"/>
    <w:rsid w:val="00F216E0"/>
    <w:rsid w:val="00F243ED"/>
    <w:rsid w:val="00F30EC2"/>
    <w:rsid w:val="00F3107D"/>
    <w:rsid w:val="00F31C6D"/>
    <w:rsid w:val="00F32B2F"/>
    <w:rsid w:val="00F341CC"/>
    <w:rsid w:val="00F352B5"/>
    <w:rsid w:val="00F64DF6"/>
    <w:rsid w:val="00F70364"/>
    <w:rsid w:val="00F75137"/>
    <w:rsid w:val="00F90F55"/>
    <w:rsid w:val="00F97D85"/>
    <w:rsid w:val="00F97F9E"/>
    <w:rsid w:val="00FA1C8B"/>
    <w:rsid w:val="00FB16BF"/>
    <w:rsid w:val="00FB281F"/>
    <w:rsid w:val="00FB4B8A"/>
    <w:rsid w:val="00FC336F"/>
    <w:rsid w:val="00FD1A0B"/>
    <w:rsid w:val="00FD3B59"/>
    <w:rsid w:val="00FE0965"/>
    <w:rsid w:val="00FE70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B25EB"/>
  <w15:docId w15:val="{D5519596-7042-4226-B2E2-37ECD375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Heading3Char">
    <w:name w:val="Heading 3 Char"/>
    <w:link w:val="Heading3"/>
    <w:uiPriority w:val="9"/>
    <w:rsid w:val="00E95DB4"/>
    <w:rPr>
      <w:rFonts w:cs="FrankRuehl"/>
      <w:b/>
      <w:bCs/>
    </w:rPr>
  </w:style>
  <w:style w:type="character" w:customStyle="1" w:styleId="Heading9Char">
    <w:name w:val="Heading 9 Char"/>
    <w:link w:val="Heading9"/>
    <w:uiPriority w:val="9"/>
    <w:rsid w:val="00471658"/>
    <w:rPr>
      <w:rFonts w:cs="FrankRuehl"/>
      <w:b/>
      <w:bCs/>
      <w:sz w:val="26"/>
      <w:szCs w:val="26"/>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7E6EFF"/>
    <w:pPr>
      <w:spacing w:after="0"/>
      <w:ind w:right="0"/>
    </w:pPr>
    <w:rPr>
      <w:rFonts w:cs="Guttman Aharoni"/>
      <w:b w:val="0"/>
      <w:bCs w:val="0"/>
      <w:color w:val="0070C0"/>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E95DB4"/>
    <w:rPr>
      <w:rFonts w:cs="David"/>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E95DB4"/>
    <w:rPr>
      <w:rFonts w:cs="David"/>
      <w:sz w:val="24"/>
      <w:szCs w:val="24"/>
    </w:r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qFormat/>
    <w:pPr>
      <w:spacing w:line="240" w:lineRule="auto"/>
    </w:pPr>
    <w:rPr>
      <w:rFonts w:cs="Times New Roman"/>
      <w:sz w:val="20"/>
      <w:szCs w:val="20"/>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95DB4"/>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CommentTextChar">
    <w:name w:val="Comment Text Char"/>
    <w:link w:val="CommentText"/>
    <w:uiPriority w:val="99"/>
    <w:rsid w:val="00E95DB4"/>
  </w:style>
  <w:style w:type="character" w:customStyle="1" w:styleId="CommentSubjectChar">
    <w:name w:val="Comment Subject Char"/>
    <w:link w:val="CommentSubject"/>
    <w:uiPriority w:val="99"/>
    <w:semiHidden/>
    <w:rsid w:val="00E95DB4"/>
    <w:rPr>
      <w:b/>
      <w:bCs/>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character" w:customStyle="1" w:styleId="TitleChar">
    <w:name w:val="Title Char"/>
    <w:link w:val="Title"/>
    <w:uiPriority w:val="10"/>
    <w:rsid w:val="00E95DB4"/>
    <w:rPr>
      <w:rFonts w:cs="David"/>
      <w:sz w:val="24"/>
      <w:szCs w:val="24"/>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styleId="CommentReference">
    <w:name w:val="annotation reference"/>
    <w:uiPriority w:val="99"/>
    <w:semiHidden/>
    <w:unhideWhenUsed/>
    <w:rsid w:val="00E95DB4"/>
    <w:rPr>
      <w:sz w:val="16"/>
      <w:szCs w:val="16"/>
    </w:rPr>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pple-converted-space">
    <w:name w:val="apple-converted-space"/>
    <w:rsid w:val="00E95DB4"/>
  </w:style>
  <w:style w:type="character" w:customStyle="1" w:styleId="personname">
    <w:name w:val="person_name"/>
    <w:rsid w:val="00E95DB4"/>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7E6EFF"/>
    <w:pPr>
      <w:outlineLvl w:val="3"/>
    </w:pPr>
    <w:rPr>
      <w:rFonts w:ascii="Times New Roman" w:hAnsi="Times New Roman" w:cs="Times New Roman"/>
      <w:b/>
      <w:bCs/>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E6797F"/>
    <w:pPr>
      <w:spacing w:before="120" w:after="120" w:line="280" w:lineRule="exact"/>
    </w:pPr>
    <w:rPr>
      <w:color w:val="0B5294"/>
      <w:sz w:val="20"/>
      <w:szCs w:val="20"/>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FootnoteTextChar1">
    <w:name w:val="Footnote Text Char1"/>
    <w:aliases w:val="תו Char"/>
    <w:uiPriority w:val="99"/>
    <w:semiHidden/>
    <w:locked/>
    <w:rsid w:val="00F30EC2"/>
    <w:rPr>
      <w:rFonts w:ascii="Times New Roman" w:eastAsia="Calibri" w:hAnsi="Times New Roman" w:cs="David"/>
      <w:sz w:val="20"/>
      <w:szCs w:val="20"/>
    </w:rPr>
  </w:style>
  <w:style w:type="paragraph" w:styleId="BodyText2">
    <w:name w:val="Body Text 2"/>
    <w:basedOn w:val="Normal"/>
    <w:link w:val="BodyText2Char"/>
    <w:uiPriority w:val="99"/>
    <w:unhideWhenUsed/>
    <w:rsid w:val="00A50FBE"/>
    <w:pPr>
      <w:spacing w:after="120" w:line="300" w:lineRule="exact"/>
      <w:jc w:val="both"/>
    </w:pPr>
    <w:rPr>
      <w:rFonts w:cs="Times New Roman"/>
      <w:sz w:val="22"/>
      <w:szCs w:val="22"/>
    </w:rPr>
  </w:style>
  <w:style w:type="character" w:customStyle="1" w:styleId="BodyText2Char">
    <w:name w:val="Body Text 2 Char"/>
    <w:link w:val="BodyText2"/>
    <w:uiPriority w:val="99"/>
    <w:rsid w:val="00A50FBE"/>
    <w:rPr>
      <w:rFonts w:ascii="Times New Roman" w:hAnsi="Times New Roman" w:cs="Times New Roman"/>
      <w:sz w:val="22"/>
      <w:szCs w:val="22"/>
    </w:rPr>
  </w:style>
  <w:style w:type="paragraph" w:styleId="BodyTextIndent2">
    <w:name w:val="Body Text Indent 2"/>
    <w:basedOn w:val="Normal"/>
    <w:link w:val="BodyTextIndent2Char"/>
    <w:uiPriority w:val="99"/>
    <w:unhideWhenUsed/>
    <w:rsid w:val="008C0830"/>
    <w:pPr>
      <w:spacing w:after="120" w:line="300" w:lineRule="exact"/>
      <w:ind w:left="567"/>
      <w:jc w:val="both"/>
    </w:pPr>
    <w:rPr>
      <w:rFonts w:cs="Times New Roman"/>
      <w:sz w:val="22"/>
      <w:szCs w:val="22"/>
    </w:rPr>
  </w:style>
  <w:style w:type="character" w:customStyle="1" w:styleId="BodyTextIndent2Char">
    <w:name w:val="Body Text Indent 2 Char"/>
    <w:link w:val="BodyTextIndent2"/>
    <w:uiPriority w:val="99"/>
    <w:rsid w:val="008C0830"/>
    <w:rPr>
      <w:sz w:val="22"/>
      <w:szCs w:val="22"/>
    </w:rPr>
  </w:style>
  <w:style w:type="paragraph" w:customStyle="1" w:styleId="Default0">
    <w:name w:val="Default"/>
    <w:rsid w:val="007506C0"/>
    <w:pPr>
      <w:autoSpaceDE w:val="0"/>
      <w:autoSpaceDN w:val="0"/>
      <w:adjustRightInd w:val="0"/>
    </w:pPr>
    <w:rPr>
      <w:rFonts w:ascii="Code" w:eastAsia="Calibri" w:hAnsi="Code" w:cs="Code"/>
      <w:color w:val="000000"/>
      <w:sz w:val="24"/>
      <w:szCs w:val="24"/>
      <w:lang w:val="en-GB"/>
    </w:rPr>
  </w:style>
  <w:style w:type="paragraph" w:customStyle="1" w:styleId="m5913543275134307516xm-6574082299105977569xmsonormal">
    <w:name w:val="m_5913543275134307516x_m_-6574082299105977569x_msonormal"/>
    <w:basedOn w:val="Normal"/>
    <w:rsid w:val="00787937"/>
    <w:pPr>
      <w:bidi w:val="0"/>
      <w:spacing w:before="100" w:beforeAutospacing="1" w:after="100" w:afterAutospacing="1" w:line="240" w:lineRule="auto"/>
    </w:pPr>
    <w:rPr>
      <w:rFonts w:cs="Times New Roman"/>
      <w:lang w:val="en-GB" w:eastAsia="en-GB"/>
    </w:rPr>
  </w:style>
  <w:style w:type="paragraph" w:customStyle="1" w:styleId="Hesber">
    <w:name w:val="Hesber"/>
    <w:basedOn w:val="Normal"/>
    <w:rsid w:val="00E72215"/>
    <w:pPr>
      <w:widowControl w:val="0"/>
      <w:autoSpaceDE w:val="0"/>
      <w:autoSpaceDN w:val="0"/>
      <w:adjustRightInd w:val="0"/>
      <w:snapToGrid w:val="0"/>
      <w:spacing w:line="360" w:lineRule="auto"/>
      <w:ind w:firstLine="340"/>
      <w:jc w:val="both"/>
    </w:pPr>
    <w:rPr>
      <w:rFonts w:ascii="Arial" w:eastAsia="Arial Unicode MS" w:hAnsi="Arial"/>
      <w:color w:val="000000"/>
      <w:sz w:val="20"/>
      <w:szCs w:val="26"/>
      <w:lang w:eastAsia="ja-JP"/>
    </w:rPr>
  </w:style>
  <w:style w:type="character" w:customStyle="1" w:styleId="mw-headline">
    <w:name w:val="mw-headline"/>
    <w:rsid w:val="00E72215"/>
  </w:style>
  <w:style w:type="paragraph" w:customStyle="1" w:styleId="Ruller4">
    <w:name w:val="Ruller 4 ממוספר"/>
    <w:basedOn w:val="Normal"/>
    <w:next w:val="Normal"/>
    <w:rsid w:val="00E72215"/>
    <w:pPr>
      <w:numPr>
        <w:numId w:val="29"/>
      </w:numPr>
      <w:tabs>
        <w:tab w:val="left" w:pos="800"/>
      </w:tabs>
      <w:overflowPunct w:val="0"/>
      <w:autoSpaceDE w:val="0"/>
      <w:autoSpaceDN w:val="0"/>
      <w:adjustRightInd w:val="0"/>
      <w:spacing w:line="360" w:lineRule="auto"/>
      <w:jc w:val="both"/>
      <w:textAlignment w:val="baseline"/>
    </w:pPr>
    <w:rPr>
      <w:rFonts w:ascii="Garamond" w:hAnsi="Garamond" w:cs="FrankRuehl"/>
      <w:spacing w:val="10"/>
      <w:szCs w:val="28"/>
    </w:rPr>
  </w:style>
  <w:style w:type="paragraph" w:customStyle="1" w:styleId="Ruller40">
    <w:name w:val="Ruller4"/>
    <w:basedOn w:val="Normal"/>
    <w:link w:val="Ruller41"/>
    <w:qFormat/>
    <w:rsid w:val="00E72215"/>
    <w:pPr>
      <w:tabs>
        <w:tab w:val="left" w:pos="800"/>
      </w:tabs>
      <w:overflowPunct w:val="0"/>
      <w:autoSpaceDE w:val="0"/>
      <w:autoSpaceDN w:val="0"/>
      <w:adjustRightInd w:val="0"/>
      <w:spacing w:line="360" w:lineRule="auto"/>
      <w:jc w:val="both"/>
      <w:textAlignment w:val="baseline"/>
    </w:pPr>
    <w:rPr>
      <w:rFonts w:ascii="Arial TUR" w:hAnsi="Arial TUR" w:cs="FrankRuehl"/>
      <w:spacing w:val="10"/>
      <w:sz w:val="22"/>
      <w:szCs w:val="28"/>
    </w:rPr>
  </w:style>
  <w:style w:type="character" w:customStyle="1" w:styleId="Ruller41">
    <w:name w:val="Ruller4 תו"/>
    <w:link w:val="Ruller40"/>
    <w:locked/>
    <w:rsid w:val="00E72215"/>
    <w:rPr>
      <w:rFonts w:ascii="Arial TUR" w:hAnsi="Arial TUR" w:cs="FrankRuehl"/>
      <w:spacing w:val="10"/>
      <w:sz w:val="22"/>
      <w:szCs w:val="28"/>
    </w:rPr>
  </w:style>
  <w:style w:type="character" w:customStyle="1" w:styleId="law-external">
    <w:name w:val="law-external"/>
    <w:rsid w:val="00E72215"/>
  </w:style>
  <w:style w:type="paragraph" w:styleId="BodyTextIndent3">
    <w:name w:val="Body Text Indent 3"/>
    <w:basedOn w:val="Normal"/>
    <w:link w:val="BodyTextIndent3Char"/>
    <w:uiPriority w:val="99"/>
    <w:unhideWhenUsed/>
    <w:rsid w:val="00393F32"/>
    <w:pPr>
      <w:spacing w:after="120" w:line="300" w:lineRule="exact"/>
      <w:ind w:left="567"/>
      <w:jc w:val="both"/>
    </w:pPr>
    <w:rPr>
      <w:rFonts w:ascii="David" w:hAnsi="David"/>
      <w:sz w:val="20"/>
      <w:szCs w:val="20"/>
    </w:rPr>
  </w:style>
  <w:style w:type="character" w:customStyle="1" w:styleId="BodyTextIndent3Char">
    <w:name w:val="Body Text Indent 3 Char"/>
    <w:link w:val="BodyTextIndent3"/>
    <w:uiPriority w:val="99"/>
    <w:rsid w:val="00393F32"/>
    <w:rPr>
      <w:rFonts w:ascii="David" w:hAnsi="David" w:cs="David"/>
    </w:rPr>
  </w:style>
  <w:style w:type="paragraph" w:customStyle="1" w:styleId="BODYVERDICT">
    <w:name w:val="BODY VERDICT"/>
    <w:basedOn w:val="Normal"/>
    <w:rsid w:val="00AE7DAB"/>
    <w:pPr>
      <w:overflowPunct w:val="0"/>
      <w:autoSpaceDE w:val="0"/>
      <w:autoSpaceDN w:val="0"/>
      <w:adjustRightInd w:val="0"/>
      <w:spacing w:line="240" w:lineRule="auto"/>
    </w:pPr>
    <w:rPr>
      <w:rFonts w:cs="FrankRuehl"/>
      <w:spacing w:val="10"/>
      <w:sz w:val="22"/>
      <w:szCs w:val="28"/>
    </w:rPr>
  </w:style>
  <w:style w:type="paragraph" w:styleId="Revision">
    <w:name w:val="Revision"/>
    <w:hidden/>
    <w:uiPriority w:val="99"/>
    <w:semiHidden/>
    <w:rsid w:val="00AE7DAB"/>
    <w:rPr>
      <w:rFonts w:ascii="Calibri" w:eastAsia="Calibri" w:hAnsi="Calibri" w:cs="Arial"/>
      <w:noProof/>
      <w:sz w:val="22"/>
      <w:szCs w:val="22"/>
    </w:rPr>
  </w:style>
  <w:style w:type="paragraph" w:customStyle="1" w:styleId="big-header">
    <w:name w:val="big-header"/>
    <w:basedOn w:val="Normal"/>
    <w:rsid w:val="00AE7DAB"/>
    <w:pPr>
      <w:bidi w:val="0"/>
      <w:spacing w:before="100" w:beforeAutospacing="1" w:after="100" w:afterAutospacing="1" w:line="240" w:lineRule="auto"/>
    </w:pPr>
    <w:rPr>
      <w:rFonts w:cs="Times New Roman"/>
    </w:rPr>
  </w:style>
  <w:style w:type="paragraph" w:customStyle="1" w:styleId="p00">
    <w:name w:val="p00"/>
    <w:basedOn w:val="Normal"/>
    <w:rsid w:val="00AE7DAB"/>
    <w:pPr>
      <w:bidi w:val="0"/>
      <w:spacing w:before="100" w:beforeAutospacing="1" w:after="100" w:afterAutospacing="1" w:line="240" w:lineRule="auto"/>
    </w:pPr>
    <w:rPr>
      <w:rFonts w:cs="Times New Roman"/>
    </w:rPr>
  </w:style>
  <w:style w:type="character" w:customStyle="1" w:styleId="big-number">
    <w:name w:val="big-number"/>
    <w:basedOn w:val="DefaultParagraphFont"/>
    <w:rsid w:val="00AE7DAB"/>
  </w:style>
  <w:style w:type="paragraph" w:customStyle="1" w:styleId="p22">
    <w:name w:val="p22"/>
    <w:basedOn w:val="Normal"/>
    <w:rsid w:val="00AE7DAB"/>
    <w:pPr>
      <w:bidi w:val="0"/>
      <w:spacing w:before="100" w:beforeAutospacing="1" w:after="100" w:afterAutospacing="1" w:line="240" w:lineRule="auto"/>
    </w:pPr>
    <w:rPr>
      <w:rFonts w:cs="Times New Roman"/>
    </w:rPr>
  </w:style>
  <w:style w:type="paragraph" w:customStyle="1" w:styleId="p33">
    <w:name w:val="p33"/>
    <w:basedOn w:val="Normal"/>
    <w:rsid w:val="00AE7DAB"/>
    <w:pPr>
      <w:bidi w:val="0"/>
      <w:spacing w:before="100" w:beforeAutospacing="1" w:after="100" w:afterAutospacing="1" w:line="240" w:lineRule="auto"/>
    </w:pPr>
    <w:rPr>
      <w:rFonts w:cs="Times New Roman"/>
    </w:rPr>
  </w:style>
  <w:style w:type="character" w:customStyle="1" w:styleId="il">
    <w:name w:val="il"/>
    <w:basedOn w:val="DefaultParagraphFont"/>
    <w:rsid w:val="00EC6C70"/>
  </w:style>
  <w:style w:type="character" w:customStyle="1" w:styleId="law-local">
    <w:name w:val="law-local"/>
    <w:basedOn w:val="DefaultParagraphFont"/>
    <w:rsid w:val="00EC6C70"/>
  </w:style>
  <w:style w:type="character" w:customStyle="1" w:styleId="cf01">
    <w:name w:val="cf01"/>
    <w:basedOn w:val="DefaultParagraphFont"/>
    <w:rsid w:val="00D541A6"/>
    <w:rPr>
      <w:rFonts w:ascii="Tahoma" w:hAnsi="Tahoma" w:cs="Tahoma" w:hint="default"/>
      <w:sz w:val="18"/>
      <w:szCs w:val="18"/>
    </w:rPr>
  </w:style>
  <w:style w:type="paragraph" w:customStyle="1" w:styleId="11">
    <w:name w:val="פיסקת רשימה1"/>
    <w:basedOn w:val="Normal"/>
    <w:qFormat/>
    <w:rsid w:val="00263722"/>
    <w:pPr>
      <w:spacing w:after="160" w:line="256" w:lineRule="auto"/>
      <w:ind w:left="720"/>
      <w:contextualSpacing/>
    </w:pPr>
    <w:rPr>
      <w:rFonts w:ascii="Calibri" w:hAnsi="Calibri" w:cs="Arial"/>
      <w:sz w:val="22"/>
      <w:szCs w:val="22"/>
    </w:rPr>
  </w:style>
  <w:style w:type="paragraph" w:customStyle="1" w:styleId="ruller5">
    <w:name w:val="ruller5"/>
    <w:basedOn w:val="Normal"/>
    <w:rsid w:val="00263722"/>
    <w:pPr>
      <w:bidi w:val="0"/>
      <w:spacing w:before="100" w:beforeAutospacing="1" w:after="100" w:afterAutospacing="1" w:line="240" w:lineRule="auto"/>
    </w:pPr>
    <w:rPr>
      <w:rFonts w:cs="Times New Roman"/>
    </w:rPr>
  </w:style>
  <w:style w:type="paragraph" w:customStyle="1" w:styleId="Ruller50">
    <w:name w:val="Ruller5"/>
    <w:basedOn w:val="Normal"/>
    <w:rsid w:val="00122DB8"/>
    <w:pPr>
      <w:overflowPunct w:val="0"/>
      <w:autoSpaceDE w:val="0"/>
      <w:autoSpaceDN w:val="0"/>
      <w:adjustRightInd w:val="0"/>
      <w:spacing w:line="240" w:lineRule="auto"/>
      <w:ind w:left="1644" w:right="1276"/>
      <w:jc w:val="both"/>
    </w:pPr>
    <w:rPr>
      <w:rFonts w:ascii="Arial TUR" w:hAnsi="Arial TUR" w:cs="FrankRuehl"/>
      <w:spacing w:val="1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74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EA7A74430594B84AB50A5E341BA4F385" ma:contentTypeVersion="1" ma:contentTypeDescription="צור מסמך חדש." ma:contentTypeScope="" ma:versionID="1a1a676607f29ba8cdb61c55dd3866b3">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4EE11C-ABC0-4332-9A8E-1B766DC617BC}"/>
</file>

<file path=customXml/itemProps2.xml><?xml version="1.0" encoding="utf-8"?>
<ds:datastoreItem xmlns:ds="http://schemas.openxmlformats.org/officeDocument/2006/customXml" ds:itemID="{D4678284-8C5D-4705-B952-B206FFCC9790}"/>
</file>

<file path=customXml/itemProps3.xml><?xml version="1.0" encoding="utf-8"?>
<ds:datastoreItem xmlns:ds="http://schemas.openxmlformats.org/officeDocument/2006/customXml" ds:itemID="{4ADCB849-7EC1-4D49-A607-89988C2775F9}"/>
</file>

<file path=docProps/app.xml><?xml version="1.0" encoding="utf-8"?>
<Properties xmlns="http://schemas.openxmlformats.org/officeDocument/2006/extended-properties" xmlns:vt="http://schemas.openxmlformats.org/officeDocument/2006/docPropsVTypes">
  <Template>Normal.dotm</Template>
  <TotalTime>10</TotalTime>
  <Pages>4</Pages>
  <Words>1003</Words>
  <Characters>5720</Characters>
  <Application>Microsoft Office Word</Application>
  <DocSecurity>0</DocSecurity>
  <Lines>47</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חקיקה ופסיקה חברתית</vt:lpstr>
      <vt:lpstr>חקיקה ופסיקה חברתית</vt:lpstr>
    </vt:vector>
  </TitlesOfParts>
  <Company>Onit Computer Services Ltd</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חקיקה ופסיקה חברתית</dc:title>
  <dc:creator>Mordechai Frankel</dc:creator>
  <cp:lastModifiedBy>שולמית פרנקל</cp:lastModifiedBy>
  <cp:revision>4</cp:revision>
  <cp:lastPrinted>2024-03-26T19:53:00Z</cp:lastPrinted>
  <dcterms:created xsi:type="dcterms:W3CDTF">2025-04-23T06:52:00Z</dcterms:created>
  <dcterms:modified xsi:type="dcterms:W3CDTF">2025-04-23T16:32:00Z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0x010100EA7A74430594B84AB50A5E341BA4F385</vt:lpwstr>
  </property>
  <property fmtid="{D5CDD505-2E9C-101B-9397-08002B2CF9AE}" pid="3" name="Order">
    <vt:r8>1400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