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B484" w14:textId="77777777" w:rsidR="00A37675" w:rsidRDefault="00A37675" w:rsidP="00A37675">
      <w:pPr>
        <w:spacing w:before="720" w:line="240" w:lineRule="atLeast"/>
        <w:jc w:val="center"/>
        <w:rPr>
          <w:rFonts w:ascii="Arial" w:hAnsi="Arial" w:cs="Arial"/>
          <w:rtl/>
        </w:rPr>
      </w:pPr>
    </w:p>
    <w:p w14:paraId="53FDE395" w14:textId="508AB386" w:rsidR="00B6001E" w:rsidRPr="005D521C" w:rsidRDefault="00A37675" w:rsidP="00D10B38">
      <w:pPr>
        <w:spacing w:line="240" w:lineRule="atLeast"/>
        <w:jc w:val="center"/>
        <w:rPr>
          <w:rFonts w:ascii="Arial" w:hAnsi="Arial" w:cs="Arial"/>
          <w:rtl/>
        </w:rPr>
      </w:pPr>
      <w:r>
        <w:rPr>
          <w:rFonts w:ascii="Arial" w:hAnsi="Arial" w:cs="Arial"/>
          <w:noProof/>
          <w:rtl/>
          <w:lang w:val="he-IL"/>
        </w:rPr>
        <w:drawing>
          <wp:inline distT="0" distB="0" distL="0" distR="0" wp14:anchorId="1FA7F6DD" wp14:editId="265F029B">
            <wp:extent cx="2697485" cy="6266701"/>
            <wp:effectExtent l="0" t="0" r="7620" b="1270"/>
            <wp:docPr id="611385536" name="Picture 1" descr="الضمان الاجتماعي&#10;المجلة الإسرائيلية للضمان الاجتماعي&#10;تصدر عن التأمين الوطني&#10;الشعار&#10;كراس 125&#10;مايو 20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85536" name="Picture 1" descr="الضمان الاجتماعي&#10;المجلة الإسرائيلية للضمان الاجتماعي&#10;تصدر عن التأمين الوطني&#10;الشعار&#10;كراس 125&#10;مايو 2025&#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7485" cy="6266701"/>
                    </a:xfrm>
                    <a:prstGeom prst="rect">
                      <a:avLst/>
                    </a:prstGeom>
                  </pic:spPr>
                </pic:pic>
              </a:graphicData>
            </a:graphic>
          </wp:inline>
        </w:drawing>
      </w:r>
    </w:p>
    <w:p w14:paraId="4E10BA06" w14:textId="77777777" w:rsidR="00AC68D5" w:rsidRPr="005D521C" w:rsidRDefault="00AC68D5" w:rsidP="008F360C">
      <w:pPr>
        <w:spacing w:line="240" w:lineRule="atLeast"/>
        <w:jc w:val="right"/>
        <w:rPr>
          <w:rFonts w:ascii="Arial" w:hAnsi="Arial" w:cs="Arial"/>
          <w:sz w:val="22"/>
          <w:szCs w:val="22"/>
          <w:rtl/>
        </w:rPr>
        <w:sectPr w:rsidR="00AC68D5" w:rsidRPr="005D521C" w:rsidSect="007D630C">
          <w:headerReference w:type="default" r:id="rId9"/>
          <w:footnotePr>
            <w:numRestart w:val="eachPage"/>
          </w:footnotePr>
          <w:pgSz w:w="11906" w:h="16838" w:code="9"/>
          <w:pgMar w:top="3402" w:right="2608" w:bottom="2552" w:left="2608" w:header="2552" w:footer="2268" w:gutter="0"/>
          <w:pgNumType w:start="179"/>
          <w:cols w:space="708"/>
          <w:titlePg/>
          <w:docGrid w:linePitch="360"/>
        </w:sectPr>
      </w:pPr>
    </w:p>
    <w:p w14:paraId="1402311C" w14:textId="78C9E99A" w:rsidR="008B4530" w:rsidRPr="005D521C" w:rsidRDefault="008B4530" w:rsidP="008B4530">
      <w:pPr>
        <w:pStyle w:val="NoSpacing"/>
        <w:bidi w:val="0"/>
        <w:spacing w:after="2280" w:line="280" w:lineRule="exact"/>
        <w:rPr>
          <w:rFonts w:ascii="Times New Roman" w:eastAsia="Times New Roman" w:hAnsi="Times New Roman" w:cs="David"/>
        </w:rPr>
      </w:pPr>
      <w:r w:rsidRPr="005D521C">
        <w:rPr>
          <w:rtl/>
        </w:rPr>
        <w:lastRenderedPageBreak/>
        <w:br w:type="page"/>
      </w:r>
    </w:p>
    <w:p w14:paraId="3322AC5B" w14:textId="77777777" w:rsidR="00E738B2" w:rsidRPr="005D521C" w:rsidRDefault="00E738B2" w:rsidP="00E738B2">
      <w:pPr>
        <w:pStyle w:val="NoSpacing"/>
        <w:bidi w:val="0"/>
        <w:spacing w:after="2280" w:line="280" w:lineRule="exact"/>
        <w:rPr>
          <w:rFonts w:ascii="Times New Roman" w:eastAsia="Times New Roman" w:hAnsi="Times New Roman" w:cs="David"/>
        </w:rPr>
      </w:pPr>
    </w:p>
    <w:p w14:paraId="543AE6D7" w14:textId="10031130" w:rsidR="008B4530" w:rsidRPr="005D521C" w:rsidRDefault="000B4214" w:rsidP="00E738B2">
      <w:pPr>
        <w:pStyle w:val="Header"/>
        <w:tabs>
          <w:tab w:val="clear" w:pos="4153"/>
          <w:tab w:val="clear" w:pos="8306"/>
        </w:tabs>
        <w:spacing w:after="240" w:line="240" w:lineRule="atLeast"/>
        <w:jc w:val="center"/>
        <w:outlineLvl w:val="1"/>
        <w:rPr>
          <w:b/>
          <w:bCs/>
          <w:sz w:val="44"/>
          <w:szCs w:val="44"/>
        </w:rPr>
      </w:pPr>
      <w:r w:rsidRPr="005D521C">
        <w:rPr>
          <w:rFonts w:ascii="Simplified Arabic" w:hAnsi="Simplified Arabic" w:cs="Simplified Arabic" w:hint="cs"/>
          <w:b/>
          <w:bCs/>
          <w:sz w:val="44"/>
          <w:szCs w:val="44"/>
          <w:rtl/>
          <w:lang w:bidi="ar-JO"/>
        </w:rPr>
        <w:t>م</w:t>
      </w:r>
      <w:r w:rsidRPr="005D521C">
        <w:rPr>
          <w:rFonts w:ascii="Simplified Arabic" w:hAnsi="Simplified Arabic" w:cs="Simplified Arabic"/>
          <w:b/>
          <w:bCs/>
          <w:sz w:val="44"/>
          <w:szCs w:val="44"/>
          <w:rtl/>
          <w:lang w:bidi="ar-JO"/>
        </w:rPr>
        <w:t>لخ</w:t>
      </w:r>
      <w:r w:rsidRPr="005D521C">
        <w:rPr>
          <w:rFonts w:ascii="Simplified Arabic" w:hAnsi="Simplified Arabic" w:cs="Simplified Arabic" w:hint="cs"/>
          <w:b/>
          <w:bCs/>
          <w:sz w:val="44"/>
          <w:szCs w:val="44"/>
          <w:rtl/>
          <w:lang w:bidi="ar-JO"/>
        </w:rPr>
        <w:t>َّ</w:t>
      </w:r>
      <w:r w:rsidRPr="005D521C">
        <w:rPr>
          <w:rFonts w:ascii="Simplified Arabic" w:hAnsi="Simplified Arabic" w:cs="Simplified Arabic"/>
          <w:b/>
          <w:bCs/>
          <w:sz w:val="44"/>
          <w:szCs w:val="44"/>
          <w:rtl/>
          <w:lang w:bidi="ar-JO"/>
        </w:rPr>
        <w:t>ص</w:t>
      </w:r>
      <w:r w:rsidRPr="005D521C">
        <w:rPr>
          <w:rFonts w:ascii="Simplified Arabic" w:hAnsi="Simplified Arabic" w:cs="Simplified Arabic" w:hint="cs"/>
          <w:b/>
          <w:bCs/>
          <w:sz w:val="44"/>
          <w:szCs w:val="44"/>
          <w:rtl/>
          <w:lang w:bidi="ar-JO"/>
        </w:rPr>
        <w:t>ات</w:t>
      </w:r>
      <w:r w:rsidR="00AB018A" w:rsidRPr="005D521C">
        <w:rPr>
          <w:rFonts w:cs="Times New Roman"/>
          <w:b/>
          <w:bCs/>
          <w:sz w:val="44"/>
          <w:szCs w:val="44"/>
          <w:rtl/>
          <w:lang w:bidi="ar-SA"/>
        </w:rPr>
        <w:t xml:space="preserve"> الابحاث</w:t>
      </w:r>
    </w:p>
    <w:p w14:paraId="72B6A064" w14:textId="77777777" w:rsidR="008B4530" w:rsidRPr="005D521C" w:rsidRDefault="008B4530" w:rsidP="00785169">
      <w:pPr>
        <w:spacing w:line="240" w:lineRule="atLeast"/>
        <w:rPr>
          <w:rFonts w:ascii="Arial" w:hAnsi="Arial" w:cs="Arial"/>
          <w:sz w:val="22"/>
          <w:szCs w:val="22"/>
          <w:rtl/>
        </w:rPr>
      </w:pPr>
      <w:r w:rsidRPr="005D521C">
        <w:rPr>
          <w:rFonts w:ascii="Arial" w:hAnsi="Arial" w:cs="Arial"/>
          <w:sz w:val="22"/>
          <w:szCs w:val="22"/>
          <w:rtl/>
        </w:rPr>
        <w:br w:type="page"/>
      </w:r>
    </w:p>
    <w:p w14:paraId="633417CF" w14:textId="77777777" w:rsidR="008B4530" w:rsidRPr="005D521C" w:rsidRDefault="008B4530" w:rsidP="00785169">
      <w:pPr>
        <w:spacing w:line="240" w:lineRule="atLeast"/>
        <w:rPr>
          <w:rFonts w:ascii="Arial" w:hAnsi="Arial" w:cs="Arial"/>
          <w:sz w:val="22"/>
          <w:szCs w:val="22"/>
          <w:rtl/>
        </w:rPr>
      </w:pPr>
    </w:p>
    <w:p w14:paraId="60824739" w14:textId="77777777" w:rsidR="00B6001E" w:rsidRPr="005D521C" w:rsidRDefault="00B6001E">
      <w:pPr>
        <w:spacing w:after="180" w:line="280" w:lineRule="exact"/>
        <w:jc w:val="both"/>
        <w:rPr>
          <w:rFonts w:ascii="Arial" w:hAnsi="Arial" w:cs="Times New Roman"/>
          <w:rtl/>
          <w:lang w:bidi="ar-SA"/>
        </w:rPr>
        <w:sectPr w:rsidR="00B6001E" w:rsidRPr="005D521C" w:rsidSect="005262FD">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3FC1D3F7" w14:textId="77777777" w:rsidR="00AF60AB" w:rsidRPr="00AF60AB" w:rsidRDefault="00AF60AB" w:rsidP="00AF60AB">
      <w:pPr>
        <w:pStyle w:val="Heading1"/>
        <w:spacing w:line="440" w:lineRule="exact"/>
        <w:rPr>
          <w:rFonts w:cs="Times New Roman"/>
          <w:color w:val="2A8E8C"/>
          <w:rtl/>
          <w:lang w:eastAsia="he-IL" w:bidi="ar-SA"/>
        </w:rPr>
      </w:pPr>
      <w:r w:rsidRPr="00AF60AB">
        <w:rPr>
          <w:rFonts w:cs="Times New Roman"/>
          <w:color w:val="2A8E8C"/>
          <w:rtl/>
          <w:lang w:eastAsia="he-IL" w:bidi="ar-SA"/>
        </w:rPr>
        <w:lastRenderedPageBreak/>
        <w:t>التوازن بين البيت والعمل لدى آباء و/أو أمهات لأولاد أصحاب إعاقة: الدعوة إلى تغيير السياسة- مقال رأي</w:t>
      </w:r>
    </w:p>
    <w:p w14:paraId="09ED8BB1" w14:textId="64706270" w:rsidR="00AF60AB" w:rsidRPr="00AF60AB" w:rsidRDefault="00AF60AB" w:rsidP="00AF60AB">
      <w:pPr>
        <w:pStyle w:val="KOT5T"/>
        <w:spacing w:before="0" w:after="240" w:line="280" w:lineRule="exact"/>
        <w:ind w:right="0"/>
        <w:jc w:val="left"/>
        <w:rPr>
          <w:rFonts w:ascii="Times New Roman" w:hAnsi="Times New Roman" w:cs="Times New Roman"/>
          <w:b w:val="0"/>
          <w:bCs w:val="0"/>
          <w:color w:val="auto"/>
          <w:rtl/>
          <w:lang w:bidi="ar-SA"/>
        </w:rPr>
      </w:pPr>
      <w:r w:rsidRPr="00AF60AB">
        <w:rPr>
          <w:rFonts w:ascii="Times New Roman" w:hAnsi="Times New Roman" w:cs="Times New Roman"/>
          <w:b w:val="0"/>
          <w:bCs w:val="0"/>
          <w:color w:val="auto"/>
          <w:rtl/>
          <w:lang w:bidi="ar-SA"/>
        </w:rPr>
        <w:t xml:space="preserve">ليمور </w:t>
      </w:r>
      <w:proofErr w:type="spellStart"/>
      <w:r w:rsidRPr="00AF60AB">
        <w:rPr>
          <w:rFonts w:ascii="Times New Roman" w:hAnsi="Times New Roman" w:cs="Times New Roman"/>
          <w:b w:val="0"/>
          <w:bCs w:val="0"/>
          <w:color w:val="auto"/>
          <w:rtl/>
          <w:lang w:bidi="ar-SA"/>
        </w:rPr>
        <w:t>غادوت</w:t>
      </w:r>
      <w:proofErr w:type="spellEnd"/>
      <w:r w:rsidRPr="00AF60AB">
        <w:rPr>
          <w:rFonts w:ascii="Times New Roman" w:hAnsi="Times New Roman" w:cs="Times New Roman"/>
          <w:b w:val="0"/>
          <w:bCs w:val="0"/>
          <w:color w:val="auto"/>
          <w:vertAlign w:val="superscript"/>
          <w:rtl/>
          <w:lang w:bidi="ar-SA"/>
        </w:rPr>
        <w:footnoteReference w:id="2"/>
      </w:r>
      <w:r w:rsidRPr="00AF60AB">
        <w:rPr>
          <w:rFonts w:ascii="Times New Roman" w:hAnsi="Times New Roman" w:cs="Times New Roman"/>
          <w:b w:val="0"/>
          <w:bCs w:val="0"/>
          <w:color w:val="auto"/>
          <w:rtl/>
          <w:lang w:bidi="ar-SA"/>
        </w:rPr>
        <w:t xml:space="preserve">، </w:t>
      </w:r>
      <w:proofErr w:type="spellStart"/>
      <w:r w:rsidRPr="00AF60AB">
        <w:rPr>
          <w:rFonts w:ascii="Times New Roman" w:hAnsi="Times New Roman" w:cs="Times New Roman"/>
          <w:b w:val="0"/>
          <w:bCs w:val="0"/>
          <w:color w:val="auto"/>
          <w:rtl/>
          <w:lang w:bidi="ar-SA"/>
        </w:rPr>
        <w:t>عيناف</w:t>
      </w:r>
      <w:proofErr w:type="spellEnd"/>
      <w:r w:rsidRPr="00AF60AB">
        <w:rPr>
          <w:rFonts w:ascii="Times New Roman" w:hAnsi="Times New Roman" w:cs="Times New Roman"/>
          <w:b w:val="0"/>
          <w:bCs w:val="0"/>
          <w:color w:val="auto"/>
          <w:rtl/>
          <w:lang w:bidi="ar-SA"/>
        </w:rPr>
        <w:t xml:space="preserve"> سيغف</w:t>
      </w:r>
      <w:r w:rsidRPr="00AF60AB">
        <w:rPr>
          <w:rFonts w:ascii="Times New Roman" w:hAnsi="Times New Roman" w:cs="Times New Roman" w:hint="cs"/>
          <w:b w:val="0"/>
          <w:bCs w:val="0"/>
          <w:color w:val="auto"/>
          <w:rtl/>
          <w:lang w:bidi="ar-SA"/>
        </w:rPr>
        <w:t>1</w:t>
      </w:r>
      <w:r w:rsidRPr="00AF60AB">
        <w:rPr>
          <w:rFonts w:ascii="Times New Roman" w:hAnsi="Times New Roman" w:cs="Times New Roman"/>
          <w:b w:val="0"/>
          <w:bCs w:val="0"/>
          <w:color w:val="auto"/>
          <w:rtl/>
          <w:lang w:bidi="ar-SA"/>
        </w:rPr>
        <w:t>، معيان بيري</w:t>
      </w:r>
      <w:r w:rsidRPr="00AF60AB">
        <w:rPr>
          <w:rFonts w:ascii="Times New Roman" w:hAnsi="Times New Roman" w:cs="Times New Roman" w:hint="cs"/>
          <w:b w:val="0"/>
          <w:bCs w:val="0"/>
          <w:color w:val="auto"/>
          <w:vertAlign w:val="superscript"/>
          <w:rtl/>
          <w:lang w:bidi="ar-SA"/>
        </w:rPr>
        <w:t>1</w:t>
      </w:r>
      <w:r w:rsidRPr="00AF60AB">
        <w:rPr>
          <w:rFonts w:ascii="Times New Roman" w:hAnsi="Times New Roman" w:cs="Times New Roman"/>
          <w:b w:val="0"/>
          <w:bCs w:val="0"/>
          <w:color w:val="auto"/>
          <w:rtl/>
          <w:lang w:bidi="ar-SA"/>
        </w:rPr>
        <w:t xml:space="preserve"> </w:t>
      </w:r>
    </w:p>
    <w:p w14:paraId="4BF320AF" w14:textId="77777777" w:rsidR="00AF60AB" w:rsidRPr="002C525B" w:rsidRDefault="00AF60AB" w:rsidP="00AF60AB">
      <w:pPr>
        <w:pStyle w:val="BodyText2"/>
        <w:keepNext/>
        <w:keepLines/>
        <w:rPr>
          <w:rFonts w:ascii="Georgia" w:hAnsi="Georgia"/>
          <w:sz w:val="18"/>
          <w:szCs w:val="20"/>
          <w:rtl/>
        </w:rPr>
      </w:pPr>
    </w:p>
    <w:p w14:paraId="7914BA6C" w14:textId="77777777" w:rsidR="00AF60AB" w:rsidRPr="00AF60AB" w:rsidRDefault="00AF60AB" w:rsidP="00AF60AB">
      <w:pPr>
        <w:spacing w:after="180" w:line="280" w:lineRule="exact"/>
        <w:jc w:val="both"/>
        <w:rPr>
          <w:rFonts w:asciiTheme="majorBidi" w:hAnsiTheme="majorBidi" w:cstheme="majorBidi"/>
          <w:color w:val="000000"/>
          <w:sz w:val="22"/>
          <w:szCs w:val="22"/>
          <w:rtl/>
        </w:rPr>
      </w:pPr>
      <w:r w:rsidRPr="00AF60AB">
        <w:rPr>
          <w:rFonts w:asciiTheme="majorBidi" w:hAnsiTheme="majorBidi" w:cstheme="majorBidi"/>
          <w:color w:val="000000"/>
          <w:sz w:val="22"/>
          <w:szCs w:val="22"/>
          <w:rtl/>
          <w:lang w:bidi="ar-SA"/>
        </w:rPr>
        <w:t xml:space="preserve">يُعَدّ العمل نشاطا مركزيا في حياة الإنسان البالغ فيلبي احتياجاته الاقتصادية، والسيكولوجية والاجتماعية. ومع ذلك، يتيح التوازن بين احتياجات البيت واحتياجات العمل جودة حياة أفضل. وقد يُخَلّ بهذا التوازن لدى آباء و/أو أمهات لأولاد أصحاب إعاقة، للحاجة للاعتناء باحتياجات الولد وكذلك بانعكاسات الإعاقة على حياته. وبالرغم من تشريع يحدد حقوق هؤلاء الآباء و/أو الأمهات في سوق العمل، تشير دراسات حديثة إلى أن هذا التشريع لا يكفي، وأن هؤلاء الآباء و/أو الأمهات يكتسبون أقل، ويملكون تعليما أقل، ويصعب عليهم أكثر الحفاظ على الاستقرار المهني. وعلاوة على ذلك، يشهد هؤلاء الآباء و/أو الأمهات ضغوطا والدية أكثر، وحتى عدم توازن أكثر بين البيت والعمل. حيث يأتي مقال الرأي هذا لتسليط الضوء على احتياجات هؤلاء الآباء و/أو الأمهات في سوق العمل وعلى السياسة الحالية، وكذلك طرح توصيات باتّجاهات تغييرية لازمة. </w:t>
      </w:r>
    </w:p>
    <w:p w14:paraId="2B40B91F" w14:textId="77777777" w:rsidR="00AF60AB" w:rsidRDefault="00AF60AB" w:rsidP="00AF60AB">
      <w:pPr>
        <w:spacing w:after="180" w:line="280" w:lineRule="exact"/>
        <w:jc w:val="both"/>
        <w:rPr>
          <w:rFonts w:asciiTheme="majorBidi" w:hAnsiTheme="majorBidi" w:cstheme="majorBidi"/>
          <w:color w:val="000000"/>
          <w:sz w:val="22"/>
          <w:szCs w:val="22"/>
          <w:lang w:bidi="ar-SA"/>
        </w:rPr>
      </w:pPr>
    </w:p>
    <w:p w14:paraId="243F0FEE" w14:textId="77777777" w:rsidR="00AF60AB" w:rsidRPr="00AF60AB" w:rsidRDefault="00AF60AB" w:rsidP="00AF60AB">
      <w:pPr>
        <w:spacing w:after="180" w:line="280" w:lineRule="exact"/>
        <w:jc w:val="both"/>
        <w:rPr>
          <w:rFonts w:asciiTheme="majorBidi" w:hAnsiTheme="majorBidi" w:cstheme="majorBidi"/>
          <w:color w:val="000000"/>
          <w:sz w:val="22"/>
          <w:szCs w:val="22"/>
          <w:rtl/>
          <w:lang w:bidi="ar-SA"/>
        </w:rPr>
      </w:pPr>
    </w:p>
    <w:p w14:paraId="6D0AA5B6" w14:textId="77777777" w:rsidR="00AF60AB" w:rsidRPr="00AF60AB" w:rsidRDefault="00AF60AB" w:rsidP="00AF60AB">
      <w:pPr>
        <w:pStyle w:val="Heading1"/>
        <w:spacing w:line="440" w:lineRule="exact"/>
        <w:rPr>
          <w:rFonts w:cs="Times New Roman"/>
          <w:color w:val="2A8E8C"/>
          <w:rtl/>
          <w:lang w:eastAsia="he-IL"/>
        </w:rPr>
      </w:pPr>
      <w:r w:rsidRPr="00AF60AB">
        <w:rPr>
          <w:rFonts w:cs="Times New Roman" w:hint="cs"/>
          <w:color w:val="2A8E8C"/>
          <w:rtl/>
          <w:lang w:eastAsia="he-IL" w:bidi="ar-SA"/>
        </w:rPr>
        <w:t xml:space="preserve">زملاء أصحاب خبرة مستخلَصة من تجربة: التحديات المركزية والعوامل التي قد تعزز التمكين المثالي لدعم الزملاء في خدمات الصحة النفسية </w:t>
      </w:r>
    </w:p>
    <w:p w14:paraId="4C8433F3" w14:textId="6B787D33" w:rsidR="00AF60AB" w:rsidRPr="00AF60AB" w:rsidRDefault="00AF60AB" w:rsidP="00AF60AB">
      <w:pPr>
        <w:pStyle w:val="KOT5T"/>
        <w:spacing w:before="0" w:after="240" w:line="280" w:lineRule="exact"/>
        <w:ind w:right="0"/>
        <w:jc w:val="left"/>
        <w:rPr>
          <w:rFonts w:ascii="Times New Roman" w:hAnsi="Times New Roman" w:cs="Times New Roman"/>
          <w:b w:val="0"/>
          <w:bCs w:val="0"/>
          <w:color w:val="auto"/>
          <w:rtl/>
          <w:lang w:bidi="ar-SA"/>
        </w:rPr>
      </w:pPr>
      <w:proofErr w:type="spellStart"/>
      <w:r w:rsidRPr="00AF60AB">
        <w:rPr>
          <w:rFonts w:ascii="Times New Roman" w:hAnsi="Times New Roman" w:cs="Times New Roman" w:hint="cs"/>
          <w:b w:val="0"/>
          <w:bCs w:val="0"/>
          <w:color w:val="auto"/>
          <w:rtl/>
          <w:lang w:bidi="ar-SA"/>
        </w:rPr>
        <w:t>عينبار</w:t>
      </w:r>
      <w:proofErr w:type="spellEnd"/>
      <w:r w:rsidRPr="00AF60AB">
        <w:rPr>
          <w:rFonts w:ascii="Times New Roman" w:hAnsi="Times New Roman" w:cs="Times New Roman" w:hint="cs"/>
          <w:b w:val="0"/>
          <w:bCs w:val="0"/>
          <w:color w:val="auto"/>
          <w:rtl/>
          <w:lang w:bidi="ar-SA"/>
        </w:rPr>
        <w:t xml:space="preserve"> </w:t>
      </w:r>
      <w:proofErr w:type="spellStart"/>
      <w:r w:rsidRPr="00AF60AB">
        <w:rPr>
          <w:rFonts w:ascii="Times New Roman" w:hAnsi="Times New Roman" w:cs="Times New Roman" w:hint="cs"/>
          <w:b w:val="0"/>
          <w:bCs w:val="0"/>
          <w:color w:val="auto"/>
          <w:rtl/>
          <w:lang w:bidi="ar-SA"/>
        </w:rPr>
        <w:t>أدلير</w:t>
      </w:r>
      <w:proofErr w:type="spellEnd"/>
      <w:r w:rsidRPr="00AF60AB">
        <w:rPr>
          <w:rFonts w:ascii="Times New Roman" w:hAnsi="Times New Roman" w:cs="Times New Roman" w:hint="cs"/>
          <w:b w:val="0"/>
          <w:bCs w:val="0"/>
          <w:color w:val="auto"/>
          <w:rtl/>
          <w:lang w:bidi="ar-SA"/>
        </w:rPr>
        <w:t xml:space="preserve"> بن دور</w:t>
      </w:r>
      <w:r w:rsidRPr="00AF60AB">
        <w:rPr>
          <w:rFonts w:ascii="Times New Roman" w:hAnsi="Times New Roman" w:cs="Times New Roman"/>
          <w:b w:val="0"/>
          <w:bCs w:val="0"/>
          <w:color w:val="auto"/>
          <w:vertAlign w:val="superscript"/>
          <w:rtl/>
          <w:lang w:bidi="ar-SA"/>
        </w:rPr>
        <w:footnoteReference w:id="3"/>
      </w:r>
      <w:r w:rsidRPr="00AF60AB">
        <w:rPr>
          <w:rFonts w:ascii="Times New Roman" w:hAnsi="Times New Roman" w:cs="Times New Roman" w:hint="cs"/>
          <w:b w:val="0"/>
          <w:bCs w:val="0"/>
          <w:color w:val="auto"/>
          <w:rtl/>
          <w:lang w:bidi="ar-SA"/>
        </w:rPr>
        <w:t xml:space="preserve"> وغاليا </w:t>
      </w:r>
      <w:proofErr w:type="spellStart"/>
      <w:r w:rsidRPr="00AF60AB">
        <w:rPr>
          <w:rFonts w:ascii="Times New Roman" w:hAnsi="Times New Roman" w:cs="Times New Roman" w:hint="cs"/>
          <w:b w:val="0"/>
          <w:bCs w:val="0"/>
          <w:color w:val="auto"/>
          <w:rtl/>
          <w:lang w:bidi="ar-SA"/>
        </w:rPr>
        <w:t>موران</w:t>
      </w:r>
      <w:proofErr w:type="spellEnd"/>
      <w:r w:rsidRPr="00AF60AB">
        <w:rPr>
          <w:rFonts w:ascii="Times New Roman" w:hAnsi="Times New Roman" w:cs="Times New Roman"/>
          <w:b w:val="0"/>
          <w:bCs w:val="0"/>
          <w:color w:val="auto"/>
          <w:vertAlign w:val="superscript"/>
          <w:rtl/>
          <w:lang w:bidi="ar-SA"/>
        </w:rPr>
        <w:footnoteReference w:id="4"/>
      </w:r>
      <w:r w:rsidRPr="00AF60AB">
        <w:rPr>
          <w:rFonts w:ascii="Times New Roman" w:hAnsi="Times New Roman" w:cs="Times New Roman" w:hint="cs"/>
          <w:b w:val="0"/>
          <w:bCs w:val="0"/>
          <w:color w:val="auto"/>
          <w:rtl/>
          <w:lang w:bidi="ar-SA"/>
        </w:rPr>
        <w:t xml:space="preserve"> </w:t>
      </w:r>
    </w:p>
    <w:p w14:paraId="432B3296" w14:textId="77777777" w:rsidR="00AF60AB" w:rsidRPr="002C525B" w:rsidRDefault="00AF60AB" w:rsidP="00AF60AB">
      <w:pPr>
        <w:pStyle w:val="BodyText2"/>
        <w:keepNext/>
        <w:keepLines/>
        <w:rPr>
          <w:rFonts w:ascii="Georgia" w:hAnsi="Georgia"/>
          <w:sz w:val="18"/>
          <w:szCs w:val="20"/>
          <w:rtl/>
        </w:rPr>
      </w:pPr>
    </w:p>
    <w:p w14:paraId="06C9BC6F" w14:textId="77777777" w:rsidR="00AF60AB" w:rsidRPr="00AF60AB" w:rsidRDefault="00AF60AB" w:rsidP="00AF60AB">
      <w:pPr>
        <w:spacing w:after="180" w:line="280" w:lineRule="exact"/>
        <w:jc w:val="both"/>
        <w:rPr>
          <w:rFonts w:cs="Times New Roman"/>
          <w:color w:val="000000"/>
          <w:sz w:val="22"/>
          <w:szCs w:val="22"/>
          <w:rtl/>
        </w:rPr>
      </w:pPr>
      <w:r w:rsidRPr="00AF60AB">
        <w:rPr>
          <w:rFonts w:cs="Times New Roman" w:hint="cs"/>
          <w:color w:val="000000"/>
          <w:sz w:val="22"/>
          <w:szCs w:val="22"/>
          <w:rtl/>
          <w:lang w:bidi="ar-SA"/>
        </w:rPr>
        <w:t xml:space="preserve">في السنوات الأخيرة تُدمَج في نظام الصحة النفسية منهجية موجَّهة نحو تحقيق الشفاء، ويكون عنصر مركزي فيها هو تشغيل زملاء أصحاب خبرة مستخلَصة من تجربة. حيث يساعد اندماجهم المثالي من تُقدَّم لهم الخدمة، والزملاء والمنظمات، على النهوض بتحقيق الشفاء الشخصي ومنهجية مركِّزة على الشفاء والإنسان. ومع ذلك، تسفر تحديات كثيرة عن أن قدرات الزملاء لا يُستفاد منها. فتهدف الدراسة إلى رصد التحديات والمكونات الحاسمة الأهمية للتمكين المثالي لدعم الزملاء في إسرائيل. وكجزء من مشروع </w:t>
      </w:r>
      <w:r w:rsidRPr="00AF60AB">
        <w:rPr>
          <w:rFonts w:cs="Times New Roman"/>
          <w:color w:val="000000"/>
          <w:sz w:val="22"/>
          <w:szCs w:val="22"/>
          <w:lang w:bidi="ar-SA"/>
        </w:rPr>
        <w:t>UPSIDES</w:t>
      </w:r>
      <w:r w:rsidRPr="00AF60AB">
        <w:rPr>
          <w:rFonts w:cs="Times New Roman" w:hint="cs"/>
          <w:color w:val="000000"/>
          <w:sz w:val="22"/>
          <w:szCs w:val="22"/>
          <w:rtl/>
          <w:lang w:bidi="ar-SA"/>
        </w:rPr>
        <w:t xml:space="preserve"> الدولي تم تشغيل منظومة للبحث النوعي معتمِدة على طريقة بحوث العمل التشاركي وعلم التنفيذ، ضمّت عشر مجموعات تركيز و-12 مقابلة مع 68 صاحب شأن في </w:t>
      </w:r>
      <w:r w:rsidRPr="00AF60AB">
        <w:rPr>
          <w:rFonts w:cs="Times New Roman" w:hint="cs"/>
          <w:color w:val="000000"/>
          <w:sz w:val="22"/>
          <w:szCs w:val="22"/>
          <w:rtl/>
          <w:lang w:bidi="ar-SA"/>
        </w:rPr>
        <w:lastRenderedPageBreak/>
        <w:t xml:space="preserve">نظام إعادة تأهيل الصحة النفسية. ومن أجل شرح نتائج تطبيق التدخل </w:t>
      </w:r>
      <w:r w:rsidRPr="00AF60AB">
        <w:rPr>
          <w:rFonts w:cs="Times New Roman"/>
          <w:color w:val="000000"/>
          <w:sz w:val="22"/>
          <w:szCs w:val="22"/>
          <w:rtl/>
        </w:rPr>
        <w:t>(</w:t>
      </w:r>
      <w:r w:rsidRPr="00AF60AB">
        <w:rPr>
          <w:rFonts w:cs="Times New Roman"/>
          <w:color w:val="000000"/>
          <w:sz w:val="22"/>
          <w:szCs w:val="22"/>
          <w:lang w:bidi="ar-SA"/>
        </w:rPr>
        <w:t>Damschroder et al., 2009</w:t>
      </w:r>
      <w:r w:rsidRPr="00AF60AB">
        <w:rPr>
          <w:rFonts w:cs="Times New Roman"/>
          <w:color w:val="000000"/>
          <w:sz w:val="22"/>
          <w:szCs w:val="22"/>
          <w:rtl/>
        </w:rPr>
        <w:t>)</w:t>
      </w:r>
      <w:r w:rsidRPr="00AF60AB">
        <w:rPr>
          <w:rFonts w:cs="Times New Roman" w:hint="cs"/>
          <w:color w:val="000000"/>
          <w:sz w:val="22"/>
          <w:szCs w:val="22"/>
          <w:rtl/>
          <w:lang w:bidi="ar-SA"/>
        </w:rPr>
        <w:t xml:space="preserve"> تم تحليل مواضيعي على أساس إطار ال-</w:t>
      </w:r>
      <w:r w:rsidRPr="00AF60AB">
        <w:rPr>
          <w:rFonts w:cs="Times New Roman"/>
          <w:color w:val="000000"/>
          <w:sz w:val="22"/>
          <w:szCs w:val="22"/>
          <w:lang w:bidi="ar-SA"/>
        </w:rPr>
        <w:t xml:space="preserve"> CFIR</w:t>
      </w:r>
      <w:r w:rsidRPr="00AF60AB">
        <w:rPr>
          <w:rFonts w:cs="Times New Roman" w:hint="cs"/>
          <w:color w:val="000000"/>
          <w:sz w:val="22"/>
          <w:szCs w:val="22"/>
          <w:rtl/>
          <w:lang w:bidi="ar-SA"/>
        </w:rPr>
        <w:t xml:space="preserve"> بواسطة برمجية </w:t>
      </w:r>
      <w:r w:rsidRPr="00AF60AB">
        <w:rPr>
          <w:rFonts w:cs="Times New Roman"/>
          <w:color w:val="000000"/>
          <w:sz w:val="22"/>
          <w:szCs w:val="22"/>
          <w:lang w:bidi="ar-SA"/>
        </w:rPr>
        <w:t>MAXQDA 2020</w:t>
      </w:r>
      <w:r w:rsidRPr="00AF60AB">
        <w:rPr>
          <w:rFonts w:cs="Times New Roman" w:hint="cs"/>
          <w:color w:val="000000"/>
          <w:sz w:val="22"/>
          <w:szCs w:val="22"/>
          <w:rtl/>
          <w:lang w:bidi="ar-SA"/>
        </w:rPr>
        <w:t>. حيث رًصِدت تحديات في مجالات ال-</w:t>
      </w:r>
      <w:r w:rsidRPr="00AF60AB">
        <w:rPr>
          <w:rFonts w:cs="Times New Roman"/>
          <w:color w:val="000000"/>
          <w:sz w:val="22"/>
          <w:szCs w:val="22"/>
          <w:lang w:bidi="ar-SA"/>
        </w:rPr>
        <w:t xml:space="preserve"> CFIR</w:t>
      </w:r>
      <w:r w:rsidRPr="00AF60AB">
        <w:rPr>
          <w:rFonts w:cs="Times New Roman" w:hint="cs"/>
          <w:color w:val="000000"/>
          <w:sz w:val="22"/>
          <w:szCs w:val="22"/>
          <w:rtl/>
          <w:lang w:bidi="ar-SA"/>
        </w:rPr>
        <w:t xml:space="preserve"> الخمسة: مميزات التدخل، إطار البيئة الخارجي، إطار البيئة الداخلي، أصحاب شأن مرتبطون والتطبيق، ومن ضمنها غياب سياسة كافية، وعدم تخصص المنظمات في تشغيل الزملاء ووجود وصمة تجاه الزملاء. وكذلك رُصِدت عوامل معزِّزة في كافة المجالات، ما عدا مميزات التدخل، ومن ضمنها التزام الإداريين، وتأمين التدابير </w:t>
      </w:r>
      <w:proofErr w:type="spellStart"/>
      <w:r w:rsidRPr="00AF60AB">
        <w:rPr>
          <w:rFonts w:cs="Times New Roman" w:hint="cs"/>
          <w:color w:val="000000"/>
          <w:sz w:val="22"/>
          <w:szCs w:val="22"/>
          <w:rtl/>
          <w:lang w:bidi="ar-SA"/>
        </w:rPr>
        <w:t>التكييفية</w:t>
      </w:r>
      <w:proofErr w:type="spellEnd"/>
      <w:r w:rsidRPr="00AF60AB">
        <w:rPr>
          <w:rFonts w:cs="Times New Roman" w:hint="cs"/>
          <w:color w:val="000000"/>
          <w:sz w:val="22"/>
          <w:szCs w:val="22"/>
          <w:rtl/>
          <w:lang w:bidi="ar-SA"/>
        </w:rPr>
        <w:t>، والإرشاد والتثقيف والفرص للتعبير عن الخبرة المتميزة. ويتبين من الدراسة أن التمكين المثالي لدعم الزملاء يتطلب الالتزام التنظيمي الكامل، الذي ينطوي على ثقافة تنظيمية موجَّهة إلى جانب منهجية تطبيقية تنظيمية- تسويات وبنى تحتية، ومن ضمنها تأهيل، وتدريب وتثقيف ومرافقة لكافة الجهات في المنظمة. ومن أجل دعم المنظمات هناك حاجة إلى سياسة تترجَم لتطوير وظائف تخصصية، وتخصيص موارد ستسهم في ترسيخ خدمات لإعادة التأهيل مركِّزةٍ على تحقيق الشفاء والإنسان.</w:t>
      </w:r>
    </w:p>
    <w:p w14:paraId="044EA8EC" w14:textId="77777777" w:rsidR="00AF60AB" w:rsidRDefault="00AF60AB" w:rsidP="00AF60AB">
      <w:pPr>
        <w:spacing w:after="180" w:line="280" w:lineRule="exact"/>
        <w:jc w:val="both"/>
        <w:rPr>
          <w:rFonts w:asciiTheme="majorBidi" w:hAnsiTheme="majorBidi" w:cstheme="majorBidi"/>
          <w:color w:val="000000"/>
          <w:sz w:val="22"/>
          <w:szCs w:val="22"/>
          <w:lang w:bidi="ar-SA"/>
        </w:rPr>
      </w:pPr>
    </w:p>
    <w:p w14:paraId="6A0B0BDB" w14:textId="77777777" w:rsidR="00AF60AB" w:rsidRPr="00AF60AB" w:rsidRDefault="00AF60AB" w:rsidP="00AF60AB">
      <w:pPr>
        <w:spacing w:after="180" w:line="280" w:lineRule="exact"/>
        <w:jc w:val="both"/>
        <w:rPr>
          <w:rFonts w:asciiTheme="majorBidi" w:hAnsiTheme="majorBidi" w:cstheme="majorBidi"/>
          <w:color w:val="000000"/>
          <w:sz w:val="22"/>
          <w:szCs w:val="22"/>
          <w:rtl/>
          <w:lang w:bidi="ar-SA"/>
        </w:rPr>
      </w:pPr>
    </w:p>
    <w:p w14:paraId="58B31ADB" w14:textId="77777777" w:rsidR="00AF60AB" w:rsidRPr="00AF60AB" w:rsidRDefault="00AF60AB" w:rsidP="00AF60AB">
      <w:pPr>
        <w:pStyle w:val="Heading1"/>
        <w:spacing w:line="440" w:lineRule="exact"/>
        <w:rPr>
          <w:rFonts w:cs="Times New Roman"/>
          <w:color w:val="2A8E8C"/>
          <w:rtl/>
          <w:lang w:eastAsia="he-IL"/>
        </w:rPr>
      </w:pPr>
      <w:r w:rsidRPr="00AF60AB">
        <w:rPr>
          <w:rFonts w:cs="Times New Roman" w:hint="cs"/>
          <w:color w:val="2A8E8C"/>
          <w:rtl/>
          <w:lang w:eastAsia="he-IL" w:bidi="ar-SA"/>
        </w:rPr>
        <w:t xml:space="preserve">أمهات-محترفات ومهنيات-غير متخصصات: عمل رعاية ثنائي الجانب لمهنيات من المهن الصحية يكنّ أمهات لأولاد أصحاب إعاقة </w:t>
      </w:r>
    </w:p>
    <w:p w14:paraId="6A1A3B71" w14:textId="1088E905" w:rsidR="00AF60AB" w:rsidRPr="00AF60AB" w:rsidRDefault="00AF60AB" w:rsidP="00AF60AB">
      <w:pPr>
        <w:pStyle w:val="KOT5T"/>
        <w:spacing w:before="0" w:after="240" w:line="280" w:lineRule="exact"/>
        <w:ind w:right="0"/>
        <w:jc w:val="left"/>
        <w:rPr>
          <w:rFonts w:ascii="Times New Roman" w:hAnsi="Times New Roman" w:cs="Times New Roman"/>
          <w:b w:val="0"/>
          <w:bCs w:val="0"/>
          <w:color w:val="auto"/>
          <w:rtl/>
          <w:lang w:bidi="ar-SA"/>
        </w:rPr>
      </w:pPr>
      <w:proofErr w:type="spellStart"/>
      <w:r w:rsidRPr="00AF60AB">
        <w:rPr>
          <w:rFonts w:ascii="Times New Roman" w:hAnsi="Times New Roman" w:cs="Times New Roman" w:hint="cs"/>
          <w:b w:val="0"/>
          <w:bCs w:val="0"/>
          <w:color w:val="auto"/>
          <w:rtl/>
          <w:lang w:bidi="ar-SA"/>
        </w:rPr>
        <w:t>روتيم</w:t>
      </w:r>
      <w:proofErr w:type="spellEnd"/>
      <w:r w:rsidRPr="00AF60AB">
        <w:rPr>
          <w:rFonts w:ascii="Times New Roman" w:hAnsi="Times New Roman" w:cs="Times New Roman" w:hint="cs"/>
          <w:b w:val="0"/>
          <w:bCs w:val="0"/>
          <w:color w:val="auto"/>
          <w:rtl/>
          <w:lang w:bidi="ar-SA"/>
        </w:rPr>
        <w:t xml:space="preserve"> ليفي </w:t>
      </w:r>
      <w:proofErr w:type="spellStart"/>
      <w:r w:rsidRPr="00AF60AB">
        <w:rPr>
          <w:rFonts w:ascii="Times New Roman" w:hAnsi="Times New Roman" w:cs="Times New Roman" w:hint="cs"/>
          <w:b w:val="0"/>
          <w:bCs w:val="0"/>
          <w:color w:val="auto"/>
          <w:rtl/>
          <w:lang w:bidi="ar-SA"/>
        </w:rPr>
        <w:t>هايمان</w:t>
      </w:r>
      <w:proofErr w:type="spellEnd"/>
      <w:r w:rsidRPr="00AF60AB">
        <w:rPr>
          <w:rFonts w:ascii="Times New Roman" w:hAnsi="Times New Roman" w:cs="Times New Roman"/>
          <w:b w:val="0"/>
          <w:bCs w:val="0"/>
          <w:color w:val="auto"/>
          <w:vertAlign w:val="superscript"/>
          <w:rtl/>
          <w:lang w:bidi="ar-SA"/>
        </w:rPr>
        <w:footnoteReference w:id="5"/>
      </w:r>
    </w:p>
    <w:p w14:paraId="3D84A264" w14:textId="77777777" w:rsidR="00AF60AB" w:rsidRPr="002C525B" w:rsidRDefault="00AF60AB" w:rsidP="00AF60AB">
      <w:pPr>
        <w:pStyle w:val="BodyText2"/>
        <w:keepNext/>
        <w:keepLines/>
        <w:rPr>
          <w:rFonts w:ascii="Georgia" w:hAnsi="Georgia"/>
          <w:sz w:val="18"/>
          <w:szCs w:val="20"/>
          <w:rtl/>
        </w:rPr>
      </w:pPr>
    </w:p>
    <w:p w14:paraId="0B674FDF" w14:textId="77777777" w:rsidR="00AF60AB" w:rsidRPr="00AF60AB" w:rsidRDefault="00AF60AB" w:rsidP="00AF60AB">
      <w:pPr>
        <w:spacing w:after="180" w:line="280" w:lineRule="exact"/>
        <w:jc w:val="both"/>
        <w:rPr>
          <w:rFonts w:cs="Times New Roman"/>
          <w:sz w:val="22"/>
          <w:szCs w:val="22"/>
          <w:rtl/>
        </w:rPr>
      </w:pPr>
      <w:r w:rsidRPr="00AF60AB">
        <w:rPr>
          <w:rFonts w:cs="Times New Roman"/>
          <w:sz w:val="22"/>
          <w:szCs w:val="22"/>
          <w:rtl/>
          <w:lang w:bidi="ar-EG"/>
        </w:rPr>
        <w:t xml:space="preserve">إن مسائل من خبرة مهنية وخبرة غير مهنية </w:t>
      </w:r>
      <w:r w:rsidRPr="00AF60AB">
        <w:rPr>
          <w:rFonts w:cs="Times New Roman"/>
          <w:sz w:val="22"/>
          <w:szCs w:val="22"/>
          <w:rtl/>
        </w:rPr>
        <w:t>(</w:t>
      </w:r>
      <w:r w:rsidRPr="00AF60AB">
        <w:rPr>
          <w:rFonts w:cs="Times New Roman"/>
          <w:sz w:val="22"/>
          <w:szCs w:val="22"/>
        </w:rPr>
        <w:t>lay knowledge</w:t>
      </w:r>
      <w:r w:rsidRPr="00AF60AB">
        <w:rPr>
          <w:rFonts w:cs="Times New Roman"/>
          <w:sz w:val="22"/>
          <w:szCs w:val="22"/>
          <w:rtl/>
        </w:rPr>
        <w:t>)</w:t>
      </w:r>
      <w:r w:rsidRPr="00AF60AB">
        <w:rPr>
          <w:rFonts w:cs="Times New Roman"/>
          <w:sz w:val="22"/>
          <w:szCs w:val="22"/>
          <w:rtl/>
          <w:lang w:bidi="ar-EG"/>
        </w:rPr>
        <w:t xml:space="preserve"> تخص رعاية أولاد أصحاب إعاقة، تشكل موضوعا للبحث </w:t>
      </w:r>
      <w:proofErr w:type="spellStart"/>
      <w:r w:rsidRPr="00AF60AB">
        <w:rPr>
          <w:rFonts w:cs="Times New Roman"/>
          <w:sz w:val="22"/>
          <w:szCs w:val="22"/>
          <w:rtl/>
          <w:lang w:bidi="ar-EG"/>
        </w:rPr>
        <w:t>السوسيولوجي</w:t>
      </w:r>
      <w:proofErr w:type="spellEnd"/>
      <w:r w:rsidRPr="00AF60AB">
        <w:rPr>
          <w:rFonts w:cs="Times New Roman"/>
          <w:sz w:val="22"/>
          <w:szCs w:val="22"/>
          <w:rtl/>
          <w:lang w:bidi="ar-EG"/>
        </w:rPr>
        <w:t xml:space="preserve"> منذ بضعة عقود. </w:t>
      </w:r>
      <w:r w:rsidRPr="00AF60AB">
        <w:rPr>
          <w:rFonts w:cs="Times New Roman"/>
          <w:sz w:val="22"/>
          <w:szCs w:val="22"/>
          <w:rtl/>
          <w:lang w:bidi="ar-SA"/>
        </w:rPr>
        <w:t xml:space="preserve">حيث ركزت تلك الدراسات على وجهة نظر المهنيات أو الأمهات، ولم تُجرَ دراسات حول تقاطع أنواع الخبرة هذه لدى نساء يرتدين "كلتي القبعتين": </w:t>
      </w:r>
      <w:r w:rsidRPr="00AF60AB">
        <w:rPr>
          <w:rFonts w:cs="Times New Roman"/>
          <w:b/>
          <w:bCs/>
          <w:sz w:val="22"/>
          <w:szCs w:val="22"/>
          <w:rtl/>
          <w:lang w:bidi="ar-SA"/>
        </w:rPr>
        <w:t>أمهات-اختصاصيات رعاية</w:t>
      </w:r>
      <w:r w:rsidRPr="00AF60AB">
        <w:rPr>
          <w:rFonts w:cs="Times New Roman"/>
          <w:sz w:val="22"/>
          <w:szCs w:val="22"/>
          <w:rtl/>
          <w:lang w:bidi="ar-SA"/>
        </w:rPr>
        <w:t xml:space="preserve">. ويهدف هذا المقال إلى دراسة تَقاطُع أنواع الخبرة لأمهات لأولاد أصحاب إعاقة يكنّ مهنيات في المهن الصحية في مجال الأولاد، والطرق التطبيقية التي يطورنها في هذا التقاطع. ويعتمد المقال على مقابلات متعمقة شبه منظَّمة أُجرِيت مع 14 أما-اختصاصية رعاية في إسرائيل. حيث خضعت المقابلات لتحويل الكلام المسموع إلى نص مكتوب والتحليل </w:t>
      </w:r>
      <w:proofErr w:type="spellStart"/>
      <w:r w:rsidRPr="00AF60AB">
        <w:rPr>
          <w:rFonts w:cs="Times New Roman"/>
          <w:sz w:val="22"/>
          <w:szCs w:val="22"/>
          <w:rtl/>
          <w:lang w:bidi="ar-SA"/>
        </w:rPr>
        <w:t>المواضيعي</w:t>
      </w:r>
      <w:proofErr w:type="spellEnd"/>
      <w:r w:rsidRPr="00AF60AB">
        <w:rPr>
          <w:rFonts w:cs="Times New Roman"/>
          <w:sz w:val="22"/>
          <w:szCs w:val="22"/>
          <w:rtl/>
          <w:lang w:bidi="ar-SA"/>
        </w:rPr>
        <w:t xml:space="preserve"> للتعرّف إلى المواضيع والأنماط التي تدل المقابلات على وجودها. فتبينت من المكتشَفات أربعة أنواع خبرة تصفها أمهات-اختصاصيات رعاية: خبرة أكاديمية معتمِدة على البحث، خبرة مستخلَصة من تجربة، خبرة مكتسَبة من خلال التجربة الشخصية وخبرة اجتماعية. فتُدمِج أمهات-اختصاصيات رعاية الخبرة التي اكتسبنها في ساحتي الرعاية الخاصة بهن- الأمومية والمهنية- ضمن طرق العمل التطبيقية في أعمال الرعاية المختلفة. وعلى صعيد الرعاية المهنية هن يُدمجن طرق عمل تطبيقية معتمِدة على خبرة مستخلَصة من تجربة وممارسة عملية في عمل الأمهات، وعلى الساحة الأمومية هن يُدمجن خبرة مهنية. وإن أنواع الخبرة المتقاطعة في حياة أمهات-</w:t>
      </w:r>
      <w:r w:rsidRPr="00AF60AB">
        <w:rPr>
          <w:rFonts w:cs="Times New Roman"/>
          <w:sz w:val="22"/>
          <w:szCs w:val="22"/>
          <w:rtl/>
          <w:lang w:bidi="ar-SA"/>
        </w:rPr>
        <w:lastRenderedPageBreak/>
        <w:t xml:space="preserve">اختصاصيات رعاية تعرض فئة جديدة: تخصُّص أمومي-مهني، يختلف عن الفئات المعروفة- خبرة اختصاصيين أو غير متخصصين. وتعرض أمهات-اختصاصيات رعاية على نحو إيضاحي الكيفية التي يتيح بها عمل رعاية ثنائي الجانب فهم أنواع الخبرة المختلفة. ويصف المقال الإمكانيات الكامنة في إزالة فوارق المستويات بين أنواع الخبرة، مع التغذية المتبادلة الناجمة عن إدماجها في ميادين الرعاية المختلفة. </w:t>
      </w:r>
    </w:p>
    <w:p w14:paraId="156FCE1E" w14:textId="77777777" w:rsidR="00AF60AB" w:rsidRDefault="00AF60AB" w:rsidP="00AF60AB">
      <w:pPr>
        <w:spacing w:after="180" w:line="280" w:lineRule="exact"/>
        <w:jc w:val="both"/>
        <w:rPr>
          <w:rFonts w:asciiTheme="majorBidi" w:hAnsiTheme="majorBidi" w:cstheme="majorBidi"/>
          <w:sz w:val="22"/>
          <w:szCs w:val="22"/>
          <w:lang w:bidi="ar-EG"/>
        </w:rPr>
      </w:pPr>
    </w:p>
    <w:p w14:paraId="63E7F9CF" w14:textId="77777777" w:rsidR="00AF60AB" w:rsidRPr="00AF60AB" w:rsidRDefault="00AF60AB" w:rsidP="00AF60AB">
      <w:pPr>
        <w:spacing w:after="180" w:line="280" w:lineRule="exact"/>
        <w:jc w:val="both"/>
        <w:rPr>
          <w:rFonts w:asciiTheme="majorBidi" w:hAnsiTheme="majorBidi" w:cstheme="majorBidi"/>
          <w:sz w:val="22"/>
          <w:szCs w:val="22"/>
          <w:rtl/>
          <w:lang w:bidi="ar-EG"/>
        </w:rPr>
      </w:pPr>
    </w:p>
    <w:p w14:paraId="7D431FE6" w14:textId="77777777" w:rsidR="00AF60AB" w:rsidRPr="00AF60AB" w:rsidRDefault="00AF60AB" w:rsidP="00AF60AB">
      <w:pPr>
        <w:pStyle w:val="Heading1"/>
        <w:spacing w:line="440" w:lineRule="exact"/>
        <w:rPr>
          <w:rFonts w:cs="Times New Roman"/>
          <w:color w:val="2A8E8C"/>
          <w:rtl/>
          <w:lang w:eastAsia="he-IL"/>
        </w:rPr>
      </w:pPr>
      <w:r w:rsidRPr="00AF60AB">
        <w:rPr>
          <w:rFonts w:cs="Times New Roman" w:hint="cs"/>
          <w:color w:val="2A8E8C"/>
          <w:rtl/>
          <w:lang w:eastAsia="he-IL" w:bidi="ar-SA"/>
        </w:rPr>
        <w:t>رفاهية، وسياسة، وتعددية المجالات والجمعية بين المجالات في الميدان العدلي</w:t>
      </w:r>
    </w:p>
    <w:p w14:paraId="132BB3F1" w14:textId="14188CD4" w:rsidR="00AF60AB" w:rsidRPr="00AF60AB" w:rsidRDefault="00AF60AB" w:rsidP="00AF60AB">
      <w:pPr>
        <w:pStyle w:val="KOT5T"/>
        <w:spacing w:before="0" w:after="240" w:line="280" w:lineRule="exact"/>
        <w:ind w:right="0"/>
        <w:jc w:val="left"/>
        <w:rPr>
          <w:rFonts w:ascii="Times New Roman" w:hAnsi="Times New Roman" w:cs="Times New Roman"/>
          <w:b w:val="0"/>
          <w:bCs w:val="0"/>
          <w:color w:val="auto"/>
          <w:rtl/>
          <w:lang w:bidi="ar-SA"/>
        </w:rPr>
      </w:pPr>
      <w:proofErr w:type="spellStart"/>
      <w:r w:rsidRPr="00AF60AB">
        <w:rPr>
          <w:rFonts w:ascii="Times New Roman" w:hAnsi="Times New Roman" w:cs="Times New Roman" w:hint="cs"/>
          <w:b w:val="0"/>
          <w:bCs w:val="0"/>
          <w:color w:val="auto"/>
          <w:rtl/>
          <w:lang w:bidi="ar-SA"/>
        </w:rPr>
        <w:t>ياعيل</w:t>
      </w:r>
      <w:proofErr w:type="spellEnd"/>
      <w:r w:rsidRPr="00AF60AB">
        <w:rPr>
          <w:rFonts w:ascii="Times New Roman" w:hAnsi="Times New Roman" w:cs="Times New Roman" w:hint="cs"/>
          <w:b w:val="0"/>
          <w:bCs w:val="0"/>
          <w:color w:val="auto"/>
          <w:rtl/>
          <w:lang w:bidi="ar-SA"/>
        </w:rPr>
        <w:t xml:space="preserve"> عفرون</w:t>
      </w:r>
      <w:r w:rsidRPr="00AF60AB">
        <w:rPr>
          <w:rFonts w:ascii="Times New Roman" w:hAnsi="Times New Roman" w:cs="Times New Roman"/>
          <w:b w:val="0"/>
          <w:bCs w:val="0"/>
          <w:color w:val="auto"/>
          <w:vertAlign w:val="superscript"/>
          <w:rtl/>
          <w:lang w:bidi="ar-SA"/>
        </w:rPr>
        <w:footnoteReference w:id="6"/>
      </w:r>
      <w:r w:rsidRPr="00AF60AB">
        <w:rPr>
          <w:rFonts w:ascii="Times New Roman" w:hAnsi="Times New Roman" w:cs="Times New Roman" w:hint="cs"/>
          <w:b w:val="0"/>
          <w:bCs w:val="0"/>
          <w:color w:val="auto"/>
          <w:rtl/>
          <w:lang w:bidi="ar-SA"/>
        </w:rPr>
        <w:t>، محمد وتد</w:t>
      </w:r>
      <w:r w:rsidRPr="00AF60AB">
        <w:rPr>
          <w:rFonts w:ascii="Times New Roman" w:hAnsi="Times New Roman" w:cs="Times New Roman"/>
          <w:b w:val="0"/>
          <w:bCs w:val="0"/>
          <w:color w:val="auto"/>
          <w:vertAlign w:val="superscript"/>
          <w:rtl/>
          <w:lang w:bidi="ar-SA"/>
        </w:rPr>
        <w:footnoteReference w:id="7"/>
      </w:r>
      <w:r w:rsidRPr="00AF60AB">
        <w:rPr>
          <w:rFonts w:ascii="Times New Roman" w:hAnsi="Times New Roman" w:cs="Times New Roman" w:hint="cs"/>
          <w:b w:val="0"/>
          <w:bCs w:val="0"/>
          <w:color w:val="auto"/>
          <w:rtl/>
          <w:lang w:bidi="ar-SA"/>
        </w:rPr>
        <w:t xml:space="preserve">، يوسي </w:t>
      </w:r>
      <w:proofErr w:type="spellStart"/>
      <w:r w:rsidRPr="00AF60AB">
        <w:rPr>
          <w:rFonts w:ascii="Times New Roman" w:hAnsi="Times New Roman" w:cs="Times New Roman" w:hint="cs"/>
          <w:b w:val="0"/>
          <w:bCs w:val="0"/>
          <w:color w:val="auto"/>
          <w:rtl/>
          <w:lang w:bidi="ar-SA"/>
        </w:rPr>
        <w:t>كورازيم-كوروشي</w:t>
      </w:r>
      <w:proofErr w:type="spellEnd"/>
      <w:r w:rsidRPr="00AF60AB">
        <w:rPr>
          <w:rFonts w:ascii="Times New Roman" w:hAnsi="Times New Roman" w:cs="Times New Roman"/>
          <w:b w:val="0"/>
          <w:bCs w:val="0"/>
          <w:color w:val="auto"/>
          <w:vertAlign w:val="superscript"/>
          <w:rtl/>
        </w:rPr>
        <w:footnoteReference w:id="8"/>
      </w:r>
    </w:p>
    <w:p w14:paraId="4DF6B969" w14:textId="77777777" w:rsidR="00AF60AB" w:rsidRPr="002C525B" w:rsidRDefault="00AF60AB" w:rsidP="00AF60AB">
      <w:pPr>
        <w:pStyle w:val="BodyText2"/>
        <w:keepNext/>
        <w:keepLines/>
        <w:rPr>
          <w:rFonts w:ascii="Georgia" w:hAnsi="Georgia"/>
          <w:sz w:val="18"/>
          <w:szCs w:val="20"/>
          <w:rtl/>
        </w:rPr>
      </w:pPr>
    </w:p>
    <w:p w14:paraId="0EA2E1EC" w14:textId="77777777" w:rsidR="00AF60AB" w:rsidRPr="00AF60AB" w:rsidRDefault="00AF60AB" w:rsidP="00AF60AB">
      <w:pPr>
        <w:spacing w:after="180" w:line="280" w:lineRule="exact"/>
        <w:jc w:val="both"/>
        <w:rPr>
          <w:rFonts w:asciiTheme="majorBidi" w:hAnsiTheme="majorBidi" w:cstheme="majorBidi"/>
          <w:sz w:val="22"/>
          <w:szCs w:val="22"/>
          <w:rtl/>
        </w:rPr>
      </w:pPr>
      <w:r w:rsidRPr="00AF60AB">
        <w:rPr>
          <w:rFonts w:asciiTheme="majorBidi" w:hAnsiTheme="majorBidi" w:cstheme="majorBidi"/>
          <w:sz w:val="22"/>
          <w:szCs w:val="22"/>
          <w:rtl/>
          <w:lang w:bidi="ar-EG"/>
        </w:rPr>
        <w:t>يتناول المقال الصلة بين سياسة الرفاهية والميدان العدلي عبر</w:t>
      </w:r>
      <w:r w:rsidRPr="00AF60AB">
        <w:rPr>
          <w:rFonts w:asciiTheme="majorBidi" w:hAnsiTheme="majorBidi" w:cstheme="majorBidi"/>
          <w:sz w:val="22"/>
          <w:szCs w:val="22"/>
          <w:rtl/>
          <w:lang w:bidi="ar-SA"/>
        </w:rPr>
        <w:t xml:space="preserve"> منهجيات جامعة بين مجالات تؤكد على الطابع المركَّب والحاجة إلى </w:t>
      </w:r>
      <w:proofErr w:type="spellStart"/>
      <w:r w:rsidRPr="00AF60AB">
        <w:rPr>
          <w:rFonts w:asciiTheme="majorBidi" w:hAnsiTheme="majorBidi" w:cstheme="majorBidi"/>
          <w:sz w:val="22"/>
          <w:szCs w:val="22"/>
          <w:rtl/>
          <w:lang w:bidi="ar-SA"/>
        </w:rPr>
        <w:t>تعاونات</w:t>
      </w:r>
      <w:proofErr w:type="spellEnd"/>
      <w:r w:rsidRPr="00AF60AB">
        <w:rPr>
          <w:rFonts w:asciiTheme="majorBidi" w:hAnsiTheme="majorBidi" w:cstheme="majorBidi"/>
          <w:sz w:val="22"/>
          <w:szCs w:val="22"/>
          <w:rtl/>
          <w:lang w:bidi="ar-SA"/>
        </w:rPr>
        <w:t xml:space="preserve"> بين مجالات معرفية مختلفة. حيث يصف مشاكل مركَّبة كتحديات جوهرية في نظام الرفاهية والنظام العدلي، ويطرح الحاجة إلى التنقل بين مجالات تخصصية والإدماج بينها من أجل إيجاد حلول فعالة. وفي البداية يناقش المقال الارتباط بين مفاهيم الرفاهية، والسياسة، وتعددية المجالات والجمعية بين المجالات في الميدان العدلي. وتُستعرض لاحقا الخلفية التأريخية والنظرية لتطوير المعرفة المجالية والمعرفة الجامعة بين المجالات عموما وعلى الميدان العدلي خصوصا، وكذلك تُستعرض </w:t>
      </w:r>
      <w:proofErr w:type="gramStart"/>
      <w:r w:rsidRPr="00AF60AB">
        <w:rPr>
          <w:rFonts w:asciiTheme="majorBidi" w:hAnsiTheme="majorBidi" w:cstheme="majorBidi"/>
          <w:sz w:val="22"/>
          <w:szCs w:val="22"/>
          <w:rtl/>
          <w:lang w:bidi="ar-SA"/>
        </w:rPr>
        <w:t>خمسة</w:t>
      </w:r>
      <w:proofErr w:type="gramEnd"/>
      <w:r w:rsidRPr="00AF60AB">
        <w:rPr>
          <w:rFonts w:asciiTheme="majorBidi" w:hAnsiTheme="majorBidi" w:cstheme="majorBidi"/>
          <w:sz w:val="22"/>
          <w:szCs w:val="22"/>
          <w:rtl/>
          <w:lang w:bidi="ar-SA"/>
        </w:rPr>
        <w:t xml:space="preserve"> مصطلحات أساسية: مجال معرفي (فرع معرفي)، والتفريق بين تعددية المجالات والجمعية بين المجالات، </w:t>
      </w:r>
      <w:proofErr w:type="spellStart"/>
      <w:r w:rsidRPr="00AF60AB">
        <w:rPr>
          <w:rFonts w:asciiTheme="majorBidi" w:hAnsiTheme="majorBidi" w:cstheme="majorBidi"/>
          <w:sz w:val="22"/>
          <w:szCs w:val="22"/>
          <w:rtl/>
          <w:lang w:bidi="ar-SA"/>
        </w:rPr>
        <w:t>والتعاونات</w:t>
      </w:r>
      <w:proofErr w:type="spellEnd"/>
      <w:r w:rsidRPr="00AF60AB">
        <w:rPr>
          <w:rFonts w:asciiTheme="majorBidi" w:hAnsiTheme="majorBidi" w:cstheme="majorBidi"/>
          <w:sz w:val="22"/>
          <w:szCs w:val="22"/>
          <w:rtl/>
          <w:lang w:bidi="ar-SA"/>
        </w:rPr>
        <w:t xml:space="preserve"> داخل المنظمة وما بين المنظمات، والمميزات لمشكلة مركَّبة وتعيين الحدود الفاصلة بين المجالات. ويستمر المقال من خلال مناقشة الجمعية بين المجالات في الميدان العدلي، بما فيه تعريف المجال العدلي بفرع معرفي</w:t>
      </w:r>
      <w:r w:rsidRPr="00AF60AB">
        <w:rPr>
          <w:rFonts w:asciiTheme="majorBidi" w:hAnsiTheme="majorBidi" w:cstheme="majorBidi"/>
          <w:sz w:val="22"/>
          <w:szCs w:val="22"/>
          <w:rtl/>
        </w:rPr>
        <w:t>;</w:t>
      </w:r>
      <w:r w:rsidRPr="00AF60AB">
        <w:rPr>
          <w:rFonts w:asciiTheme="majorBidi" w:hAnsiTheme="majorBidi" w:cstheme="majorBidi"/>
          <w:sz w:val="22"/>
          <w:szCs w:val="22"/>
          <w:rtl/>
          <w:lang w:bidi="ar-SA"/>
        </w:rPr>
        <w:t xml:space="preserve"> وعرض بضع دراسات عدلية جامعة بين مجالات، مع تأثيرها على تصميم السياسة الاجتماعية، وتقييم فعاليتها. وفي الختام، يؤكد المقال على مزايا المنهجيات الجامعة بين المجالات لدراسة سياسة الرفاهية والميدان العدلي، ويوصي بإعادة النظر في الهيكل التنظيمي للمؤسسات الأكاديمية بغية إزالة الفواصل بين المجالات المعرفية المختلفة وإحداث </w:t>
      </w:r>
      <w:proofErr w:type="spellStart"/>
      <w:r w:rsidRPr="00AF60AB">
        <w:rPr>
          <w:rFonts w:asciiTheme="majorBidi" w:hAnsiTheme="majorBidi" w:cstheme="majorBidi"/>
          <w:sz w:val="22"/>
          <w:szCs w:val="22"/>
          <w:rtl/>
          <w:lang w:bidi="ar-SA"/>
        </w:rPr>
        <w:t>سيرورات</w:t>
      </w:r>
      <w:proofErr w:type="spellEnd"/>
      <w:r w:rsidRPr="00AF60AB">
        <w:rPr>
          <w:rFonts w:asciiTheme="majorBidi" w:hAnsiTheme="majorBidi" w:cstheme="majorBidi"/>
          <w:sz w:val="22"/>
          <w:szCs w:val="22"/>
          <w:rtl/>
          <w:lang w:bidi="ar-SA"/>
        </w:rPr>
        <w:t xml:space="preserve"> </w:t>
      </w:r>
      <w:proofErr w:type="spellStart"/>
      <w:r w:rsidRPr="00AF60AB">
        <w:rPr>
          <w:rFonts w:asciiTheme="majorBidi" w:hAnsiTheme="majorBidi" w:cstheme="majorBidi"/>
          <w:sz w:val="22"/>
          <w:szCs w:val="22"/>
          <w:rtl/>
          <w:lang w:bidi="ar-SA"/>
        </w:rPr>
        <w:t>تآزرية</w:t>
      </w:r>
      <w:proofErr w:type="spellEnd"/>
      <w:r w:rsidRPr="00AF60AB">
        <w:rPr>
          <w:rFonts w:asciiTheme="majorBidi" w:hAnsiTheme="majorBidi" w:cstheme="majorBidi"/>
          <w:sz w:val="22"/>
          <w:szCs w:val="22"/>
          <w:rtl/>
          <w:lang w:bidi="ar-SA"/>
        </w:rPr>
        <w:t xml:space="preserve"> وابتكارية. </w:t>
      </w:r>
    </w:p>
    <w:p w14:paraId="19C1C525" w14:textId="77777777" w:rsidR="00AF60AB" w:rsidRPr="00AF60AB" w:rsidRDefault="00AF60AB" w:rsidP="00AF60AB">
      <w:pPr>
        <w:spacing w:after="180" w:line="280" w:lineRule="exact"/>
        <w:jc w:val="both"/>
        <w:rPr>
          <w:rFonts w:asciiTheme="majorBidi" w:hAnsiTheme="majorBidi" w:cstheme="majorBidi"/>
          <w:sz w:val="22"/>
          <w:szCs w:val="22"/>
          <w:rtl/>
          <w:lang w:bidi="ar-EG"/>
        </w:rPr>
      </w:pPr>
    </w:p>
    <w:p w14:paraId="39B4EEF0" w14:textId="77777777" w:rsidR="00AF60AB" w:rsidRPr="00AF60AB" w:rsidRDefault="00AF60AB" w:rsidP="00AF60AB">
      <w:pPr>
        <w:spacing w:after="180" w:line="280" w:lineRule="exact"/>
        <w:jc w:val="both"/>
        <w:rPr>
          <w:rFonts w:asciiTheme="majorBidi" w:hAnsiTheme="majorBidi" w:cstheme="majorBidi"/>
          <w:sz w:val="22"/>
          <w:szCs w:val="22"/>
          <w:rtl/>
          <w:lang w:bidi="ar-EG"/>
        </w:rPr>
      </w:pPr>
    </w:p>
    <w:p w14:paraId="6D3F4680" w14:textId="77777777" w:rsidR="00AF60AB" w:rsidRPr="00AF60AB" w:rsidRDefault="00AF60AB" w:rsidP="00AF60AB">
      <w:pPr>
        <w:pStyle w:val="Heading1"/>
        <w:spacing w:line="440" w:lineRule="exact"/>
        <w:rPr>
          <w:rFonts w:cs="Times New Roman"/>
          <w:color w:val="2A8E8C"/>
          <w:rtl/>
          <w:lang w:eastAsia="he-IL"/>
        </w:rPr>
      </w:pPr>
      <w:r w:rsidRPr="00AF60AB">
        <w:rPr>
          <w:rFonts w:cs="Times New Roman" w:hint="cs"/>
          <w:color w:val="2A8E8C"/>
          <w:rtl/>
          <w:lang w:eastAsia="he-IL" w:bidi="ar-SA"/>
        </w:rPr>
        <w:lastRenderedPageBreak/>
        <w:t xml:space="preserve">هل يملك نمط كسب المعيشة دورا حاسما؟ فوارق في كيفية التصرف والتجارب لدى نساء من فئات اجتماعية مختلفة في معادلة </w:t>
      </w:r>
      <w:r w:rsidRPr="00AF60AB">
        <w:rPr>
          <w:rFonts w:cs="Times New Roman" w:hint="cs"/>
          <w:color w:val="2A8E8C"/>
          <w:rtl/>
          <w:lang w:eastAsia="he-IL"/>
        </w:rPr>
        <w:t>'</w:t>
      </w:r>
      <w:r w:rsidRPr="00AF60AB">
        <w:rPr>
          <w:rFonts w:cs="Times New Roman" w:hint="cs"/>
          <w:color w:val="2A8E8C"/>
          <w:rtl/>
          <w:lang w:eastAsia="he-IL" w:bidi="ar-SA"/>
        </w:rPr>
        <w:t>عائلة-عمل</w:t>
      </w:r>
      <w:r w:rsidRPr="00AF60AB">
        <w:rPr>
          <w:rFonts w:cs="Times New Roman" w:hint="cs"/>
          <w:color w:val="2A8E8C"/>
          <w:rtl/>
          <w:lang w:eastAsia="he-IL"/>
        </w:rPr>
        <w:t>'</w:t>
      </w:r>
    </w:p>
    <w:p w14:paraId="2F808A1F" w14:textId="4103B48A" w:rsidR="00AF60AB" w:rsidRPr="00AF60AB" w:rsidRDefault="00AF60AB" w:rsidP="00AF60AB">
      <w:pPr>
        <w:pStyle w:val="KOT5T"/>
        <w:spacing w:before="0" w:after="240" w:line="280" w:lineRule="exact"/>
        <w:ind w:right="0"/>
        <w:jc w:val="left"/>
        <w:rPr>
          <w:rFonts w:ascii="Times New Roman" w:hAnsi="Times New Roman" w:cs="Times New Roman"/>
          <w:b w:val="0"/>
          <w:bCs w:val="0"/>
          <w:color w:val="auto"/>
          <w:rtl/>
        </w:rPr>
      </w:pPr>
      <w:proofErr w:type="spellStart"/>
      <w:r w:rsidRPr="00AF60AB">
        <w:rPr>
          <w:rFonts w:ascii="Times New Roman" w:hAnsi="Times New Roman" w:cs="Times New Roman" w:hint="cs"/>
          <w:b w:val="0"/>
          <w:bCs w:val="0"/>
          <w:color w:val="auto"/>
          <w:rtl/>
          <w:lang w:bidi="ar-SA"/>
        </w:rPr>
        <w:t>ليئات</w:t>
      </w:r>
      <w:proofErr w:type="spellEnd"/>
      <w:r w:rsidRPr="00AF60AB">
        <w:rPr>
          <w:rFonts w:ascii="Times New Roman" w:hAnsi="Times New Roman" w:cs="Times New Roman" w:hint="cs"/>
          <w:b w:val="0"/>
          <w:bCs w:val="0"/>
          <w:color w:val="auto"/>
          <w:rtl/>
          <w:lang w:bidi="ar-SA"/>
        </w:rPr>
        <w:t xml:space="preserve"> كوليك</w:t>
      </w:r>
      <w:r w:rsidRPr="00AF60AB">
        <w:rPr>
          <w:rFonts w:ascii="Times New Roman" w:hAnsi="Times New Roman" w:cs="Times New Roman"/>
          <w:b w:val="0"/>
          <w:bCs w:val="0"/>
          <w:color w:val="auto"/>
          <w:vertAlign w:val="superscript"/>
          <w:rtl/>
          <w:lang w:bidi="ar-SA"/>
        </w:rPr>
        <w:footnoteReference w:id="9"/>
      </w:r>
    </w:p>
    <w:p w14:paraId="348B0AEE" w14:textId="77777777" w:rsidR="00AF60AB" w:rsidRPr="002C525B" w:rsidRDefault="00AF60AB" w:rsidP="00AF60AB">
      <w:pPr>
        <w:pStyle w:val="BodyText2"/>
        <w:keepNext/>
        <w:keepLines/>
        <w:rPr>
          <w:rFonts w:ascii="Georgia" w:hAnsi="Georgia"/>
          <w:sz w:val="18"/>
          <w:szCs w:val="20"/>
          <w:rtl/>
        </w:rPr>
      </w:pPr>
    </w:p>
    <w:p w14:paraId="713F9735" w14:textId="77777777" w:rsidR="00AF60AB" w:rsidRPr="00AF60AB" w:rsidRDefault="00AF60AB" w:rsidP="00AF60AB">
      <w:pPr>
        <w:spacing w:after="180" w:line="280" w:lineRule="exact"/>
        <w:jc w:val="both"/>
        <w:rPr>
          <w:rFonts w:ascii="Simplified Arabic" w:hAnsi="Simplified Arabic"/>
          <w:sz w:val="22"/>
          <w:szCs w:val="22"/>
          <w:rtl/>
        </w:rPr>
      </w:pPr>
      <w:r w:rsidRPr="00AF60AB">
        <w:rPr>
          <w:rFonts w:ascii="Simplified Arabic" w:hAnsi="Simplified Arabic" w:cs="Simplified Arabic" w:hint="cs"/>
          <w:sz w:val="22"/>
          <w:szCs w:val="22"/>
          <w:rtl/>
          <w:lang w:bidi="ar-EG"/>
        </w:rPr>
        <w:t>دُرِست في الدراسة الفوارق في أبعاد مختلفة من</w:t>
      </w:r>
      <w:r w:rsidRPr="00AF60AB">
        <w:rPr>
          <w:rFonts w:ascii="Simplified Arabic" w:hAnsi="Simplified Arabic" w:hint="cs"/>
          <w:sz w:val="22"/>
          <w:szCs w:val="22"/>
          <w:rtl/>
        </w:rPr>
        <w:t xml:space="preserve"> </w:t>
      </w:r>
      <w:r w:rsidRPr="00AF60AB">
        <w:rPr>
          <w:rFonts w:ascii="Simplified Arabic" w:hAnsi="Simplified Arabic" w:cs="Simplified Arabic" w:hint="cs"/>
          <w:sz w:val="22"/>
          <w:szCs w:val="22"/>
          <w:rtl/>
          <w:lang w:bidi="ar-SA"/>
        </w:rPr>
        <w:t>معادلة</w:t>
      </w:r>
      <w:r w:rsidRPr="00AF60AB">
        <w:rPr>
          <w:rFonts w:ascii="Simplified Arabic" w:hAnsi="Simplified Arabic" w:cs="Simplified Arabic" w:hint="cs"/>
          <w:sz w:val="22"/>
          <w:szCs w:val="22"/>
          <w:rtl/>
          <w:lang w:bidi="ar-EG"/>
        </w:rPr>
        <w:t xml:space="preserve"> </w:t>
      </w:r>
      <w:r w:rsidRPr="00AF60AB">
        <w:rPr>
          <w:rFonts w:ascii="Simplified Arabic" w:hAnsi="Simplified Arabic" w:cs="Arial" w:hint="cs"/>
          <w:sz w:val="22"/>
          <w:szCs w:val="22"/>
          <w:rtl/>
        </w:rPr>
        <w:t>'</w:t>
      </w:r>
      <w:r w:rsidRPr="00AF60AB">
        <w:rPr>
          <w:rFonts w:ascii="Simplified Arabic" w:hAnsi="Simplified Arabic" w:cs="Simplified Arabic" w:hint="cs"/>
          <w:sz w:val="22"/>
          <w:szCs w:val="22"/>
          <w:rtl/>
          <w:lang w:bidi="ar-EG"/>
        </w:rPr>
        <w:t>عائلة-عمل</w:t>
      </w:r>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EG"/>
        </w:rPr>
        <w:t xml:space="preserve"> بين نساء ينتمين لعائلات تتميز بأنماط مختلفة من كسب المعيشة: يكتسب الرجل أكثر من المرأة</w:t>
      </w:r>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EG"/>
        </w:rPr>
        <w:t xml:space="preserve"> </w:t>
      </w:r>
      <w:r w:rsidRPr="00AF60AB">
        <w:rPr>
          <w:rFonts w:ascii="Simplified Arabic" w:hAnsi="Simplified Arabic" w:cs="Simplified Arabic" w:hint="cs"/>
          <w:sz w:val="22"/>
          <w:szCs w:val="22"/>
          <w:rtl/>
          <w:lang w:bidi="ar-SA"/>
        </w:rPr>
        <w:t>يكتسب كلا الزوجين/شريكي الحياة على نحو متساوٍ</w:t>
      </w:r>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SA"/>
        </w:rPr>
        <w:t xml:space="preserve"> تكتسب المرأة أكثر من الرجل. حيث تم هذا التقصي لدى الفئات السكانية الجوهرية الثلاث في المجتمع الإسرائيلي: اليهودية العامة، و</w:t>
      </w:r>
      <w:r w:rsidRPr="00AF60AB">
        <w:rPr>
          <w:rFonts w:ascii="Simplified Arabic" w:hAnsi="Simplified Arabic" w:hint="cs"/>
          <w:sz w:val="22"/>
          <w:szCs w:val="22"/>
          <w:rtl/>
        </w:rPr>
        <w:t>'</w:t>
      </w:r>
      <w:proofErr w:type="spellStart"/>
      <w:r w:rsidRPr="00AF60AB">
        <w:rPr>
          <w:rFonts w:ascii="Simplified Arabic" w:hAnsi="Simplified Arabic" w:cs="Simplified Arabic" w:hint="cs"/>
          <w:sz w:val="22"/>
          <w:szCs w:val="22"/>
          <w:rtl/>
          <w:lang w:bidi="ar-SA"/>
        </w:rPr>
        <w:t>الحاريدية</w:t>
      </w:r>
      <w:proofErr w:type="spellEnd"/>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SA"/>
        </w:rPr>
        <w:t xml:space="preserve"> (المتشددة دينيا) والعربية، فدُرِست ثلاثة أبعاد من معادلة</w:t>
      </w:r>
      <w:r w:rsidRPr="00AF60AB">
        <w:rPr>
          <w:rFonts w:ascii="Simplified Arabic" w:hAnsi="Simplified Arabic" w:cs="Simplified Arabic" w:hint="cs"/>
          <w:sz w:val="22"/>
          <w:szCs w:val="22"/>
          <w:rtl/>
          <w:lang w:bidi="ar-EG"/>
        </w:rPr>
        <w:t xml:space="preserve"> </w:t>
      </w:r>
      <w:r w:rsidRPr="00AF60AB">
        <w:rPr>
          <w:rFonts w:ascii="Simplified Arabic" w:hAnsi="Simplified Arabic" w:cs="Arial" w:hint="cs"/>
          <w:sz w:val="22"/>
          <w:szCs w:val="22"/>
          <w:rtl/>
        </w:rPr>
        <w:t>'</w:t>
      </w:r>
      <w:r w:rsidRPr="00AF60AB">
        <w:rPr>
          <w:rFonts w:ascii="Simplified Arabic" w:hAnsi="Simplified Arabic" w:cs="Simplified Arabic" w:hint="cs"/>
          <w:sz w:val="22"/>
          <w:szCs w:val="22"/>
          <w:rtl/>
          <w:lang w:bidi="ar-EG"/>
        </w:rPr>
        <w:t>عائلة-عمل</w:t>
      </w:r>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SA"/>
        </w:rPr>
        <w:t xml:space="preserve">: (1) البعد </w:t>
      </w:r>
      <w:proofErr w:type="spellStart"/>
      <w:r w:rsidRPr="00AF60AB">
        <w:rPr>
          <w:rFonts w:ascii="Simplified Arabic" w:hAnsi="Simplified Arabic" w:cs="Simplified Arabic" w:hint="cs"/>
          <w:sz w:val="22"/>
          <w:szCs w:val="22"/>
          <w:rtl/>
          <w:lang w:bidi="ar-SA"/>
        </w:rPr>
        <w:t>التصرفي</w:t>
      </w:r>
      <w:proofErr w:type="spellEnd"/>
      <w:r w:rsidRPr="00AF60AB">
        <w:rPr>
          <w:rFonts w:ascii="Simplified Arabic" w:hAnsi="Simplified Arabic" w:cs="Simplified Arabic" w:hint="cs"/>
          <w:sz w:val="22"/>
          <w:szCs w:val="22"/>
          <w:rtl/>
          <w:lang w:bidi="ar-SA"/>
        </w:rPr>
        <w:t>- عدد الساعات التي تكرسها نساء للعائلة والعمل بأجر، وتقييمهن لعدد الساعات التي يكرسها أزواجهن/شركاء حياتهن للعائلة</w:t>
      </w:r>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SA"/>
        </w:rPr>
        <w:t xml:space="preserve"> (2) البعد الإدراكي- تقييم النساء لشدة صراع الأدوار الذي يشهدنه بين العائلة والعمل</w:t>
      </w:r>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SA"/>
        </w:rPr>
        <w:t xml:space="preserve"> (3) البعد الفعال- مدى رضا النساء عن الزواج. وضمت العينة 521 </w:t>
      </w:r>
      <w:proofErr w:type="gramStart"/>
      <w:r w:rsidRPr="00AF60AB">
        <w:rPr>
          <w:rFonts w:ascii="Simplified Arabic" w:hAnsi="Simplified Arabic" w:cs="Simplified Arabic" w:hint="cs"/>
          <w:sz w:val="22"/>
          <w:szCs w:val="22"/>
          <w:rtl/>
          <w:lang w:bidi="ar-SA"/>
        </w:rPr>
        <w:t>مرأة</w:t>
      </w:r>
      <w:proofErr w:type="gramEnd"/>
      <w:r w:rsidRPr="00AF60AB">
        <w:rPr>
          <w:rFonts w:ascii="Simplified Arabic" w:hAnsi="Simplified Arabic" w:cs="Simplified Arabic" w:hint="cs"/>
          <w:sz w:val="22"/>
          <w:szCs w:val="22"/>
          <w:rtl/>
          <w:lang w:bidi="ar-SA"/>
        </w:rPr>
        <w:t xml:space="preserve">: 256 من الوسط اليهودي العام، و-92 من </w:t>
      </w:r>
      <w:r w:rsidRPr="00AF60AB">
        <w:rPr>
          <w:rFonts w:ascii="Simplified Arabic" w:hAnsi="Simplified Arabic" w:hint="cs"/>
          <w:sz w:val="22"/>
          <w:szCs w:val="22"/>
          <w:rtl/>
        </w:rPr>
        <w:t>'</w:t>
      </w:r>
      <w:proofErr w:type="spellStart"/>
      <w:r w:rsidRPr="00AF60AB">
        <w:rPr>
          <w:rFonts w:ascii="Simplified Arabic" w:hAnsi="Simplified Arabic" w:cs="Simplified Arabic" w:hint="cs"/>
          <w:sz w:val="22"/>
          <w:szCs w:val="22"/>
          <w:rtl/>
          <w:lang w:bidi="ar-SA"/>
        </w:rPr>
        <w:t>الحاريديات</w:t>
      </w:r>
      <w:proofErr w:type="spellEnd"/>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SA"/>
        </w:rPr>
        <w:t xml:space="preserve"> و-173 من العربيات. حيث جُمِعت المعطيات من قبل المعهد البحثي </w:t>
      </w:r>
      <w:proofErr w:type="spellStart"/>
      <w:r w:rsidRPr="00AF60AB">
        <w:rPr>
          <w:rFonts w:ascii="Simplified Arabic" w:hAnsi="Simplified Arabic" w:cs="Simplified Arabic" w:hint="cs"/>
          <w:sz w:val="22"/>
          <w:szCs w:val="22"/>
          <w:rtl/>
          <w:lang w:bidi="ar-SA"/>
        </w:rPr>
        <w:t>بانيلس</w:t>
      </w:r>
      <w:proofErr w:type="spellEnd"/>
      <w:r w:rsidRPr="00AF60AB">
        <w:rPr>
          <w:rFonts w:ascii="Simplified Arabic" w:hAnsi="Simplified Arabic" w:cs="Simplified Arabic" w:hint="cs"/>
          <w:sz w:val="22"/>
          <w:szCs w:val="22"/>
          <w:rtl/>
          <w:lang w:bidi="ar-SA"/>
        </w:rPr>
        <w:t xml:space="preserve"> (</w:t>
      </w:r>
      <w:r w:rsidRPr="00AF60AB">
        <w:rPr>
          <w:rFonts w:ascii="Simplified Arabic" w:hAnsi="Simplified Arabic"/>
          <w:sz w:val="22"/>
          <w:szCs w:val="22"/>
        </w:rPr>
        <w:t>Panels</w:t>
      </w:r>
      <w:r w:rsidRPr="00AF60AB">
        <w:rPr>
          <w:rFonts w:ascii="Simplified Arabic" w:hAnsi="Simplified Arabic" w:cs="Simplified Arabic" w:hint="cs"/>
          <w:sz w:val="22"/>
          <w:szCs w:val="22"/>
          <w:rtl/>
          <w:lang w:bidi="ar-SA"/>
        </w:rPr>
        <w:t xml:space="preserve">) بواسطة رابط أونلاين بُعِث إلى أفراد في حلقة النقاش </w:t>
      </w:r>
      <w:proofErr w:type="spellStart"/>
      <w:r w:rsidRPr="00AF60AB">
        <w:rPr>
          <w:rFonts w:ascii="Simplified Arabic" w:hAnsi="Simplified Arabic" w:cs="Simplified Arabic" w:hint="cs"/>
          <w:sz w:val="22"/>
          <w:szCs w:val="22"/>
          <w:rtl/>
          <w:lang w:bidi="ar-SA"/>
        </w:rPr>
        <w:t>الإنترنتية</w:t>
      </w:r>
      <w:proofErr w:type="spellEnd"/>
      <w:r w:rsidRPr="00AF60AB">
        <w:rPr>
          <w:rFonts w:ascii="Simplified Arabic" w:hAnsi="Simplified Arabic" w:cs="Simplified Arabic" w:hint="cs"/>
          <w:sz w:val="22"/>
          <w:szCs w:val="22"/>
          <w:rtl/>
          <w:lang w:bidi="ar-SA"/>
        </w:rPr>
        <w:t xml:space="preserve"> العائدة للمعهد، فتمثل المشارِكات تشكيلة متنوعة من المِهَن. ويتبين من المكتشَفات أنه في الأوساط الثلاثة، تكرس نساء يكتسبن أكثر من أزواجهن/شركاء حياتهن، لعمل بأجر، ساعات أكثر مما يكرسنه للعائلة. بيد أنه لم تُرصد فوارق بين أنماط كسب المعيشة وبين الأوساط في تقييم مشارِكات الدراسة لعدد الساعات التي يكرس أزواجهن/شركاء حياتهن للعائلة. ولدى عربيات يكتسبن مثلما يكتسبه أزواجهن/شركاء حياتهن ولدى أولئك اللواتي يكتسب أزواجهن/شركاء حياتهن أكثر منهن، تزيد الشدة المقدَّرة لصراع الأدوار عمل-عائلة، عن تلك التي رُصِدت لدى عربيات يكتسبن أكثر من أزواجهن/شركاء حياتهن. ولدى </w:t>
      </w:r>
      <w:r w:rsidRPr="00AF60AB">
        <w:rPr>
          <w:rFonts w:ascii="Simplified Arabic" w:hAnsi="Simplified Arabic" w:hint="cs"/>
          <w:sz w:val="22"/>
          <w:szCs w:val="22"/>
          <w:rtl/>
        </w:rPr>
        <w:t>'</w:t>
      </w:r>
      <w:proofErr w:type="spellStart"/>
      <w:r w:rsidRPr="00AF60AB">
        <w:rPr>
          <w:rFonts w:ascii="Simplified Arabic" w:hAnsi="Simplified Arabic" w:cs="Simplified Arabic" w:hint="cs"/>
          <w:sz w:val="22"/>
          <w:szCs w:val="22"/>
          <w:rtl/>
          <w:lang w:bidi="ar-SA"/>
        </w:rPr>
        <w:t>حاريديات</w:t>
      </w:r>
      <w:proofErr w:type="spellEnd"/>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SA"/>
        </w:rPr>
        <w:t>، بصرف النظر عن نمط كسب المعيشة، يكون مدى الرضا عن الزواج هو الأعلى. ويكون استنتاج الدراسة هو أن أنماط كسب المعيشة تفرق بين كيفية التصرف والتجارب للنساء في معادلة</w:t>
      </w:r>
      <w:r w:rsidRPr="00AF60AB">
        <w:rPr>
          <w:rFonts w:ascii="Simplified Arabic" w:hAnsi="Simplified Arabic" w:cs="Simplified Arabic" w:hint="cs"/>
          <w:sz w:val="22"/>
          <w:szCs w:val="22"/>
          <w:rtl/>
          <w:lang w:bidi="ar-EG"/>
        </w:rPr>
        <w:t xml:space="preserve"> </w:t>
      </w:r>
      <w:r w:rsidRPr="00AF60AB">
        <w:rPr>
          <w:rFonts w:ascii="Simplified Arabic" w:hAnsi="Simplified Arabic" w:cs="Arial" w:hint="cs"/>
          <w:sz w:val="22"/>
          <w:szCs w:val="22"/>
          <w:rtl/>
        </w:rPr>
        <w:t>'</w:t>
      </w:r>
      <w:r w:rsidRPr="00AF60AB">
        <w:rPr>
          <w:rFonts w:ascii="Simplified Arabic" w:hAnsi="Simplified Arabic" w:cs="Simplified Arabic" w:hint="cs"/>
          <w:sz w:val="22"/>
          <w:szCs w:val="22"/>
          <w:rtl/>
          <w:lang w:bidi="ar-EG"/>
        </w:rPr>
        <w:t>عائلة-عمل</w:t>
      </w:r>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SA"/>
        </w:rPr>
        <w:t xml:space="preserve"> في بعض من الأبعاد التي دُرِست، ولكنه بصرف النظر عن الوسط، يمكنك أن تجد أيضا التشابه في بعض من الأبعاد. ومن أجل تسهيل </w:t>
      </w:r>
      <w:r w:rsidRPr="00AF60AB">
        <w:rPr>
          <w:rFonts w:ascii="Simplified Arabic" w:hAnsi="Simplified Arabic" w:cs="Simplified Arabic"/>
          <w:sz w:val="22"/>
          <w:szCs w:val="22"/>
          <w:rtl/>
          <w:lang w:bidi="ar-SA"/>
        </w:rPr>
        <w:t>أ</w:t>
      </w:r>
      <w:r w:rsidRPr="00AF60AB">
        <w:rPr>
          <w:rFonts w:ascii="Simplified Arabic" w:hAnsi="Simplified Arabic" w:cs="Simplified Arabic" w:hint="cs"/>
          <w:sz w:val="22"/>
          <w:szCs w:val="22"/>
          <w:rtl/>
          <w:lang w:bidi="ar-SA"/>
        </w:rPr>
        <w:t>داء النساء في إطار معادلة</w:t>
      </w:r>
      <w:r w:rsidRPr="00AF60AB">
        <w:rPr>
          <w:rFonts w:ascii="Simplified Arabic" w:hAnsi="Simplified Arabic" w:cs="Simplified Arabic" w:hint="cs"/>
          <w:sz w:val="22"/>
          <w:szCs w:val="22"/>
          <w:rtl/>
          <w:lang w:bidi="ar-EG"/>
        </w:rPr>
        <w:t xml:space="preserve"> </w:t>
      </w:r>
      <w:r w:rsidRPr="00AF60AB">
        <w:rPr>
          <w:rFonts w:ascii="Simplified Arabic" w:hAnsi="Simplified Arabic" w:cs="Arial" w:hint="cs"/>
          <w:sz w:val="22"/>
          <w:szCs w:val="22"/>
          <w:rtl/>
        </w:rPr>
        <w:t>'</w:t>
      </w:r>
      <w:r w:rsidRPr="00AF60AB">
        <w:rPr>
          <w:rFonts w:ascii="Simplified Arabic" w:hAnsi="Simplified Arabic" w:cs="Simplified Arabic" w:hint="cs"/>
          <w:sz w:val="22"/>
          <w:szCs w:val="22"/>
          <w:rtl/>
          <w:lang w:bidi="ar-EG"/>
        </w:rPr>
        <w:t>عائلة-عمل</w:t>
      </w:r>
      <w:r w:rsidRPr="00AF60AB">
        <w:rPr>
          <w:rFonts w:ascii="Simplified Arabic" w:hAnsi="Simplified Arabic" w:hint="cs"/>
          <w:sz w:val="22"/>
          <w:szCs w:val="22"/>
          <w:rtl/>
        </w:rPr>
        <w:t>'</w:t>
      </w:r>
      <w:r w:rsidRPr="00AF60AB">
        <w:rPr>
          <w:rFonts w:ascii="Simplified Arabic" w:hAnsi="Simplified Arabic" w:cs="Simplified Arabic" w:hint="cs"/>
          <w:sz w:val="22"/>
          <w:szCs w:val="22"/>
          <w:rtl/>
          <w:lang w:bidi="ar-SA"/>
        </w:rPr>
        <w:t xml:space="preserve">، يلزم المنظمات اعتماد سياسة ودية للعائلة، وخصوصا في الأوساط التقليدية دينيا. </w:t>
      </w:r>
    </w:p>
    <w:p w14:paraId="781FB924" w14:textId="77777777" w:rsidR="00AF60AB" w:rsidRPr="00AF60AB" w:rsidRDefault="00AF60AB" w:rsidP="002A158D">
      <w:pPr>
        <w:spacing w:after="180" w:line="280" w:lineRule="exact"/>
        <w:jc w:val="both"/>
        <w:rPr>
          <w:rFonts w:asciiTheme="majorBidi" w:hAnsiTheme="majorBidi" w:cstheme="majorBidi"/>
          <w:color w:val="000000"/>
          <w:sz w:val="20"/>
          <w:szCs w:val="20"/>
          <w:rtl/>
        </w:rPr>
      </w:pPr>
    </w:p>
    <w:sectPr w:rsidR="00AF60AB" w:rsidRPr="00AF60AB" w:rsidSect="005262FD">
      <w:headerReference w:type="even" r:id="rId12"/>
      <w:headerReference w:type="default" r:id="rId13"/>
      <w:headerReference w:type="first" r:id="rId14"/>
      <w:pgSz w:w="11906" w:h="16838" w:code="9"/>
      <w:pgMar w:top="3402" w:right="2608" w:bottom="2552" w:left="2608" w:header="2552"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4B782" w14:textId="77777777" w:rsidR="00853A17" w:rsidRDefault="00853A17">
      <w:pPr>
        <w:spacing w:line="240" w:lineRule="auto"/>
      </w:pPr>
      <w:r>
        <w:separator/>
      </w:r>
    </w:p>
  </w:endnote>
  <w:endnote w:type="continuationSeparator" w:id="0">
    <w:p w14:paraId="060CA534" w14:textId="77777777" w:rsidR="00853A17" w:rsidRDefault="00853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61A00" w14:textId="77777777" w:rsidR="00853A17" w:rsidRDefault="00853A17">
      <w:pPr>
        <w:spacing w:after="80"/>
        <w:rPr>
          <w:rFonts w:cs="FrankRuehl"/>
          <w:sz w:val="18"/>
          <w:szCs w:val="18"/>
        </w:rPr>
      </w:pPr>
      <w:r>
        <w:rPr>
          <w:rFonts w:cs="FrankRuehl" w:hint="cs"/>
          <w:sz w:val="18"/>
          <w:szCs w:val="18"/>
          <w:rtl/>
        </w:rPr>
        <w:t>_____________</w:t>
      </w:r>
    </w:p>
  </w:footnote>
  <w:footnote w:type="continuationSeparator" w:id="0">
    <w:p w14:paraId="06FF7B97" w14:textId="77777777" w:rsidR="00853A17" w:rsidRDefault="00853A17">
      <w:r>
        <w:continuationSeparator/>
      </w:r>
    </w:p>
  </w:footnote>
  <w:footnote w:type="continuationNotice" w:id="1">
    <w:p w14:paraId="16FBA37C" w14:textId="77777777" w:rsidR="00853A17" w:rsidRDefault="00853A17">
      <w:pPr>
        <w:rPr>
          <w:rtl/>
        </w:rPr>
      </w:pPr>
    </w:p>
  </w:footnote>
  <w:footnote w:id="2">
    <w:p w14:paraId="467D606B" w14:textId="77777777" w:rsidR="00AF60AB" w:rsidRPr="00AF60AB" w:rsidRDefault="00AF60AB" w:rsidP="00AF60AB">
      <w:pPr>
        <w:pStyle w:val="FootnoteText"/>
        <w:spacing w:line="220" w:lineRule="exact"/>
        <w:ind w:left="284" w:hanging="284"/>
        <w:jc w:val="both"/>
        <w:rPr>
          <w:rStyle w:val="FootnoteReference"/>
          <w:rFonts w:asciiTheme="majorBidi" w:hAnsiTheme="majorBidi" w:cstheme="majorBidi"/>
          <w:sz w:val="18"/>
          <w:szCs w:val="18"/>
          <w:vertAlign w:val="baseline"/>
        </w:rPr>
      </w:pPr>
      <w:r w:rsidRPr="00AF60AB">
        <w:rPr>
          <w:rStyle w:val="FootnoteReference"/>
          <w:rFonts w:asciiTheme="majorBidi" w:hAnsiTheme="majorBidi" w:cstheme="majorBidi"/>
          <w:sz w:val="18"/>
          <w:szCs w:val="18"/>
          <w:vertAlign w:val="baseline"/>
        </w:rPr>
        <w:footnoteRef/>
      </w:r>
      <w:r w:rsidRPr="00AF60AB">
        <w:rPr>
          <w:rStyle w:val="FootnoteReference"/>
          <w:rFonts w:asciiTheme="majorBidi" w:hAnsiTheme="majorBidi" w:cstheme="majorBidi"/>
          <w:sz w:val="18"/>
          <w:szCs w:val="18"/>
          <w:vertAlign w:val="baseline"/>
          <w:rtl/>
        </w:rPr>
        <w:t xml:space="preserve"> </w:t>
      </w:r>
      <w:r w:rsidRPr="00AF60AB">
        <w:rPr>
          <w:rStyle w:val="FootnoteReference"/>
          <w:rFonts w:asciiTheme="majorBidi" w:hAnsiTheme="majorBidi" w:cstheme="majorBidi"/>
          <w:sz w:val="18"/>
          <w:szCs w:val="18"/>
          <w:vertAlign w:val="baseline"/>
          <w:rtl/>
        </w:rPr>
        <w:tab/>
        <w:t>مدرسة العمل الاجتماعي، الكلية الأكاديمية سابير</w:t>
      </w:r>
    </w:p>
  </w:footnote>
  <w:footnote w:id="3">
    <w:p w14:paraId="2137EB3C" w14:textId="77777777" w:rsidR="00AF60AB" w:rsidRPr="00AF60AB" w:rsidRDefault="00AF60AB" w:rsidP="00AF60AB">
      <w:pPr>
        <w:pStyle w:val="FootnoteText"/>
        <w:spacing w:line="220" w:lineRule="exact"/>
        <w:ind w:left="284" w:hanging="284"/>
        <w:jc w:val="both"/>
        <w:rPr>
          <w:rStyle w:val="FootnoteReference"/>
          <w:rFonts w:asciiTheme="majorBidi" w:hAnsiTheme="majorBidi" w:cstheme="majorBidi"/>
          <w:sz w:val="18"/>
          <w:szCs w:val="18"/>
          <w:vertAlign w:val="baseline"/>
        </w:rPr>
      </w:pPr>
      <w:r w:rsidRPr="00AF60AB">
        <w:rPr>
          <w:rStyle w:val="FootnoteReference"/>
          <w:rFonts w:asciiTheme="majorBidi" w:hAnsiTheme="majorBidi" w:cstheme="majorBidi"/>
          <w:sz w:val="18"/>
          <w:szCs w:val="18"/>
          <w:vertAlign w:val="baseline"/>
        </w:rPr>
        <w:footnoteRef/>
      </w:r>
      <w:r w:rsidRPr="00AF60AB">
        <w:rPr>
          <w:rStyle w:val="FootnoteReference"/>
          <w:rFonts w:asciiTheme="majorBidi" w:hAnsiTheme="majorBidi" w:cstheme="majorBidi"/>
          <w:sz w:val="18"/>
          <w:szCs w:val="18"/>
          <w:vertAlign w:val="baseline"/>
          <w:rtl/>
        </w:rPr>
        <w:t xml:space="preserve"> </w:t>
      </w:r>
      <w:r w:rsidRPr="00AF60AB">
        <w:rPr>
          <w:rStyle w:val="FootnoteReference"/>
          <w:rFonts w:asciiTheme="majorBidi" w:hAnsiTheme="majorBidi" w:cstheme="majorBidi"/>
          <w:sz w:val="18"/>
          <w:szCs w:val="18"/>
          <w:vertAlign w:val="baseline"/>
          <w:rtl/>
        </w:rPr>
        <w:tab/>
        <w:t>قسم العمل الاجتماعي، جامعة بن غوريون في النقب; مدرسة العمل الاجتماعي على اسم بوب شافل، جامعة تل أبيب; مدرسة العمل الاجتماعي، جامعة بار إيلان</w:t>
      </w:r>
    </w:p>
  </w:footnote>
  <w:footnote w:id="4">
    <w:p w14:paraId="0867EB57" w14:textId="77777777" w:rsidR="00AF60AB" w:rsidRPr="00AF60AB" w:rsidRDefault="00AF60AB" w:rsidP="00AF60AB">
      <w:pPr>
        <w:pStyle w:val="FootnoteText"/>
        <w:spacing w:line="220" w:lineRule="exact"/>
        <w:ind w:left="284" w:hanging="284"/>
        <w:jc w:val="both"/>
        <w:rPr>
          <w:rStyle w:val="FootnoteReference"/>
          <w:rFonts w:asciiTheme="majorBidi" w:hAnsiTheme="majorBidi" w:cstheme="majorBidi"/>
          <w:sz w:val="18"/>
          <w:szCs w:val="18"/>
          <w:vertAlign w:val="baseline"/>
        </w:rPr>
      </w:pPr>
      <w:r w:rsidRPr="00AF60AB">
        <w:rPr>
          <w:rStyle w:val="FootnoteReference"/>
          <w:rFonts w:asciiTheme="majorBidi" w:hAnsiTheme="majorBidi" w:cstheme="majorBidi"/>
          <w:sz w:val="18"/>
          <w:szCs w:val="18"/>
          <w:vertAlign w:val="baseline"/>
        </w:rPr>
        <w:footnoteRef/>
      </w:r>
      <w:r w:rsidRPr="00AF60AB">
        <w:rPr>
          <w:rStyle w:val="FootnoteReference"/>
          <w:rFonts w:asciiTheme="majorBidi" w:hAnsiTheme="majorBidi" w:cstheme="majorBidi"/>
          <w:sz w:val="18"/>
          <w:szCs w:val="18"/>
          <w:vertAlign w:val="baseline"/>
          <w:rtl/>
        </w:rPr>
        <w:t xml:space="preserve"> </w:t>
      </w:r>
      <w:r w:rsidRPr="00AF60AB">
        <w:rPr>
          <w:rStyle w:val="FootnoteReference"/>
          <w:rFonts w:asciiTheme="majorBidi" w:hAnsiTheme="majorBidi" w:cstheme="majorBidi"/>
          <w:sz w:val="18"/>
          <w:szCs w:val="18"/>
          <w:vertAlign w:val="baseline"/>
          <w:rtl/>
        </w:rPr>
        <w:tab/>
        <w:t>قسم العمل الاجتماعي، جامعة بن غوريون في النقب</w:t>
      </w:r>
    </w:p>
  </w:footnote>
  <w:footnote w:id="5">
    <w:p w14:paraId="6F60125F" w14:textId="77777777" w:rsidR="00AF60AB" w:rsidRPr="00AF60AB" w:rsidRDefault="00AF60AB" w:rsidP="00AF60A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AF60AB">
        <w:rPr>
          <w:rStyle w:val="FootnoteReference"/>
          <w:rFonts w:asciiTheme="majorBidi" w:hAnsiTheme="majorBidi" w:cstheme="majorBidi"/>
          <w:sz w:val="18"/>
          <w:szCs w:val="18"/>
          <w:vertAlign w:val="baseline"/>
        </w:rPr>
        <w:footnoteRef/>
      </w:r>
      <w:r w:rsidRPr="00AF60AB">
        <w:rPr>
          <w:rStyle w:val="FootnoteReference"/>
          <w:rFonts w:asciiTheme="majorBidi" w:hAnsiTheme="majorBidi" w:cstheme="majorBidi"/>
          <w:sz w:val="18"/>
          <w:szCs w:val="18"/>
          <w:vertAlign w:val="baseline"/>
          <w:rtl/>
        </w:rPr>
        <w:t xml:space="preserve"> </w:t>
      </w:r>
      <w:r w:rsidRPr="00AF60AB">
        <w:rPr>
          <w:rStyle w:val="FootnoteReference"/>
          <w:rFonts w:asciiTheme="majorBidi" w:hAnsiTheme="majorBidi" w:cstheme="majorBidi"/>
          <w:sz w:val="18"/>
          <w:szCs w:val="18"/>
          <w:vertAlign w:val="baseline"/>
          <w:rtl/>
        </w:rPr>
        <w:tab/>
      </w:r>
      <w:r w:rsidRPr="00AF60AB">
        <w:rPr>
          <w:rStyle w:val="FootnoteReference"/>
          <w:rFonts w:asciiTheme="majorBidi" w:hAnsiTheme="majorBidi" w:cstheme="majorBidi" w:hint="cs"/>
          <w:sz w:val="18"/>
          <w:szCs w:val="18"/>
          <w:vertAlign w:val="baseline"/>
          <w:rtl/>
        </w:rPr>
        <w:t xml:space="preserve">مدرسة التربية، جامعة بن غوريون في النقب </w:t>
      </w:r>
    </w:p>
  </w:footnote>
  <w:footnote w:id="6">
    <w:p w14:paraId="0E22E2BD" w14:textId="77777777" w:rsidR="00AF60AB" w:rsidRPr="00AF60AB" w:rsidRDefault="00AF60AB" w:rsidP="00AF60A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AF60AB">
        <w:rPr>
          <w:rStyle w:val="FootnoteReference"/>
          <w:rFonts w:asciiTheme="majorBidi" w:hAnsiTheme="majorBidi" w:cstheme="majorBidi"/>
          <w:sz w:val="18"/>
          <w:szCs w:val="18"/>
          <w:vertAlign w:val="baseline"/>
        </w:rPr>
        <w:footnoteRef/>
      </w:r>
      <w:r w:rsidRPr="00AF60AB">
        <w:rPr>
          <w:rStyle w:val="FootnoteReference"/>
          <w:rFonts w:asciiTheme="majorBidi" w:hAnsiTheme="majorBidi" w:cstheme="majorBidi"/>
          <w:sz w:val="18"/>
          <w:szCs w:val="18"/>
          <w:vertAlign w:val="baseline"/>
          <w:rtl/>
        </w:rPr>
        <w:t xml:space="preserve"> </w:t>
      </w:r>
      <w:r w:rsidRPr="00AF60AB">
        <w:rPr>
          <w:rStyle w:val="FootnoteReference"/>
          <w:rFonts w:asciiTheme="majorBidi" w:hAnsiTheme="majorBidi" w:cstheme="majorBidi"/>
          <w:sz w:val="18"/>
          <w:szCs w:val="18"/>
          <w:vertAlign w:val="baseline"/>
          <w:rtl/>
        </w:rPr>
        <w:tab/>
        <w:t xml:space="preserve">شعبة العلوم الاجتماعية والتربية، الكلية الأكاديمية رمات غان </w:t>
      </w:r>
    </w:p>
  </w:footnote>
  <w:footnote w:id="7">
    <w:p w14:paraId="6766DEA2" w14:textId="77777777" w:rsidR="00AF60AB" w:rsidRPr="00AF60AB" w:rsidRDefault="00AF60AB" w:rsidP="00AF60AB">
      <w:pPr>
        <w:pStyle w:val="FootnoteText"/>
        <w:spacing w:line="220" w:lineRule="exact"/>
        <w:ind w:left="284" w:hanging="284"/>
        <w:jc w:val="both"/>
        <w:rPr>
          <w:rStyle w:val="FootnoteReference"/>
          <w:rFonts w:asciiTheme="majorBidi" w:hAnsiTheme="majorBidi" w:cstheme="majorBidi"/>
          <w:sz w:val="18"/>
          <w:szCs w:val="18"/>
          <w:vertAlign w:val="baseline"/>
        </w:rPr>
      </w:pPr>
      <w:r w:rsidRPr="00AF60AB">
        <w:rPr>
          <w:rStyle w:val="FootnoteReference"/>
          <w:rFonts w:asciiTheme="majorBidi" w:hAnsiTheme="majorBidi" w:cstheme="majorBidi"/>
          <w:sz w:val="18"/>
          <w:szCs w:val="18"/>
          <w:vertAlign w:val="baseline"/>
        </w:rPr>
        <w:footnoteRef/>
      </w:r>
      <w:r w:rsidRPr="00AF60AB">
        <w:rPr>
          <w:rStyle w:val="FootnoteReference"/>
          <w:rFonts w:asciiTheme="majorBidi" w:hAnsiTheme="majorBidi" w:cstheme="majorBidi"/>
          <w:sz w:val="18"/>
          <w:szCs w:val="18"/>
          <w:vertAlign w:val="baseline"/>
          <w:rtl/>
        </w:rPr>
        <w:t xml:space="preserve"> </w:t>
      </w:r>
      <w:r w:rsidRPr="00AF60AB">
        <w:rPr>
          <w:rStyle w:val="FootnoteReference"/>
          <w:rFonts w:asciiTheme="majorBidi" w:hAnsiTheme="majorBidi" w:cstheme="majorBidi"/>
          <w:sz w:val="18"/>
          <w:szCs w:val="18"/>
          <w:vertAlign w:val="baseline"/>
          <w:rtl/>
        </w:rPr>
        <w:tab/>
        <w:t>الكلية الأكاديمية رمات غان</w:t>
      </w:r>
    </w:p>
  </w:footnote>
  <w:footnote w:id="8">
    <w:p w14:paraId="0CDF67C0" w14:textId="77777777" w:rsidR="00AF60AB" w:rsidRPr="00AF60AB" w:rsidRDefault="00AF60AB" w:rsidP="00AF60AB">
      <w:pPr>
        <w:pStyle w:val="FootnoteText"/>
        <w:spacing w:line="220" w:lineRule="exact"/>
        <w:ind w:left="284" w:hanging="284"/>
        <w:jc w:val="both"/>
        <w:rPr>
          <w:rStyle w:val="FootnoteReference"/>
          <w:rFonts w:asciiTheme="majorBidi" w:hAnsiTheme="majorBidi" w:cstheme="majorBidi"/>
          <w:sz w:val="18"/>
          <w:szCs w:val="18"/>
          <w:vertAlign w:val="baseline"/>
        </w:rPr>
      </w:pPr>
      <w:r w:rsidRPr="00AF60AB">
        <w:rPr>
          <w:rStyle w:val="FootnoteReference"/>
          <w:rFonts w:asciiTheme="majorBidi" w:hAnsiTheme="majorBidi" w:cstheme="majorBidi"/>
          <w:sz w:val="18"/>
          <w:szCs w:val="18"/>
          <w:vertAlign w:val="baseline"/>
        </w:rPr>
        <w:footnoteRef/>
      </w:r>
      <w:r w:rsidRPr="00AF60AB">
        <w:rPr>
          <w:rStyle w:val="FootnoteReference"/>
          <w:rFonts w:asciiTheme="majorBidi" w:hAnsiTheme="majorBidi" w:cstheme="majorBidi"/>
          <w:sz w:val="18"/>
          <w:szCs w:val="18"/>
          <w:vertAlign w:val="baseline"/>
          <w:rtl/>
        </w:rPr>
        <w:t xml:space="preserve"> </w:t>
      </w:r>
      <w:r w:rsidRPr="00AF60AB">
        <w:rPr>
          <w:rStyle w:val="FootnoteReference"/>
          <w:rFonts w:asciiTheme="majorBidi" w:hAnsiTheme="majorBidi" w:cstheme="majorBidi"/>
          <w:sz w:val="18"/>
          <w:szCs w:val="18"/>
          <w:vertAlign w:val="baseline"/>
          <w:rtl/>
        </w:rPr>
        <w:tab/>
        <w:t>قسم العمل الاجتماعي، الكلية الأكاديمية صفد</w:t>
      </w:r>
    </w:p>
  </w:footnote>
  <w:footnote w:id="9">
    <w:p w14:paraId="4631F064" w14:textId="77777777" w:rsidR="00AF60AB" w:rsidRPr="00AF60AB" w:rsidRDefault="00AF60AB" w:rsidP="00AF60A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AF60AB">
        <w:rPr>
          <w:rStyle w:val="FootnoteReference"/>
          <w:rFonts w:asciiTheme="majorBidi" w:hAnsiTheme="majorBidi" w:cstheme="majorBidi"/>
          <w:sz w:val="18"/>
          <w:szCs w:val="18"/>
          <w:vertAlign w:val="baseline"/>
        </w:rPr>
        <w:footnoteRef/>
      </w:r>
      <w:r w:rsidRPr="00AF60AB">
        <w:rPr>
          <w:rStyle w:val="FootnoteReference"/>
          <w:rFonts w:asciiTheme="majorBidi" w:hAnsiTheme="majorBidi" w:cstheme="majorBidi"/>
          <w:sz w:val="18"/>
          <w:szCs w:val="18"/>
          <w:vertAlign w:val="baseline"/>
          <w:rtl/>
        </w:rPr>
        <w:t xml:space="preserve"> </w:t>
      </w:r>
      <w:r w:rsidRPr="00AF60AB">
        <w:rPr>
          <w:rStyle w:val="FootnoteReference"/>
          <w:rFonts w:asciiTheme="majorBidi" w:hAnsiTheme="majorBidi" w:cstheme="majorBidi"/>
          <w:sz w:val="18"/>
          <w:szCs w:val="18"/>
          <w:vertAlign w:val="baseline"/>
          <w:rtl/>
        </w:rPr>
        <w:tab/>
        <w:t>جامعة بار إيلان وكلية نتانيا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EBB9" w14:textId="77777777" w:rsidR="008D5470" w:rsidRPr="008E30ED" w:rsidRDefault="008D5470" w:rsidP="0099526A">
    <w:pPr>
      <w:pStyle w:val="Heading1"/>
      <w:tabs>
        <w:tab w:val="center" w:pos="4536"/>
        <w:tab w:val="right" w:pos="9072"/>
      </w:tabs>
      <w:rPr>
        <w:rFonts w:ascii="Calibri" w:hAnsi="Calibri" w:cs="David"/>
        <w:b w:val="0"/>
        <w:bCs w:val="0"/>
        <w:sz w:val="16"/>
        <w:szCs w:val="16"/>
        <w:rtl/>
      </w:rPr>
    </w:pP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8</w:t>
    </w:r>
    <w:r w:rsidRPr="005C1617">
      <w:rPr>
        <w:rFonts w:ascii="Georgia" w:hAnsi="Georgia" w:cs="Georgia"/>
        <w:noProof/>
        <w:sz w:val="24"/>
        <w:szCs w:val="24"/>
      </w:rPr>
      <w:fldChar w:fldCharType="end"/>
    </w:r>
    <w:r w:rsidRPr="005C1617">
      <w:rPr>
        <w:rFonts w:ascii="Georgia" w:hAnsi="Georgia" w:cs="Georgia"/>
        <w:noProof/>
        <w:sz w:val="24"/>
        <w:szCs w:val="24"/>
        <w:rtl/>
      </w:rPr>
      <w:t xml:space="preserve"> </w:t>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92E7" w14:textId="71F7A9B0" w:rsidR="008D5470" w:rsidRPr="007256BC" w:rsidRDefault="008D5470"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00B60CD2">
      <w:rPr>
        <w:rFonts w:ascii="Arial" w:hAnsi="Arial" w:cs="Arial" w:hint="cs"/>
        <w:b w:val="0"/>
        <w:bCs w:val="0"/>
        <w:noProof/>
        <w:sz w:val="16"/>
        <w:szCs w:val="16"/>
        <w:rtl/>
        <w:lang w:bidi="ar-SA"/>
      </w:rPr>
      <w:t xml:space="preserve">المجلة </w:t>
    </w:r>
    <w:r w:rsidR="00B60CD2" w:rsidRPr="005C2354">
      <w:rPr>
        <w:rFonts w:ascii="Arial" w:hAnsi="Arial" w:cs="Arial" w:hint="cs"/>
        <w:b w:val="0"/>
        <w:bCs w:val="0"/>
        <w:noProof/>
        <w:sz w:val="16"/>
        <w:szCs w:val="16"/>
        <w:rtl/>
        <w:lang w:bidi="ar-SA"/>
      </w:rPr>
      <w:t>الإسرائيلية</w:t>
    </w:r>
    <w:r w:rsidRPr="008E30ED">
      <w:rPr>
        <w:rFonts w:ascii="Arial" w:hAnsi="Arial" w:cs="Arial" w:hint="cs"/>
        <w:b w:val="0"/>
        <w:bCs w:val="0"/>
        <w:noProof/>
        <w:sz w:val="16"/>
        <w:szCs w:val="16"/>
        <w:rtl/>
        <w:lang w:bidi="ar-SA"/>
      </w:rPr>
      <w:t xml:space="preserve"> للضمان الاجتماعي</w:t>
    </w:r>
    <w:r w:rsidRPr="008E30ED">
      <w:rPr>
        <w:rFonts w:ascii="David" w:hAnsi="David" w:cs="David"/>
        <w:b w:val="0"/>
        <w:bCs w:val="0"/>
        <w:noProof/>
        <w:sz w:val="16"/>
        <w:szCs w:val="16"/>
        <w:rtl/>
      </w:rPr>
      <w:t xml:space="preserve">  |  </w:t>
    </w: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9</w:t>
    </w:r>
    <w:r w:rsidRPr="005C1617">
      <w:rPr>
        <w:rFonts w:ascii="Georgia" w:hAnsi="Georgia" w:cs="Georgia"/>
        <w:noProof/>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70E4" w14:textId="77777777" w:rsidR="008D5470" w:rsidRDefault="008D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23387">
    <w:abstractNumId w:val="9"/>
  </w:num>
  <w:num w:numId="2" w16cid:durableId="866406637">
    <w:abstractNumId w:val="11"/>
  </w:num>
  <w:num w:numId="3" w16cid:durableId="294717746">
    <w:abstractNumId w:val="20"/>
  </w:num>
  <w:num w:numId="4" w16cid:durableId="422798394">
    <w:abstractNumId w:val="15"/>
  </w:num>
  <w:num w:numId="5" w16cid:durableId="1278875080">
    <w:abstractNumId w:val="5"/>
  </w:num>
  <w:num w:numId="6" w16cid:durableId="2107114605">
    <w:abstractNumId w:val="14"/>
  </w:num>
  <w:num w:numId="7" w16cid:durableId="1575776571">
    <w:abstractNumId w:val="10"/>
  </w:num>
  <w:num w:numId="8" w16cid:durableId="761487246">
    <w:abstractNumId w:val="0"/>
  </w:num>
  <w:num w:numId="9" w16cid:durableId="1064454790">
    <w:abstractNumId w:val="4"/>
  </w:num>
  <w:num w:numId="10" w16cid:durableId="1738475428">
    <w:abstractNumId w:val="19"/>
  </w:num>
  <w:num w:numId="11" w16cid:durableId="1406879152">
    <w:abstractNumId w:val="16"/>
  </w:num>
  <w:num w:numId="12" w16cid:durableId="1482426755">
    <w:abstractNumId w:val="12"/>
  </w:num>
  <w:num w:numId="13" w16cid:durableId="1489901918">
    <w:abstractNumId w:val="8"/>
  </w:num>
  <w:num w:numId="14" w16cid:durableId="1268586482">
    <w:abstractNumId w:val="3"/>
  </w:num>
  <w:num w:numId="15" w16cid:durableId="1011377892">
    <w:abstractNumId w:val="7"/>
  </w:num>
  <w:num w:numId="16" w16cid:durableId="340425956">
    <w:abstractNumId w:val="2"/>
  </w:num>
  <w:num w:numId="17" w16cid:durableId="1456604673">
    <w:abstractNumId w:val="21"/>
  </w:num>
  <w:num w:numId="18" w16cid:durableId="315842279">
    <w:abstractNumId w:val="13"/>
  </w:num>
  <w:num w:numId="19" w16cid:durableId="1498110519">
    <w:abstractNumId w:val="6"/>
  </w:num>
  <w:num w:numId="20" w16cid:durableId="1206454075">
    <w:abstractNumId w:val="1"/>
  </w:num>
  <w:num w:numId="21" w16cid:durableId="1107430461">
    <w:abstractNumId w:val="17"/>
  </w:num>
  <w:num w:numId="22" w16cid:durableId="2071614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0" w:nlCheck="1" w:checkStyle="0"/>
  <w:activeWritingStyle w:appName="MSWord" w:lang="ar-LB" w:vendorID="64" w:dllVersion="0" w:nlCheck="1" w:checkStyle="0"/>
  <w:activeWritingStyle w:appName="MSWord" w:lang="en-US" w:vendorID="64" w:dllVersion="0" w:nlCheck="1" w:checkStyle="0"/>
  <w:activeWritingStyle w:appName="MSWord" w:lang="ar-JO" w:vendorID="64" w:dllVersion="0" w:nlCheck="1" w:checkStyle="0"/>
  <w:activeWritingStyle w:appName="MSWord" w:lang="ar-EG" w:vendorID="64" w:dllVersion="0"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584C"/>
    <w:rsid w:val="00086BD6"/>
    <w:rsid w:val="000A273D"/>
    <w:rsid w:val="000A44E3"/>
    <w:rsid w:val="000A579E"/>
    <w:rsid w:val="000B3D25"/>
    <w:rsid w:val="000B4214"/>
    <w:rsid w:val="000C4297"/>
    <w:rsid w:val="000E63C9"/>
    <w:rsid w:val="000F3340"/>
    <w:rsid w:val="000F4031"/>
    <w:rsid w:val="00106BE2"/>
    <w:rsid w:val="0011109D"/>
    <w:rsid w:val="00131AEA"/>
    <w:rsid w:val="001563C2"/>
    <w:rsid w:val="0016207A"/>
    <w:rsid w:val="001676A4"/>
    <w:rsid w:val="00170D0A"/>
    <w:rsid w:val="001809E8"/>
    <w:rsid w:val="00180BAF"/>
    <w:rsid w:val="00197AFB"/>
    <w:rsid w:val="001A213C"/>
    <w:rsid w:val="001A7A8E"/>
    <w:rsid w:val="001B3377"/>
    <w:rsid w:val="001C3FC8"/>
    <w:rsid w:val="001C423B"/>
    <w:rsid w:val="001C6F8C"/>
    <w:rsid w:val="001D383E"/>
    <w:rsid w:val="001F1EFB"/>
    <w:rsid w:val="001F4F22"/>
    <w:rsid w:val="001F56B1"/>
    <w:rsid w:val="002000B4"/>
    <w:rsid w:val="002014B4"/>
    <w:rsid w:val="002104B5"/>
    <w:rsid w:val="002161BD"/>
    <w:rsid w:val="0023134C"/>
    <w:rsid w:val="00234230"/>
    <w:rsid w:val="0023557F"/>
    <w:rsid w:val="00244608"/>
    <w:rsid w:val="00245A5A"/>
    <w:rsid w:val="00245EF2"/>
    <w:rsid w:val="00247496"/>
    <w:rsid w:val="002474CD"/>
    <w:rsid w:val="002554EE"/>
    <w:rsid w:val="00263E6E"/>
    <w:rsid w:val="00264557"/>
    <w:rsid w:val="00266EE4"/>
    <w:rsid w:val="00267034"/>
    <w:rsid w:val="002745A5"/>
    <w:rsid w:val="00281029"/>
    <w:rsid w:val="00287C95"/>
    <w:rsid w:val="00291AD3"/>
    <w:rsid w:val="002A158D"/>
    <w:rsid w:val="002A6814"/>
    <w:rsid w:val="002B41DD"/>
    <w:rsid w:val="002C7791"/>
    <w:rsid w:val="002D340E"/>
    <w:rsid w:val="002D6007"/>
    <w:rsid w:val="002F2A24"/>
    <w:rsid w:val="002F34B7"/>
    <w:rsid w:val="002F43B7"/>
    <w:rsid w:val="00305E03"/>
    <w:rsid w:val="003114EA"/>
    <w:rsid w:val="0031326F"/>
    <w:rsid w:val="003132BD"/>
    <w:rsid w:val="003146FE"/>
    <w:rsid w:val="00316220"/>
    <w:rsid w:val="00325C2C"/>
    <w:rsid w:val="00344DED"/>
    <w:rsid w:val="00347FF0"/>
    <w:rsid w:val="00354E7E"/>
    <w:rsid w:val="00362C74"/>
    <w:rsid w:val="0036394C"/>
    <w:rsid w:val="0037275D"/>
    <w:rsid w:val="003733C1"/>
    <w:rsid w:val="00392907"/>
    <w:rsid w:val="00397FEC"/>
    <w:rsid w:val="003A3E89"/>
    <w:rsid w:val="003A5C30"/>
    <w:rsid w:val="003B6420"/>
    <w:rsid w:val="003E1638"/>
    <w:rsid w:val="003E579C"/>
    <w:rsid w:val="003E62C8"/>
    <w:rsid w:val="0040418B"/>
    <w:rsid w:val="00420B39"/>
    <w:rsid w:val="00424263"/>
    <w:rsid w:val="00424AA5"/>
    <w:rsid w:val="00434C68"/>
    <w:rsid w:val="00442D53"/>
    <w:rsid w:val="00452425"/>
    <w:rsid w:val="004536EE"/>
    <w:rsid w:val="00465771"/>
    <w:rsid w:val="00476452"/>
    <w:rsid w:val="004772F9"/>
    <w:rsid w:val="0048178C"/>
    <w:rsid w:val="004820DD"/>
    <w:rsid w:val="004836B9"/>
    <w:rsid w:val="004A58FC"/>
    <w:rsid w:val="004B0775"/>
    <w:rsid w:val="004D00EE"/>
    <w:rsid w:val="004D6276"/>
    <w:rsid w:val="004E2EB8"/>
    <w:rsid w:val="004E56DD"/>
    <w:rsid w:val="004E58D1"/>
    <w:rsid w:val="004F1720"/>
    <w:rsid w:val="00514EE8"/>
    <w:rsid w:val="00516131"/>
    <w:rsid w:val="005262FD"/>
    <w:rsid w:val="00527F9F"/>
    <w:rsid w:val="00546B60"/>
    <w:rsid w:val="0056011A"/>
    <w:rsid w:val="00575CF0"/>
    <w:rsid w:val="00581A7C"/>
    <w:rsid w:val="0058215C"/>
    <w:rsid w:val="0058504A"/>
    <w:rsid w:val="00585187"/>
    <w:rsid w:val="0058534B"/>
    <w:rsid w:val="005906E2"/>
    <w:rsid w:val="00594FE1"/>
    <w:rsid w:val="0059743F"/>
    <w:rsid w:val="005B0464"/>
    <w:rsid w:val="005B34B1"/>
    <w:rsid w:val="005C14F6"/>
    <w:rsid w:val="005C1617"/>
    <w:rsid w:val="005C2354"/>
    <w:rsid w:val="005D521C"/>
    <w:rsid w:val="005E405E"/>
    <w:rsid w:val="005E5DF4"/>
    <w:rsid w:val="005E72AB"/>
    <w:rsid w:val="005F715B"/>
    <w:rsid w:val="00603C5C"/>
    <w:rsid w:val="00605F71"/>
    <w:rsid w:val="00606FDD"/>
    <w:rsid w:val="006123A7"/>
    <w:rsid w:val="006166E9"/>
    <w:rsid w:val="006238F4"/>
    <w:rsid w:val="006400BC"/>
    <w:rsid w:val="006523F3"/>
    <w:rsid w:val="00675EF8"/>
    <w:rsid w:val="006904F0"/>
    <w:rsid w:val="00693E43"/>
    <w:rsid w:val="00696830"/>
    <w:rsid w:val="00697105"/>
    <w:rsid w:val="00697383"/>
    <w:rsid w:val="006A4F5F"/>
    <w:rsid w:val="006B3B00"/>
    <w:rsid w:val="006B754D"/>
    <w:rsid w:val="006C1665"/>
    <w:rsid w:val="006F77E3"/>
    <w:rsid w:val="00700FFB"/>
    <w:rsid w:val="007027F4"/>
    <w:rsid w:val="0071112D"/>
    <w:rsid w:val="0071356C"/>
    <w:rsid w:val="0072157D"/>
    <w:rsid w:val="00733E07"/>
    <w:rsid w:val="00740D34"/>
    <w:rsid w:val="0076247A"/>
    <w:rsid w:val="00766B9E"/>
    <w:rsid w:val="00773C54"/>
    <w:rsid w:val="00785169"/>
    <w:rsid w:val="00787295"/>
    <w:rsid w:val="00790E74"/>
    <w:rsid w:val="00795185"/>
    <w:rsid w:val="007A1281"/>
    <w:rsid w:val="007A258D"/>
    <w:rsid w:val="007A33EA"/>
    <w:rsid w:val="007A7450"/>
    <w:rsid w:val="007C4C3D"/>
    <w:rsid w:val="007C5F6F"/>
    <w:rsid w:val="007D33D3"/>
    <w:rsid w:val="007D630C"/>
    <w:rsid w:val="007D7485"/>
    <w:rsid w:val="007E669B"/>
    <w:rsid w:val="00832C98"/>
    <w:rsid w:val="00835079"/>
    <w:rsid w:val="00853A17"/>
    <w:rsid w:val="0085402B"/>
    <w:rsid w:val="00855D96"/>
    <w:rsid w:val="00856C08"/>
    <w:rsid w:val="00865AD0"/>
    <w:rsid w:val="008665A0"/>
    <w:rsid w:val="0086721C"/>
    <w:rsid w:val="0087397A"/>
    <w:rsid w:val="008916AA"/>
    <w:rsid w:val="00895889"/>
    <w:rsid w:val="008A06E9"/>
    <w:rsid w:val="008B4530"/>
    <w:rsid w:val="008B7266"/>
    <w:rsid w:val="008C2742"/>
    <w:rsid w:val="008D5470"/>
    <w:rsid w:val="008E30ED"/>
    <w:rsid w:val="008E38F5"/>
    <w:rsid w:val="008F071A"/>
    <w:rsid w:val="008F360C"/>
    <w:rsid w:val="008F3B20"/>
    <w:rsid w:val="00901B8C"/>
    <w:rsid w:val="009218A8"/>
    <w:rsid w:val="009242DE"/>
    <w:rsid w:val="0092720F"/>
    <w:rsid w:val="00930825"/>
    <w:rsid w:val="0093092C"/>
    <w:rsid w:val="0093405A"/>
    <w:rsid w:val="009354DB"/>
    <w:rsid w:val="0093580E"/>
    <w:rsid w:val="009376F3"/>
    <w:rsid w:val="00957577"/>
    <w:rsid w:val="00962C8A"/>
    <w:rsid w:val="00962DE7"/>
    <w:rsid w:val="0097550E"/>
    <w:rsid w:val="00983255"/>
    <w:rsid w:val="0099526A"/>
    <w:rsid w:val="009A3B04"/>
    <w:rsid w:val="009B122B"/>
    <w:rsid w:val="009B43F8"/>
    <w:rsid w:val="009C3F07"/>
    <w:rsid w:val="009D439D"/>
    <w:rsid w:val="009F4569"/>
    <w:rsid w:val="00A00E8A"/>
    <w:rsid w:val="00A1523D"/>
    <w:rsid w:val="00A25916"/>
    <w:rsid w:val="00A37675"/>
    <w:rsid w:val="00A40335"/>
    <w:rsid w:val="00A60EB9"/>
    <w:rsid w:val="00A756DB"/>
    <w:rsid w:val="00A8123A"/>
    <w:rsid w:val="00A8157E"/>
    <w:rsid w:val="00A94454"/>
    <w:rsid w:val="00A94754"/>
    <w:rsid w:val="00A94FEB"/>
    <w:rsid w:val="00AA230A"/>
    <w:rsid w:val="00AB018A"/>
    <w:rsid w:val="00AB376F"/>
    <w:rsid w:val="00AB5B0F"/>
    <w:rsid w:val="00AB6A1F"/>
    <w:rsid w:val="00AC3E38"/>
    <w:rsid w:val="00AC4242"/>
    <w:rsid w:val="00AC68D5"/>
    <w:rsid w:val="00AC7DC2"/>
    <w:rsid w:val="00AE2B61"/>
    <w:rsid w:val="00AF60AB"/>
    <w:rsid w:val="00B06DCC"/>
    <w:rsid w:val="00B137F8"/>
    <w:rsid w:val="00B15506"/>
    <w:rsid w:val="00B16A4D"/>
    <w:rsid w:val="00B21FF5"/>
    <w:rsid w:val="00B239C9"/>
    <w:rsid w:val="00B30C5F"/>
    <w:rsid w:val="00B3422D"/>
    <w:rsid w:val="00B45FC1"/>
    <w:rsid w:val="00B6001E"/>
    <w:rsid w:val="00B60CD2"/>
    <w:rsid w:val="00B645F0"/>
    <w:rsid w:val="00B6513F"/>
    <w:rsid w:val="00B72C52"/>
    <w:rsid w:val="00B73E12"/>
    <w:rsid w:val="00B80D39"/>
    <w:rsid w:val="00B8351D"/>
    <w:rsid w:val="00BA5F88"/>
    <w:rsid w:val="00BB6B96"/>
    <w:rsid w:val="00BC256B"/>
    <w:rsid w:val="00BD1CA9"/>
    <w:rsid w:val="00BD331D"/>
    <w:rsid w:val="00BE17E2"/>
    <w:rsid w:val="00BE3C92"/>
    <w:rsid w:val="00BE4738"/>
    <w:rsid w:val="00BE4AED"/>
    <w:rsid w:val="00BF45DD"/>
    <w:rsid w:val="00BF79DE"/>
    <w:rsid w:val="00C24D0A"/>
    <w:rsid w:val="00C30000"/>
    <w:rsid w:val="00C30B4A"/>
    <w:rsid w:val="00C316A8"/>
    <w:rsid w:val="00C35942"/>
    <w:rsid w:val="00C41D39"/>
    <w:rsid w:val="00C4495D"/>
    <w:rsid w:val="00C44B71"/>
    <w:rsid w:val="00C616F1"/>
    <w:rsid w:val="00C64ABA"/>
    <w:rsid w:val="00C70467"/>
    <w:rsid w:val="00C769CB"/>
    <w:rsid w:val="00CA4B54"/>
    <w:rsid w:val="00CB41D5"/>
    <w:rsid w:val="00CB5854"/>
    <w:rsid w:val="00CB5C79"/>
    <w:rsid w:val="00CB73F6"/>
    <w:rsid w:val="00CC2ADF"/>
    <w:rsid w:val="00CC2F70"/>
    <w:rsid w:val="00CC4F21"/>
    <w:rsid w:val="00CF5FA8"/>
    <w:rsid w:val="00D04A7C"/>
    <w:rsid w:val="00D05FC9"/>
    <w:rsid w:val="00D10B38"/>
    <w:rsid w:val="00D12807"/>
    <w:rsid w:val="00D14698"/>
    <w:rsid w:val="00D165A4"/>
    <w:rsid w:val="00D167FF"/>
    <w:rsid w:val="00D2001A"/>
    <w:rsid w:val="00D3593E"/>
    <w:rsid w:val="00D46DE4"/>
    <w:rsid w:val="00D51B9C"/>
    <w:rsid w:val="00D716FA"/>
    <w:rsid w:val="00D9034C"/>
    <w:rsid w:val="00D9242E"/>
    <w:rsid w:val="00D96C2F"/>
    <w:rsid w:val="00DA25D7"/>
    <w:rsid w:val="00DA303B"/>
    <w:rsid w:val="00DA58F7"/>
    <w:rsid w:val="00DD7C23"/>
    <w:rsid w:val="00DE2AEA"/>
    <w:rsid w:val="00DE2D78"/>
    <w:rsid w:val="00DE6B20"/>
    <w:rsid w:val="00DF5EE0"/>
    <w:rsid w:val="00DF71D4"/>
    <w:rsid w:val="00E00A9C"/>
    <w:rsid w:val="00E026F5"/>
    <w:rsid w:val="00E07F90"/>
    <w:rsid w:val="00E11F38"/>
    <w:rsid w:val="00E135F9"/>
    <w:rsid w:val="00E208B0"/>
    <w:rsid w:val="00E47104"/>
    <w:rsid w:val="00E47E73"/>
    <w:rsid w:val="00E6638A"/>
    <w:rsid w:val="00E66B4D"/>
    <w:rsid w:val="00E716D4"/>
    <w:rsid w:val="00E738B2"/>
    <w:rsid w:val="00E76495"/>
    <w:rsid w:val="00E920B6"/>
    <w:rsid w:val="00ED3765"/>
    <w:rsid w:val="00ED5388"/>
    <w:rsid w:val="00ED57E4"/>
    <w:rsid w:val="00EE0D9A"/>
    <w:rsid w:val="00EE36D0"/>
    <w:rsid w:val="00EE689B"/>
    <w:rsid w:val="00EF2336"/>
    <w:rsid w:val="00EF68E4"/>
    <w:rsid w:val="00F00811"/>
    <w:rsid w:val="00F10FB9"/>
    <w:rsid w:val="00F11CB9"/>
    <w:rsid w:val="00F17414"/>
    <w:rsid w:val="00F25B48"/>
    <w:rsid w:val="00F30700"/>
    <w:rsid w:val="00F341C7"/>
    <w:rsid w:val="00F42492"/>
    <w:rsid w:val="00F47ECE"/>
    <w:rsid w:val="00F601B1"/>
    <w:rsid w:val="00F7315A"/>
    <w:rsid w:val="00F7387E"/>
    <w:rsid w:val="00F76879"/>
    <w:rsid w:val="00F76DA1"/>
    <w:rsid w:val="00F8004A"/>
    <w:rsid w:val="00F821B5"/>
    <w:rsid w:val="00F935A5"/>
    <w:rsid w:val="00F97C58"/>
    <w:rsid w:val="00FA5BB9"/>
    <w:rsid w:val="00FB0781"/>
    <w:rsid w:val="00FC0089"/>
    <w:rsid w:val="00FE117D"/>
    <w:rsid w:val="00FE327D"/>
    <w:rsid w:val="00FE3CB2"/>
    <w:rsid w:val="00FF2718"/>
    <w:rsid w:val="00FF50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 w:type="paragraph" w:customStyle="1" w:styleId="Body">
    <w:name w:val="Body"/>
    <w:rsid w:val="00787295"/>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rPr>
  </w:style>
  <w:style w:type="paragraph" w:styleId="HTMLPreformatted">
    <w:name w:val="HTML Preformatted"/>
    <w:basedOn w:val="Normal"/>
    <w:link w:val="HTMLPreformattedChar"/>
    <w:uiPriority w:val="99"/>
    <w:semiHidden/>
    <w:unhideWhenUsed/>
    <w:rsid w:val="002F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F34B7"/>
    <w:rPr>
      <w:rFonts w:ascii="Courier New" w:hAnsi="Courier New" w:cs="Courier New"/>
    </w:rPr>
  </w:style>
  <w:style w:type="paragraph" w:styleId="Revision">
    <w:name w:val="Revision"/>
    <w:hidden/>
    <w:uiPriority w:val="99"/>
    <w:semiHidden/>
    <w:rsid w:val="00F821B5"/>
    <w:rPr>
      <w:rFonts w:cs="David"/>
      <w:sz w:val="24"/>
      <w:szCs w:val="24"/>
    </w:rPr>
  </w:style>
  <w:style w:type="character" w:customStyle="1" w:styleId="ListParagraphChar">
    <w:name w:val="List Paragraph Char"/>
    <w:link w:val="ListParagraph"/>
    <w:uiPriority w:val="34"/>
    <w:locked/>
    <w:rsid w:val="002A158D"/>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6B6487-8F3C-41E9-94D2-062A2B47AB9D}"/>
</file>

<file path=customXml/itemProps2.xml><?xml version="1.0" encoding="utf-8"?>
<ds:datastoreItem xmlns:ds="http://schemas.openxmlformats.org/officeDocument/2006/customXml" ds:itemID="{789ABC06-8B02-4974-AD2A-36CDEECC4CDF}"/>
</file>

<file path=customXml/itemProps3.xml><?xml version="1.0" encoding="utf-8"?>
<ds:datastoreItem xmlns:ds="http://schemas.openxmlformats.org/officeDocument/2006/customXml" ds:itemID="{5B48F619-6B92-4FF4-AD42-27A803D0BA14}"/>
</file>

<file path=docProps/app.xml><?xml version="1.0" encoding="utf-8"?>
<Properties xmlns="http://schemas.openxmlformats.org/officeDocument/2006/extended-properties" xmlns:vt="http://schemas.openxmlformats.org/officeDocument/2006/docPropsVTypes">
  <Template>Normal.dotm</Template>
  <TotalTime>190</TotalTime>
  <Pages>8</Pages>
  <Words>1151</Words>
  <Characters>6566</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المجلة الاسرائيليه للضمان الاجتماعي</vt:lpstr>
      <vt:lpstr>المجلة الاسرائيليه للضمان الاجتماعي</vt:lpstr>
    </vt:vector>
  </TitlesOfParts>
  <Company>Onit Computer Services Ltd</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الاسرائيليه للضمان الاجتماعي</dc:title>
  <dc:creator>Mordechai Frankel</dc:creator>
  <cp:lastModifiedBy>שולמית פרנקל</cp:lastModifiedBy>
  <cp:revision>536</cp:revision>
  <cp:lastPrinted>2023-09-19T11:50:00Z</cp:lastPrinted>
  <dcterms:created xsi:type="dcterms:W3CDTF">2023-11-30T06:23:00Z</dcterms:created>
  <dcterms:modified xsi:type="dcterms:W3CDTF">2025-05-22T11:32:00Z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0x010100EA7A74430594B84AB50A5E341BA4F385</vt:lpwstr>
  </property>
  <property fmtid="{D5CDD505-2E9C-101B-9397-08002B2CF9AE}" pid="4" name="Order">
    <vt:r8>2200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