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94465" w14:textId="77777777" w:rsidR="006633B2" w:rsidRDefault="006633B2">
      <w:pPr>
        <w:spacing w:line="240" w:lineRule="atLeast"/>
        <w:jc w:val="center"/>
        <w:rPr>
          <w:rFonts w:ascii="Arial" w:hAnsi="Arial" w:cs="Arial"/>
        </w:rPr>
      </w:pPr>
    </w:p>
    <w:p w14:paraId="10F2F71D" w14:textId="77777777" w:rsidR="00EE1A47" w:rsidRDefault="00EE1A47" w:rsidP="00EE1A47">
      <w:pPr>
        <w:spacing w:line="240" w:lineRule="atLeast"/>
        <w:jc w:val="center"/>
        <w:rPr>
          <w:rFonts w:ascii="Arial" w:hAnsi="Arial" w:cs="Arial"/>
        </w:rPr>
      </w:pPr>
    </w:p>
    <w:p w14:paraId="53FEDB17" w14:textId="18CCC91F" w:rsidR="00EE1A47" w:rsidRDefault="001E3C96" w:rsidP="00EE1A47">
      <w:pPr>
        <w:spacing w:line="240" w:lineRule="atLeast"/>
        <w:jc w:val="center"/>
        <w:rPr>
          <w:rFonts w:ascii="Arial" w:hAnsi="Arial" w:cs="Arial"/>
        </w:rPr>
      </w:pPr>
      <w:r>
        <w:rPr>
          <w:rFonts w:ascii="Arial" w:hAnsi="Arial" w:cs="Arial"/>
        </w:rPr>
        <w:pict w14:anchorId="5DE763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41.75pt">
            <v:imagedata r:id="rId7" o:title="pic-1"/>
          </v:shape>
        </w:pict>
      </w:r>
    </w:p>
    <w:p w14:paraId="7327ED19" w14:textId="77777777" w:rsidR="00EE1A47" w:rsidRDefault="00EE1A47" w:rsidP="00EE1A47">
      <w:pPr>
        <w:spacing w:after="120" w:line="320" w:lineRule="exact"/>
        <w:ind w:left="567" w:right="567"/>
        <w:jc w:val="center"/>
        <w:rPr>
          <w:rFonts w:ascii="Arial" w:hAnsi="Arial"/>
          <w:b/>
          <w:bCs/>
        </w:rPr>
      </w:pPr>
    </w:p>
    <w:p w14:paraId="305AD90F" w14:textId="77777777" w:rsidR="00402AD7" w:rsidRDefault="00402AD7" w:rsidP="00402AD7">
      <w:pPr>
        <w:shd w:val="clear" w:color="auto" w:fill="FFFFFF"/>
        <w:spacing w:line="360" w:lineRule="auto"/>
        <w:jc w:val="center"/>
        <w:rPr>
          <w:rFonts w:ascii="David" w:hAnsi="David"/>
          <w:color w:val="050505"/>
          <w:rtl/>
        </w:rPr>
      </w:pPr>
      <w:r w:rsidRPr="00402AD7">
        <w:rPr>
          <w:rFonts w:ascii="David" w:hAnsi="David" w:hint="cs"/>
          <w:b/>
          <w:bCs/>
          <w:color w:val="050505"/>
          <w:rtl/>
        </w:rPr>
        <w:t>פרופ' אברהם דורון</w:t>
      </w:r>
      <w:r w:rsidR="00834F6B">
        <w:rPr>
          <w:rFonts w:ascii="David" w:hAnsi="David" w:hint="cs"/>
          <w:b/>
          <w:bCs/>
          <w:color w:val="050505"/>
          <w:rtl/>
        </w:rPr>
        <w:t xml:space="preserve"> ז"ל</w:t>
      </w:r>
      <w:r>
        <w:rPr>
          <w:rFonts w:ascii="David" w:hAnsi="David" w:hint="cs"/>
          <w:color w:val="050505"/>
          <w:rtl/>
        </w:rPr>
        <w:t xml:space="preserve"> </w:t>
      </w:r>
      <w:r w:rsidR="00834F6B">
        <w:rPr>
          <w:rFonts w:ascii="David" w:hAnsi="David" w:hint="cs"/>
          <w:color w:val="050505"/>
          <w:rtl/>
        </w:rPr>
        <w:t>2021-1926</w:t>
      </w:r>
    </w:p>
    <w:p w14:paraId="2845E29A" w14:textId="77777777" w:rsidR="00402AD7" w:rsidRDefault="00402AD7" w:rsidP="00402AD7">
      <w:pPr>
        <w:shd w:val="clear" w:color="auto" w:fill="FFFFFF"/>
        <w:spacing w:line="360" w:lineRule="auto"/>
        <w:jc w:val="center"/>
        <w:rPr>
          <w:rFonts w:ascii="David" w:hAnsi="David"/>
          <w:color w:val="050505"/>
          <w:rtl/>
        </w:rPr>
      </w:pPr>
      <w:r>
        <w:rPr>
          <w:rFonts w:ascii="David" w:hAnsi="David" w:hint="cs"/>
          <w:color w:val="050505"/>
          <w:rtl/>
        </w:rPr>
        <w:t xml:space="preserve">חבר מערכת </w:t>
      </w:r>
      <w:r w:rsidRPr="00402AD7">
        <w:rPr>
          <w:rFonts w:ascii="David" w:hAnsi="David" w:hint="cs"/>
          <w:b/>
          <w:bCs/>
          <w:color w:val="050505"/>
          <w:rtl/>
        </w:rPr>
        <w:t>ביטחון סוציאלי</w:t>
      </w:r>
      <w:r>
        <w:rPr>
          <w:rFonts w:ascii="David" w:hAnsi="David" w:hint="cs"/>
          <w:color w:val="050505"/>
          <w:rtl/>
        </w:rPr>
        <w:t xml:space="preserve"> מיום </w:t>
      </w:r>
      <w:proofErr w:type="spellStart"/>
      <w:r>
        <w:rPr>
          <w:rFonts w:ascii="David" w:hAnsi="David" w:hint="cs"/>
          <w:color w:val="050505"/>
          <w:rtl/>
        </w:rPr>
        <w:t>היווסדו</w:t>
      </w:r>
      <w:proofErr w:type="spellEnd"/>
      <w:r>
        <w:rPr>
          <w:rFonts w:ascii="David" w:hAnsi="David" w:hint="cs"/>
          <w:color w:val="050505"/>
          <w:rtl/>
        </w:rPr>
        <w:t xml:space="preserve"> ב-1971 עד 2019</w:t>
      </w:r>
    </w:p>
    <w:p w14:paraId="1C12F2BB" w14:textId="77777777" w:rsidR="00834F6B" w:rsidRDefault="00834F6B" w:rsidP="00402AD7">
      <w:pPr>
        <w:shd w:val="clear" w:color="auto" w:fill="FFFFFF"/>
        <w:spacing w:after="180" w:line="280" w:lineRule="exact"/>
        <w:jc w:val="both"/>
        <w:rPr>
          <w:rFonts w:ascii="David" w:hAnsi="David"/>
          <w:color w:val="050505"/>
          <w:sz w:val="20"/>
          <w:szCs w:val="20"/>
          <w:rtl/>
        </w:rPr>
      </w:pPr>
    </w:p>
    <w:p w14:paraId="1DF6C009" w14:textId="77777777" w:rsidR="00402AD7" w:rsidRPr="00402AD7" w:rsidRDefault="00402AD7" w:rsidP="00402AD7">
      <w:pPr>
        <w:shd w:val="clear" w:color="auto" w:fill="FFFFFF"/>
        <w:spacing w:after="180" w:line="280" w:lineRule="exact"/>
        <w:jc w:val="both"/>
        <w:rPr>
          <w:rFonts w:ascii="David" w:hAnsi="David"/>
          <w:color w:val="050505"/>
          <w:sz w:val="20"/>
          <w:szCs w:val="20"/>
          <w:rtl/>
        </w:rPr>
      </w:pPr>
      <w:r w:rsidRPr="00402AD7">
        <w:rPr>
          <w:rFonts w:ascii="David" w:hAnsi="David"/>
          <w:color w:val="050505"/>
          <w:sz w:val="20"/>
          <w:szCs w:val="20"/>
          <w:rtl/>
        </w:rPr>
        <w:t xml:space="preserve">פרופ' אברהם דורון היה ממניחי היסודות של מדינת הרווחה בישראל והדמות המרכזית בה במשך עשורים. במובנים רבים הוא היה החוקר "המחויב לרווחה", כהגדרתו של ריצ'ארד </w:t>
      </w:r>
      <w:proofErr w:type="spellStart"/>
      <w:r w:rsidRPr="00402AD7">
        <w:rPr>
          <w:rFonts w:ascii="David" w:hAnsi="David"/>
          <w:color w:val="050505"/>
          <w:sz w:val="20"/>
          <w:szCs w:val="20"/>
          <w:rtl/>
        </w:rPr>
        <w:t>טיטמוס</w:t>
      </w:r>
      <w:proofErr w:type="spellEnd"/>
      <w:r w:rsidRPr="00402AD7">
        <w:rPr>
          <w:rFonts w:ascii="David" w:hAnsi="David"/>
          <w:color w:val="050505"/>
          <w:sz w:val="20"/>
          <w:szCs w:val="20"/>
          <w:rtl/>
        </w:rPr>
        <w:t>, וללא ספק המזוהה ביותר עם מדינת הרווחה הישראלית. הוא ליווה את הקמתה ועיצובה כעובד סוציאלי, כחוקר וכמחנך, והיה שותף פעיל בתהליכי מדיניות בצמתים המכריעים בתולדותיה.</w:t>
      </w:r>
      <w:r w:rsidRPr="00402AD7">
        <w:rPr>
          <w:rFonts w:ascii="David" w:hAnsi="David"/>
          <w:color w:val="050505"/>
          <w:sz w:val="20"/>
          <w:szCs w:val="20"/>
        </w:rPr>
        <w:t xml:space="preserve"> </w:t>
      </w:r>
      <w:r w:rsidRPr="00402AD7">
        <w:rPr>
          <w:rFonts w:ascii="David" w:hAnsi="David"/>
          <w:color w:val="050505"/>
          <w:sz w:val="20"/>
          <w:szCs w:val="20"/>
          <w:rtl/>
        </w:rPr>
        <w:t>הוא הניח את היסודות לחקר מדינת הרווחה, הכשיר רבים מהחוקרים בתחום, והטמיע בהם את המחויבות לרווחה, המשלבת מחקר עם מעורבות פעילה</w:t>
      </w:r>
      <w:r w:rsidRPr="00402AD7">
        <w:rPr>
          <w:rFonts w:ascii="David" w:hAnsi="David"/>
          <w:color w:val="050505"/>
          <w:sz w:val="20"/>
          <w:szCs w:val="20"/>
        </w:rPr>
        <w:t>.</w:t>
      </w:r>
    </w:p>
    <w:p w14:paraId="1E31D36B" w14:textId="77777777" w:rsidR="00402AD7" w:rsidRPr="00402AD7" w:rsidRDefault="00402AD7" w:rsidP="00402AD7">
      <w:pPr>
        <w:shd w:val="clear" w:color="auto" w:fill="FFFFFF"/>
        <w:spacing w:after="180" w:line="280" w:lineRule="exact"/>
        <w:jc w:val="both"/>
        <w:rPr>
          <w:rFonts w:ascii="David" w:hAnsi="David"/>
          <w:color w:val="050505"/>
          <w:sz w:val="20"/>
          <w:szCs w:val="20"/>
          <w:rtl/>
        </w:rPr>
      </w:pPr>
      <w:r w:rsidRPr="00402AD7">
        <w:rPr>
          <w:rFonts w:ascii="David" w:hAnsi="David"/>
          <w:color w:val="050505"/>
          <w:sz w:val="20"/>
          <w:szCs w:val="20"/>
          <w:rtl/>
        </w:rPr>
        <w:t xml:space="preserve">דורון נולד ב-1926 בפולין, שרד את השואה אך איבד בה את כל משפחתו הגרעינית. ב-1946 עלה לארץ, שירת בהגנה ובצה"ל ולחם במלחמת העצמאות. ב-1951 סיים את לימודי העבודה הסוציאלית באוניברסיטה העברית בירושלים וב-1954 נמנה עם ראשוני העובדים במוסד לביטוח לאומי. בתקופה זו הותאמו מערכות הסעד והביטחון הסוציאלי של תקופת היישוב למציאות של מדינה המתמודדת עם עלייה המונית ועם צרכים חברתיים רבים וחריפים והתגבשו מערכות הרווחה הממלכתיות בישראל. ב-1961 סיים לימודיו באוניברסיטת שיקגו כמוסמך </w:t>
      </w:r>
      <w:proofErr w:type="spellStart"/>
      <w:r w:rsidRPr="00402AD7">
        <w:rPr>
          <w:rFonts w:ascii="David" w:hAnsi="David"/>
          <w:color w:val="050505"/>
          <w:sz w:val="20"/>
          <w:szCs w:val="20"/>
          <w:rtl/>
        </w:rPr>
        <w:t>במינהל</w:t>
      </w:r>
      <w:proofErr w:type="spellEnd"/>
      <w:r w:rsidRPr="00402AD7">
        <w:rPr>
          <w:rFonts w:ascii="David" w:hAnsi="David"/>
          <w:color w:val="050505"/>
          <w:sz w:val="20"/>
          <w:szCs w:val="20"/>
          <w:rtl/>
        </w:rPr>
        <w:t xml:space="preserve"> שירותי </w:t>
      </w:r>
      <w:hyperlink r:id="rId8" w:history="1">
        <w:r w:rsidRPr="00402AD7">
          <w:rPr>
            <w:rFonts w:ascii="David" w:hAnsi="David"/>
            <w:color w:val="050505"/>
            <w:sz w:val="20"/>
            <w:szCs w:val="20"/>
            <w:rtl/>
          </w:rPr>
          <w:t>רווחה</w:t>
        </w:r>
      </w:hyperlink>
      <w:r w:rsidRPr="00402AD7">
        <w:rPr>
          <w:rFonts w:ascii="David" w:hAnsi="David"/>
          <w:color w:val="050505"/>
          <w:sz w:val="20"/>
          <w:szCs w:val="20"/>
          <w:rtl/>
        </w:rPr>
        <w:t xml:space="preserve"> וב-1963 הצטרף לסגל בית הספר לעבודה סוציאלית של האוניברסיטה העברית.</w:t>
      </w:r>
    </w:p>
    <w:p w14:paraId="7888618C" w14:textId="77777777" w:rsidR="00402AD7" w:rsidRPr="00402AD7" w:rsidRDefault="00402AD7" w:rsidP="00402AD7">
      <w:pPr>
        <w:shd w:val="clear" w:color="auto" w:fill="FFFFFF"/>
        <w:spacing w:after="180" w:line="280" w:lineRule="exact"/>
        <w:jc w:val="both"/>
        <w:rPr>
          <w:rFonts w:ascii="David" w:hAnsi="David"/>
          <w:color w:val="050505"/>
          <w:sz w:val="20"/>
          <w:szCs w:val="20"/>
          <w:rtl/>
        </w:rPr>
      </w:pPr>
      <w:r w:rsidRPr="00402AD7">
        <w:rPr>
          <w:rFonts w:ascii="David" w:hAnsi="David"/>
          <w:color w:val="050505"/>
          <w:sz w:val="20"/>
          <w:szCs w:val="20"/>
          <w:rtl/>
        </w:rPr>
        <w:t>דורון ביקש</w:t>
      </w:r>
      <w:r w:rsidRPr="00402AD7">
        <w:rPr>
          <w:rFonts w:ascii="David" w:hAnsi="David"/>
          <w:color w:val="050505"/>
          <w:sz w:val="20"/>
          <w:szCs w:val="20"/>
        </w:rPr>
        <w:t xml:space="preserve"> </w:t>
      </w:r>
      <w:r w:rsidRPr="00402AD7">
        <w:rPr>
          <w:rFonts w:ascii="David" w:hAnsi="David"/>
          <w:color w:val="050505"/>
          <w:sz w:val="20"/>
          <w:szCs w:val="20"/>
          <w:rtl/>
        </w:rPr>
        <w:t xml:space="preserve">כבר אז לשלב הוראה עם </w:t>
      </w:r>
      <w:r w:rsidR="00574E39">
        <w:rPr>
          <w:rFonts w:ascii="David" w:hAnsi="David"/>
          <w:color w:val="050505"/>
          <w:sz w:val="20"/>
          <w:szCs w:val="20"/>
          <w:rtl/>
        </w:rPr>
        <w:t>מחקר ביקורתי</w:t>
      </w:r>
      <w:r w:rsidRPr="00402AD7">
        <w:rPr>
          <w:rFonts w:ascii="David" w:hAnsi="David"/>
          <w:color w:val="050505"/>
          <w:sz w:val="20"/>
          <w:szCs w:val="20"/>
          <w:rtl/>
        </w:rPr>
        <w:t xml:space="preserve"> וחשף את הבעיות החברתיות החמורות של המדינה הצעירה. במאמרו המכונן ומעורר הפולמוס, </w:t>
      </w:r>
      <w:r w:rsidRPr="00402AD7">
        <w:rPr>
          <w:rFonts w:ascii="David" w:hAnsi="David"/>
          <w:b/>
          <w:bCs/>
          <w:color w:val="050505"/>
          <w:sz w:val="20"/>
          <w:szCs w:val="20"/>
          <w:rtl/>
        </w:rPr>
        <w:t>עוני בישראל</w:t>
      </w:r>
      <w:r w:rsidRPr="00402AD7">
        <w:rPr>
          <w:rFonts w:ascii="David" w:hAnsi="David"/>
          <w:color w:val="050505"/>
          <w:sz w:val="20"/>
          <w:szCs w:val="20"/>
          <w:rtl/>
        </w:rPr>
        <w:t xml:space="preserve"> </w:t>
      </w:r>
      <w:r w:rsidRPr="00402AD7">
        <w:rPr>
          <w:rFonts w:ascii="David" w:hAnsi="David"/>
          <w:color w:val="050505"/>
          <w:sz w:val="20"/>
          <w:szCs w:val="20"/>
        </w:rPr>
        <w:t xml:space="preserve">1964) </w:t>
      </w:r>
      <w:r w:rsidRPr="00402AD7">
        <w:rPr>
          <w:rFonts w:ascii="David" w:hAnsi="David"/>
          <w:color w:val="050505"/>
          <w:sz w:val="20"/>
          <w:szCs w:val="20"/>
          <w:rtl/>
        </w:rPr>
        <w:t xml:space="preserve">), </w:t>
      </w:r>
      <w:r w:rsidRPr="00402AD7">
        <w:rPr>
          <w:rFonts w:ascii="David" w:hAnsi="David"/>
          <w:color w:val="050505"/>
          <w:sz w:val="20"/>
          <w:szCs w:val="20"/>
          <w:rtl/>
        </w:rPr>
        <w:lastRenderedPageBreak/>
        <w:t xml:space="preserve">תיעד לראשונה את היקף המצוקה הכלכלית בחברה הישראלית והתריע על הפער החברתי ההולך ומתרחב באוכלוסייה: "יותר משמדאיגה עובדה זו, מדאיג חוסר הרצון להכיר בעצם עובדת קיומה של המצוקה בתוכנו והנטייה להמשיך ולנוח על זרי הדפנה של הישגי העבר" (עמ' 13). במקביל היה חבר בוועדה לקביעת </w:t>
      </w:r>
      <w:proofErr w:type="spellStart"/>
      <w:r w:rsidRPr="00402AD7">
        <w:rPr>
          <w:rFonts w:ascii="David" w:hAnsi="David"/>
          <w:color w:val="050505"/>
          <w:sz w:val="20"/>
          <w:szCs w:val="20"/>
          <w:rtl/>
        </w:rPr>
        <w:t>צורכיו</w:t>
      </w:r>
      <w:proofErr w:type="spellEnd"/>
      <w:r w:rsidRPr="00402AD7">
        <w:rPr>
          <w:rFonts w:ascii="David" w:hAnsi="David"/>
          <w:color w:val="050505"/>
          <w:sz w:val="20"/>
          <w:szCs w:val="20"/>
          <w:rtl/>
        </w:rPr>
        <w:t xml:space="preserve"> של הנזקק, שהקים שר הסעד אז, יוסף בורג, כדי לקבוע את היקף הסיוע הנדרש למי שחיים בעוני</w:t>
      </w:r>
      <w:r w:rsidRPr="00402AD7">
        <w:rPr>
          <w:rFonts w:ascii="David" w:hAnsi="David"/>
          <w:color w:val="050505"/>
          <w:sz w:val="20"/>
          <w:szCs w:val="20"/>
        </w:rPr>
        <w:t>.</w:t>
      </w:r>
    </w:p>
    <w:p w14:paraId="2313221C" w14:textId="77777777" w:rsidR="00402AD7" w:rsidRPr="00402AD7" w:rsidRDefault="00402AD7" w:rsidP="00402AD7">
      <w:pPr>
        <w:shd w:val="clear" w:color="auto" w:fill="FFFFFF"/>
        <w:spacing w:after="180" w:line="280" w:lineRule="exact"/>
        <w:jc w:val="both"/>
        <w:rPr>
          <w:rFonts w:ascii="David" w:hAnsi="David"/>
          <w:color w:val="050505"/>
          <w:sz w:val="20"/>
          <w:szCs w:val="20"/>
          <w:rtl/>
        </w:rPr>
      </w:pPr>
      <w:r w:rsidRPr="00402AD7">
        <w:rPr>
          <w:rFonts w:ascii="David" w:hAnsi="David"/>
          <w:color w:val="050505"/>
          <w:sz w:val="20"/>
          <w:szCs w:val="20"/>
          <w:rtl/>
        </w:rPr>
        <w:t xml:space="preserve">באמצע שנות הששים למד לתואר דוקטור בבית הספר הגבוה לכלכלה באוניברסיטת לונדון וזכה להימצא בלב העשייה האקדמית והציבורית של בכירי החוקרים בתחום מדינת הרווחה בעולם אז, בהם ריצ'ארד </w:t>
      </w:r>
      <w:proofErr w:type="spellStart"/>
      <w:r w:rsidRPr="00402AD7">
        <w:rPr>
          <w:rFonts w:ascii="David" w:hAnsi="David"/>
          <w:color w:val="050505"/>
          <w:sz w:val="20"/>
          <w:szCs w:val="20"/>
          <w:rtl/>
        </w:rPr>
        <w:t>טיטמוס</w:t>
      </w:r>
      <w:proofErr w:type="spellEnd"/>
      <w:r w:rsidRPr="00402AD7">
        <w:rPr>
          <w:rFonts w:ascii="David" w:hAnsi="David"/>
          <w:color w:val="050505"/>
          <w:sz w:val="20"/>
          <w:szCs w:val="20"/>
          <w:rtl/>
        </w:rPr>
        <w:t xml:space="preserve">, בריאן </w:t>
      </w:r>
      <w:proofErr w:type="spellStart"/>
      <w:r w:rsidRPr="00402AD7">
        <w:rPr>
          <w:rFonts w:ascii="David" w:hAnsi="David"/>
          <w:color w:val="050505"/>
          <w:sz w:val="20"/>
          <w:szCs w:val="20"/>
          <w:rtl/>
        </w:rPr>
        <w:t>אייבל</w:t>
      </w:r>
      <w:proofErr w:type="spellEnd"/>
      <w:r w:rsidRPr="00402AD7">
        <w:rPr>
          <w:rFonts w:ascii="David" w:hAnsi="David"/>
          <w:color w:val="050505"/>
          <w:sz w:val="20"/>
          <w:szCs w:val="20"/>
          <w:rtl/>
        </w:rPr>
        <w:t xml:space="preserve">-סמית, דויד </w:t>
      </w:r>
      <w:proofErr w:type="spellStart"/>
      <w:r w:rsidRPr="00402AD7">
        <w:rPr>
          <w:rFonts w:ascii="David" w:hAnsi="David"/>
          <w:color w:val="050505"/>
          <w:sz w:val="20"/>
          <w:szCs w:val="20"/>
          <w:rtl/>
        </w:rPr>
        <w:t>דוניסון</w:t>
      </w:r>
      <w:proofErr w:type="spellEnd"/>
      <w:r w:rsidRPr="00402AD7">
        <w:rPr>
          <w:rFonts w:ascii="David" w:hAnsi="David"/>
          <w:color w:val="050505"/>
          <w:sz w:val="20"/>
          <w:szCs w:val="20"/>
          <w:rtl/>
        </w:rPr>
        <w:t xml:space="preserve"> ופיטר </w:t>
      </w:r>
      <w:proofErr w:type="spellStart"/>
      <w:r w:rsidRPr="00402AD7">
        <w:rPr>
          <w:rFonts w:ascii="David" w:hAnsi="David"/>
          <w:color w:val="050505"/>
          <w:sz w:val="20"/>
          <w:szCs w:val="20"/>
          <w:rtl/>
        </w:rPr>
        <w:t>טאונסנד</w:t>
      </w:r>
      <w:proofErr w:type="spellEnd"/>
      <w:r w:rsidRPr="00402AD7">
        <w:rPr>
          <w:rFonts w:ascii="David" w:hAnsi="David"/>
          <w:color w:val="050505"/>
          <w:sz w:val="20"/>
          <w:szCs w:val="20"/>
          <w:rtl/>
        </w:rPr>
        <w:t>. משחזר לארץ ולאוניברסיטה העברית, פעל ביתר שאת להקמת מדינת רווחה מתקדמת בישראל לאור המחקר והשיח במדינות רווחה מובילות בעולם, ובמקביל שקד על פיתוח מסד תיאורטי ואמפירי מוצק לחקר מדיניות חברתית ולהוראת הנושא.</w:t>
      </w:r>
    </w:p>
    <w:p w14:paraId="30105587" w14:textId="77777777" w:rsidR="00402AD7" w:rsidRPr="00402AD7" w:rsidRDefault="00402AD7" w:rsidP="00402AD7">
      <w:pPr>
        <w:shd w:val="clear" w:color="auto" w:fill="FFFFFF"/>
        <w:spacing w:after="180" w:line="280" w:lineRule="exact"/>
        <w:jc w:val="both"/>
        <w:rPr>
          <w:rFonts w:ascii="David" w:hAnsi="David"/>
          <w:color w:val="050505"/>
          <w:sz w:val="20"/>
          <w:szCs w:val="20"/>
          <w:rtl/>
        </w:rPr>
      </w:pPr>
      <w:r w:rsidRPr="00402AD7">
        <w:rPr>
          <w:rFonts w:ascii="David" w:hAnsi="David"/>
          <w:color w:val="050505"/>
          <w:sz w:val="20"/>
          <w:szCs w:val="20"/>
          <w:rtl/>
        </w:rPr>
        <w:t>בשנות השבעים, שבהן הוקמה למעשה מדינת רווחה בישראל, ערך מחקרים עם אגף המחקר בביטוח הלאומי ועם ראשי משרד הסעד (לימים משרד העבודה והרווחה), למשל בתחום סבסוד שכרם של בעלי שכר נמוך, ועדות ערר בשירותי הסעד, אחריות קרובים במערכת הסעד, כמו גם מחקרים בינלאומיים משווים עם בכירי החוקרים בעולם. בד בבד הניח את היסודות לרשת הביטחון החברתי והכין בעבור הביטוח הלאומי את תוכנית הבטחת הכנסה, שעוגנה זמן קצר לאחר מכן בחוק. אז גיבש עוד יותר את תפיסתו בנוגע למדינת הרווחה הישראלית הרצויה: אוניברסלית בעיקרה (וסלקטיבית בעבור הנזקקים לה), מקיפה בתחומי פעילותה, מספקת ביטחון סוציאלי לכלל האזרחים אך גם בעלת ממדים ברורים של חלוקה מחדש, מופעלת על ידי עובדי מדינה שהם אנשי מקצוע, נגישה לתובעים את שירותיה, ומבטאת אחריות הדדית באמצעות דפוסי מימונה</w:t>
      </w:r>
      <w:r w:rsidRPr="00402AD7">
        <w:rPr>
          <w:rFonts w:ascii="David" w:hAnsi="David"/>
          <w:color w:val="050505"/>
          <w:sz w:val="20"/>
          <w:szCs w:val="20"/>
        </w:rPr>
        <w:t>.</w:t>
      </w:r>
    </w:p>
    <w:p w14:paraId="7DADEF36" w14:textId="77777777" w:rsidR="00402AD7" w:rsidRPr="00402AD7" w:rsidRDefault="00402AD7" w:rsidP="00402AD7">
      <w:pPr>
        <w:shd w:val="clear" w:color="auto" w:fill="FFFFFF"/>
        <w:spacing w:after="180" w:line="280" w:lineRule="exact"/>
        <w:jc w:val="both"/>
        <w:rPr>
          <w:rFonts w:ascii="David" w:hAnsi="David"/>
          <w:color w:val="050505"/>
          <w:sz w:val="20"/>
          <w:szCs w:val="20"/>
          <w:rtl/>
        </w:rPr>
      </w:pPr>
      <w:r w:rsidRPr="00402AD7">
        <w:rPr>
          <w:rFonts w:ascii="David" w:hAnsi="David"/>
          <w:color w:val="050505"/>
          <w:sz w:val="20"/>
          <w:szCs w:val="20"/>
          <w:rtl/>
        </w:rPr>
        <w:t>בשנות השמונים, עם עלייתם של רעיונות וצעדי מדיניות נאו-ליברליים והניסיונות לערער על עקרון האוניברסליות של הרווחה ולהפריט את שירותיה תוך פגיעה בזכויות הנזקקים לה – ניצב דורון כמוכיח בשער. בהוראה ובכתיבה, בשיח הציבורי ובשיתופי הפעולה שלו עם דור החוקרים שטיפח,</w:t>
      </w:r>
      <w:r w:rsidRPr="00402AD7">
        <w:rPr>
          <w:rFonts w:ascii="David" w:hAnsi="David"/>
          <w:color w:val="050505"/>
          <w:sz w:val="20"/>
          <w:szCs w:val="20"/>
        </w:rPr>
        <w:t xml:space="preserve"> </w:t>
      </w:r>
      <w:r w:rsidRPr="00402AD7">
        <w:rPr>
          <w:rFonts w:ascii="David" w:hAnsi="David"/>
          <w:color w:val="050505"/>
          <w:sz w:val="20"/>
          <w:szCs w:val="20"/>
          <w:rtl/>
        </w:rPr>
        <w:t xml:space="preserve">הזהיר מפני התוצאות ההרסניות של תהליכים אלו והצביע על נזקיהם למוחלשים שבחברה הישראלית ולסולידריות שבה. בספרו החשוב </w:t>
      </w:r>
      <w:r w:rsidRPr="00402AD7">
        <w:rPr>
          <w:rFonts w:ascii="David" w:hAnsi="David"/>
          <w:b/>
          <w:bCs/>
          <w:color w:val="050505"/>
          <w:sz w:val="20"/>
          <w:szCs w:val="20"/>
          <w:rtl/>
        </w:rPr>
        <w:t>מדינת הרווחה בעידן של תמורות</w:t>
      </w:r>
      <w:r w:rsidRPr="00402AD7">
        <w:rPr>
          <w:rFonts w:ascii="David" w:hAnsi="David"/>
          <w:color w:val="050505"/>
          <w:sz w:val="20"/>
          <w:szCs w:val="20"/>
          <w:rtl/>
        </w:rPr>
        <w:t>, הציב את הסוגיות הללו בהקשר תיאורטי והיסטורי רחב תוך הדגמה מהניסיון הבינלאומי. במאמרו</w:t>
      </w:r>
      <w:r w:rsidRPr="00402AD7">
        <w:rPr>
          <w:rFonts w:ascii="David" w:hAnsi="David"/>
          <w:b/>
          <w:bCs/>
          <w:color w:val="050505"/>
          <w:sz w:val="20"/>
          <w:szCs w:val="20"/>
          <w:rtl/>
        </w:rPr>
        <w:t xml:space="preserve"> לדמותה החברתית של העבודה הסוציאלית</w:t>
      </w:r>
      <w:r w:rsidRPr="00402AD7">
        <w:rPr>
          <w:rFonts w:ascii="David" w:hAnsi="David"/>
          <w:color w:val="050505"/>
          <w:sz w:val="20"/>
          <w:szCs w:val="20"/>
          <w:rtl/>
        </w:rPr>
        <w:t>, שהפך לאבן דרך בספרות העבודה הסוציאלית בישראל, קרא לעובדות ולעובדים הסוציאליים – שהם אנשי המקצוע המזוהים ביותר עם מדינת הרווחה - שלא להצטמצם בעולם הטיפולי המתמקד בפרט אלא לדבוק במחויבותם לצדק חברתי ולפעול למען שינוי תנאי הסביבה שהם המקור העיקרי למצוקה</w:t>
      </w:r>
      <w:r w:rsidRPr="00402AD7">
        <w:rPr>
          <w:rFonts w:ascii="David" w:hAnsi="David"/>
          <w:color w:val="050505"/>
          <w:sz w:val="20"/>
          <w:szCs w:val="20"/>
        </w:rPr>
        <w:t>.</w:t>
      </w:r>
    </w:p>
    <w:p w14:paraId="14BEDC49" w14:textId="77777777" w:rsidR="00402AD7" w:rsidRPr="00402AD7" w:rsidRDefault="00402AD7" w:rsidP="00402AD7">
      <w:pPr>
        <w:shd w:val="clear" w:color="auto" w:fill="FFFFFF"/>
        <w:spacing w:after="180" w:line="280" w:lineRule="exact"/>
        <w:jc w:val="both"/>
        <w:rPr>
          <w:rFonts w:ascii="David" w:hAnsi="David"/>
          <w:color w:val="050505"/>
          <w:sz w:val="20"/>
          <w:szCs w:val="20"/>
          <w:rtl/>
        </w:rPr>
      </w:pPr>
      <w:r w:rsidRPr="00402AD7">
        <w:rPr>
          <w:rFonts w:ascii="David" w:hAnsi="David"/>
          <w:color w:val="050505"/>
          <w:sz w:val="20"/>
          <w:szCs w:val="20"/>
          <w:rtl/>
        </w:rPr>
        <w:t xml:space="preserve">סדרה של פרסומים בשנות התשעים ותחילת המאה ה-21 ביססו את מעמדו כמתעד התפתחותה של מדינת הרווחה בישראל וכמי שמכיר את מערכותיה על </w:t>
      </w:r>
      <w:proofErr w:type="spellStart"/>
      <w:r w:rsidRPr="00402AD7">
        <w:rPr>
          <w:rFonts w:ascii="David" w:hAnsi="David"/>
          <w:color w:val="050505"/>
          <w:sz w:val="20"/>
          <w:szCs w:val="20"/>
          <w:rtl/>
        </w:rPr>
        <w:t>בוריין</w:t>
      </w:r>
      <w:proofErr w:type="spellEnd"/>
      <w:r w:rsidRPr="00402AD7">
        <w:rPr>
          <w:rFonts w:ascii="David" w:hAnsi="David"/>
          <w:color w:val="050505"/>
          <w:sz w:val="20"/>
          <w:szCs w:val="20"/>
          <w:rtl/>
        </w:rPr>
        <w:t xml:space="preserve">. ספרו </w:t>
      </w:r>
      <w:r w:rsidRPr="00402AD7">
        <w:rPr>
          <w:rFonts w:ascii="David" w:hAnsi="David"/>
          <w:b/>
          <w:bCs/>
          <w:color w:val="050505"/>
          <w:sz w:val="20"/>
          <w:szCs w:val="20"/>
          <w:rtl/>
        </w:rPr>
        <w:t xml:space="preserve">מדינת </w:t>
      </w:r>
      <w:r w:rsidRPr="00402AD7">
        <w:rPr>
          <w:rFonts w:ascii="David" w:hAnsi="David"/>
          <w:b/>
          <w:bCs/>
          <w:color w:val="050505"/>
          <w:sz w:val="20"/>
          <w:szCs w:val="20"/>
          <w:rtl/>
        </w:rPr>
        <w:lastRenderedPageBreak/>
        <w:t>הרווחה בישראל</w:t>
      </w:r>
      <w:r w:rsidRPr="00402AD7">
        <w:rPr>
          <w:rFonts w:ascii="David" w:hAnsi="David"/>
          <w:color w:val="050505"/>
          <w:sz w:val="20"/>
          <w:szCs w:val="20"/>
          <w:rtl/>
        </w:rPr>
        <w:t xml:space="preserve"> (שנכתב עם </w:t>
      </w:r>
      <w:proofErr w:type="spellStart"/>
      <w:r w:rsidRPr="00402AD7">
        <w:rPr>
          <w:rFonts w:ascii="David" w:hAnsi="David"/>
          <w:color w:val="050505"/>
          <w:sz w:val="20"/>
          <w:szCs w:val="20"/>
          <w:rtl/>
        </w:rPr>
        <w:t>רלף</w:t>
      </w:r>
      <w:proofErr w:type="spellEnd"/>
      <w:r w:rsidRPr="00402AD7">
        <w:rPr>
          <w:rFonts w:ascii="David" w:hAnsi="David"/>
          <w:color w:val="050505"/>
          <w:sz w:val="20"/>
          <w:szCs w:val="20"/>
          <w:rtl/>
        </w:rPr>
        <w:t xml:space="preserve"> קרמר ופורסם ב-1991 בארצות הברית ואחר כך גם בישראל) הציג לראשונה את מאפייני מדינת הרווחה בישראל והפך לספר חובה לכל העוסקים בתחום. דורון לא זנח לרגע את המאבק להגנה על הישגיה של מדינת הרווחה והתמיד בביקורתו על הניסיונות לכרסם בה, למשל בספרו </w:t>
      </w:r>
      <w:r w:rsidRPr="00402AD7">
        <w:rPr>
          <w:rFonts w:ascii="David" w:hAnsi="David"/>
          <w:b/>
          <w:bCs/>
          <w:color w:val="050505"/>
          <w:sz w:val="20"/>
          <w:szCs w:val="20"/>
          <w:rtl/>
        </w:rPr>
        <w:t>בזכות האוניברסליות</w:t>
      </w:r>
      <w:r w:rsidRPr="00402AD7">
        <w:rPr>
          <w:rFonts w:ascii="David" w:hAnsi="David"/>
          <w:color w:val="050505"/>
          <w:sz w:val="20"/>
          <w:szCs w:val="20"/>
          <w:rtl/>
        </w:rPr>
        <w:t xml:space="preserve"> (1995). הוא ביקר בחריפות את צמיחתם של בתי תמחוי לנוכח התרחבות העוני והפגיעה ברשתות הביטחון החברתיות ואת תוכנית ויסקונסין, שבמסגרתה הופרט מבחן התעסוקה למקבלי הבטחת הכנסה והוחמרו תנאי הזכאות לגמלה. הוא אף היה מעורב במה שזכה לכינוי </w:t>
      </w:r>
      <w:r w:rsidRPr="00402AD7">
        <w:rPr>
          <w:rFonts w:ascii="David" w:hAnsi="David"/>
          <w:b/>
          <w:bCs/>
          <w:color w:val="050505"/>
          <w:sz w:val="20"/>
          <w:szCs w:val="20"/>
          <w:rtl/>
        </w:rPr>
        <w:t>בג"ץ הקיום בכבוד</w:t>
      </w:r>
      <w:r w:rsidRPr="00402AD7">
        <w:rPr>
          <w:rFonts w:ascii="David" w:hAnsi="David"/>
          <w:color w:val="050505"/>
          <w:sz w:val="20"/>
          <w:szCs w:val="20"/>
        </w:rPr>
        <w:t xml:space="preserve"> </w:t>
      </w:r>
      <w:r w:rsidRPr="00402AD7">
        <w:rPr>
          <w:rFonts w:ascii="David" w:hAnsi="David"/>
          <w:color w:val="050505"/>
          <w:sz w:val="20"/>
          <w:szCs w:val="20"/>
          <w:rtl/>
        </w:rPr>
        <w:t>– שנועד למנוע קיצוץ בתוכנית להבטחת הכנסה בתחילת שנות האלפיים.</w:t>
      </w:r>
    </w:p>
    <w:p w14:paraId="7915A51F" w14:textId="77777777" w:rsidR="00402AD7" w:rsidRPr="00402AD7" w:rsidRDefault="00402AD7" w:rsidP="00402AD7">
      <w:pPr>
        <w:shd w:val="clear" w:color="auto" w:fill="FFFFFF"/>
        <w:spacing w:after="180" w:line="280" w:lineRule="exact"/>
        <w:jc w:val="both"/>
        <w:rPr>
          <w:rFonts w:ascii="David" w:hAnsi="David"/>
          <w:color w:val="050505"/>
          <w:sz w:val="20"/>
          <w:szCs w:val="20"/>
          <w:rtl/>
        </w:rPr>
      </w:pPr>
      <w:r w:rsidRPr="00402AD7">
        <w:rPr>
          <w:rFonts w:ascii="David" w:hAnsi="David"/>
          <w:color w:val="050505"/>
          <w:sz w:val="20"/>
          <w:szCs w:val="20"/>
          <w:rtl/>
        </w:rPr>
        <w:t>פועלו של דורון ותרומתו לחקר ולעשייה בתחום המדיניות החברתית זכו לשיא הכרתם עת הוענק לו פרס ישראל לחקר העבודה הסוציאלית (ב-2004) אף שנחישותו לבקר את המדיניות המחלישה אותה לא קהתה לרגע. לאחר שפרש לגמלאות הוסיף וערך מחקרים על סוגיות בהווה ומגמות העבר שטרם נחקרו.</w:t>
      </w:r>
      <w:r w:rsidRPr="00402AD7">
        <w:rPr>
          <w:rFonts w:ascii="David" w:hAnsi="David"/>
          <w:color w:val="050505"/>
          <w:sz w:val="20"/>
          <w:szCs w:val="20"/>
        </w:rPr>
        <w:t xml:space="preserve"> </w:t>
      </w:r>
    </w:p>
    <w:p w14:paraId="4E6C96D7" w14:textId="77777777" w:rsidR="00402AD7" w:rsidRDefault="00402AD7" w:rsidP="00402AD7">
      <w:pPr>
        <w:shd w:val="clear" w:color="auto" w:fill="FFFFFF"/>
        <w:spacing w:after="180" w:line="280" w:lineRule="exact"/>
        <w:jc w:val="both"/>
        <w:rPr>
          <w:rFonts w:ascii="David" w:hAnsi="David"/>
          <w:color w:val="050505"/>
          <w:sz w:val="20"/>
          <w:szCs w:val="20"/>
        </w:rPr>
      </w:pPr>
    </w:p>
    <w:p w14:paraId="36E38442" w14:textId="77777777" w:rsidR="007A0C7A" w:rsidRPr="00834F6B" w:rsidRDefault="007A0C7A" w:rsidP="007A0C7A">
      <w:pPr>
        <w:shd w:val="clear" w:color="auto" w:fill="FFFFFF"/>
        <w:spacing w:before="240" w:after="180" w:line="280" w:lineRule="exact"/>
        <w:jc w:val="both"/>
        <w:rPr>
          <w:rFonts w:ascii="David" w:hAnsi="David"/>
          <w:color w:val="050505"/>
          <w:sz w:val="18"/>
          <w:szCs w:val="18"/>
        </w:rPr>
      </w:pPr>
      <w:r w:rsidRPr="00834F6B">
        <w:rPr>
          <w:rFonts w:ascii="David" w:hAnsi="David"/>
          <w:color w:val="050505"/>
          <w:sz w:val="18"/>
          <w:szCs w:val="18"/>
          <w:rtl/>
        </w:rPr>
        <w:t xml:space="preserve">נכתב בידי פרופ' ג'וני גל וד"ר אבישי </w:t>
      </w:r>
      <w:proofErr w:type="spellStart"/>
      <w:r w:rsidRPr="00834F6B">
        <w:rPr>
          <w:rFonts w:ascii="David" w:hAnsi="David"/>
          <w:color w:val="050505"/>
          <w:sz w:val="18"/>
          <w:szCs w:val="18"/>
          <w:rtl/>
        </w:rPr>
        <w:t>בניש</w:t>
      </w:r>
      <w:proofErr w:type="spellEnd"/>
      <w:r w:rsidRPr="00834F6B">
        <w:rPr>
          <w:rFonts w:ascii="David" w:hAnsi="David"/>
          <w:color w:val="050505"/>
          <w:sz w:val="18"/>
          <w:szCs w:val="18"/>
          <w:rtl/>
        </w:rPr>
        <w:t xml:space="preserve">, חברי סגל בית הספר לעבודה סוציאלית ולרווחה חברתית באוניברסיטה העברית בירושלים ועורכי הספר </w:t>
      </w:r>
      <w:r w:rsidRPr="00834F6B">
        <w:rPr>
          <w:rFonts w:ascii="David" w:hAnsi="David"/>
          <w:b/>
          <w:bCs/>
          <w:color w:val="050505"/>
          <w:sz w:val="18"/>
          <w:szCs w:val="18"/>
          <w:rtl/>
        </w:rPr>
        <w:t>בזכות מדינת הרווחה</w:t>
      </w:r>
      <w:r w:rsidRPr="00834F6B">
        <w:rPr>
          <w:rFonts w:ascii="David" w:hAnsi="David"/>
          <w:color w:val="050505"/>
          <w:sz w:val="18"/>
          <w:szCs w:val="18"/>
          <w:rtl/>
        </w:rPr>
        <w:t xml:space="preserve"> - מבחר ממאמריו של פרופ' אברהם דורון (פורסם ב-2018).</w:t>
      </w:r>
    </w:p>
    <w:p w14:paraId="51559CC3" w14:textId="21CF2F35" w:rsidR="007A0C7A" w:rsidRDefault="007A0C7A" w:rsidP="00402AD7">
      <w:pPr>
        <w:shd w:val="clear" w:color="auto" w:fill="FFFFFF"/>
        <w:spacing w:after="180" w:line="280" w:lineRule="exact"/>
        <w:jc w:val="both"/>
        <w:rPr>
          <w:rFonts w:ascii="David" w:hAnsi="David"/>
          <w:color w:val="050505"/>
          <w:sz w:val="20"/>
          <w:szCs w:val="20"/>
          <w:rtl/>
        </w:rPr>
      </w:pPr>
    </w:p>
    <w:p w14:paraId="2452BC3A" w14:textId="150BCAD9" w:rsidR="003806C0" w:rsidRPr="007A0C7A" w:rsidRDefault="003806C0" w:rsidP="00402AD7">
      <w:pPr>
        <w:shd w:val="clear" w:color="auto" w:fill="FFFFFF"/>
        <w:spacing w:after="180" w:line="280" w:lineRule="exact"/>
        <w:jc w:val="both"/>
        <w:rPr>
          <w:rFonts w:ascii="David" w:hAnsi="David"/>
          <w:color w:val="050505"/>
          <w:sz w:val="20"/>
          <w:szCs w:val="20"/>
          <w:rtl/>
        </w:rPr>
      </w:pPr>
      <w:r>
        <w:rPr>
          <w:rFonts w:ascii="David" w:hAnsi="David"/>
          <w:color w:val="050505"/>
          <w:sz w:val="20"/>
          <w:szCs w:val="20"/>
          <w:rtl/>
        </w:rPr>
        <w:br w:type="page"/>
      </w:r>
    </w:p>
    <w:sectPr w:rsidR="003806C0" w:rsidRPr="007A0C7A" w:rsidSect="00E04F2F">
      <w:pgSz w:w="11906" w:h="16838" w:code="9"/>
      <w:pgMar w:top="3515" w:right="2722" w:bottom="2948" w:left="2722" w:header="2665" w:footer="2665" w:gutter="0"/>
      <w:pgNumType w:start="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52F3C" w14:textId="77777777" w:rsidR="00E23A8B" w:rsidRDefault="00E23A8B">
      <w:pPr>
        <w:spacing w:line="240" w:lineRule="auto"/>
      </w:pPr>
      <w:r>
        <w:separator/>
      </w:r>
    </w:p>
  </w:endnote>
  <w:endnote w:type="continuationSeparator" w:id="0">
    <w:p w14:paraId="14C7D81D" w14:textId="77777777" w:rsidR="00E23A8B" w:rsidRDefault="00E23A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Guttman Hodes">
    <w:charset w:val="B1"/>
    <w:family w:val="auto"/>
    <w:pitch w:val="variable"/>
    <w:sig w:usb0="00000801" w:usb1="4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F33E2" w14:textId="77777777" w:rsidR="00E23A8B" w:rsidRDefault="00E23A8B">
      <w:pPr>
        <w:spacing w:after="80"/>
        <w:rPr>
          <w:rFonts w:cs="FrankRuehl"/>
          <w:sz w:val="18"/>
          <w:szCs w:val="18"/>
        </w:rPr>
      </w:pPr>
      <w:r>
        <w:rPr>
          <w:rFonts w:cs="FrankRuehl" w:hint="cs"/>
          <w:sz w:val="18"/>
          <w:szCs w:val="18"/>
          <w:rtl/>
        </w:rPr>
        <w:t>_____________</w:t>
      </w:r>
    </w:p>
  </w:footnote>
  <w:footnote w:type="continuationSeparator" w:id="0">
    <w:p w14:paraId="02F41D0F" w14:textId="77777777" w:rsidR="00E23A8B" w:rsidRDefault="00E23A8B">
      <w:r>
        <w:continuationSeparator/>
      </w:r>
    </w:p>
  </w:footnote>
  <w:footnote w:type="continuationNotice" w:id="1">
    <w:p w14:paraId="560B3FDB" w14:textId="77777777" w:rsidR="00E23A8B" w:rsidRDefault="00E23A8B">
      <w:pPr>
        <w:rPr>
          <w:rt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767CCF"/>
    <w:multiLevelType w:val="hybridMultilevel"/>
    <w:tmpl w:val="CB5650BC"/>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 w15:restartNumberingAfterBreak="0">
    <w:nsid w:val="66FD3A51"/>
    <w:multiLevelType w:val="hybridMultilevel"/>
    <w:tmpl w:val="D2A4976A"/>
    <w:lvl w:ilvl="0" w:tplc="0409000F">
      <w:start w:val="1"/>
      <w:numFmt w:val="decimal"/>
      <w:lvlText w:val="%1."/>
      <w:lvlJc w:val="left"/>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 w15:restartNumberingAfterBreak="0">
    <w:nsid w:val="7F4C4DCE"/>
    <w:multiLevelType w:val="hybridMultilevel"/>
    <w:tmpl w:val="DADCE4DE"/>
    <w:lvl w:ilvl="0" w:tplc="0407000F">
      <w:start w:val="1"/>
      <w:numFmt w:val="decimal"/>
      <w:lvlText w:val="%1."/>
      <w:lvlJc w:val="left"/>
      <w:pPr>
        <w:tabs>
          <w:tab w:val="num" w:pos="720"/>
        </w:tabs>
        <w:ind w:left="720" w:right="720" w:hanging="360"/>
      </w:pPr>
    </w:lvl>
    <w:lvl w:ilvl="1" w:tplc="04070019" w:tentative="1">
      <w:start w:val="1"/>
      <w:numFmt w:val="lowerLetter"/>
      <w:lvlText w:val="%2."/>
      <w:lvlJc w:val="left"/>
      <w:pPr>
        <w:tabs>
          <w:tab w:val="num" w:pos="1440"/>
        </w:tabs>
        <w:ind w:left="1440" w:right="1440" w:hanging="360"/>
      </w:pPr>
    </w:lvl>
    <w:lvl w:ilvl="2" w:tplc="0407001B" w:tentative="1">
      <w:start w:val="1"/>
      <w:numFmt w:val="lowerRoman"/>
      <w:lvlText w:val="%3."/>
      <w:lvlJc w:val="right"/>
      <w:pPr>
        <w:tabs>
          <w:tab w:val="num" w:pos="2160"/>
        </w:tabs>
        <w:ind w:left="2160" w:right="2160" w:hanging="180"/>
      </w:pPr>
    </w:lvl>
    <w:lvl w:ilvl="3" w:tplc="0407000F" w:tentative="1">
      <w:start w:val="1"/>
      <w:numFmt w:val="decimal"/>
      <w:lvlText w:val="%4."/>
      <w:lvlJc w:val="left"/>
      <w:pPr>
        <w:tabs>
          <w:tab w:val="num" w:pos="2880"/>
        </w:tabs>
        <w:ind w:left="2880" w:right="2880" w:hanging="360"/>
      </w:pPr>
    </w:lvl>
    <w:lvl w:ilvl="4" w:tplc="04070019" w:tentative="1">
      <w:start w:val="1"/>
      <w:numFmt w:val="lowerLetter"/>
      <w:lvlText w:val="%5."/>
      <w:lvlJc w:val="left"/>
      <w:pPr>
        <w:tabs>
          <w:tab w:val="num" w:pos="3600"/>
        </w:tabs>
        <w:ind w:left="3600" w:right="3600" w:hanging="360"/>
      </w:pPr>
    </w:lvl>
    <w:lvl w:ilvl="5" w:tplc="0407001B" w:tentative="1">
      <w:start w:val="1"/>
      <w:numFmt w:val="lowerRoman"/>
      <w:lvlText w:val="%6."/>
      <w:lvlJc w:val="right"/>
      <w:pPr>
        <w:tabs>
          <w:tab w:val="num" w:pos="4320"/>
        </w:tabs>
        <w:ind w:left="4320" w:right="4320" w:hanging="180"/>
      </w:pPr>
    </w:lvl>
    <w:lvl w:ilvl="6" w:tplc="0407000F" w:tentative="1">
      <w:start w:val="1"/>
      <w:numFmt w:val="decimal"/>
      <w:lvlText w:val="%7."/>
      <w:lvlJc w:val="left"/>
      <w:pPr>
        <w:tabs>
          <w:tab w:val="num" w:pos="5040"/>
        </w:tabs>
        <w:ind w:left="5040" w:right="5040" w:hanging="360"/>
      </w:pPr>
    </w:lvl>
    <w:lvl w:ilvl="7" w:tplc="04070019" w:tentative="1">
      <w:start w:val="1"/>
      <w:numFmt w:val="lowerLetter"/>
      <w:lvlText w:val="%8."/>
      <w:lvlJc w:val="left"/>
      <w:pPr>
        <w:tabs>
          <w:tab w:val="num" w:pos="5760"/>
        </w:tabs>
        <w:ind w:left="5760" w:right="5760" w:hanging="360"/>
      </w:pPr>
    </w:lvl>
    <w:lvl w:ilvl="8" w:tplc="0407001B" w:tentative="1">
      <w:start w:val="1"/>
      <w:numFmt w:val="lowerRoman"/>
      <w:lvlText w:val="%9."/>
      <w:lvlJc w:val="right"/>
      <w:pPr>
        <w:tabs>
          <w:tab w:val="num" w:pos="6480"/>
        </w:tabs>
        <w:ind w:left="6480" w:righ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02AD7"/>
    <w:rsid w:val="000471C0"/>
    <w:rsid w:val="001E3C96"/>
    <w:rsid w:val="00271D50"/>
    <w:rsid w:val="002B1584"/>
    <w:rsid w:val="003806C0"/>
    <w:rsid w:val="0039622A"/>
    <w:rsid w:val="00402489"/>
    <w:rsid w:val="00402AD7"/>
    <w:rsid w:val="00574E39"/>
    <w:rsid w:val="006633B2"/>
    <w:rsid w:val="007A0C7A"/>
    <w:rsid w:val="00834F6B"/>
    <w:rsid w:val="00897FEF"/>
    <w:rsid w:val="00AE2665"/>
    <w:rsid w:val="00D0648A"/>
    <w:rsid w:val="00D671D6"/>
    <w:rsid w:val="00E04F2F"/>
    <w:rsid w:val="00E23A8B"/>
    <w:rsid w:val="00E753CB"/>
    <w:rsid w:val="00EB62D1"/>
    <w:rsid w:val="00EE1A47"/>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7BBB3C"/>
  <w15:chartTrackingRefBased/>
  <w15:docId w15:val="{CAD7ED4C-BE63-413B-906D-B90DD6781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L" w:eastAsia="en-IL"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line="240" w:lineRule="exact"/>
    </w:pPr>
    <w:rPr>
      <w:rFonts w:cs="David"/>
      <w:sz w:val="24"/>
      <w:szCs w:val="24"/>
      <w:lang w:val="en-US" w:eastAsia="en-US"/>
    </w:rPr>
  </w:style>
  <w:style w:type="paragraph" w:styleId="Heading1">
    <w:name w:val="heading 1"/>
    <w:basedOn w:val="Normal"/>
    <w:next w:val="Normal"/>
    <w:qFormat/>
    <w:pPr>
      <w:keepNext/>
      <w:spacing w:after="120" w:line="300" w:lineRule="exact"/>
      <w:jc w:val="both"/>
      <w:outlineLvl w:val="0"/>
    </w:pPr>
    <w:rPr>
      <w:rFonts w:cs="FrankRuehl"/>
      <w:b/>
      <w:bCs/>
      <w:sz w:val="28"/>
      <w:szCs w:val="28"/>
    </w:rPr>
  </w:style>
  <w:style w:type="paragraph" w:styleId="Heading2">
    <w:name w:val="heading 2"/>
    <w:basedOn w:val="Normal"/>
    <w:next w:val="Normal"/>
    <w:qFormat/>
    <w:pPr>
      <w:keepNext/>
      <w:spacing w:line="140" w:lineRule="exact"/>
      <w:outlineLvl w:val="1"/>
    </w:pPr>
    <w:rPr>
      <w:rFonts w:cs="FrankRuehl"/>
      <w:sz w:val="18"/>
      <w:szCs w:val="20"/>
      <w:u w:val="single"/>
    </w:rPr>
  </w:style>
  <w:style w:type="paragraph" w:styleId="Heading3">
    <w:name w:val="heading 3"/>
    <w:basedOn w:val="Normal"/>
    <w:next w:val="Normal"/>
    <w:qFormat/>
    <w:pPr>
      <w:keepNext/>
      <w:spacing w:before="40" w:after="40" w:line="220" w:lineRule="exact"/>
      <w:jc w:val="center"/>
      <w:outlineLvl w:val="2"/>
    </w:pPr>
    <w:rPr>
      <w:rFonts w:cs="FrankRuehl"/>
      <w:b/>
      <w:bCs/>
      <w:sz w:val="20"/>
      <w:szCs w:val="20"/>
    </w:rPr>
  </w:style>
  <w:style w:type="paragraph" w:styleId="Heading4">
    <w:name w:val="heading 4"/>
    <w:basedOn w:val="Normal"/>
    <w:next w:val="Normal"/>
    <w:qFormat/>
    <w:pPr>
      <w:keepNext/>
      <w:spacing w:before="120" w:after="240"/>
      <w:outlineLvl w:val="3"/>
    </w:pPr>
    <w:rPr>
      <w:b/>
      <w:bCs/>
      <w:sz w:val="28"/>
      <w:szCs w:val="28"/>
      <w:lang w:val="en-GB"/>
    </w:rPr>
  </w:style>
  <w:style w:type="paragraph" w:styleId="Heading7">
    <w:name w:val="heading 7"/>
    <w:basedOn w:val="Normal"/>
    <w:next w:val="Normal"/>
    <w:qFormat/>
    <w:pPr>
      <w:keepNext/>
      <w:spacing w:after="120" w:line="240" w:lineRule="auto"/>
      <w:outlineLvl w:val="6"/>
    </w:pPr>
    <w:rPr>
      <w:b/>
      <w:bCs/>
      <w:sz w:val="20"/>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OT1">
    <w:name w:val="KOT1"/>
    <w:basedOn w:val="Normal"/>
    <w:pPr>
      <w:keepNext/>
      <w:spacing w:after="360" w:line="400" w:lineRule="exact"/>
      <w:jc w:val="center"/>
    </w:pPr>
    <w:rPr>
      <w:b/>
      <w:bCs/>
      <w:sz w:val="36"/>
      <w:szCs w:val="36"/>
      <w:lang w:eastAsia="he-IL"/>
    </w:rPr>
  </w:style>
  <w:style w:type="paragraph" w:customStyle="1" w:styleId="KOT2">
    <w:name w:val="KOT2"/>
    <w:basedOn w:val="Normal"/>
    <w:pPr>
      <w:keepNext/>
      <w:spacing w:after="360" w:line="360" w:lineRule="exact"/>
      <w:jc w:val="center"/>
    </w:pPr>
    <w:rPr>
      <w:b/>
      <w:bCs/>
      <w:sz w:val="32"/>
      <w:szCs w:val="32"/>
      <w:lang w:eastAsia="he-IL"/>
    </w:rPr>
  </w:style>
  <w:style w:type="paragraph" w:customStyle="1" w:styleId="KOT3A">
    <w:name w:val="KOT3A"/>
    <w:basedOn w:val="Normal"/>
    <w:pPr>
      <w:spacing w:after="120" w:line="360" w:lineRule="exact"/>
    </w:pPr>
    <w:rPr>
      <w:b/>
      <w:bCs/>
      <w:spacing w:val="40"/>
      <w:szCs w:val="30"/>
    </w:rPr>
  </w:style>
  <w:style w:type="paragraph" w:customStyle="1" w:styleId="KOT3">
    <w:name w:val="KOT3"/>
    <w:basedOn w:val="KOT3A"/>
    <w:pPr>
      <w:keepNext/>
      <w:spacing w:after="360"/>
      <w:jc w:val="center"/>
    </w:pPr>
    <w:rPr>
      <w:spacing w:val="0"/>
      <w:szCs w:val="28"/>
    </w:rPr>
  </w:style>
  <w:style w:type="paragraph" w:customStyle="1" w:styleId="KOT4">
    <w:name w:val="KOT4"/>
    <w:basedOn w:val="KOT3"/>
    <w:pPr>
      <w:spacing w:after="240" w:line="300" w:lineRule="exact"/>
      <w:jc w:val="left"/>
    </w:pPr>
    <w:rPr>
      <w:sz w:val="26"/>
      <w:szCs w:val="26"/>
    </w:rPr>
  </w:style>
  <w:style w:type="paragraph" w:customStyle="1" w:styleId="KOT5">
    <w:name w:val="KOT5"/>
    <w:basedOn w:val="KOT4"/>
    <w:pPr>
      <w:spacing w:after="120" w:line="260" w:lineRule="exact"/>
    </w:pPr>
    <w:rPr>
      <w:sz w:val="22"/>
      <w:szCs w:val="22"/>
    </w:rPr>
  </w:style>
  <w:style w:type="paragraph" w:customStyle="1" w:styleId="NAME">
    <w:name w:val="NAME"/>
    <w:basedOn w:val="Normal"/>
    <w:pPr>
      <w:pBdr>
        <w:bottom w:val="single" w:sz="4" w:space="6" w:color="auto"/>
      </w:pBdr>
      <w:spacing w:after="120" w:line="312" w:lineRule="auto"/>
      <w:jc w:val="right"/>
      <w:outlineLvl w:val="0"/>
    </w:pPr>
    <w:rPr>
      <w:sz w:val="42"/>
      <w:szCs w:val="42"/>
      <w:lang w:eastAsia="he-IL"/>
    </w:rPr>
  </w:style>
  <w:style w:type="paragraph" w:customStyle="1" w:styleId="PATIAH">
    <w:name w:val="PATIAH"/>
    <w:basedOn w:val="Normal"/>
    <w:pPr>
      <w:spacing w:after="120" w:line="260" w:lineRule="exact"/>
      <w:jc w:val="both"/>
    </w:pPr>
    <w:rPr>
      <w:sz w:val="20"/>
      <w:lang w:eastAsia="he-IL"/>
    </w:rPr>
  </w:style>
  <w:style w:type="paragraph" w:customStyle="1" w:styleId="RESHET">
    <w:name w:val="RESHET"/>
    <w:basedOn w:val="Normal"/>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jc w:val="both"/>
    </w:pPr>
    <w:rPr>
      <w:rFonts w:cs="FrankRuehl"/>
      <w:b/>
      <w:bCs/>
      <w:szCs w:val="22"/>
      <w:lang w:eastAsia="he-IL"/>
    </w:rPr>
  </w:style>
  <w:style w:type="paragraph" w:customStyle="1" w:styleId="takzir">
    <w:name w:val="takzir"/>
    <w:basedOn w:val="Normal"/>
    <w:pPr>
      <w:spacing w:after="120"/>
      <w:jc w:val="both"/>
    </w:pPr>
    <w:rPr>
      <w:b/>
      <w:bCs/>
      <w:noProof/>
      <w:sz w:val="22"/>
      <w:szCs w:val="22"/>
      <w:lang w:eastAsia="he-IL"/>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customStyle="1" w:styleId="BNAME">
    <w:name w:val="B_NAME"/>
    <w:basedOn w:val="Normal"/>
    <w:pPr>
      <w:spacing w:before="720" w:line="480" w:lineRule="exact"/>
      <w:jc w:val="center"/>
    </w:pPr>
    <w:rPr>
      <w:rFonts w:ascii="Arial" w:hAnsi="Arial" w:cs="Guttman Hodes"/>
      <w:b/>
      <w:bCs/>
      <w:sz w:val="40"/>
      <w:szCs w:val="40"/>
    </w:rPr>
  </w:style>
  <w:style w:type="paragraph" w:customStyle="1" w:styleId="Bauther">
    <w:name w:val="B_auther"/>
    <w:basedOn w:val="Normal"/>
    <w:pPr>
      <w:spacing w:before="240" w:after="480" w:line="360" w:lineRule="exact"/>
      <w:jc w:val="center"/>
    </w:pPr>
    <w:rPr>
      <w:rFonts w:ascii="Arial" w:hAnsi="Arial" w:cs="Guttman Hodes"/>
      <w:sz w:val="22"/>
      <w:szCs w:val="22"/>
    </w:rPr>
  </w:style>
  <w:style w:type="paragraph" w:customStyle="1" w:styleId="BKOT1">
    <w:name w:val="B_KOT1"/>
    <w:basedOn w:val="Normal"/>
    <w:pPr>
      <w:keepNext/>
      <w:keepLines/>
      <w:pBdr>
        <w:top w:val="single" w:sz="4" w:space="4" w:color="auto"/>
        <w:bottom w:val="single" w:sz="4" w:space="6" w:color="auto"/>
      </w:pBdr>
      <w:spacing w:before="360" w:after="240" w:line="300" w:lineRule="exact"/>
    </w:pPr>
    <w:rPr>
      <w:rFonts w:ascii="Arial" w:hAnsi="Arial" w:cs="Guttman Hodes"/>
      <w:b/>
      <w:bCs/>
      <w:sz w:val="26"/>
      <w:szCs w:val="26"/>
    </w:rPr>
  </w:style>
  <w:style w:type="character" w:styleId="FootnoteReference">
    <w:name w:val="footnote reference"/>
    <w:semiHidden/>
    <w:rPr>
      <w:vertAlign w:val="superscript"/>
    </w:rPr>
  </w:style>
  <w:style w:type="paragraph" w:styleId="FootnoteText">
    <w:name w:val="footnote text"/>
    <w:aliases w:val="טקסט הערות שוליים2,Footnote Text תו2,Footnote Text תו תו2,טקסט הערות שוליים1 תו2,Footnote Text תו תו תו תו2,Footnote Text תו תו תו תו תו תו,טקסט הערות שוליים תו1,טקסט הערות שוליים תו תו2,טקסט הערות שוליים תו1 תו תו,Footnote Text ת"/>
    <w:basedOn w:val="Normal"/>
    <w:semiHidden/>
    <w:pPr>
      <w:spacing w:line="240" w:lineRule="auto"/>
    </w:pPr>
    <w:rPr>
      <w:rFonts w:cs="Times New Roman"/>
      <w:sz w:val="20"/>
      <w:szCs w:val="20"/>
    </w:rPr>
  </w:style>
  <w:style w:type="paragraph" w:customStyle="1" w:styleId="1">
    <w:name w:val="טקסט בלונים1"/>
    <w:basedOn w:val="Normal"/>
    <w:semiHidden/>
    <w:pPr>
      <w:spacing w:line="240" w:lineRule="auto"/>
    </w:pPr>
    <w:rPr>
      <w:rFonts w:ascii="Tahoma" w:hAnsi="Tahoma" w:cs="Tahoma"/>
      <w:sz w:val="16"/>
      <w:szCs w:val="16"/>
    </w:rPr>
  </w:style>
  <w:style w:type="paragraph" w:customStyle="1" w:styleId="Bkot2">
    <w:name w:val="B_kot2"/>
    <w:basedOn w:val="Heading1"/>
  </w:style>
  <w:style w:type="paragraph" w:customStyle="1" w:styleId="Bpatiah">
    <w:name w:val="B_patiah"/>
    <w:basedOn w:val="Normal"/>
    <w:pPr>
      <w:spacing w:after="120"/>
      <w:ind w:left="567" w:right="567"/>
      <w:jc w:val="both"/>
    </w:pPr>
    <w:rPr>
      <w:rFonts w:cs="FrankRuehl"/>
      <w:sz w:val="20"/>
      <w:szCs w:val="22"/>
    </w:rPr>
  </w:style>
  <w:style w:type="paragraph" w:customStyle="1" w:styleId="10">
    <w:name w:val="נושא הערה1"/>
    <w:basedOn w:val="CommentText"/>
    <w:next w:val="CommentText"/>
    <w:semiHidden/>
    <w:rPr>
      <w:b/>
      <w:bCs/>
    </w:rPr>
  </w:style>
  <w:style w:type="paragraph" w:styleId="CommentText">
    <w:name w:val="annotation text"/>
    <w:basedOn w:val="Normal"/>
    <w:semiHidden/>
    <w:pPr>
      <w:spacing w:line="240" w:lineRule="auto"/>
    </w:pPr>
    <w:rPr>
      <w:rFonts w:cs="Times New Roman"/>
      <w:sz w:val="20"/>
      <w:szCs w:val="20"/>
    </w:rPr>
  </w:style>
  <w:style w:type="character" w:customStyle="1" w:styleId="11">
    <w:name w:val="תו תו1"/>
    <w:rPr>
      <w:rFonts w:ascii="Arial" w:hAnsi="Arial" w:cs="Arial"/>
      <w:b/>
      <w:bCs/>
      <w:kern w:val="32"/>
      <w:sz w:val="32"/>
      <w:szCs w:val="32"/>
      <w:lang w:val="en-US" w:eastAsia="he-IL" w:bidi="he-IL"/>
    </w:rPr>
  </w:style>
  <w:style w:type="character" w:customStyle="1" w:styleId="a">
    <w:name w:val="תו תו"/>
    <w:rPr>
      <w:snapToGrid w:val="0"/>
      <w:color w:val="000000"/>
      <w:sz w:val="24"/>
      <w:szCs w:val="24"/>
      <w:lang w:val="en-US" w:eastAsia="en-US" w:bidi="he-IL"/>
    </w:rPr>
  </w:style>
  <w:style w:type="paragraph" w:styleId="BodyText">
    <w:name w:val="Body Text"/>
    <w:basedOn w:val="Normal"/>
    <w:semiHidden/>
    <w:pPr>
      <w:spacing w:after="120" w:line="340" w:lineRule="exact"/>
      <w:jc w:val="center"/>
    </w:pPr>
    <w:rPr>
      <w:rFonts w:cs="FrankRuehl"/>
      <w:b/>
      <w:bCs/>
      <w:sz w:val="26"/>
      <w:szCs w:val="26"/>
    </w:rPr>
  </w:style>
  <w:style w:type="paragraph" w:styleId="EndnoteText">
    <w:name w:val="endnote text"/>
    <w:basedOn w:val="Normal"/>
    <w:semiHidden/>
    <w:pPr>
      <w:spacing w:line="360" w:lineRule="auto"/>
      <w:jc w:val="both"/>
    </w:pPr>
    <w:rPr>
      <w:sz w:val="20"/>
      <w:szCs w:val="20"/>
    </w:rPr>
  </w:style>
  <w:style w:type="paragraph" w:styleId="Title">
    <w:name w:val="Title"/>
    <w:basedOn w:val="Normal"/>
    <w:qFormat/>
    <w:pPr>
      <w:spacing w:line="240" w:lineRule="auto"/>
      <w:jc w:val="center"/>
    </w:pPr>
    <w:rPr>
      <w:rFonts w:cs="Times New Roman"/>
      <w:b/>
      <w:bCs/>
      <w:u w:val="single"/>
      <w:lang w:eastAsia="he-IL"/>
    </w:rPr>
  </w:style>
  <w:style w:type="paragraph" w:styleId="BodyText2">
    <w:name w:val="Body Text 2"/>
    <w:basedOn w:val="Normal"/>
    <w:semiHidden/>
    <w:pPr>
      <w:spacing w:after="120" w:line="300" w:lineRule="exact"/>
      <w:jc w:val="both"/>
    </w:pPr>
  </w:style>
  <w:style w:type="character" w:customStyle="1" w:styleId="apple-style-span">
    <w:name w:val="apple-style-span"/>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 TargetMode="Externa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B9E3483CB7A0484EBFAAF160C2AAC6DA" ma:contentTypeVersion="1" ma:contentTypeDescription="צור מסמך חדש." ma:contentTypeScope="" ma:versionID="f404ee671278b1abbb26cbc471351842">
  <xsd:schema xmlns:xsd="http://www.w3.org/2001/XMLSchema" xmlns:xs="http://www.w3.org/2001/XMLSchema" xmlns:p="http://schemas.microsoft.com/office/2006/metadata/properties" xmlns:ns1="http://schemas.microsoft.com/sharepoint/v3" targetNamespace="http://schemas.microsoft.com/office/2006/metadata/properties" ma:root="true" ma:fieldsID="cbabf43de81bd42ae1d4b6e4e2a05da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B8550F3-921F-47EF-A7FD-A07002B710C8}"/>
</file>

<file path=customXml/itemProps2.xml><?xml version="1.0" encoding="utf-8"?>
<ds:datastoreItem xmlns:ds="http://schemas.openxmlformats.org/officeDocument/2006/customXml" ds:itemID="{21B9F8CC-A26F-4B2F-8AFD-E0DB7610EB62}"/>
</file>

<file path=customXml/itemProps3.xml><?xml version="1.0" encoding="utf-8"?>
<ds:datastoreItem xmlns:ds="http://schemas.openxmlformats.org/officeDocument/2006/customXml" ds:itemID="{2F902D11-F566-47A6-96E8-C3187161E25F}"/>
</file>

<file path=docProps/app.xml><?xml version="1.0" encoding="utf-8"?>
<Properties xmlns="http://schemas.openxmlformats.org/officeDocument/2006/extended-properties" xmlns:vt="http://schemas.openxmlformats.org/officeDocument/2006/docPropsVTypes">
  <Template>Normal.dotm</Template>
  <TotalTime>3</TotalTime>
  <Pages>1</Pages>
  <Words>718</Words>
  <Characters>4096</Characters>
  <Application>Microsoft Office Word</Application>
  <DocSecurity>0</DocSecurity>
  <Lines>34</Lines>
  <Paragraphs>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בעלות על דיור ותנאי מגורים של</vt:lpstr>
      <vt:lpstr>בעלות על דיור ותנאי מגורים של </vt:lpstr>
    </vt:vector>
  </TitlesOfParts>
  <Company>Onit Computer Services Ltd</Company>
  <LinksUpToDate>false</LinksUpToDate>
  <CharactersWithSpaces>4805</CharactersWithSpaces>
  <SharedDoc>false</SharedDoc>
  <HLinks>
    <vt:vector size="6" baseType="variant">
      <vt:variant>
        <vt:i4>6029322</vt:i4>
      </vt:variant>
      <vt:variant>
        <vt:i4>0</vt:i4>
      </vt:variant>
      <vt:variant>
        <vt:i4>0</vt:i4>
      </vt:variant>
      <vt:variant>
        <vt:i4>5</vt:i4>
      </vt:variant>
      <vt:variant>
        <vt:lpwstr>https://he.wikipedia.org/wiki/%D7%A8%D7%95%D7%95%D7%97%D7%94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Frankel</dc:creator>
  <cp:keywords/>
  <dc:description/>
  <cp:lastModifiedBy>onit.mf@gmail.com</cp:lastModifiedBy>
  <cp:revision>9</cp:revision>
  <cp:lastPrinted>2021-10-03T16:33:00Z</cp:lastPrinted>
  <dcterms:created xsi:type="dcterms:W3CDTF">2021-08-31T07:50:00Z</dcterms:created>
  <dcterms:modified xsi:type="dcterms:W3CDTF">2021-10-03T16:33:00Z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0x010100B9E3483CB7A0484EBFAAF160C2AAC6DA</vt:lpwstr>
  </property>
  <property fmtid="{D5CDD505-2E9C-101B-9397-08002B2CF9AE}" pid="3" name="Order">
    <vt:r8>3300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