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F0A41" w14:textId="4991BD13" w:rsidR="00B4735A" w:rsidRPr="00B4735A" w:rsidRDefault="009E3988" w:rsidP="00B4735A">
      <w:pPr>
        <w:pStyle w:val="NAME"/>
        <w:pBdr>
          <w:bottom w:val="none" w:sz="0" w:space="0" w:color="auto"/>
        </w:pBdr>
        <w:spacing w:before="1080" w:after="300" w:line="360" w:lineRule="atLeast"/>
        <w:jc w:val="left"/>
        <w:rPr>
          <w:rFonts w:ascii="Tahoma" w:hAnsi="Tahoma" w:cs="Guttman Aharoni"/>
          <w:b/>
          <w:bCs/>
          <w:color w:val="00B0F0"/>
          <w:sz w:val="36"/>
          <w:szCs w:val="36"/>
        </w:rPr>
      </w:pPr>
      <w:bookmarkStart w:id="0" w:name="_Hlk79931193"/>
      <w:r w:rsidRPr="009E3988">
        <w:rPr>
          <w:rFonts w:ascii="Tahoma" w:hAnsi="Tahoma" w:cs="Guttman Aharoni"/>
          <w:b/>
          <w:bCs/>
          <w:color w:val="00B0F0"/>
          <w:sz w:val="36"/>
          <w:szCs w:val="36"/>
          <w:rtl/>
        </w:rPr>
        <w:t>הפרטה של שירותים חברתיים ותשתיות ממשלה – דעת הציבור בישראל</w:t>
      </w:r>
    </w:p>
    <w:p w14:paraId="67694058" w14:textId="77777777" w:rsidR="00B4735A" w:rsidRPr="00911580" w:rsidRDefault="00B4735A" w:rsidP="00911580">
      <w:pPr>
        <w:pStyle w:val="KOT5T"/>
        <w:spacing w:after="540" w:line="360" w:lineRule="exact"/>
        <w:ind w:right="0"/>
        <w:jc w:val="left"/>
        <w:rPr>
          <w:rFonts w:cs="Guttman Aharoni"/>
          <w:color w:val="00B0F0"/>
          <w:rtl/>
        </w:rPr>
      </w:pPr>
      <w:r w:rsidRPr="00911580">
        <w:rPr>
          <w:rFonts w:cs="Guttman Aharoni" w:hint="eastAsia"/>
          <w:color w:val="00B0F0"/>
          <w:rtl/>
        </w:rPr>
        <w:t>ברוך</w:t>
      </w:r>
      <w:r w:rsidRPr="00911580">
        <w:rPr>
          <w:rFonts w:cs="Guttman Aharoni"/>
          <w:color w:val="00B0F0"/>
          <w:rtl/>
        </w:rPr>
        <w:t xml:space="preserve"> </w:t>
      </w:r>
      <w:r w:rsidRPr="00911580">
        <w:rPr>
          <w:rFonts w:cs="Guttman Aharoni" w:hint="eastAsia"/>
          <w:color w:val="00B0F0"/>
          <w:rtl/>
        </w:rPr>
        <w:t>לוי</w:t>
      </w:r>
      <w:r w:rsidRPr="00911580">
        <w:rPr>
          <w:rFonts w:cs="Guttman Aharoni"/>
          <w:color w:val="00B0F0"/>
          <w:vertAlign w:val="superscript"/>
          <w:rtl/>
        </w:rPr>
        <w:footnoteReference w:id="2"/>
      </w:r>
      <w:r w:rsidRPr="00911580">
        <w:rPr>
          <w:rFonts w:cs="Guttman Aharoni"/>
          <w:color w:val="00B0F0"/>
          <w:rtl/>
        </w:rPr>
        <w:t xml:space="preserve"> </w:t>
      </w:r>
      <w:r w:rsidRPr="00911580">
        <w:rPr>
          <w:rFonts w:cs="Guttman Aharoni" w:hint="eastAsia"/>
          <w:color w:val="00B0F0"/>
          <w:rtl/>
        </w:rPr>
        <w:t>ועמוס</w:t>
      </w:r>
      <w:r w:rsidRPr="00911580">
        <w:rPr>
          <w:rFonts w:cs="Guttman Aharoni"/>
          <w:color w:val="00B0F0"/>
          <w:rtl/>
        </w:rPr>
        <w:t xml:space="preserve"> </w:t>
      </w:r>
      <w:r w:rsidRPr="00911580">
        <w:rPr>
          <w:rFonts w:cs="Guttman Aharoni" w:hint="eastAsia"/>
          <w:color w:val="00B0F0"/>
          <w:rtl/>
        </w:rPr>
        <w:t>זהבי</w:t>
      </w:r>
      <w:r w:rsidRPr="00911580">
        <w:rPr>
          <w:rFonts w:cs="Guttman Aharoni"/>
          <w:color w:val="00B0F0"/>
          <w:vertAlign w:val="superscript"/>
          <w:rtl/>
        </w:rPr>
        <w:footnoteReference w:id="3"/>
      </w:r>
    </w:p>
    <w:bookmarkEnd w:id="0"/>
    <w:p w14:paraId="0A26CD86"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הפרטה היא תופעה מורכבת המלווה את השיח הכלכלי-חברתי בישראל ובעולם זה שנים. </w:t>
      </w:r>
      <w:r w:rsidRPr="00911580">
        <w:rPr>
          <w:sz w:val="18"/>
          <w:szCs w:val="20"/>
          <w:rtl/>
        </w:rPr>
        <w:t>על אף חשיבות</w:t>
      </w:r>
      <w:r w:rsidRPr="00911580">
        <w:rPr>
          <w:rFonts w:hint="cs"/>
          <w:sz w:val="18"/>
          <w:szCs w:val="20"/>
          <w:rtl/>
        </w:rPr>
        <w:t>ו של ה</w:t>
      </w:r>
      <w:r w:rsidRPr="00911580">
        <w:rPr>
          <w:sz w:val="18"/>
          <w:szCs w:val="20"/>
          <w:rtl/>
        </w:rPr>
        <w:t>דיון</w:t>
      </w:r>
      <w:r w:rsidRPr="00911580">
        <w:rPr>
          <w:rFonts w:hint="cs"/>
          <w:sz w:val="18"/>
          <w:szCs w:val="20"/>
          <w:rtl/>
        </w:rPr>
        <w:t xml:space="preserve"> ה</w:t>
      </w:r>
      <w:r w:rsidRPr="00911580">
        <w:rPr>
          <w:sz w:val="18"/>
          <w:szCs w:val="20"/>
          <w:rtl/>
        </w:rPr>
        <w:t>ציבורי ו</w:t>
      </w:r>
      <w:r w:rsidRPr="00911580">
        <w:rPr>
          <w:rFonts w:hint="cs"/>
          <w:sz w:val="18"/>
          <w:szCs w:val="20"/>
          <w:rtl/>
        </w:rPr>
        <w:t>ה</w:t>
      </w:r>
      <w:r w:rsidRPr="00911580">
        <w:rPr>
          <w:sz w:val="18"/>
          <w:szCs w:val="20"/>
          <w:rtl/>
        </w:rPr>
        <w:t>מקצועי על הפרטת נכסים ושירותים על</w:t>
      </w:r>
      <w:r w:rsidRPr="00911580">
        <w:rPr>
          <w:rFonts w:hint="cs"/>
          <w:sz w:val="18"/>
          <w:szCs w:val="20"/>
          <w:rtl/>
        </w:rPr>
        <w:t xml:space="preserve"> </w:t>
      </w:r>
      <w:r w:rsidRPr="00911580">
        <w:rPr>
          <w:sz w:val="18"/>
          <w:szCs w:val="20"/>
          <w:rtl/>
        </w:rPr>
        <w:t>ידי המדינה, המחקר בישראל עוסק באופן מועט יחסית בתחושות ו</w:t>
      </w:r>
      <w:r w:rsidRPr="00911580">
        <w:rPr>
          <w:rFonts w:hint="cs"/>
          <w:sz w:val="18"/>
          <w:szCs w:val="20"/>
          <w:rtl/>
        </w:rPr>
        <w:t>ב</w:t>
      </w:r>
      <w:r w:rsidRPr="00911580">
        <w:rPr>
          <w:sz w:val="18"/>
          <w:szCs w:val="20"/>
          <w:rtl/>
        </w:rPr>
        <w:t xml:space="preserve">עמדות </w:t>
      </w:r>
      <w:r w:rsidRPr="00911580">
        <w:rPr>
          <w:rFonts w:hint="cs"/>
          <w:sz w:val="18"/>
          <w:szCs w:val="20"/>
          <w:rtl/>
        </w:rPr>
        <w:t xml:space="preserve">של </w:t>
      </w:r>
      <w:r w:rsidRPr="00911580">
        <w:rPr>
          <w:sz w:val="18"/>
          <w:szCs w:val="20"/>
          <w:rtl/>
        </w:rPr>
        <w:t xml:space="preserve">האזרחים כלפי </w:t>
      </w:r>
      <w:proofErr w:type="spellStart"/>
      <w:r w:rsidRPr="00911580">
        <w:rPr>
          <w:sz w:val="18"/>
          <w:szCs w:val="20"/>
          <w:rtl/>
        </w:rPr>
        <w:t>הסוגיה</w:t>
      </w:r>
      <w:proofErr w:type="spellEnd"/>
      <w:r w:rsidRPr="00911580">
        <w:rPr>
          <w:sz w:val="18"/>
          <w:szCs w:val="20"/>
          <w:rtl/>
        </w:rPr>
        <w:t>.</w:t>
      </w:r>
      <w:r w:rsidRPr="00911580">
        <w:rPr>
          <w:rFonts w:hint="cs"/>
          <w:sz w:val="18"/>
          <w:szCs w:val="20"/>
          <w:rtl/>
        </w:rPr>
        <w:t xml:space="preserve"> </w:t>
      </w:r>
      <w:r w:rsidRPr="00911580">
        <w:rPr>
          <w:sz w:val="18"/>
          <w:szCs w:val="20"/>
          <w:rtl/>
        </w:rPr>
        <w:t>מטרתו של מחקר זה</w:t>
      </w:r>
      <w:r w:rsidRPr="00911580">
        <w:rPr>
          <w:rFonts w:hint="cs"/>
          <w:sz w:val="18"/>
          <w:szCs w:val="20"/>
          <w:rtl/>
        </w:rPr>
        <w:t xml:space="preserve">, המתבסס על סקר בקרב מדגם מייצג של אוכלוסיית ישראל, היא </w:t>
      </w:r>
      <w:r w:rsidRPr="00911580">
        <w:rPr>
          <w:sz w:val="18"/>
          <w:szCs w:val="20"/>
          <w:rtl/>
        </w:rPr>
        <w:t xml:space="preserve">לבחון את עמדות הציבור בישראל כלפי הפרטת תשתיות </w:t>
      </w:r>
      <w:r w:rsidRPr="00911580">
        <w:rPr>
          <w:rFonts w:hint="cs"/>
          <w:sz w:val="18"/>
          <w:szCs w:val="20"/>
          <w:rtl/>
        </w:rPr>
        <w:t xml:space="preserve">ממשלתיות </w:t>
      </w:r>
      <w:r w:rsidRPr="00911580">
        <w:rPr>
          <w:sz w:val="18"/>
          <w:szCs w:val="20"/>
          <w:rtl/>
        </w:rPr>
        <w:t>ושירותים חברתיים</w:t>
      </w:r>
      <w:r w:rsidRPr="00911580">
        <w:rPr>
          <w:rFonts w:hint="cs"/>
          <w:sz w:val="18"/>
          <w:szCs w:val="20"/>
          <w:rtl/>
        </w:rPr>
        <w:t xml:space="preserve">, ולזהות </w:t>
      </w:r>
      <w:r w:rsidRPr="00911580">
        <w:rPr>
          <w:sz w:val="18"/>
          <w:szCs w:val="20"/>
          <w:rtl/>
        </w:rPr>
        <w:t>קשרים אפשריים בין משתנים</w:t>
      </w:r>
      <w:r w:rsidRPr="00911580">
        <w:rPr>
          <w:rFonts w:hint="cs"/>
          <w:sz w:val="18"/>
          <w:szCs w:val="20"/>
          <w:rtl/>
        </w:rPr>
        <w:t xml:space="preserve"> מסבירים</w:t>
      </w:r>
      <w:r w:rsidRPr="00911580">
        <w:rPr>
          <w:sz w:val="18"/>
          <w:szCs w:val="20"/>
          <w:rtl/>
        </w:rPr>
        <w:t xml:space="preserve"> שונים ל</w:t>
      </w:r>
      <w:r w:rsidRPr="00911580">
        <w:rPr>
          <w:rFonts w:hint="cs"/>
          <w:sz w:val="18"/>
          <w:szCs w:val="20"/>
          <w:rtl/>
        </w:rPr>
        <w:t xml:space="preserve">בין </w:t>
      </w:r>
      <w:r w:rsidRPr="00911580">
        <w:rPr>
          <w:sz w:val="18"/>
          <w:szCs w:val="20"/>
          <w:rtl/>
        </w:rPr>
        <w:t>עמדות הציבור כלפי הפרטה</w:t>
      </w:r>
      <w:r w:rsidRPr="00911580">
        <w:rPr>
          <w:rFonts w:hint="cs"/>
          <w:sz w:val="18"/>
          <w:szCs w:val="20"/>
          <w:rtl/>
        </w:rPr>
        <w:t xml:space="preserve"> </w:t>
      </w:r>
      <w:r w:rsidRPr="00911580">
        <w:rPr>
          <w:sz w:val="18"/>
          <w:szCs w:val="20"/>
          <w:rtl/>
        </w:rPr>
        <w:t>–</w:t>
      </w:r>
      <w:r w:rsidRPr="00911580">
        <w:rPr>
          <w:rFonts w:hint="cs"/>
          <w:sz w:val="18"/>
          <w:szCs w:val="20"/>
          <w:rtl/>
        </w:rPr>
        <w:t xml:space="preserve"> הן כמושג כללי הן בתחומי מדיניות ספציפיים</w:t>
      </w:r>
      <w:r w:rsidRPr="00911580">
        <w:rPr>
          <w:sz w:val="18"/>
          <w:szCs w:val="20"/>
          <w:rtl/>
        </w:rPr>
        <w:t>.</w:t>
      </w:r>
      <w:r w:rsidRPr="00911580">
        <w:rPr>
          <w:rFonts w:hint="cs"/>
          <w:sz w:val="18"/>
          <w:szCs w:val="20"/>
          <w:rtl/>
        </w:rPr>
        <w:t xml:space="preserve"> לפי ממצאי המחקר, </w:t>
      </w:r>
      <w:r w:rsidRPr="00911580">
        <w:rPr>
          <w:sz w:val="18"/>
          <w:szCs w:val="20"/>
          <w:rtl/>
        </w:rPr>
        <w:t xml:space="preserve">עמדות הציבור כלפי הפרטה משתנות בצורה ניכרת בהתאם לתחום </w:t>
      </w:r>
      <w:r w:rsidRPr="00911580">
        <w:rPr>
          <w:rFonts w:hint="cs"/>
          <w:sz w:val="18"/>
          <w:szCs w:val="20"/>
          <w:rtl/>
        </w:rPr>
        <w:t>המדיניות</w:t>
      </w:r>
      <w:r w:rsidRPr="00911580">
        <w:rPr>
          <w:sz w:val="18"/>
          <w:szCs w:val="20"/>
          <w:rtl/>
        </w:rPr>
        <w:t>. עוד עולה כי הציבור מגלה עמדה מרוככת יותר כלפי מה שהוגדר כ"הפרטה חלקית". ממצאים אלה מ</w:t>
      </w:r>
      <w:r w:rsidRPr="00911580">
        <w:rPr>
          <w:rFonts w:hint="cs"/>
          <w:sz w:val="18"/>
          <w:szCs w:val="20"/>
          <w:rtl/>
        </w:rPr>
        <w:t xml:space="preserve">ורים כי </w:t>
      </w:r>
      <w:r w:rsidRPr="00911580">
        <w:rPr>
          <w:sz w:val="18"/>
          <w:szCs w:val="20"/>
          <w:rtl/>
        </w:rPr>
        <w:t xml:space="preserve">למושג "הפרטה" עשויות להיות משמעויות שונות. העמימות האופפת </w:t>
      </w:r>
      <w:r w:rsidRPr="00911580">
        <w:rPr>
          <w:rFonts w:hint="cs"/>
          <w:sz w:val="18"/>
          <w:szCs w:val="20"/>
          <w:rtl/>
        </w:rPr>
        <w:t>את ה</w:t>
      </w:r>
      <w:r w:rsidRPr="00911580">
        <w:rPr>
          <w:sz w:val="18"/>
          <w:szCs w:val="20"/>
          <w:rtl/>
        </w:rPr>
        <w:t xml:space="preserve">מושג </w:t>
      </w:r>
      <w:r w:rsidRPr="00911580">
        <w:rPr>
          <w:rFonts w:hint="cs"/>
          <w:sz w:val="18"/>
          <w:szCs w:val="20"/>
          <w:rtl/>
        </w:rPr>
        <w:t>עשויה להקשות</w:t>
      </w:r>
      <w:r w:rsidRPr="00911580">
        <w:rPr>
          <w:sz w:val="18"/>
          <w:szCs w:val="20"/>
          <w:rtl/>
        </w:rPr>
        <w:t xml:space="preserve"> על הערכת מדויקת של עמדות הציבור בנוגע אליו</w:t>
      </w:r>
      <w:r w:rsidRPr="00911580">
        <w:rPr>
          <w:rFonts w:hint="cs"/>
          <w:sz w:val="18"/>
          <w:szCs w:val="20"/>
          <w:rtl/>
        </w:rPr>
        <w:t>,</w:t>
      </w:r>
      <w:r w:rsidRPr="00911580">
        <w:rPr>
          <w:sz w:val="18"/>
          <w:szCs w:val="20"/>
          <w:rtl/>
        </w:rPr>
        <w:t xml:space="preserve"> </w:t>
      </w:r>
      <w:r w:rsidRPr="00911580">
        <w:rPr>
          <w:rFonts w:hint="cs"/>
          <w:sz w:val="18"/>
          <w:szCs w:val="20"/>
          <w:rtl/>
        </w:rPr>
        <w:t xml:space="preserve">ומבליטה את הצורך בהגדרה מדויקת של מושאי ההפרטה, כוונותיה והיקפה. עוד עולה מהמחקר כי </w:t>
      </w:r>
      <w:r w:rsidRPr="00911580">
        <w:rPr>
          <w:sz w:val="18"/>
          <w:szCs w:val="20"/>
          <w:rtl/>
        </w:rPr>
        <w:t>רמ</w:t>
      </w:r>
      <w:r w:rsidRPr="00911580">
        <w:rPr>
          <w:rFonts w:hint="cs"/>
          <w:sz w:val="18"/>
          <w:szCs w:val="20"/>
          <w:rtl/>
        </w:rPr>
        <w:t>ו</w:t>
      </w:r>
      <w:r w:rsidRPr="00911580">
        <w:rPr>
          <w:sz w:val="18"/>
          <w:szCs w:val="20"/>
          <w:rtl/>
        </w:rPr>
        <w:t>ת ההכנסה</w:t>
      </w:r>
      <w:r w:rsidRPr="00911580">
        <w:rPr>
          <w:rFonts w:hint="cs"/>
          <w:sz w:val="18"/>
          <w:szCs w:val="20"/>
          <w:rtl/>
        </w:rPr>
        <w:t xml:space="preserve"> וההשכלה</w:t>
      </w:r>
      <w:r w:rsidRPr="00911580">
        <w:rPr>
          <w:sz w:val="18"/>
          <w:szCs w:val="20"/>
          <w:rtl/>
        </w:rPr>
        <w:t xml:space="preserve"> </w:t>
      </w:r>
      <w:r w:rsidRPr="00911580">
        <w:rPr>
          <w:rFonts w:hint="cs"/>
          <w:sz w:val="18"/>
          <w:szCs w:val="20"/>
          <w:rtl/>
        </w:rPr>
        <w:t xml:space="preserve">משפיעות על עמדת הפרט כלפי הפרטה פחות מהשתייכות אתנית </w:t>
      </w:r>
      <w:r w:rsidRPr="00911580">
        <w:rPr>
          <w:sz w:val="18"/>
          <w:szCs w:val="20"/>
          <w:rtl/>
        </w:rPr>
        <w:t xml:space="preserve">ורמת דתיות. </w:t>
      </w:r>
      <w:r w:rsidRPr="00911580">
        <w:rPr>
          <w:rFonts w:hint="cs"/>
          <w:sz w:val="18"/>
          <w:szCs w:val="20"/>
          <w:rtl/>
        </w:rPr>
        <w:t xml:space="preserve">נוסף על כך, העמדה כלפי </w:t>
      </w:r>
      <w:r w:rsidRPr="00911580">
        <w:rPr>
          <w:sz w:val="18"/>
          <w:szCs w:val="20"/>
          <w:rtl/>
        </w:rPr>
        <w:t>הפרטה תואמת במידה רבה את מערכת האמונות של הפרט כלפי המערכת הכלכלית, כגון מיקומו על רצף אידיאולוגי שבין סוציאליזם לקפיטליזם.</w:t>
      </w:r>
    </w:p>
    <w:p w14:paraId="658F60C9" w14:textId="59B6DAED" w:rsidR="00B4735A" w:rsidRDefault="00B4735A" w:rsidP="00A85BDD">
      <w:pPr>
        <w:spacing w:before="480" w:after="180" w:line="280" w:lineRule="exact"/>
        <w:jc w:val="both"/>
        <w:rPr>
          <w:sz w:val="18"/>
          <w:szCs w:val="20"/>
          <w:rtl/>
        </w:rPr>
      </w:pPr>
      <w:r w:rsidRPr="00911580">
        <w:rPr>
          <w:b/>
          <w:bCs/>
          <w:sz w:val="18"/>
          <w:szCs w:val="20"/>
          <w:rtl/>
        </w:rPr>
        <w:t xml:space="preserve">מילות מפתח: </w:t>
      </w:r>
      <w:r w:rsidRPr="00911580">
        <w:rPr>
          <w:sz w:val="18"/>
          <w:szCs w:val="20"/>
          <w:rtl/>
        </w:rPr>
        <w:t>הפרטה, ישראל, סקר, שירותים חברתיים, תשתיות</w:t>
      </w:r>
    </w:p>
    <w:p w14:paraId="15EED4DA" w14:textId="352ED817" w:rsidR="00B4735A" w:rsidRPr="00B4735A" w:rsidRDefault="00B4735A" w:rsidP="00B4735A">
      <w:pPr>
        <w:pStyle w:val="KOT4"/>
        <w:spacing w:after="0"/>
        <w:ind w:left="397" w:right="0" w:hanging="397"/>
        <w:rPr>
          <w:rFonts w:cs="Guttman Aharoni"/>
          <w:color w:val="00B0F0"/>
          <w:sz w:val="32"/>
          <w:szCs w:val="32"/>
          <w:rtl/>
        </w:rPr>
      </w:pPr>
      <w:r w:rsidRPr="00B4735A">
        <w:rPr>
          <w:rFonts w:cs="Guttman Aharoni" w:hint="cs"/>
          <w:color w:val="00B0F0"/>
          <w:sz w:val="32"/>
          <w:szCs w:val="32"/>
          <w:rtl/>
        </w:rPr>
        <w:lastRenderedPageBreak/>
        <w:t>1. רקע</w:t>
      </w:r>
    </w:p>
    <w:p w14:paraId="06685BC8" w14:textId="210B48ED" w:rsidR="00B4735A" w:rsidRPr="00911580" w:rsidRDefault="00B4735A" w:rsidP="0051081D">
      <w:pPr>
        <w:spacing w:after="180" w:line="280" w:lineRule="exact"/>
        <w:jc w:val="both"/>
        <w:rPr>
          <w:sz w:val="18"/>
          <w:szCs w:val="20"/>
        </w:rPr>
      </w:pPr>
      <w:r w:rsidRPr="00911580">
        <w:rPr>
          <w:rFonts w:hint="cs"/>
          <w:sz w:val="18"/>
          <w:szCs w:val="20"/>
          <w:rtl/>
        </w:rPr>
        <w:t>ב</w:t>
      </w:r>
      <w:r w:rsidRPr="00911580">
        <w:rPr>
          <w:sz w:val="18"/>
          <w:szCs w:val="20"/>
          <w:rtl/>
        </w:rPr>
        <w:t xml:space="preserve">שנות </w:t>
      </w:r>
      <w:r w:rsidRPr="00911580">
        <w:rPr>
          <w:rFonts w:hint="cs"/>
          <w:sz w:val="18"/>
          <w:szCs w:val="20"/>
          <w:rtl/>
        </w:rPr>
        <w:t>ה-80 וה-90 של</w:t>
      </w:r>
      <w:r w:rsidRPr="00911580">
        <w:rPr>
          <w:sz w:val="18"/>
          <w:szCs w:val="20"/>
          <w:rtl/>
        </w:rPr>
        <w:t xml:space="preserve"> המאה ה</w:t>
      </w:r>
      <w:r w:rsidRPr="00911580">
        <w:rPr>
          <w:rFonts w:hint="cs"/>
          <w:sz w:val="18"/>
          <w:szCs w:val="20"/>
          <w:rtl/>
        </w:rPr>
        <w:t>-20</w:t>
      </w:r>
      <w:r w:rsidRPr="00911580">
        <w:rPr>
          <w:sz w:val="18"/>
          <w:szCs w:val="20"/>
          <w:rtl/>
        </w:rPr>
        <w:t xml:space="preserve"> החל ב</w:t>
      </w:r>
      <w:r w:rsidRPr="00911580">
        <w:rPr>
          <w:rFonts w:hint="cs"/>
          <w:sz w:val="18"/>
          <w:szCs w:val="20"/>
          <w:rtl/>
        </w:rPr>
        <w:t>מדינות רבות</w:t>
      </w:r>
      <w:r w:rsidRPr="00911580">
        <w:rPr>
          <w:sz w:val="18"/>
          <w:szCs w:val="20"/>
          <w:rtl/>
        </w:rPr>
        <w:t xml:space="preserve"> תהליך מואץ של</w:t>
      </w:r>
      <w:r w:rsidRPr="00911580">
        <w:rPr>
          <w:rFonts w:hint="cs"/>
          <w:sz w:val="18"/>
          <w:szCs w:val="20"/>
          <w:rtl/>
        </w:rPr>
        <w:t xml:space="preserve"> </w:t>
      </w:r>
      <w:r w:rsidRPr="00911580">
        <w:rPr>
          <w:sz w:val="18"/>
          <w:szCs w:val="20"/>
          <w:rtl/>
        </w:rPr>
        <w:t>אימוץ רפורמות</w:t>
      </w:r>
      <w:r w:rsidRPr="00911580">
        <w:rPr>
          <w:rFonts w:hint="cs"/>
          <w:sz w:val="18"/>
          <w:szCs w:val="20"/>
          <w:rtl/>
        </w:rPr>
        <w:t xml:space="preserve"> </w:t>
      </w:r>
      <w:r w:rsidRPr="00911580">
        <w:rPr>
          <w:sz w:val="18"/>
          <w:szCs w:val="20"/>
          <w:rtl/>
        </w:rPr>
        <w:t>בשירות הציבורי</w:t>
      </w:r>
      <w:r w:rsidRPr="00911580">
        <w:rPr>
          <w:rFonts w:hint="cs"/>
          <w:sz w:val="18"/>
          <w:szCs w:val="20"/>
          <w:rtl/>
        </w:rPr>
        <w:t>.</w:t>
      </w:r>
      <w:r w:rsidRPr="00911580">
        <w:rPr>
          <w:sz w:val="18"/>
          <w:szCs w:val="20"/>
          <w:rtl/>
        </w:rPr>
        <w:t xml:space="preserve"> רפורמות אלו כללו בדרך</w:t>
      </w:r>
      <w:r w:rsidRPr="00911580">
        <w:rPr>
          <w:rFonts w:hint="cs"/>
          <w:sz w:val="18"/>
          <w:szCs w:val="20"/>
          <w:rtl/>
        </w:rPr>
        <w:t xml:space="preserve"> </w:t>
      </w:r>
      <w:r w:rsidRPr="00911580">
        <w:rPr>
          <w:sz w:val="18"/>
          <w:szCs w:val="20"/>
          <w:rtl/>
        </w:rPr>
        <w:t>כלל שינויים מבניים</w:t>
      </w:r>
      <w:r w:rsidRPr="00911580">
        <w:rPr>
          <w:rFonts w:hint="cs"/>
          <w:sz w:val="18"/>
          <w:szCs w:val="20"/>
          <w:rtl/>
        </w:rPr>
        <w:t>,</w:t>
      </w:r>
      <w:r w:rsidRPr="00911580">
        <w:rPr>
          <w:sz w:val="18"/>
          <w:szCs w:val="20"/>
          <w:rtl/>
        </w:rPr>
        <w:t xml:space="preserve"> הפרטה</w:t>
      </w:r>
      <w:r w:rsidR="0051081D">
        <w:rPr>
          <w:rFonts w:hint="cs"/>
          <w:sz w:val="18"/>
          <w:szCs w:val="20"/>
          <w:rtl/>
        </w:rPr>
        <w:t>,</w:t>
      </w:r>
      <w:r w:rsidRPr="00911580">
        <w:rPr>
          <w:sz w:val="18"/>
          <w:szCs w:val="20"/>
          <w:rtl/>
        </w:rPr>
        <w:t xml:space="preserve"> ורגולציה </w:t>
      </w:r>
      <w:r w:rsidRPr="00911580">
        <w:rPr>
          <w:rFonts w:hint="cs"/>
          <w:sz w:val="18"/>
          <w:szCs w:val="20"/>
          <w:rtl/>
        </w:rPr>
        <w:t xml:space="preserve">המבוססת על מדידת </w:t>
      </w:r>
      <w:r w:rsidRPr="00911580">
        <w:rPr>
          <w:sz w:val="18"/>
          <w:szCs w:val="20"/>
          <w:rtl/>
        </w:rPr>
        <w:t>ביצועים ו</w:t>
      </w:r>
      <w:r w:rsidRPr="00911580">
        <w:rPr>
          <w:rFonts w:hint="cs"/>
          <w:sz w:val="18"/>
          <w:szCs w:val="20"/>
          <w:rtl/>
        </w:rPr>
        <w:t xml:space="preserve">מתן </w:t>
      </w:r>
      <w:r w:rsidRPr="00911580">
        <w:rPr>
          <w:sz w:val="18"/>
          <w:szCs w:val="20"/>
          <w:rtl/>
        </w:rPr>
        <w:t>תמריצים</w:t>
      </w:r>
      <w:r w:rsidRPr="00911580">
        <w:rPr>
          <w:rFonts w:hint="cs"/>
          <w:sz w:val="18"/>
          <w:szCs w:val="20"/>
          <w:rtl/>
        </w:rPr>
        <w:t>.</w:t>
      </w:r>
      <w:r w:rsidRPr="00911580">
        <w:rPr>
          <w:sz w:val="18"/>
          <w:szCs w:val="20"/>
          <w:rtl/>
        </w:rPr>
        <w:t xml:space="preserve"> גם בישראל</w:t>
      </w:r>
      <w:r w:rsidRPr="00911580">
        <w:rPr>
          <w:rFonts w:hint="cs"/>
          <w:sz w:val="18"/>
          <w:szCs w:val="20"/>
          <w:rtl/>
        </w:rPr>
        <w:t xml:space="preserve"> התחולל תהליך דומה, וב-20 השנים האחרונות עבר </w:t>
      </w:r>
      <w:r w:rsidRPr="00911580">
        <w:rPr>
          <w:sz w:val="18"/>
          <w:szCs w:val="20"/>
          <w:rtl/>
        </w:rPr>
        <w:t xml:space="preserve">מרכז הכובד של אספקת </w:t>
      </w:r>
      <w:r w:rsidRPr="00911580">
        <w:rPr>
          <w:rFonts w:hint="cs"/>
          <w:sz w:val="18"/>
          <w:szCs w:val="20"/>
          <w:rtl/>
        </w:rPr>
        <w:t>ה</w:t>
      </w:r>
      <w:r w:rsidRPr="00911580">
        <w:rPr>
          <w:sz w:val="18"/>
          <w:szCs w:val="20"/>
          <w:rtl/>
        </w:rPr>
        <w:t>שירותים</w:t>
      </w:r>
      <w:r w:rsidRPr="00911580">
        <w:rPr>
          <w:rFonts w:hint="cs"/>
          <w:sz w:val="18"/>
          <w:szCs w:val="20"/>
          <w:rtl/>
        </w:rPr>
        <w:t xml:space="preserve"> במידה רבה</w:t>
      </w:r>
      <w:r w:rsidRPr="00911580">
        <w:rPr>
          <w:sz w:val="18"/>
          <w:szCs w:val="20"/>
          <w:rtl/>
        </w:rPr>
        <w:t xml:space="preserve"> מגופים ממשלתיים לגופים</w:t>
      </w:r>
      <w:r w:rsidRPr="00911580">
        <w:rPr>
          <w:rFonts w:hint="cs"/>
          <w:sz w:val="18"/>
          <w:szCs w:val="20"/>
          <w:rtl/>
        </w:rPr>
        <w:t xml:space="preserve"> </w:t>
      </w:r>
      <w:r w:rsidRPr="00911580">
        <w:rPr>
          <w:sz w:val="18"/>
          <w:szCs w:val="20"/>
          <w:rtl/>
        </w:rPr>
        <w:t>פרטיים או פרטיי</w:t>
      </w:r>
      <w:r w:rsidRPr="00911580">
        <w:rPr>
          <w:rFonts w:hint="cs"/>
          <w:sz w:val="18"/>
          <w:szCs w:val="20"/>
          <w:rtl/>
        </w:rPr>
        <w:t>ם למחצה (</w:t>
      </w:r>
      <w:proofErr w:type="spellStart"/>
      <w:r w:rsidRPr="00911580">
        <w:rPr>
          <w:rFonts w:hint="cs"/>
          <w:sz w:val="18"/>
          <w:szCs w:val="20"/>
          <w:rtl/>
        </w:rPr>
        <w:t>בניש</w:t>
      </w:r>
      <w:proofErr w:type="spellEnd"/>
      <w:r w:rsidRPr="00911580">
        <w:rPr>
          <w:rFonts w:hint="cs"/>
          <w:sz w:val="18"/>
          <w:szCs w:val="20"/>
          <w:rtl/>
        </w:rPr>
        <w:t>, 2012; מרון, 2015).</w:t>
      </w:r>
    </w:p>
    <w:p w14:paraId="6C95BE0D" w14:textId="77777777" w:rsidR="00B4735A" w:rsidRPr="00911580" w:rsidRDefault="00B4735A" w:rsidP="00911580">
      <w:pPr>
        <w:spacing w:after="180" w:line="280" w:lineRule="exact"/>
        <w:jc w:val="both"/>
        <w:rPr>
          <w:sz w:val="18"/>
          <w:szCs w:val="20"/>
          <w:rtl/>
        </w:rPr>
      </w:pPr>
      <w:r w:rsidRPr="00911580">
        <w:rPr>
          <w:rFonts w:hint="cs"/>
          <w:sz w:val="18"/>
          <w:szCs w:val="20"/>
          <w:rtl/>
        </w:rPr>
        <w:t>מגמת ההפרטה לא נולדה בחלל ריק. היא קשורה באופן הדוק ל</w:t>
      </w:r>
      <w:r w:rsidRPr="00911580">
        <w:rPr>
          <w:sz w:val="18"/>
          <w:szCs w:val="20"/>
          <w:rtl/>
        </w:rPr>
        <w:t>עליית</w:t>
      </w:r>
      <w:r w:rsidRPr="00911580">
        <w:rPr>
          <w:rFonts w:hint="cs"/>
          <w:sz w:val="18"/>
          <w:szCs w:val="20"/>
          <w:rtl/>
        </w:rPr>
        <w:t>ה של ההשקפה הניאו-ליברלית ברחבי העולם. השקפה זאת עלתה והתפשטה ב</w:t>
      </w:r>
      <w:r w:rsidRPr="00911580">
        <w:rPr>
          <w:sz w:val="18"/>
          <w:szCs w:val="20"/>
          <w:rtl/>
        </w:rPr>
        <w:t>עקבות תהליכים כלכליים, דמוגרפיים ופוליטיים שהביאו בסוף שנות ה</w:t>
      </w:r>
      <w:r w:rsidRPr="00911580">
        <w:rPr>
          <w:rFonts w:hint="cs"/>
          <w:sz w:val="18"/>
          <w:szCs w:val="20"/>
          <w:rtl/>
        </w:rPr>
        <w:t>-70</w:t>
      </w:r>
      <w:r w:rsidRPr="00911580">
        <w:rPr>
          <w:sz w:val="18"/>
          <w:szCs w:val="20"/>
          <w:rtl/>
        </w:rPr>
        <w:t xml:space="preserve"> ל</w:t>
      </w:r>
      <w:r w:rsidRPr="00911580">
        <w:rPr>
          <w:rFonts w:hint="eastAsia"/>
          <w:sz w:val="18"/>
          <w:szCs w:val="20"/>
          <w:rtl/>
        </w:rPr>
        <w:t>האטת</w:t>
      </w:r>
      <w:r w:rsidRPr="00911580">
        <w:rPr>
          <w:sz w:val="18"/>
          <w:szCs w:val="20"/>
          <w:rtl/>
        </w:rPr>
        <w:t xml:space="preserve"> התרחבותה של מדינת הרווחה</w:t>
      </w:r>
      <w:r w:rsidRPr="00911580">
        <w:rPr>
          <w:rFonts w:hint="cs"/>
          <w:sz w:val="18"/>
          <w:szCs w:val="20"/>
          <w:rtl/>
        </w:rPr>
        <w:t xml:space="preserve"> (</w:t>
      </w:r>
      <w:r w:rsidRPr="00911580">
        <w:rPr>
          <w:sz w:val="18"/>
          <w:szCs w:val="20"/>
        </w:rPr>
        <w:t>Pierson, 1995</w:t>
      </w:r>
      <w:r w:rsidRPr="00911580">
        <w:rPr>
          <w:rFonts w:hint="cs"/>
          <w:sz w:val="18"/>
          <w:szCs w:val="20"/>
          <w:rtl/>
        </w:rPr>
        <w:t>)</w:t>
      </w:r>
      <w:r w:rsidRPr="00911580">
        <w:rPr>
          <w:sz w:val="18"/>
          <w:szCs w:val="20"/>
          <w:rtl/>
        </w:rPr>
        <w:t xml:space="preserve">. </w:t>
      </w:r>
      <w:r w:rsidRPr="00911580">
        <w:rPr>
          <w:rFonts w:hint="cs"/>
          <w:sz w:val="18"/>
          <w:szCs w:val="20"/>
          <w:rtl/>
        </w:rPr>
        <w:t>ה</w:t>
      </w:r>
      <w:r w:rsidRPr="00911580">
        <w:rPr>
          <w:sz w:val="18"/>
          <w:szCs w:val="20"/>
          <w:rtl/>
        </w:rPr>
        <w:t xml:space="preserve">ניאו-ליברליזם דוגל בצמצום המעורבות הממשלתית בחיי הכלכלה, בפתיחת המשק לתחרות ובליברליזציה של השווקים ושל תנועות הון. לפי </w:t>
      </w:r>
      <w:r w:rsidRPr="00911580">
        <w:rPr>
          <w:rFonts w:hint="cs"/>
          <w:sz w:val="18"/>
          <w:szCs w:val="20"/>
          <w:rtl/>
        </w:rPr>
        <w:t>השקפה זו</w:t>
      </w:r>
      <w:r w:rsidRPr="00911580">
        <w:rPr>
          <w:sz w:val="18"/>
          <w:szCs w:val="20"/>
          <w:rtl/>
        </w:rPr>
        <w:t xml:space="preserve"> </w:t>
      </w:r>
      <w:r w:rsidRPr="00911580">
        <w:rPr>
          <w:rFonts w:hint="cs"/>
          <w:sz w:val="18"/>
          <w:szCs w:val="20"/>
          <w:rtl/>
        </w:rPr>
        <w:t xml:space="preserve">גם </w:t>
      </w:r>
      <w:r w:rsidRPr="00911580">
        <w:rPr>
          <w:sz w:val="18"/>
          <w:szCs w:val="20"/>
          <w:rtl/>
        </w:rPr>
        <w:t>יש לרסן את הוצאות הממשלה ולהקטין את חלקה בתוצר הלאומי</w:t>
      </w:r>
      <w:r w:rsidRPr="00911580">
        <w:rPr>
          <w:rFonts w:hint="cs"/>
          <w:sz w:val="18"/>
          <w:szCs w:val="20"/>
          <w:rtl/>
        </w:rPr>
        <w:t>, כדי</w:t>
      </w:r>
      <w:r w:rsidRPr="00911580">
        <w:rPr>
          <w:sz w:val="18"/>
          <w:szCs w:val="20"/>
          <w:rtl/>
        </w:rPr>
        <w:t xml:space="preserve"> לאפשר הקצאת משאבים יעילה במשק המבוסס ברובו על פעילות</w:t>
      </w:r>
      <w:r w:rsidRPr="00911580">
        <w:rPr>
          <w:rFonts w:hint="cs"/>
          <w:sz w:val="18"/>
          <w:szCs w:val="20"/>
          <w:rtl/>
        </w:rPr>
        <w:t>ו של</w:t>
      </w:r>
      <w:r w:rsidRPr="00911580">
        <w:rPr>
          <w:sz w:val="18"/>
          <w:szCs w:val="20"/>
          <w:rtl/>
        </w:rPr>
        <w:t xml:space="preserve"> המגזר העסקי.</w:t>
      </w:r>
      <w:r w:rsidRPr="00911580">
        <w:rPr>
          <w:rFonts w:hint="cs"/>
          <w:sz w:val="18"/>
          <w:szCs w:val="20"/>
          <w:rtl/>
        </w:rPr>
        <w:t xml:space="preserve"> הפרטתם של תשתיות לאומיות ושל שירותים חברתיים הייתה אפוא לחלק בלתי נפרד מתפיסה זו (</w:t>
      </w:r>
      <w:proofErr w:type="spellStart"/>
      <w:r w:rsidRPr="00911580">
        <w:rPr>
          <w:rFonts w:hint="cs"/>
          <w:sz w:val="18"/>
          <w:szCs w:val="20"/>
          <w:rtl/>
        </w:rPr>
        <w:t>הארווי</w:t>
      </w:r>
      <w:proofErr w:type="spellEnd"/>
      <w:r w:rsidRPr="00911580">
        <w:rPr>
          <w:rFonts w:hint="cs"/>
          <w:sz w:val="18"/>
          <w:szCs w:val="20"/>
          <w:rtl/>
        </w:rPr>
        <w:t>, 2015).</w:t>
      </w:r>
    </w:p>
    <w:p w14:paraId="47A8F3FB" w14:textId="243B8067" w:rsidR="00B4735A" w:rsidRPr="00911580" w:rsidRDefault="00B4735A" w:rsidP="00911580">
      <w:pPr>
        <w:spacing w:after="180" w:line="280" w:lineRule="exact"/>
        <w:jc w:val="both"/>
        <w:rPr>
          <w:sz w:val="18"/>
          <w:szCs w:val="20"/>
          <w:rtl/>
        </w:rPr>
      </w:pPr>
      <w:r w:rsidRPr="00911580">
        <w:rPr>
          <w:sz w:val="18"/>
          <w:szCs w:val="20"/>
          <w:rtl/>
        </w:rPr>
        <w:t>הפרטה היא תופעה מורכבת הכוללת תמהיל של תהליכים מגוונים, ולכן קשה למצוא לה</w:t>
      </w:r>
      <w:r w:rsidRPr="00911580">
        <w:rPr>
          <w:rFonts w:hint="cs"/>
          <w:sz w:val="18"/>
          <w:szCs w:val="20"/>
          <w:rtl/>
        </w:rPr>
        <w:t xml:space="preserve"> </w:t>
      </w:r>
      <w:r w:rsidRPr="00911580">
        <w:rPr>
          <w:sz w:val="18"/>
          <w:szCs w:val="20"/>
          <w:rtl/>
        </w:rPr>
        <w:t>הגדרה אחידה. הגדרות רחבות רואות בהפרטה "כל צעד המגביר את תפקידו של המגזר</w:t>
      </w:r>
      <w:r w:rsidRPr="00911580">
        <w:rPr>
          <w:rFonts w:hint="cs"/>
          <w:sz w:val="18"/>
          <w:szCs w:val="20"/>
          <w:rtl/>
        </w:rPr>
        <w:t xml:space="preserve"> </w:t>
      </w:r>
      <w:r w:rsidRPr="00911580">
        <w:rPr>
          <w:sz w:val="18"/>
          <w:szCs w:val="20"/>
          <w:rtl/>
        </w:rPr>
        <w:t>הפרטי בכלכלה</w:t>
      </w:r>
      <w:r w:rsidRPr="00911580">
        <w:rPr>
          <w:rFonts w:hint="cs"/>
          <w:sz w:val="18"/>
          <w:szCs w:val="20"/>
          <w:rtl/>
        </w:rPr>
        <w:t>",</w:t>
      </w:r>
      <w:r w:rsidRPr="00911580">
        <w:rPr>
          <w:sz w:val="18"/>
          <w:szCs w:val="20"/>
          <w:rtl/>
        </w:rPr>
        <w:t xml:space="preserve"> או </w:t>
      </w:r>
      <w:r w:rsidRPr="00911580">
        <w:rPr>
          <w:rFonts w:hint="cs"/>
          <w:sz w:val="18"/>
          <w:szCs w:val="20"/>
          <w:rtl/>
        </w:rPr>
        <w:t>"</w:t>
      </w:r>
      <w:r w:rsidRPr="00911580">
        <w:rPr>
          <w:sz w:val="18"/>
          <w:szCs w:val="20"/>
          <w:rtl/>
        </w:rPr>
        <w:t>מדיניות המכוונת להפחתת</w:t>
      </w:r>
      <w:r w:rsidRPr="00911580">
        <w:rPr>
          <w:rFonts w:hint="cs"/>
          <w:sz w:val="18"/>
          <w:szCs w:val="20"/>
          <w:rtl/>
        </w:rPr>
        <w:t xml:space="preserve"> המעורבות הממשלתית בכלכלה ובחברה" (שפירא, 2010). מנקודת מבט מצמצמת יותר אפשר לראות בהפרטה העברת נכסים, שירותים ומוצרים </w:t>
      </w:r>
      <w:r w:rsidRPr="00911580">
        <w:rPr>
          <w:sz w:val="18"/>
          <w:szCs w:val="20"/>
          <w:rtl/>
        </w:rPr>
        <w:t>מבעלותם, מניהולם וממימונם של ארגוני המדינה לארגונים במגזר העסקי</w:t>
      </w:r>
      <w:r w:rsidRPr="00911580">
        <w:rPr>
          <w:rFonts w:hint="cs"/>
          <w:sz w:val="18"/>
          <w:szCs w:val="20"/>
          <w:rtl/>
        </w:rPr>
        <w:t xml:space="preserve">, </w:t>
      </w:r>
      <w:r w:rsidRPr="00911580">
        <w:rPr>
          <w:sz w:val="18"/>
          <w:szCs w:val="20"/>
          <w:rtl/>
        </w:rPr>
        <w:t>לארגונים</w:t>
      </w:r>
      <w:r w:rsidRPr="00911580">
        <w:rPr>
          <w:rFonts w:hint="cs"/>
          <w:sz w:val="18"/>
          <w:szCs w:val="20"/>
          <w:rtl/>
        </w:rPr>
        <w:t xml:space="preserve"> </w:t>
      </w:r>
      <w:r w:rsidRPr="00911580">
        <w:rPr>
          <w:sz w:val="18"/>
          <w:szCs w:val="20"/>
          <w:rtl/>
        </w:rPr>
        <w:t>במגזר השלישי או לאנשים פרטיים. כך או אחרת, מדובר בהגדרה מחדש של אחריות</w:t>
      </w:r>
      <w:r w:rsidRPr="00911580">
        <w:rPr>
          <w:rFonts w:hint="cs"/>
          <w:sz w:val="18"/>
          <w:szCs w:val="20"/>
          <w:rtl/>
        </w:rPr>
        <w:t xml:space="preserve"> </w:t>
      </w:r>
      <w:r w:rsidRPr="00911580">
        <w:rPr>
          <w:sz w:val="18"/>
          <w:szCs w:val="20"/>
          <w:rtl/>
        </w:rPr>
        <w:t xml:space="preserve">המדינה, כלומר קביעה מחודשת של הגבולות באחד או </w:t>
      </w:r>
      <w:r w:rsidRPr="00911580">
        <w:rPr>
          <w:rFonts w:hint="cs"/>
          <w:sz w:val="18"/>
          <w:szCs w:val="20"/>
          <w:rtl/>
        </w:rPr>
        <w:t xml:space="preserve">בכמה </w:t>
      </w:r>
      <w:r w:rsidRPr="00911580">
        <w:rPr>
          <w:sz w:val="18"/>
          <w:szCs w:val="20"/>
          <w:rtl/>
        </w:rPr>
        <w:t>מהרכיבים לעיל</w:t>
      </w:r>
      <w:r w:rsidRPr="00911580">
        <w:rPr>
          <w:rFonts w:hint="cs"/>
          <w:sz w:val="18"/>
          <w:szCs w:val="20"/>
          <w:rtl/>
        </w:rPr>
        <w:t xml:space="preserve"> </w:t>
      </w:r>
      <w:r w:rsidR="009C161B">
        <w:rPr>
          <w:sz w:val="18"/>
          <w:szCs w:val="20"/>
        </w:rPr>
        <w:br/>
      </w:r>
      <w:r w:rsidRPr="00911580">
        <w:rPr>
          <w:rFonts w:hint="cs"/>
          <w:sz w:val="18"/>
          <w:szCs w:val="20"/>
          <w:rtl/>
        </w:rPr>
        <w:t>(</w:t>
      </w:r>
      <w:r w:rsidRPr="00911580">
        <w:rPr>
          <w:sz w:val="18"/>
          <w:szCs w:val="20"/>
          <w:rtl/>
        </w:rPr>
        <w:t>גל</w:t>
      </w:r>
      <w:r w:rsidRPr="00911580">
        <w:rPr>
          <w:rFonts w:hint="cs"/>
          <w:sz w:val="18"/>
          <w:szCs w:val="20"/>
          <w:rtl/>
        </w:rPr>
        <w:t>-</w:t>
      </w:r>
      <w:r w:rsidRPr="00911580">
        <w:rPr>
          <w:sz w:val="18"/>
          <w:szCs w:val="20"/>
          <w:rtl/>
        </w:rPr>
        <w:t>נור</w:t>
      </w:r>
      <w:r w:rsidRPr="00911580">
        <w:rPr>
          <w:rFonts w:hint="cs"/>
          <w:sz w:val="18"/>
          <w:szCs w:val="20"/>
          <w:rtl/>
        </w:rPr>
        <w:t xml:space="preserve"> </w:t>
      </w:r>
      <w:r w:rsidRPr="00911580">
        <w:rPr>
          <w:sz w:val="18"/>
          <w:szCs w:val="20"/>
          <w:rtl/>
        </w:rPr>
        <w:t>ופז</w:t>
      </w:r>
      <w:r w:rsidRPr="00911580">
        <w:rPr>
          <w:rFonts w:hint="cs"/>
          <w:sz w:val="18"/>
          <w:szCs w:val="20"/>
          <w:rtl/>
        </w:rPr>
        <w:t>-</w:t>
      </w:r>
      <w:r w:rsidRPr="00911580">
        <w:rPr>
          <w:sz w:val="18"/>
          <w:szCs w:val="20"/>
          <w:rtl/>
        </w:rPr>
        <w:t>פוקס</w:t>
      </w:r>
      <w:r w:rsidRPr="00911580">
        <w:rPr>
          <w:rFonts w:hint="cs"/>
          <w:sz w:val="18"/>
          <w:szCs w:val="20"/>
          <w:rtl/>
        </w:rPr>
        <w:t xml:space="preserve">, 2015). מכאן ברי כי סוגיית ההפרטה קשורה באופן הדוק לדיון תיאורטי נרחב יותר במדינת הרווחה, ויריעתו של מאמר זה קצרה </w:t>
      </w:r>
      <w:proofErr w:type="spellStart"/>
      <w:r w:rsidRPr="00911580">
        <w:rPr>
          <w:rFonts w:hint="cs"/>
          <w:sz w:val="18"/>
          <w:szCs w:val="20"/>
          <w:rtl/>
        </w:rPr>
        <w:t>מלהכילו</w:t>
      </w:r>
      <w:proofErr w:type="spellEnd"/>
      <w:r w:rsidRPr="00911580">
        <w:rPr>
          <w:rFonts w:hint="cs"/>
          <w:sz w:val="18"/>
          <w:szCs w:val="20"/>
          <w:rtl/>
        </w:rPr>
        <w:t>.</w:t>
      </w:r>
    </w:p>
    <w:p w14:paraId="37A4B661"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הניאו-ליברליזם, כפי שמעיד עליו שמו, קשור לחזרתו או להתחדשותו של רעיון ותיק יותר </w:t>
      </w:r>
      <w:r w:rsidRPr="00911580">
        <w:rPr>
          <w:sz w:val="18"/>
          <w:szCs w:val="20"/>
          <w:rtl/>
        </w:rPr>
        <w:t>–</w:t>
      </w:r>
      <w:r w:rsidRPr="00911580">
        <w:rPr>
          <w:rFonts w:hint="cs"/>
          <w:sz w:val="18"/>
          <w:szCs w:val="20"/>
          <w:rtl/>
        </w:rPr>
        <w:t xml:space="preserve"> הליברליזם. בצורתו הקיצונית יותר הוא מזוהה עם רעיונות </w:t>
      </w:r>
      <w:proofErr w:type="spellStart"/>
      <w:r w:rsidRPr="00911580">
        <w:rPr>
          <w:rFonts w:hint="cs"/>
          <w:sz w:val="18"/>
          <w:szCs w:val="20"/>
          <w:rtl/>
        </w:rPr>
        <w:t>ליברטריאניים</w:t>
      </w:r>
      <w:proofErr w:type="spellEnd"/>
      <w:r w:rsidRPr="00911580">
        <w:rPr>
          <w:rFonts w:hint="cs"/>
          <w:sz w:val="18"/>
          <w:szCs w:val="20"/>
          <w:rtl/>
        </w:rPr>
        <w:t xml:space="preserve">, השוללים מכול וכול את התערבות המדינה בחיי הפרט. מבחינה פוליטית הוא נתפס כאידיאולוגיה יריבה לרעיונות סוציאליסטיים או סוציאל-דמוקרטיים, המזוהים עם חוגים פוליטיים שנהוג </w:t>
      </w:r>
      <w:proofErr w:type="spellStart"/>
      <w:r w:rsidRPr="00911580">
        <w:rPr>
          <w:rFonts w:hint="cs"/>
          <w:sz w:val="18"/>
          <w:szCs w:val="20"/>
          <w:rtl/>
        </w:rPr>
        <w:t>למקמם</w:t>
      </w:r>
      <w:proofErr w:type="spellEnd"/>
      <w:r w:rsidRPr="00911580">
        <w:rPr>
          <w:rFonts w:hint="cs"/>
          <w:sz w:val="18"/>
          <w:szCs w:val="20"/>
          <w:rtl/>
        </w:rPr>
        <w:t xml:space="preserve"> בצד השמאלי של המפה הפוליטית, ואשר מצדדים בדרך כלל בחיזוקה של מדינת הרווחה. הללו דוגלים בהתערבות נרחבת של המדינה בחיי הכלכלה, לרבות חלוקה מחדש של משאבים כלכליים, כדי לקדם את ערך השוויון </w:t>
      </w:r>
      <w:r w:rsidRPr="00911580">
        <w:rPr>
          <w:sz w:val="18"/>
          <w:szCs w:val="20"/>
          <w:rtl/>
        </w:rPr>
        <w:t>–</w:t>
      </w:r>
      <w:r w:rsidRPr="00911580">
        <w:rPr>
          <w:rFonts w:hint="cs"/>
          <w:sz w:val="18"/>
          <w:szCs w:val="20"/>
          <w:rtl/>
        </w:rPr>
        <w:t xml:space="preserve"> לעיתים על חשבון זכות הקניין הפרטי.</w:t>
      </w:r>
      <w:r w:rsidRPr="00911580">
        <w:rPr>
          <w:rFonts w:eastAsia="Calibri" w:hint="cs"/>
          <w:sz w:val="18"/>
          <w:szCs w:val="20"/>
          <w:rtl/>
        </w:rPr>
        <w:t xml:space="preserve"> </w:t>
      </w:r>
      <w:r w:rsidRPr="00911580">
        <w:rPr>
          <w:rFonts w:hint="cs"/>
          <w:sz w:val="18"/>
          <w:szCs w:val="20"/>
          <w:rtl/>
        </w:rPr>
        <w:t xml:space="preserve">מבחינה פילוסופית, אידיאולוגית ומוסרית מתקיים ויכוח מרתק בין המצדדים בתפיסות השונות באשר למהותה של החירות, שכן לעומת תומכי השוק החופשי אפשר לטעון כי חלוקה </w:t>
      </w:r>
      <w:r w:rsidRPr="00911580">
        <w:rPr>
          <w:rFonts w:hint="cs"/>
          <w:sz w:val="18"/>
          <w:szCs w:val="20"/>
          <w:rtl/>
        </w:rPr>
        <w:lastRenderedPageBreak/>
        <w:t xml:space="preserve">מחדש של משאבים מקדמת דווקא את חופש הפרט, בכך שהיא מאפשרת לו את התנאים הדרושים לממש את חירותו (פרידמן, 2002; </w:t>
      </w:r>
      <w:r w:rsidRPr="00911580">
        <w:rPr>
          <w:sz w:val="18"/>
          <w:szCs w:val="20"/>
        </w:rPr>
        <w:t>Gamble, 1994; Rawls, 1971</w:t>
      </w:r>
      <w:r w:rsidRPr="00911580">
        <w:rPr>
          <w:rFonts w:hint="cs"/>
          <w:sz w:val="18"/>
          <w:szCs w:val="20"/>
          <w:rtl/>
        </w:rPr>
        <w:t>).</w:t>
      </w:r>
      <w:r w:rsidRPr="00911580">
        <w:rPr>
          <w:rStyle w:val="FootnoteReference"/>
          <w:sz w:val="18"/>
          <w:szCs w:val="20"/>
          <w:rtl/>
        </w:rPr>
        <w:footnoteReference w:id="4"/>
      </w:r>
    </w:p>
    <w:p w14:paraId="44F58B0B" w14:textId="19B9A2E5" w:rsidR="00B4735A" w:rsidRPr="00911580" w:rsidRDefault="00B4735A" w:rsidP="00500FCB">
      <w:pPr>
        <w:spacing w:after="180" w:line="280" w:lineRule="exact"/>
        <w:jc w:val="both"/>
        <w:rPr>
          <w:sz w:val="18"/>
          <w:szCs w:val="20"/>
        </w:rPr>
      </w:pPr>
      <w:r w:rsidRPr="00911580">
        <w:rPr>
          <w:rFonts w:hint="cs"/>
          <w:sz w:val="18"/>
          <w:szCs w:val="20"/>
          <w:rtl/>
        </w:rPr>
        <w:t>להפרטה יש כמה יעדים מרכזיים, הגם שמתחולל ויכוח נוקב בשאלה אם היא אכן משיגה א</w:t>
      </w:r>
      <w:r w:rsidR="00500FCB">
        <w:rPr>
          <w:rFonts w:hint="cs"/>
          <w:sz w:val="18"/>
          <w:szCs w:val="20"/>
          <w:rtl/>
        </w:rPr>
        <w:t>ותם</w:t>
      </w:r>
      <w:r w:rsidRPr="00911580">
        <w:rPr>
          <w:rFonts w:hint="cs"/>
          <w:sz w:val="18"/>
          <w:szCs w:val="20"/>
          <w:rtl/>
        </w:rPr>
        <w:t>: צמצום</w:t>
      </w:r>
      <w:r w:rsidRPr="00911580">
        <w:rPr>
          <w:sz w:val="18"/>
          <w:szCs w:val="20"/>
          <w:rtl/>
        </w:rPr>
        <w:t xml:space="preserve"> הסקטור הציבורי במטרה להביא ל</w:t>
      </w:r>
      <w:r w:rsidRPr="00911580">
        <w:rPr>
          <w:rFonts w:hint="cs"/>
          <w:sz w:val="18"/>
          <w:szCs w:val="20"/>
          <w:rtl/>
        </w:rPr>
        <w:t>צמצום</w:t>
      </w:r>
      <w:r w:rsidRPr="00911580">
        <w:rPr>
          <w:sz w:val="18"/>
          <w:szCs w:val="20"/>
          <w:rtl/>
        </w:rPr>
        <w:t xml:space="preserve"> ההוצאה הציבורית</w:t>
      </w:r>
      <w:r w:rsidRPr="00911580">
        <w:rPr>
          <w:rFonts w:hint="cs"/>
          <w:sz w:val="18"/>
          <w:szCs w:val="20"/>
          <w:rtl/>
        </w:rPr>
        <w:t xml:space="preserve">; </w:t>
      </w:r>
      <w:r w:rsidRPr="00911580">
        <w:rPr>
          <w:sz w:val="18"/>
          <w:szCs w:val="20"/>
          <w:rtl/>
        </w:rPr>
        <w:t>הפקת תועלת מיעילות</w:t>
      </w:r>
      <w:r w:rsidRPr="00911580">
        <w:rPr>
          <w:rFonts w:hint="cs"/>
          <w:sz w:val="18"/>
          <w:szCs w:val="20"/>
          <w:rtl/>
        </w:rPr>
        <w:t>ו של</w:t>
      </w:r>
      <w:r w:rsidRPr="00911580">
        <w:rPr>
          <w:sz w:val="18"/>
          <w:szCs w:val="20"/>
          <w:rtl/>
        </w:rPr>
        <w:t xml:space="preserve"> הסקטור הפרטי, הנובעת בעיקר מ</w:t>
      </w:r>
      <w:r w:rsidRPr="00911580">
        <w:rPr>
          <w:rFonts w:hint="cs"/>
          <w:sz w:val="18"/>
          <w:szCs w:val="20"/>
          <w:rtl/>
        </w:rPr>
        <w:t xml:space="preserve">הישענות על </w:t>
      </w:r>
      <w:r w:rsidRPr="00911580">
        <w:rPr>
          <w:sz w:val="18"/>
          <w:szCs w:val="20"/>
          <w:rtl/>
        </w:rPr>
        <w:t>קבלת החלטות</w:t>
      </w:r>
      <w:r w:rsidRPr="00911580">
        <w:rPr>
          <w:rFonts w:hint="cs"/>
          <w:sz w:val="18"/>
          <w:szCs w:val="20"/>
          <w:rtl/>
        </w:rPr>
        <w:t xml:space="preserve"> </w:t>
      </w:r>
      <w:r w:rsidRPr="00911580">
        <w:rPr>
          <w:sz w:val="18"/>
          <w:szCs w:val="20"/>
          <w:rtl/>
        </w:rPr>
        <w:t xml:space="preserve">מוכוונת רווח </w:t>
      </w:r>
      <w:r w:rsidRPr="00911580">
        <w:rPr>
          <w:rFonts w:hint="cs"/>
          <w:sz w:val="18"/>
          <w:szCs w:val="20"/>
          <w:rtl/>
        </w:rPr>
        <w:t xml:space="preserve">בסביבה תחרותית; </w:t>
      </w:r>
      <w:r w:rsidRPr="00911580">
        <w:rPr>
          <w:sz w:val="18"/>
          <w:szCs w:val="20"/>
          <w:rtl/>
        </w:rPr>
        <w:t>יצירת הכנסה עבור הממשלה</w:t>
      </w:r>
      <w:r w:rsidRPr="00911580">
        <w:rPr>
          <w:rFonts w:hint="cs"/>
          <w:sz w:val="18"/>
          <w:szCs w:val="20"/>
          <w:rtl/>
        </w:rPr>
        <w:t xml:space="preserve">; </w:t>
      </w:r>
      <w:r w:rsidRPr="00911580">
        <w:rPr>
          <w:sz w:val="18"/>
          <w:szCs w:val="20"/>
          <w:rtl/>
        </w:rPr>
        <w:t>הפחתת המעורבות הממשלתית</w:t>
      </w:r>
      <w:r w:rsidRPr="00911580">
        <w:rPr>
          <w:rFonts w:hint="cs"/>
          <w:sz w:val="18"/>
          <w:szCs w:val="20"/>
          <w:rtl/>
        </w:rPr>
        <w:t xml:space="preserve"> לטובת מנגנון השוק התחרותי, הנחשב לאמצעי יעיל יותר </w:t>
      </w:r>
      <w:proofErr w:type="spellStart"/>
      <w:r w:rsidRPr="00911580">
        <w:rPr>
          <w:rFonts w:hint="cs"/>
          <w:sz w:val="18"/>
          <w:szCs w:val="20"/>
          <w:rtl/>
        </w:rPr>
        <w:t>למקסום</w:t>
      </w:r>
      <w:proofErr w:type="spellEnd"/>
      <w:r w:rsidRPr="00911580">
        <w:rPr>
          <w:rFonts w:hint="cs"/>
          <w:sz w:val="18"/>
          <w:szCs w:val="20"/>
          <w:rtl/>
        </w:rPr>
        <w:t xml:space="preserve"> הרווחה החברתית; שיפור מצבו של הצרכן, הנהנה מ</w:t>
      </w:r>
      <w:r w:rsidRPr="00911580">
        <w:rPr>
          <w:sz w:val="18"/>
          <w:szCs w:val="20"/>
          <w:rtl/>
        </w:rPr>
        <w:t>אלמנט</w:t>
      </w:r>
      <w:r w:rsidRPr="00911580">
        <w:rPr>
          <w:rFonts w:hint="cs"/>
          <w:sz w:val="18"/>
          <w:szCs w:val="20"/>
          <w:rtl/>
        </w:rPr>
        <w:t>ים של</w:t>
      </w:r>
      <w:r w:rsidRPr="00911580">
        <w:rPr>
          <w:sz w:val="18"/>
          <w:szCs w:val="20"/>
          <w:rtl/>
        </w:rPr>
        <w:t xml:space="preserve"> תחרותיות והתייעלות</w:t>
      </w:r>
      <w:r w:rsidRPr="00911580">
        <w:rPr>
          <w:rFonts w:hint="cs"/>
          <w:sz w:val="18"/>
          <w:szCs w:val="20"/>
          <w:rtl/>
        </w:rPr>
        <w:t xml:space="preserve"> בשוק; יצירת </w:t>
      </w:r>
      <w:r w:rsidRPr="00911580">
        <w:rPr>
          <w:sz w:val="18"/>
          <w:szCs w:val="20"/>
          <w:rtl/>
        </w:rPr>
        <w:t>הזדמנויות ליצירת הון ומשאבים אחרים</w:t>
      </w:r>
      <w:r w:rsidRPr="00911580">
        <w:rPr>
          <w:rFonts w:hint="cs"/>
          <w:sz w:val="18"/>
          <w:szCs w:val="20"/>
          <w:rtl/>
        </w:rPr>
        <w:t xml:space="preserve"> במגזר הפרטי (</w:t>
      </w:r>
      <w:proofErr w:type="spellStart"/>
      <w:r w:rsidRPr="00911580">
        <w:rPr>
          <w:rFonts w:hint="cs"/>
          <w:sz w:val="18"/>
          <w:szCs w:val="20"/>
          <w:rtl/>
        </w:rPr>
        <w:t>בניש</w:t>
      </w:r>
      <w:proofErr w:type="spellEnd"/>
      <w:r w:rsidRPr="00911580">
        <w:rPr>
          <w:rFonts w:hint="cs"/>
          <w:sz w:val="18"/>
          <w:szCs w:val="20"/>
          <w:rtl/>
        </w:rPr>
        <w:t xml:space="preserve">, 2012; הרשקוביץ, 2014; </w:t>
      </w:r>
      <w:r w:rsidRPr="00911580">
        <w:rPr>
          <w:sz w:val="18"/>
          <w:szCs w:val="20"/>
        </w:rPr>
        <w:t>Mohammed, 1992</w:t>
      </w:r>
      <w:r w:rsidRPr="00911580">
        <w:rPr>
          <w:rFonts w:hint="cs"/>
          <w:sz w:val="18"/>
          <w:szCs w:val="20"/>
          <w:rtl/>
        </w:rPr>
        <w:t>). היעדים השונים ומינוניהם בתוכניות הפרטה עשויים להשתנות בהתאם לתחום המופרט, שכן אין דין הפרטת בתי זיקוק, למשל, כדין הפרטת שירותי בריאות או בתי סוהר. על כן קשה ליצור הכללה גורפת באשר לרציונל העומד מאחורי תהליכי הפרטה, יעדיהם ותוצאותיהם. באותו אופן, גם דעת הציבור על תהליכי הפרטה עשויה להשתנות בהתאם לתחום שבו מדובר. גם כאן, אין דין הפרטת חלקים מסוימים של שוק החשמל, למשל, כדין הפרטת מערכות חינוך, לפחות בעיניהם של אזרחי המדינה.</w:t>
      </w:r>
    </w:p>
    <w:p w14:paraId="1AE3FCBD" w14:textId="01AAFCDE" w:rsidR="00B4735A" w:rsidRPr="00911580" w:rsidRDefault="00B4735A" w:rsidP="00115BC6">
      <w:pPr>
        <w:spacing w:after="180" w:line="280" w:lineRule="exact"/>
        <w:jc w:val="both"/>
        <w:rPr>
          <w:sz w:val="18"/>
          <w:szCs w:val="20"/>
          <w:rtl/>
        </w:rPr>
      </w:pPr>
      <w:r w:rsidRPr="00911580">
        <w:rPr>
          <w:sz w:val="18"/>
          <w:szCs w:val="20"/>
          <w:rtl/>
        </w:rPr>
        <w:t>על אף חשיבות</w:t>
      </w:r>
      <w:r w:rsidRPr="00911580">
        <w:rPr>
          <w:rFonts w:hint="cs"/>
          <w:sz w:val="18"/>
          <w:szCs w:val="20"/>
          <w:rtl/>
        </w:rPr>
        <w:t>ו של ה</w:t>
      </w:r>
      <w:r w:rsidRPr="00911580">
        <w:rPr>
          <w:sz w:val="18"/>
          <w:szCs w:val="20"/>
          <w:rtl/>
        </w:rPr>
        <w:t>דיון ציבורי ו</w:t>
      </w:r>
      <w:r w:rsidRPr="00911580">
        <w:rPr>
          <w:rFonts w:hint="cs"/>
          <w:sz w:val="18"/>
          <w:szCs w:val="20"/>
          <w:rtl/>
        </w:rPr>
        <w:t>ה</w:t>
      </w:r>
      <w:r w:rsidRPr="00911580">
        <w:rPr>
          <w:sz w:val="18"/>
          <w:szCs w:val="20"/>
          <w:rtl/>
        </w:rPr>
        <w:t>מקצועי על הפרטת נכסים ושירותים על</w:t>
      </w:r>
      <w:r w:rsidRPr="00911580">
        <w:rPr>
          <w:rFonts w:hint="cs"/>
          <w:sz w:val="18"/>
          <w:szCs w:val="20"/>
          <w:rtl/>
        </w:rPr>
        <w:t xml:space="preserve"> </w:t>
      </w:r>
      <w:r w:rsidRPr="00911580">
        <w:rPr>
          <w:sz w:val="18"/>
          <w:szCs w:val="20"/>
          <w:rtl/>
        </w:rPr>
        <w:t>ידי המדינה, המחקר בישראל ב</w:t>
      </w:r>
      <w:r w:rsidR="00115BC6">
        <w:rPr>
          <w:rFonts w:hint="cs"/>
          <w:sz w:val="18"/>
          <w:szCs w:val="20"/>
          <w:rtl/>
        </w:rPr>
        <w:t>נוגע ל</w:t>
      </w:r>
      <w:r w:rsidRPr="00911580">
        <w:rPr>
          <w:sz w:val="18"/>
          <w:szCs w:val="20"/>
          <w:rtl/>
        </w:rPr>
        <w:t>תחושות ו</w:t>
      </w:r>
      <w:r w:rsidR="00115BC6">
        <w:rPr>
          <w:rFonts w:hint="cs"/>
          <w:sz w:val="18"/>
          <w:szCs w:val="20"/>
          <w:rtl/>
        </w:rPr>
        <w:t>ל</w:t>
      </w:r>
      <w:r w:rsidRPr="00911580">
        <w:rPr>
          <w:sz w:val="18"/>
          <w:szCs w:val="20"/>
          <w:rtl/>
        </w:rPr>
        <w:t xml:space="preserve">עמדות </w:t>
      </w:r>
      <w:r w:rsidR="00115BC6">
        <w:rPr>
          <w:rFonts w:hint="cs"/>
          <w:sz w:val="18"/>
          <w:szCs w:val="20"/>
          <w:rtl/>
        </w:rPr>
        <w:t xml:space="preserve">של </w:t>
      </w:r>
      <w:r w:rsidRPr="00911580">
        <w:rPr>
          <w:sz w:val="18"/>
          <w:szCs w:val="20"/>
          <w:rtl/>
        </w:rPr>
        <w:t xml:space="preserve">האזרחים כלפי </w:t>
      </w:r>
      <w:proofErr w:type="spellStart"/>
      <w:r w:rsidRPr="00911580">
        <w:rPr>
          <w:sz w:val="18"/>
          <w:szCs w:val="20"/>
          <w:rtl/>
        </w:rPr>
        <w:t>הסוגיה</w:t>
      </w:r>
      <w:proofErr w:type="spellEnd"/>
      <w:r w:rsidRPr="00911580">
        <w:rPr>
          <w:rFonts w:hint="cs"/>
          <w:sz w:val="18"/>
          <w:szCs w:val="20"/>
          <w:rtl/>
        </w:rPr>
        <w:t xml:space="preserve"> הוא מועט יחסית. הפער הצורם בין השפעתה העצומה של מדיניות ההפרטה על חיי היום-יום של האזרחים לבין מיעוט הידיעות שבידינו על דעת הקהל בנושא מתבלט במיוחד בעת כתיבת שורות אלה, על רקע התפשטותה המואצת של מגפת הקורונה ולנוכח השלכותיה המטלטלות, לא רק על בריאות הציבור אלא גם על חיי הכלכלה, על המרקם החברתי ועל הזירה הפוליטית של ישראל. הדיון בנושא הפרטתם של שירותים חברתיים ותשתיות ממשלתיות מקבל אפוא משנה חשיבות בתקופה סוערת זו, ובתוכו יש להקפיד על כך כי קולם של האזרחים לא ייאלם, וכי רצונותיהם ודעותיהם יקבלו ביטוי הולם.</w:t>
      </w:r>
    </w:p>
    <w:p w14:paraId="3763AD09" w14:textId="77777777" w:rsidR="00B4735A" w:rsidRPr="00911580" w:rsidRDefault="00B4735A" w:rsidP="00911580">
      <w:pPr>
        <w:spacing w:after="180" w:line="280" w:lineRule="exact"/>
        <w:jc w:val="both"/>
        <w:rPr>
          <w:sz w:val="18"/>
          <w:szCs w:val="20"/>
          <w:rtl/>
        </w:rPr>
      </w:pPr>
      <w:r w:rsidRPr="00911580">
        <w:rPr>
          <w:sz w:val="18"/>
          <w:szCs w:val="20"/>
          <w:rtl/>
        </w:rPr>
        <w:t>מטרתו של מחקר זה</w:t>
      </w:r>
      <w:r w:rsidRPr="00911580">
        <w:rPr>
          <w:rFonts w:hint="cs"/>
          <w:sz w:val="18"/>
          <w:szCs w:val="20"/>
          <w:rtl/>
        </w:rPr>
        <w:t xml:space="preserve">, המתבסס על סקר שנערך בקרב 1,142 ישראלים בני 18 ומעלה המהווים מדגם מייצג של אוכלוסיית ישראל, היא אפוא </w:t>
      </w:r>
      <w:r w:rsidRPr="00911580">
        <w:rPr>
          <w:sz w:val="18"/>
          <w:szCs w:val="20"/>
          <w:rtl/>
        </w:rPr>
        <w:t xml:space="preserve">לבחון את עמדות הציבור בישראל כלפי הפרטת תשתיות </w:t>
      </w:r>
      <w:r w:rsidRPr="00911580">
        <w:rPr>
          <w:rFonts w:hint="cs"/>
          <w:sz w:val="18"/>
          <w:szCs w:val="20"/>
          <w:rtl/>
        </w:rPr>
        <w:t xml:space="preserve">ממשלתיות </w:t>
      </w:r>
      <w:r w:rsidRPr="00911580">
        <w:rPr>
          <w:sz w:val="18"/>
          <w:szCs w:val="20"/>
          <w:rtl/>
        </w:rPr>
        <w:t>ושירותים חברתיים</w:t>
      </w:r>
      <w:r w:rsidRPr="00911580">
        <w:rPr>
          <w:rFonts w:hint="cs"/>
          <w:sz w:val="18"/>
          <w:szCs w:val="20"/>
          <w:rtl/>
        </w:rPr>
        <w:t xml:space="preserve">, ולזהות </w:t>
      </w:r>
      <w:r w:rsidRPr="00911580">
        <w:rPr>
          <w:sz w:val="18"/>
          <w:szCs w:val="20"/>
          <w:rtl/>
        </w:rPr>
        <w:t>קשרים אפשריים בין משתנים</w:t>
      </w:r>
      <w:r w:rsidRPr="00911580">
        <w:rPr>
          <w:rFonts w:hint="cs"/>
          <w:sz w:val="18"/>
          <w:szCs w:val="20"/>
          <w:rtl/>
        </w:rPr>
        <w:t xml:space="preserve"> מסבירים</w:t>
      </w:r>
      <w:r w:rsidRPr="00911580">
        <w:rPr>
          <w:sz w:val="18"/>
          <w:szCs w:val="20"/>
          <w:rtl/>
        </w:rPr>
        <w:t xml:space="preserve"> שונים ל</w:t>
      </w:r>
      <w:r w:rsidRPr="00911580">
        <w:rPr>
          <w:rFonts w:hint="cs"/>
          <w:sz w:val="18"/>
          <w:szCs w:val="20"/>
          <w:rtl/>
        </w:rPr>
        <w:t xml:space="preserve">בין </w:t>
      </w:r>
      <w:r w:rsidRPr="00911580">
        <w:rPr>
          <w:sz w:val="18"/>
          <w:szCs w:val="20"/>
          <w:rtl/>
        </w:rPr>
        <w:t>עמדות הציבור כלפי הפרטה</w:t>
      </w:r>
      <w:r w:rsidRPr="00911580">
        <w:rPr>
          <w:rFonts w:hint="cs"/>
          <w:sz w:val="18"/>
          <w:szCs w:val="20"/>
          <w:rtl/>
        </w:rPr>
        <w:t xml:space="preserve"> </w:t>
      </w:r>
      <w:r w:rsidRPr="00911580">
        <w:rPr>
          <w:sz w:val="18"/>
          <w:szCs w:val="20"/>
          <w:rtl/>
        </w:rPr>
        <w:t>–</w:t>
      </w:r>
      <w:r w:rsidRPr="00911580">
        <w:rPr>
          <w:rFonts w:hint="cs"/>
          <w:sz w:val="18"/>
          <w:szCs w:val="20"/>
          <w:rtl/>
        </w:rPr>
        <w:t xml:space="preserve"> הן כמושג כללי הן בתחומי מדיניות ספציפיים</w:t>
      </w:r>
      <w:r w:rsidRPr="00911580">
        <w:rPr>
          <w:sz w:val="18"/>
          <w:szCs w:val="20"/>
          <w:rtl/>
        </w:rPr>
        <w:t>.</w:t>
      </w:r>
    </w:p>
    <w:p w14:paraId="31C1A01B" w14:textId="6124B834" w:rsidR="00B4735A" w:rsidRPr="00B4735A" w:rsidRDefault="00B4735A" w:rsidP="00B4735A">
      <w:pPr>
        <w:pStyle w:val="KOT4"/>
        <w:spacing w:after="0"/>
        <w:ind w:left="397" w:right="0" w:hanging="397"/>
        <w:rPr>
          <w:rFonts w:cs="Guttman Aharoni"/>
          <w:color w:val="00B0F0"/>
          <w:sz w:val="32"/>
          <w:szCs w:val="32"/>
          <w:rtl/>
        </w:rPr>
      </w:pPr>
      <w:r w:rsidRPr="00B4735A">
        <w:rPr>
          <w:rFonts w:cs="Guttman Aharoni" w:hint="cs"/>
          <w:color w:val="00B0F0"/>
          <w:sz w:val="32"/>
          <w:szCs w:val="32"/>
          <w:rtl/>
        </w:rPr>
        <w:lastRenderedPageBreak/>
        <w:t xml:space="preserve">2. דעת הציבור על הפרטת תשתיות ממשלתיות ושירותים חברתיים </w:t>
      </w:r>
    </w:p>
    <w:p w14:paraId="6C27E713" w14:textId="77777777" w:rsidR="00B4735A" w:rsidRPr="00911580" w:rsidRDefault="00B4735A" w:rsidP="00911580">
      <w:pPr>
        <w:spacing w:after="180" w:line="280" w:lineRule="exact"/>
        <w:jc w:val="both"/>
        <w:rPr>
          <w:sz w:val="18"/>
          <w:szCs w:val="20"/>
        </w:rPr>
      </w:pPr>
      <w:r w:rsidRPr="009C161B">
        <w:rPr>
          <w:rFonts w:hint="cs"/>
          <w:sz w:val="18"/>
          <w:szCs w:val="20"/>
          <w:rtl/>
        </w:rPr>
        <w:t>ע</w:t>
      </w:r>
      <w:r w:rsidRPr="009C161B">
        <w:rPr>
          <w:sz w:val="18"/>
          <w:szCs w:val="20"/>
          <w:rtl/>
        </w:rPr>
        <w:t>ד השנים האחרונות</w:t>
      </w:r>
      <w:r w:rsidRPr="009C161B">
        <w:rPr>
          <w:rFonts w:hint="cs"/>
          <w:sz w:val="18"/>
          <w:szCs w:val="20"/>
          <w:rtl/>
        </w:rPr>
        <w:t>,</w:t>
      </w:r>
      <w:r w:rsidRPr="009C161B">
        <w:rPr>
          <w:sz w:val="18"/>
          <w:szCs w:val="20"/>
          <w:rtl/>
        </w:rPr>
        <w:t xml:space="preserve"> תהליכי ההפרטה</w:t>
      </w:r>
      <w:r w:rsidRPr="009C161B">
        <w:rPr>
          <w:rFonts w:hint="cs"/>
          <w:sz w:val="18"/>
          <w:szCs w:val="20"/>
          <w:rtl/>
        </w:rPr>
        <w:t xml:space="preserve"> בישראל נתקלו ב</w:t>
      </w:r>
      <w:r w:rsidRPr="009C161B">
        <w:rPr>
          <w:sz w:val="18"/>
          <w:szCs w:val="20"/>
          <w:rtl/>
        </w:rPr>
        <w:t>התנגדות ציבורית</w:t>
      </w:r>
      <w:r w:rsidRPr="009C161B">
        <w:rPr>
          <w:rFonts w:hint="cs"/>
          <w:sz w:val="18"/>
          <w:szCs w:val="20"/>
          <w:rtl/>
        </w:rPr>
        <w:t xml:space="preserve"> מועטה יחסית. הדבר מפתיע, אולי, לאור קיומן המסורתי של תפיסות עולם סוציאליסטיות וסוציאל-דמוקרטיות אשר בעבר, לפחות, חבקו פלח משמעותי מהחברה הישראלית.</w:t>
      </w:r>
      <w:r w:rsidRPr="009C161B">
        <w:rPr>
          <w:sz w:val="18"/>
          <w:szCs w:val="20"/>
          <w:rtl/>
        </w:rPr>
        <w:t xml:space="preserve"> גם גל</w:t>
      </w:r>
      <w:r w:rsidRPr="009C161B">
        <w:rPr>
          <w:rFonts w:hint="cs"/>
          <w:sz w:val="18"/>
          <w:szCs w:val="20"/>
          <w:rtl/>
        </w:rPr>
        <w:t xml:space="preserve"> המחאה החברתית ששטף את המדינה בקיץ 2011, ואשר כלל, בין היתר, </w:t>
      </w:r>
      <w:r w:rsidRPr="009C161B">
        <w:rPr>
          <w:sz w:val="18"/>
          <w:szCs w:val="20"/>
          <w:rtl/>
        </w:rPr>
        <w:t>התנגדות</w:t>
      </w:r>
      <w:r w:rsidRPr="009C161B">
        <w:rPr>
          <w:rFonts w:hint="cs"/>
          <w:sz w:val="18"/>
          <w:szCs w:val="20"/>
          <w:rtl/>
        </w:rPr>
        <w:t xml:space="preserve"> ל</w:t>
      </w:r>
      <w:r w:rsidRPr="009C161B">
        <w:rPr>
          <w:sz w:val="18"/>
          <w:szCs w:val="20"/>
          <w:rtl/>
        </w:rPr>
        <w:t>תהליכי ההפרטה במשק,</w:t>
      </w:r>
      <w:r w:rsidRPr="009C161B">
        <w:rPr>
          <w:rFonts w:hint="cs"/>
          <w:sz w:val="18"/>
          <w:szCs w:val="20"/>
          <w:rtl/>
        </w:rPr>
        <w:t xml:space="preserve"> </w:t>
      </w:r>
      <w:r w:rsidRPr="009C161B">
        <w:rPr>
          <w:sz w:val="18"/>
          <w:szCs w:val="20"/>
          <w:rtl/>
        </w:rPr>
        <w:t xml:space="preserve">היה בבחינת </w:t>
      </w:r>
      <w:r w:rsidRPr="009C161B">
        <w:rPr>
          <w:rFonts w:hint="cs"/>
          <w:sz w:val="18"/>
          <w:szCs w:val="20"/>
          <w:rtl/>
        </w:rPr>
        <w:t xml:space="preserve">ביקורת </w:t>
      </w:r>
      <w:r w:rsidRPr="009C161B">
        <w:rPr>
          <w:sz w:val="18"/>
          <w:szCs w:val="20"/>
          <w:rtl/>
        </w:rPr>
        <w:t>שלאחר מעשה</w:t>
      </w:r>
      <w:r w:rsidRPr="009C161B">
        <w:rPr>
          <w:rFonts w:hint="cs"/>
          <w:sz w:val="18"/>
          <w:szCs w:val="20"/>
          <w:rtl/>
        </w:rPr>
        <w:t xml:space="preserve"> (הרשקוביץ, 2014).</w:t>
      </w:r>
    </w:p>
    <w:p w14:paraId="51D8B7BE" w14:textId="5CCF5213" w:rsidR="00B4735A" w:rsidRPr="00911580" w:rsidRDefault="00B4735A" w:rsidP="00115BC6">
      <w:pPr>
        <w:spacing w:after="180" w:line="280" w:lineRule="exact"/>
        <w:jc w:val="both"/>
        <w:rPr>
          <w:sz w:val="18"/>
          <w:szCs w:val="20"/>
          <w:rtl/>
        </w:rPr>
      </w:pPr>
      <w:r w:rsidRPr="00911580">
        <w:rPr>
          <w:rFonts w:hint="cs"/>
          <w:sz w:val="18"/>
          <w:szCs w:val="20"/>
          <w:rtl/>
        </w:rPr>
        <w:t>ריבוי המשתנים</w:t>
      </w:r>
      <w:r w:rsidRPr="00911580">
        <w:rPr>
          <w:sz w:val="18"/>
          <w:szCs w:val="20"/>
          <w:rtl/>
        </w:rPr>
        <w:t xml:space="preserve"> המשפיעים על</w:t>
      </w:r>
      <w:r w:rsidRPr="00911580">
        <w:rPr>
          <w:rFonts w:hint="cs"/>
          <w:sz w:val="18"/>
          <w:szCs w:val="20"/>
          <w:rtl/>
        </w:rPr>
        <w:t xml:space="preserve"> עמדות</w:t>
      </w:r>
      <w:r w:rsidRPr="00911580">
        <w:rPr>
          <w:sz w:val="18"/>
          <w:szCs w:val="20"/>
          <w:rtl/>
        </w:rPr>
        <w:t xml:space="preserve"> האזרחים כלפי תהליכי</w:t>
      </w:r>
      <w:r w:rsidRPr="00911580">
        <w:rPr>
          <w:rFonts w:hint="cs"/>
          <w:sz w:val="18"/>
          <w:szCs w:val="20"/>
          <w:rtl/>
        </w:rPr>
        <w:t xml:space="preserve"> הפרטה, קשרי הגומלין המסועפים הקיימים ביניהם ומורכבותה של המציאות החברתית יוצרים כר פורה למחקר בתחום. ואכן, חוק</w:t>
      </w:r>
      <w:r w:rsidRPr="00911580">
        <w:rPr>
          <w:sz w:val="18"/>
          <w:szCs w:val="20"/>
          <w:rtl/>
        </w:rPr>
        <w:t>רים</w:t>
      </w:r>
      <w:r w:rsidRPr="00911580">
        <w:rPr>
          <w:rFonts w:hint="cs"/>
          <w:sz w:val="18"/>
          <w:szCs w:val="20"/>
          <w:rtl/>
        </w:rPr>
        <w:t xml:space="preserve"> הציעו </w:t>
      </w:r>
      <w:r w:rsidRPr="00911580">
        <w:rPr>
          <w:sz w:val="18"/>
          <w:szCs w:val="20"/>
          <w:rtl/>
        </w:rPr>
        <w:t>מסגרת אנליטיות שונות להערכת עמדות אלו</w:t>
      </w:r>
      <w:r w:rsidRPr="00911580">
        <w:rPr>
          <w:rFonts w:hint="cs"/>
          <w:sz w:val="18"/>
          <w:szCs w:val="20"/>
          <w:rtl/>
        </w:rPr>
        <w:t>,</w:t>
      </w:r>
      <w:r w:rsidRPr="00911580">
        <w:rPr>
          <w:sz w:val="18"/>
          <w:szCs w:val="20"/>
          <w:rtl/>
        </w:rPr>
        <w:t xml:space="preserve"> במטרה ל</w:t>
      </w:r>
      <w:r w:rsidRPr="00911580">
        <w:rPr>
          <w:rFonts w:hint="cs"/>
          <w:sz w:val="18"/>
          <w:szCs w:val="20"/>
          <w:rtl/>
        </w:rPr>
        <w:t>זהות את הגורמים המעצבים את דעת הקהל</w:t>
      </w:r>
      <w:r w:rsidR="00115BC6">
        <w:rPr>
          <w:rFonts w:hint="cs"/>
          <w:sz w:val="18"/>
          <w:szCs w:val="20"/>
          <w:rtl/>
        </w:rPr>
        <w:t xml:space="preserve"> בדבר </w:t>
      </w:r>
      <w:r w:rsidRPr="00911580">
        <w:rPr>
          <w:rFonts w:hint="cs"/>
          <w:sz w:val="18"/>
          <w:szCs w:val="20"/>
          <w:rtl/>
        </w:rPr>
        <w:t xml:space="preserve">הפרטת חברות ושירותים ממשלתיים ולמפות את עמדות הציבור בנושא. מעבר לעניין האקדמי, חקר דעת הציבור </w:t>
      </w:r>
      <w:r w:rsidR="00115BC6">
        <w:rPr>
          <w:rFonts w:hint="cs"/>
          <w:sz w:val="18"/>
          <w:szCs w:val="20"/>
          <w:rtl/>
        </w:rPr>
        <w:t>בנוגע ל</w:t>
      </w:r>
      <w:r w:rsidRPr="00911580">
        <w:rPr>
          <w:rFonts w:hint="cs"/>
          <w:sz w:val="18"/>
          <w:szCs w:val="20"/>
          <w:rtl/>
        </w:rPr>
        <w:t>הפרטה עשוי לתמוך בתהליכי קבלת החלטות בענייני חברה וכלכלה, שכן בעת גיבוש מדיניות ציבורית שומה על הדרגים המקצועיים והפוליטיים במדינה דמוקרטית להביא בחשבון את העדפותיה הכלכליות, החברתיות והנורמטיביות של האוכלוסייה שהם משרתים</w:t>
      </w:r>
      <w:r w:rsidRPr="00911580">
        <w:rPr>
          <w:sz w:val="18"/>
          <w:szCs w:val="20"/>
          <w:rtl/>
        </w:rPr>
        <w:t>.</w:t>
      </w:r>
    </w:p>
    <w:p w14:paraId="020DC6F9"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על אף </w:t>
      </w:r>
      <w:r w:rsidRPr="00911580">
        <w:rPr>
          <w:sz w:val="18"/>
          <w:szCs w:val="20"/>
          <w:rtl/>
        </w:rPr>
        <w:t>החשיבות הפוליטית</w:t>
      </w:r>
      <w:r w:rsidRPr="00911580">
        <w:rPr>
          <w:rFonts w:hint="cs"/>
          <w:sz w:val="18"/>
          <w:szCs w:val="20"/>
          <w:rtl/>
        </w:rPr>
        <w:t>, התיאורטית ו</w:t>
      </w:r>
      <w:r w:rsidRPr="00911580">
        <w:rPr>
          <w:sz w:val="18"/>
          <w:szCs w:val="20"/>
          <w:rtl/>
        </w:rPr>
        <w:t>ה</w:t>
      </w:r>
      <w:r w:rsidRPr="00911580">
        <w:rPr>
          <w:rFonts w:hint="cs"/>
          <w:sz w:val="18"/>
          <w:szCs w:val="20"/>
          <w:rtl/>
        </w:rPr>
        <w:t xml:space="preserve">מעשית </w:t>
      </w:r>
      <w:r w:rsidRPr="00911580">
        <w:rPr>
          <w:sz w:val="18"/>
          <w:szCs w:val="20"/>
          <w:rtl/>
        </w:rPr>
        <w:t>ש</w:t>
      </w:r>
      <w:r w:rsidRPr="00911580">
        <w:rPr>
          <w:rFonts w:hint="cs"/>
          <w:sz w:val="18"/>
          <w:szCs w:val="20"/>
          <w:rtl/>
        </w:rPr>
        <w:t xml:space="preserve">בדיון ציבורי ומקצועי על </w:t>
      </w:r>
      <w:r w:rsidRPr="00911580">
        <w:rPr>
          <w:sz w:val="18"/>
          <w:szCs w:val="20"/>
          <w:rtl/>
        </w:rPr>
        <w:t>הפרטת נכסים</w:t>
      </w:r>
      <w:r w:rsidRPr="00911580">
        <w:rPr>
          <w:rFonts w:hint="cs"/>
          <w:sz w:val="18"/>
          <w:szCs w:val="20"/>
          <w:rtl/>
        </w:rPr>
        <w:t xml:space="preserve"> </w:t>
      </w:r>
      <w:r w:rsidRPr="00911580">
        <w:rPr>
          <w:sz w:val="18"/>
          <w:szCs w:val="20"/>
          <w:rtl/>
        </w:rPr>
        <w:t>ושירותים על</w:t>
      </w:r>
      <w:r w:rsidRPr="00911580">
        <w:rPr>
          <w:rFonts w:hint="cs"/>
          <w:sz w:val="18"/>
          <w:szCs w:val="20"/>
          <w:rtl/>
        </w:rPr>
        <w:t xml:space="preserve"> </w:t>
      </w:r>
      <w:r w:rsidRPr="00911580">
        <w:rPr>
          <w:sz w:val="18"/>
          <w:szCs w:val="20"/>
          <w:rtl/>
        </w:rPr>
        <w:t>ידי</w:t>
      </w:r>
      <w:r w:rsidRPr="00911580">
        <w:rPr>
          <w:rFonts w:hint="cs"/>
          <w:sz w:val="18"/>
          <w:szCs w:val="20"/>
          <w:rtl/>
        </w:rPr>
        <w:t xml:space="preserve"> </w:t>
      </w:r>
      <w:r w:rsidRPr="00911580">
        <w:rPr>
          <w:sz w:val="18"/>
          <w:szCs w:val="20"/>
          <w:rtl/>
        </w:rPr>
        <w:t>המדינה</w:t>
      </w:r>
      <w:r w:rsidRPr="00911580">
        <w:rPr>
          <w:rFonts w:hint="cs"/>
          <w:sz w:val="18"/>
          <w:szCs w:val="20"/>
          <w:rtl/>
        </w:rPr>
        <w:t>,</w:t>
      </w:r>
      <w:r w:rsidRPr="00911580">
        <w:rPr>
          <w:sz w:val="18"/>
          <w:szCs w:val="20"/>
          <w:rtl/>
        </w:rPr>
        <w:t xml:space="preserve"> </w:t>
      </w:r>
      <w:r w:rsidRPr="00911580">
        <w:rPr>
          <w:rFonts w:hint="cs"/>
          <w:sz w:val="18"/>
          <w:szCs w:val="20"/>
          <w:rtl/>
        </w:rPr>
        <w:t>בישראל</w:t>
      </w:r>
      <w:r w:rsidRPr="00911580">
        <w:rPr>
          <w:sz w:val="18"/>
          <w:szCs w:val="20"/>
          <w:rtl/>
        </w:rPr>
        <w:t xml:space="preserve"> המחקר </w:t>
      </w:r>
      <w:r w:rsidRPr="00911580">
        <w:rPr>
          <w:rFonts w:hint="cs"/>
          <w:sz w:val="18"/>
          <w:szCs w:val="20"/>
          <w:rtl/>
        </w:rPr>
        <w:t xml:space="preserve">הכלכלי-חברתי </w:t>
      </w:r>
      <w:r w:rsidRPr="00911580">
        <w:rPr>
          <w:sz w:val="18"/>
          <w:szCs w:val="20"/>
          <w:rtl/>
        </w:rPr>
        <w:t>בתחושו</w:t>
      </w:r>
      <w:r w:rsidRPr="00911580">
        <w:rPr>
          <w:rFonts w:hint="cs"/>
          <w:sz w:val="18"/>
          <w:szCs w:val="20"/>
          <w:rtl/>
        </w:rPr>
        <w:t>ת ובעמדות</w:t>
      </w:r>
      <w:r w:rsidRPr="00911580">
        <w:rPr>
          <w:sz w:val="18"/>
          <w:szCs w:val="20"/>
          <w:rtl/>
        </w:rPr>
        <w:t xml:space="preserve"> </w:t>
      </w:r>
      <w:r w:rsidRPr="00911580">
        <w:rPr>
          <w:rFonts w:hint="cs"/>
          <w:sz w:val="18"/>
          <w:szCs w:val="20"/>
          <w:rtl/>
        </w:rPr>
        <w:t>ה</w:t>
      </w:r>
      <w:r w:rsidRPr="00911580">
        <w:rPr>
          <w:sz w:val="18"/>
          <w:szCs w:val="20"/>
          <w:rtl/>
        </w:rPr>
        <w:t xml:space="preserve">אזרחים כלפי </w:t>
      </w:r>
      <w:proofErr w:type="spellStart"/>
      <w:r w:rsidRPr="00911580">
        <w:rPr>
          <w:sz w:val="18"/>
          <w:szCs w:val="20"/>
          <w:rtl/>
        </w:rPr>
        <w:t>הסוגיה</w:t>
      </w:r>
      <w:proofErr w:type="spellEnd"/>
      <w:r w:rsidRPr="00911580">
        <w:rPr>
          <w:rFonts w:hint="cs"/>
          <w:sz w:val="18"/>
          <w:szCs w:val="20"/>
          <w:rtl/>
        </w:rPr>
        <w:t xml:space="preserve"> הוא מועט יחסית. סקירת עבודות שנעשו בעבר בנושא מעלה</w:t>
      </w:r>
      <w:r w:rsidRPr="00911580">
        <w:rPr>
          <w:sz w:val="18"/>
          <w:szCs w:val="20"/>
          <w:rtl/>
        </w:rPr>
        <w:t xml:space="preserve"> כי</w:t>
      </w:r>
      <w:r w:rsidRPr="00911580">
        <w:rPr>
          <w:rFonts w:hint="cs"/>
          <w:sz w:val="18"/>
          <w:szCs w:val="20"/>
          <w:rtl/>
        </w:rPr>
        <w:t xml:space="preserve"> קבוצות שונות בציבור בארץ ובעולם</w:t>
      </w:r>
      <w:r w:rsidRPr="00911580">
        <w:rPr>
          <w:sz w:val="18"/>
          <w:szCs w:val="20"/>
          <w:rtl/>
        </w:rPr>
        <w:t xml:space="preserve"> </w:t>
      </w:r>
      <w:r w:rsidRPr="00911580">
        <w:rPr>
          <w:rFonts w:hint="cs"/>
          <w:sz w:val="18"/>
          <w:szCs w:val="20"/>
          <w:rtl/>
        </w:rPr>
        <w:t xml:space="preserve">נבדלות ביניהן מאוד </w:t>
      </w:r>
      <w:r w:rsidRPr="00911580">
        <w:rPr>
          <w:sz w:val="18"/>
          <w:szCs w:val="20"/>
          <w:rtl/>
        </w:rPr>
        <w:t>בעמדות כלפי הפרטה</w:t>
      </w:r>
      <w:r w:rsidRPr="00911580">
        <w:rPr>
          <w:rFonts w:hint="cs"/>
          <w:sz w:val="18"/>
          <w:szCs w:val="20"/>
          <w:rtl/>
        </w:rPr>
        <w:t>. הבדלים אלה</w:t>
      </w:r>
      <w:r w:rsidRPr="00911580">
        <w:rPr>
          <w:sz w:val="18"/>
          <w:szCs w:val="20"/>
          <w:rtl/>
        </w:rPr>
        <w:t xml:space="preserve"> נובעים ממג</w:t>
      </w:r>
      <w:r w:rsidRPr="00911580">
        <w:rPr>
          <w:rFonts w:hint="cs"/>
          <w:sz w:val="18"/>
          <w:szCs w:val="20"/>
          <w:rtl/>
        </w:rPr>
        <w:t>ו</w:t>
      </w:r>
      <w:r w:rsidRPr="00911580">
        <w:rPr>
          <w:sz w:val="18"/>
          <w:szCs w:val="20"/>
          <w:rtl/>
        </w:rPr>
        <w:t>ון</w:t>
      </w:r>
      <w:r w:rsidRPr="00911580">
        <w:rPr>
          <w:rFonts w:hint="cs"/>
          <w:sz w:val="18"/>
          <w:szCs w:val="20"/>
          <w:rtl/>
        </w:rPr>
        <w:t xml:space="preserve"> רחב של </w:t>
      </w:r>
      <w:r w:rsidRPr="00911580">
        <w:rPr>
          <w:sz w:val="18"/>
          <w:szCs w:val="20"/>
          <w:rtl/>
        </w:rPr>
        <w:t>משתנים</w:t>
      </w:r>
      <w:r w:rsidRPr="00911580">
        <w:rPr>
          <w:rFonts w:hint="cs"/>
          <w:sz w:val="18"/>
          <w:szCs w:val="20"/>
          <w:rtl/>
        </w:rPr>
        <w:t xml:space="preserve">, לרבות מעמד כלכלי-חברתי, </w:t>
      </w:r>
      <w:r w:rsidRPr="00911580">
        <w:rPr>
          <w:sz w:val="18"/>
          <w:szCs w:val="20"/>
          <w:rtl/>
        </w:rPr>
        <w:t>גיל</w:t>
      </w:r>
      <w:r w:rsidRPr="00911580">
        <w:rPr>
          <w:rFonts w:hint="cs"/>
          <w:sz w:val="18"/>
          <w:szCs w:val="20"/>
          <w:rtl/>
        </w:rPr>
        <w:t>, מגדר, רקע תרבותי, עמדה פוליטית ועוד.</w:t>
      </w:r>
    </w:p>
    <w:p w14:paraId="6596F4DA" w14:textId="77777777" w:rsidR="00B4735A" w:rsidRPr="00911580" w:rsidRDefault="00B4735A" w:rsidP="00911580">
      <w:pPr>
        <w:spacing w:after="180" w:line="280" w:lineRule="exact"/>
        <w:jc w:val="both"/>
        <w:rPr>
          <w:sz w:val="18"/>
          <w:szCs w:val="20"/>
          <w:u w:val="single"/>
          <w:rtl/>
        </w:rPr>
      </w:pPr>
    </w:p>
    <w:p w14:paraId="6B3C4A74" w14:textId="382999D7" w:rsidR="00B4735A" w:rsidRPr="00B4735A" w:rsidRDefault="00B4735A" w:rsidP="00B4735A">
      <w:pPr>
        <w:pStyle w:val="KOT5"/>
        <w:spacing w:after="0"/>
        <w:ind w:right="0"/>
        <w:rPr>
          <w:rFonts w:cs="Guttman Aharoni"/>
          <w:color w:val="00B0F0"/>
        </w:rPr>
      </w:pPr>
      <w:r w:rsidRPr="00B4735A">
        <w:rPr>
          <w:rFonts w:cs="Guttman Aharoni" w:hint="eastAsia"/>
          <w:color w:val="00B0F0"/>
          <w:rtl/>
        </w:rPr>
        <w:t>דעת</w:t>
      </w:r>
      <w:r w:rsidRPr="00B4735A">
        <w:rPr>
          <w:rFonts w:cs="Guttman Aharoni"/>
          <w:color w:val="00B0F0"/>
          <w:rtl/>
        </w:rPr>
        <w:t xml:space="preserve"> </w:t>
      </w:r>
      <w:r w:rsidR="009E3988">
        <w:rPr>
          <w:rFonts w:cs="Guttman Aharoni" w:hint="cs"/>
          <w:color w:val="00B0F0"/>
          <w:rtl/>
        </w:rPr>
        <w:t>ה</w:t>
      </w:r>
      <w:r w:rsidRPr="00B4735A">
        <w:rPr>
          <w:rFonts w:cs="Guttman Aharoni" w:hint="eastAsia"/>
          <w:color w:val="00B0F0"/>
          <w:rtl/>
        </w:rPr>
        <w:t>קהל</w:t>
      </w:r>
      <w:r w:rsidRPr="00B4735A">
        <w:rPr>
          <w:rFonts w:cs="Guttman Aharoni"/>
          <w:color w:val="00B0F0"/>
          <w:rtl/>
        </w:rPr>
        <w:t xml:space="preserve"> </w:t>
      </w:r>
      <w:r w:rsidRPr="00B4735A">
        <w:rPr>
          <w:rFonts w:cs="Guttman Aharoni" w:hint="eastAsia"/>
          <w:color w:val="00B0F0"/>
          <w:rtl/>
        </w:rPr>
        <w:t>בעולם</w:t>
      </w:r>
    </w:p>
    <w:p w14:paraId="03012D45"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הסקירה התמציתית שלהלן מעלה תמונה מורכבת של דעת הקהל הבין-לאומית בנוגע לסוגיית ההפרטה. ראשית, נראה כי דעת הקהל עשויה להשתנות לפי תחום המדיניות הספציפי. אוכלוסיות שונות ומגוונות נוטות מצד אחד לנקוט עמדה ביקורתית מאוד כלפי הפרטת שירותים חברתיים, ומצד אחר להיות פתוחות לליברליזציה ולתחרות בתחום התשתיות. נוסף על כך, אפשר למצוא הבדלים בין מדינות בהתאם לנסיבות היסטוריות ופוליטיות. כך למשל, במדינות "הדרום הגלובלי" נמצאה תמיכה רחבה בבעלות ממשלתית על תשתיות, וייתכן שזוהי תגובת נגד </w:t>
      </w:r>
      <w:r w:rsidRPr="00911580">
        <w:rPr>
          <w:sz w:val="18"/>
          <w:szCs w:val="20"/>
          <w:rtl/>
        </w:rPr>
        <w:t xml:space="preserve">לתכתיבי </w:t>
      </w:r>
      <w:r w:rsidRPr="00911580">
        <w:rPr>
          <w:rFonts w:hint="cs"/>
          <w:sz w:val="18"/>
          <w:szCs w:val="20"/>
          <w:rtl/>
        </w:rPr>
        <w:t>ה</w:t>
      </w:r>
      <w:r w:rsidRPr="00911580">
        <w:rPr>
          <w:sz w:val="18"/>
          <w:szCs w:val="20"/>
          <w:rtl/>
        </w:rPr>
        <w:t>הפרטה של ארגונים בי</w:t>
      </w:r>
      <w:r w:rsidRPr="00911580">
        <w:rPr>
          <w:rFonts w:hint="cs"/>
          <w:sz w:val="18"/>
          <w:szCs w:val="20"/>
          <w:rtl/>
        </w:rPr>
        <w:t xml:space="preserve">ן-לאומיים. </w:t>
      </w:r>
      <w:r w:rsidRPr="00911580">
        <w:rPr>
          <w:sz w:val="18"/>
          <w:szCs w:val="20"/>
          <w:rtl/>
        </w:rPr>
        <w:t>ב</w:t>
      </w:r>
      <w:r w:rsidRPr="00911580">
        <w:rPr>
          <w:rFonts w:hint="cs"/>
          <w:sz w:val="18"/>
          <w:szCs w:val="20"/>
          <w:rtl/>
        </w:rPr>
        <w:t xml:space="preserve">מדינות </w:t>
      </w:r>
      <w:r w:rsidRPr="00911580">
        <w:rPr>
          <w:sz w:val="18"/>
          <w:szCs w:val="20"/>
          <w:rtl/>
        </w:rPr>
        <w:t>מזרח</w:t>
      </w:r>
      <w:r w:rsidRPr="00911580">
        <w:rPr>
          <w:rFonts w:hint="cs"/>
          <w:sz w:val="18"/>
          <w:szCs w:val="20"/>
          <w:rtl/>
        </w:rPr>
        <w:t>-</w:t>
      </w:r>
      <w:r w:rsidRPr="00911580">
        <w:rPr>
          <w:sz w:val="18"/>
          <w:szCs w:val="20"/>
          <w:rtl/>
        </w:rPr>
        <w:t>אירופה</w:t>
      </w:r>
      <w:r w:rsidRPr="00911580">
        <w:rPr>
          <w:rFonts w:hint="cs"/>
          <w:sz w:val="18"/>
          <w:szCs w:val="20"/>
          <w:rtl/>
        </w:rPr>
        <w:t xml:space="preserve">, לעומת זאת, נמצאה העדפה לבעלות פרטית על תשתיות, וייתכן כי הדבר קשור להתנערות של האזרחים מהעבר הסובייטי ולחשדנותם הבסיסית </w:t>
      </w:r>
      <w:r w:rsidRPr="00911580">
        <w:rPr>
          <w:sz w:val="18"/>
          <w:szCs w:val="20"/>
          <w:rtl/>
        </w:rPr>
        <w:t>כלפי</w:t>
      </w:r>
      <w:r w:rsidRPr="00911580">
        <w:rPr>
          <w:rFonts w:hint="cs"/>
          <w:sz w:val="18"/>
          <w:szCs w:val="20"/>
          <w:rtl/>
        </w:rPr>
        <w:t xml:space="preserve"> מסירת הבעלות </w:t>
      </w:r>
      <w:r w:rsidRPr="00911580">
        <w:rPr>
          <w:rFonts w:hint="cs"/>
          <w:sz w:val="18"/>
          <w:szCs w:val="20"/>
          <w:rtl/>
        </w:rPr>
        <w:lastRenderedPageBreak/>
        <w:t>ביד</w:t>
      </w:r>
      <w:r w:rsidRPr="00911580">
        <w:rPr>
          <w:sz w:val="18"/>
          <w:szCs w:val="20"/>
          <w:rtl/>
        </w:rPr>
        <w:t xml:space="preserve"> </w:t>
      </w:r>
      <w:r w:rsidRPr="00911580">
        <w:rPr>
          <w:rFonts w:hint="cs"/>
          <w:sz w:val="18"/>
          <w:szCs w:val="20"/>
          <w:rtl/>
        </w:rPr>
        <w:t>ה</w:t>
      </w:r>
      <w:r w:rsidRPr="00911580">
        <w:rPr>
          <w:sz w:val="18"/>
          <w:szCs w:val="20"/>
          <w:rtl/>
        </w:rPr>
        <w:t>מדינה.</w:t>
      </w:r>
      <w:r w:rsidRPr="00911580">
        <w:rPr>
          <w:rFonts w:hint="cs"/>
          <w:sz w:val="18"/>
          <w:szCs w:val="20"/>
          <w:rtl/>
        </w:rPr>
        <w:t xml:space="preserve"> עוד יש לזכור כי דעת הקהל עשויה להיות להשתנות מעת לעת לפי ההתפתחויות. כך למשל, כישלון של מהלכי הפרטה עשוי להטות את דעת הציבור נגד הפרטה </w:t>
      </w:r>
      <w:r w:rsidRPr="00911580">
        <w:rPr>
          <w:sz w:val="18"/>
          <w:szCs w:val="20"/>
          <w:rtl/>
        </w:rPr>
        <w:t>–</w:t>
      </w:r>
      <w:r w:rsidRPr="00911580">
        <w:rPr>
          <w:rFonts w:hint="cs"/>
          <w:sz w:val="18"/>
          <w:szCs w:val="20"/>
          <w:rtl/>
        </w:rPr>
        <w:t xml:space="preserve"> ולהפך. </w:t>
      </w:r>
    </w:p>
    <w:p w14:paraId="5F325D8C"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התמונה העולה מהסקירה הבין-לאומית תאפשר לדון בהמשך בממצאי הסקר בפרספקטיבה רחבה יותר. כך ניתן יהיה למקם את דעת הקהל בישראל ביחס לעולם, ולבחון באיזו מידה היא מעמדות המושמעות במדינות אחרות ובמה היא דומה להן. </w:t>
      </w:r>
    </w:p>
    <w:p w14:paraId="2A3BA785" w14:textId="5EB7FD0A" w:rsidR="00B4735A" w:rsidRPr="00911580" w:rsidRDefault="00B4735A" w:rsidP="00115BC6">
      <w:pPr>
        <w:spacing w:after="180" w:line="280" w:lineRule="exact"/>
        <w:jc w:val="both"/>
        <w:rPr>
          <w:sz w:val="18"/>
          <w:szCs w:val="20"/>
          <w:rtl/>
        </w:rPr>
      </w:pPr>
      <w:r w:rsidRPr="00911580">
        <w:rPr>
          <w:rFonts w:hint="cs"/>
          <w:sz w:val="18"/>
          <w:szCs w:val="20"/>
          <w:rtl/>
        </w:rPr>
        <w:t>שיעורי תמיכה גבוהים באחריותה של הממשלה לשירותים חברתיים נרשמו לאורך השנים בסקרים לאומיים בניו-זילנד ובבריטניה. בניו-זילנד, 71% מהציבור סברו בשנת 2011 כי</w:t>
      </w:r>
      <w:r w:rsidR="00115BC6">
        <w:rPr>
          <w:rFonts w:hint="cs"/>
          <w:sz w:val="18"/>
          <w:szCs w:val="20"/>
          <w:rtl/>
        </w:rPr>
        <w:t xml:space="preserve"> הממשלה היא האחראית </w:t>
      </w:r>
      <w:r w:rsidRPr="00911580">
        <w:rPr>
          <w:rFonts w:hint="cs"/>
          <w:sz w:val="18"/>
          <w:szCs w:val="20"/>
          <w:rtl/>
        </w:rPr>
        <w:t xml:space="preserve">לספק לאזרחים שירותי בריאות בחינם. 65% סברו כך בנוגע לחינוך. בבריטניה, 97% מהציבור סברו בשנת 2012 כי </w:t>
      </w:r>
      <w:r w:rsidR="00115BC6">
        <w:rPr>
          <w:rFonts w:hint="cs"/>
          <w:sz w:val="18"/>
          <w:szCs w:val="20"/>
          <w:rtl/>
        </w:rPr>
        <w:t xml:space="preserve">המדינה היא שאחראית </w:t>
      </w:r>
      <w:r w:rsidRPr="00911580">
        <w:rPr>
          <w:rFonts w:hint="cs"/>
          <w:sz w:val="18"/>
          <w:szCs w:val="20"/>
          <w:rtl/>
        </w:rPr>
        <w:t xml:space="preserve">לספק שירותי בריאות לחולים </w:t>
      </w:r>
      <w:r w:rsidRPr="00911580">
        <w:rPr>
          <w:sz w:val="18"/>
          <w:szCs w:val="20"/>
          <w:rtl/>
        </w:rPr>
        <w:t>–</w:t>
      </w:r>
      <w:r w:rsidRPr="00911580">
        <w:rPr>
          <w:rFonts w:hint="cs"/>
          <w:sz w:val="18"/>
          <w:szCs w:val="20"/>
          <w:rtl/>
        </w:rPr>
        <w:t xml:space="preserve"> שיעור תמיכה גבוה שנשמר לאורך עשורים (</w:t>
      </w:r>
      <w:proofErr w:type="spellStart"/>
      <w:r w:rsidRPr="00911580">
        <w:rPr>
          <w:sz w:val="18"/>
          <w:szCs w:val="20"/>
        </w:rPr>
        <w:t>Humpage</w:t>
      </w:r>
      <w:proofErr w:type="spellEnd"/>
      <w:r w:rsidRPr="00911580">
        <w:rPr>
          <w:sz w:val="18"/>
          <w:szCs w:val="20"/>
        </w:rPr>
        <w:t>, 2016</w:t>
      </w:r>
      <w:r w:rsidRPr="00911580">
        <w:rPr>
          <w:rFonts w:hint="cs"/>
          <w:sz w:val="18"/>
          <w:szCs w:val="20"/>
          <w:rtl/>
        </w:rPr>
        <w:t>).</w:t>
      </w:r>
    </w:p>
    <w:p w14:paraId="4D9653C3"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מחקר אחר, אשר התבסס על נתוני סקר </w:t>
      </w:r>
      <w:r w:rsidRPr="00911580">
        <w:rPr>
          <w:sz w:val="18"/>
          <w:szCs w:val="20"/>
        </w:rPr>
        <w:t>ISSP</w:t>
      </w:r>
      <w:r w:rsidRPr="00911580">
        <w:rPr>
          <w:rFonts w:hint="cs"/>
          <w:sz w:val="18"/>
          <w:szCs w:val="20"/>
        </w:rPr>
        <w:t xml:space="preserve"> </w:t>
      </w:r>
      <w:r w:rsidRPr="00911580">
        <w:rPr>
          <w:sz w:val="18"/>
          <w:szCs w:val="20"/>
        </w:rPr>
        <w:t xml:space="preserve">(International Social Survey </w:t>
      </w:r>
      <w:proofErr w:type="spellStart"/>
      <w:r w:rsidRPr="00911580">
        <w:rPr>
          <w:sz w:val="18"/>
          <w:szCs w:val="20"/>
        </w:rPr>
        <w:t>Programme</w:t>
      </w:r>
      <w:proofErr w:type="spellEnd"/>
      <w:r w:rsidRPr="00911580">
        <w:rPr>
          <w:sz w:val="18"/>
          <w:szCs w:val="20"/>
        </w:rPr>
        <w:t>)</w:t>
      </w:r>
      <w:r w:rsidRPr="00911580">
        <w:rPr>
          <w:rFonts w:hint="cs"/>
          <w:sz w:val="18"/>
          <w:szCs w:val="20"/>
          <w:rtl/>
        </w:rPr>
        <w:t xml:space="preserve">, העלה תוצאות דומות. במחקר, שבחן את דעת הציבור </w:t>
      </w:r>
      <w:r w:rsidRPr="00911580">
        <w:rPr>
          <w:sz w:val="18"/>
          <w:szCs w:val="20"/>
          <w:rtl/>
        </w:rPr>
        <w:t>ב-17 מדינות מפותחות</w:t>
      </w:r>
      <w:r w:rsidRPr="00911580">
        <w:rPr>
          <w:rFonts w:hint="cs"/>
          <w:sz w:val="18"/>
          <w:szCs w:val="20"/>
          <w:rtl/>
        </w:rPr>
        <w:t xml:space="preserve"> בעניין אחריות המדינה אל מול אחריות השוק הפרטי לשירותים חברתיים, נבנו מדדים כמותיים אשר הצביעו על תמיכה גבוהה באחריות הממשלה לשירותים חברתיים, במיוחד במדינות סקנדינביה. כצפוי, במדינות דוברות אנגלית, אשר נוטות בדרך כלל למדיניות כלכלית ליברלית יותר, מדדי התמיכה בשוק הפרטי היו גבוהים יחסית, אך גם בהן נרשמה תמיכה נרחבת באחריות הממשלה. אחת המסקנות העיקריות של מחקר זה הייתה כי קיים פער בין עמדותיהן של האליטות החברתיות, אשר דוחפות להפרטת שירותים חברתיים, לבין העמדות המקובלות בציבור (</w:t>
      </w:r>
      <w:r w:rsidRPr="00911580">
        <w:rPr>
          <w:sz w:val="18"/>
          <w:szCs w:val="20"/>
        </w:rPr>
        <w:t>Lindh, 2015</w:t>
      </w:r>
      <w:r w:rsidRPr="00911580">
        <w:rPr>
          <w:rFonts w:hint="cs"/>
          <w:sz w:val="18"/>
          <w:szCs w:val="20"/>
          <w:rtl/>
        </w:rPr>
        <w:t xml:space="preserve">). </w:t>
      </w:r>
    </w:p>
    <w:p w14:paraId="1B182D65" w14:textId="77777777" w:rsidR="00B4735A" w:rsidRPr="00911580" w:rsidRDefault="00B4735A" w:rsidP="00911580">
      <w:pPr>
        <w:spacing w:after="180" w:line="280" w:lineRule="exact"/>
        <w:jc w:val="both"/>
        <w:rPr>
          <w:sz w:val="18"/>
          <w:szCs w:val="20"/>
          <w:rtl/>
        </w:rPr>
      </w:pPr>
      <w:r w:rsidRPr="00911580">
        <w:rPr>
          <w:rFonts w:hint="cs"/>
          <w:sz w:val="18"/>
          <w:szCs w:val="20"/>
          <w:rtl/>
        </w:rPr>
        <w:t>ואולם התנגדותו של הציבור להפרטת שירותים חברתיים אינה מעידה בהכרח על שביעות רצונו מתפקודם. נתוני הסקר החברתי האירופי שנערך ב-22 מדינות מראים כי לדעת הציבור יש פער גדול בין הרצוי למצוי. כך, שיעורי התמיכה באספקת שירותי חברתיים על ידי הממשלה עולים אומנם בדרך כלל על 80% ואף על 90%, אך שיעורי שביעות הרצון מתוצרי שירותים אלה נמוכים בהרבה ונעים בין 17% ל-50% (</w:t>
      </w:r>
      <w:proofErr w:type="spellStart"/>
      <w:r w:rsidRPr="00911580">
        <w:rPr>
          <w:sz w:val="18"/>
          <w:szCs w:val="20"/>
        </w:rPr>
        <w:t>Roosma</w:t>
      </w:r>
      <w:proofErr w:type="spellEnd"/>
      <w:r w:rsidRPr="00911580">
        <w:rPr>
          <w:sz w:val="18"/>
          <w:szCs w:val="20"/>
        </w:rPr>
        <w:t xml:space="preserve">, van Oorschot, &amp; </w:t>
      </w:r>
      <w:proofErr w:type="spellStart"/>
      <w:r w:rsidRPr="00911580">
        <w:rPr>
          <w:sz w:val="18"/>
          <w:szCs w:val="20"/>
        </w:rPr>
        <w:t>Gelissen</w:t>
      </w:r>
      <w:proofErr w:type="spellEnd"/>
      <w:r w:rsidRPr="00911580">
        <w:rPr>
          <w:sz w:val="18"/>
          <w:szCs w:val="20"/>
        </w:rPr>
        <w:t>, 2014</w:t>
      </w:r>
      <w:r w:rsidRPr="00911580">
        <w:rPr>
          <w:rFonts w:hint="cs"/>
          <w:sz w:val="18"/>
          <w:szCs w:val="20"/>
          <w:rtl/>
        </w:rPr>
        <w:t xml:space="preserve">). החוקרים סברו כי אזרחים אשר אינם שבעי רצון מהשירות הציבורי עשויים מחד גיסא לחוש רצון "להעניש" את מדינת הרווחה ולהסיר את תמיכתם ממנה, ומאידך גיסא לחזק דווקא את התמיכה בשירות הציבורי מתוך רצון לשפרו. </w:t>
      </w:r>
    </w:p>
    <w:p w14:paraId="09922F19"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מחקר של האיחוד האירופי </w:t>
      </w:r>
      <w:r w:rsidRPr="00911580">
        <w:rPr>
          <w:sz w:val="18"/>
          <w:szCs w:val="20"/>
          <w:rtl/>
        </w:rPr>
        <w:t>בחן את תהליכי ההפרטה והליברליזציה בארבעה</w:t>
      </w:r>
      <w:r w:rsidRPr="00911580">
        <w:rPr>
          <w:rFonts w:hint="cs"/>
          <w:sz w:val="18"/>
          <w:szCs w:val="20"/>
          <w:rtl/>
        </w:rPr>
        <w:t xml:space="preserve"> מגזרים </w:t>
      </w:r>
      <w:r w:rsidRPr="00911580">
        <w:rPr>
          <w:sz w:val="18"/>
          <w:szCs w:val="20"/>
          <w:rtl/>
        </w:rPr>
        <w:t>– חשמל, דואר,</w:t>
      </w:r>
      <w:r w:rsidRPr="00911580">
        <w:rPr>
          <w:rFonts w:hint="cs"/>
          <w:sz w:val="18"/>
          <w:szCs w:val="20"/>
          <w:rtl/>
        </w:rPr>
        <w:t xml:space="preserve"> </w:t>
      </w:r>
      <w:r w:rsidRPr="00911580">
        <w:rPr>
          <w:sz w:val="18"/>
          <w:szCs w:val="20"/>
          <w:rtl/>
        </w:rPr>
        <w:t>תחבורה ובתי חולים</w:t>
      </w:r>
      <w:r w:rsidRPr="00911580">
        <w:rPr>
          <w:rFonts w:hint="cs"/>
          <w:sz w:val="18"/>
          <w:szCs w:val="20"/>
          <w:rtl/>
        </w:rPr>
        <w:t xml:space="preserve"> </w:t>
      </w:r>
      <w:r w:rsidRPr="00911580">
        <w:rPr>
          <w:sz w:val="18"/>
          <w:szCs w:val="20"/>
          <w:rtl/>
        </w:rPr>
        <w:t xml:space="preserve">– מנקודת מבטם של אזרחים </w:t>
      </w:r>
      <w:r w:rsidRPr="00911580">
        <w:rPr>
          <w:rFonts w:hint="cs"/>
          <w:sz w:val="18"/>
          <w:szCs w:val="20"/>
          <w:rtl/>
        </w:rPr>
        <w:t>ב</w:t>
      </w:r>
      <w:r w:rsidRPr="00911580">
        <w:rPr>
          <w:sz w:val="18"/>
          <w:szCs w:val="20"/>
          <w:rtl/>
        </w:rPr>
        <w:t>שש מדינות אירופיות: אוסטריה, בלגיה,</w:t>
      </w:r>
      <w:r w:rsidRPr="00911580">
        <w:rPr>
          <w:rFonts w:hint="cs"/>
          <w:sz w:val="18"/>
          <w:szCs w:val="20"/>
          <w:rtl/>
        </w:rPr>
        <w:t xml:space="preserve"> </w:t>
      </w:r>
      <w:r w:rsidRPr="00911580">
        <w:rPr>
          <w:sz w:val="18"/>
          <w:szCs w:val="20"/>
          <w:rtl/>
        </w:rPr>
        <w:t>גרמניה, פולין, ש</w:t>
      </w:r>
      <w:r w:rsidRPr="00911580">
        <w:rPr>
          <w:rFonts w:hint="cs"/>
          <w:sz w:val="18"/>
          <w:szCs w:val="20"/>
          <w:rtl/>
        </w:rPr>
        <w:t>ב</w:t>
      </w:r>
      <w:r w:rsidRPr="00911580">
        <w:rPr>
          <w:sz w:val="18"/>
          <w:szCs w:val="20"/>
          <w:rtl/>
        </w:rPr>
        <w:t xml:space="preserve">דיה ובריטניה. </w:t>
      </w:r>
      <w:r w:rsidRPr="00911580">
        <w:rPr>
          <w:rFonts w:hint="cs"/>
          <w:sz w:val="18"/>
          <w:szCs w:val="20"/>
          <w:rtl/>
        </w:rPr>
        <w:t>מדיניות ה</w:t>
      </w:r>
      <w:r w:rsidRPr="00911580">
        <w:rPr>
          <w:sz w:val="18"/>
          <w:szCs w:val="20"/>
          <w:rtl/>
        </w:rPr>
        <w:t xml:space="preserve">ליברליזציה </w:t>
      </w:r>
      <w:r w:rsidRPr="00911580">
        <w:rPr>
          <w:rFonts w:hint="cs"/>
          <w:sz w:val="18"/>
          <w:szCs w:val="20"/>
          <w:rtl/>
        </w:rPr>
        <w:t xml:space="preserve">והתחרות זכתה אומנם בדרך כלל </w:t>
      </w:r>
      <w:r w:rsidRPr="00911580">
        <w:rPr>
          <w:sz w:val="18"/>
          <w:szCs w:val="20"/>
          <w:rtl/>
        </w:rPr>
        <w:t>לרוב</w:t>
      </w:r>
      <w:r w:rsidRPr="00911580">
        <w:rPr>
          <w:rFonts w:hint="cs"/>
          <w:sz w:val="18"/>
          <w:szCs w:val="20"/>
          <w:rtl/>
        </w:rPr>
        <w:t xml:space="preserve"> קטן</w:t>
      </w:r>
      <w:r w:rsidRPr="00911580">
        <w:rPr>
          <w:sz w:val="18"/>
          <w:szCs w:val="20"/>
          <w:rtl/>
        </w:rPr>
        <w:t xml:space="preserve"> מקרב המשיבים</w:t>
      </w:r>
      <w:r w:rsidRPr="00911580">
        <w:rPr>
          <w:rFonts w:hint="cs"/>
          <w:sz w:val="18"/>
          <w:szCs w:val="20"/>
          <w:rtl/>
        </w:rPr>
        <w:t xml:space="preserve"> (עד 60%), אך התמיכה ב</w:t>
      </w:r>
      <w:r w:rsidRPr="00911580">
        <w:rPr>
          <w:sz w:val="18"/>
          <w:szCs w:val="20"/>
          <w:rtl/>
        </w:rPr>
        <w:t>הפרטה</w:t>
      </w:r>
      <w:r w:rsidRPr="00911580">
        <w:rPr>
          <w:rFonts w:hint="cs"/>
          <w:sz w:val="18"/>
          <w:szCs w:val="20"/>
          <w:rtl/>
        </w:rPr>
        <w:t xml:space="preserve"> מלאה של תשתיות הייתה נמוכה מאוד.</w:t>
      </w:r>
      <w:r w:rsidRPr="00911580">
        <w:rPr>
          <w:sz w:val="18"/>
          <w:szCs w:val="20"/>
          <w:rtl/>
        </w:rPr>
        <w:t xml:space="preserve"> </w:t>
      </w:r>
      <w:r w:rsidRPr="00911580">
        <w:rPr>
          <w:rFonts w:hint="cs"/>
          <w:sz w:val="18"/>
          <w:szCs w:val="20"/>
          <w:rtl/>
        </w:rPr>
        <w:t xml:space="preserve">משמע, </w:t>
      </w:r>
      <w:r w:rsidRPr="00911580">
        <w:rPr>
          <w:sz w:val="18"/>
          <w:szCs w:val="20"/>
          <w:rtl/>
        </w:rPr>
        <w:t xml:space="preserve">האזרחים </w:t>
      </w:r>
      <w:r w:rsidRPr="00911580">
        <w:rPr>
          <w:rFonts w:hint="cs"/>
          <w:sz w:val="18"/>
          <w:szCs w:val="20"/>
          <w:rtl/>
        </w:rPr>
        <w:t>ב</w:t>
      </w:r>
      <w:r w:rsidRPr="00911580">
        <w:rPr>
          <w:sz w:val="18"/>
          <w:szCs w:val="20"/>
          <w:rtl/>
        </w:rPr>
        <w:t>כל שש המדינות עדיין מעוניינים ב</w:t>
      </w:r>
      <w:r w:rsidRPr="00911580">
        <w:rPr>
          <w:rFonts w:hint="cs"/>
          <w:sz w:val="18"/>
          <w:szCs w:val="20"/>
          <w:rtl/>
        </w:rPr>
        <w:t xml:space="preserve">אחריות ממשלתית לתשתיות, בשילוב </w:t>
      </w:r>
      <w:r w:rsidRPr="00911580">
        <w:rPr>
          <w:sz w:val="18"/>
          <w:szCs w:val="20"/>
          <w:rtl/>
        </w:rPr>
        <w:t>רכיבים</w:t>
      </w:r>
      <w:r w:rsidRPr="00911580">
        <w:rPr>
          <w:rFonts w:hint="cs"/>
          <w:sz w:val="18"/>
          <w:szCs w:val="20"/>
          <w:rtl/>
        </w:rPr>
        <w:t xml:space="preserve"> המאפיינים את השוק הפרטי. לדוגמה, בכל המדינות </w:t>
      </w:r>
      <w:r w:rsidRPr="00911580">
        <w:rPr>
          <w:rFonts w:hint="cs"/>
          <w:sz w:val="18"/>
          <w:szCs w:val="20"/>
          <w:rtl/>
        </w:rPr>
        <w:lastRenderedPageBreak/>
        <w:t>רוב הנשאלים מעוניינים באפשרות לבחור בספק חשמל כרצונם. עם זאת, כמעט בכל המדינות נרשמה תמיכה בהפחתת מחירי החשמל למעוטי יכולת (</w:t>
      </w:r>
      <w:proofErr w:type="spellStart"/>
      <w:r w:rsidRPr="00911580">
        <w:rPr>
          <w:sz w:val="18"/>
          <w:szCs w:val="20"/>
        </w:rPr>
        <w:t>Flecker</w:t>
      </w:r>
      <w:proofErr w:type="spellEnd"/>
      <w:r w:rsidRPr="00911580">
        <w:rPr>
          <w:sz w:val="18"/>
          <w:szCs w:val="20"/>
        </w:rPr>
        <w:t xml:space="preserve"> &amp; Hermann, 2009</w:t>
      </w:r>
      <w:r w:rsidRPr="00911580">
        <w:rPr>
          <w:rFonts w:hint="cs"/>
          <w:sz w:val="18"/>
          <w:szCs w:val="20"/>
          <w:rtl/>
        </w:rPr>
        <w:t>)</w:t>
      </w:r>
      <w:r w:rsidRPr="00911580">
        <w:rPr>
          <w:sz w:val="18"/>
          <w:szCs w:val="20"/>
          <w:rtl/>
        </w:rPr>
        <w:t>.</w:t>
      </w:r>
      <w:r w:rsidRPr="00911580">
        <w:rPr>
          <w:rFonts w:hint="cs"/>
          <w:sz w:val="18"/>
          <w:szCs w:val="20"/>
          <w:rtl/>
        </w:rPr>
        <w:t xml:space="preserve"> השאיפה לשמר את השירות הציבורי באחריות המדינה מחד גיסא, והרצון לשלב בתוכו מאפייני שוק מאידך גיסא, מעידים על המתח הקיים בין העדפות, ערכים ותפיסות שונות ולעיתים מנוגדות סביב סוגיית ההפרטה; מתח אשר אינו פוסח גם על הציבור הישראלי, כפי שנראה בהמשך.</w:t>
      </w:r>
    </w:p>
    <w:p w14:paraId="4825766C" w14:textId="77777777" w:rsidR="00B4735A" w:rsidRPr="00911580" w:rsidRDefault="00B4735A" w:rsidP="00911580">
      <w:pPr>
        <w:spacing w:after="180" w:line="280" w:lineRule="exact"/>
        <w:jc w:val="both"/>
        <w:rPr>
          <w:sz w:val="18"/>
          <w:szCs w:val="20"/>
          <w:rtl/>
        </w:rPr>
      </w:pPr>
      <w:r w:rsidRPr="00911580">
        <w:rPr>
          <w:rFonts w:hint="cs"/>
          <w:sz w:val="18"/>
          <w:szCs w:val="20"/>
          <w:rtl/>
        </w:rPr>
        <w:t>שיעורי תמיכה גבוהים למדי בבעלות ממשלתית על תשתיות (דוגמת מים ואנרגיה) נרשמו בדרך כלל גם במדינות אמריקה הלטינית, אפריקה ומזרח אסיה. לעומת זאת, סקר שנערך ב-16 מדינות במזרח אירופה בשנים 1998</w:t>
      </w:r>
      <w:r w:rsidRPr="00911580">
        <w:rPr>
          <w:sz w:val="18"/>
          <w:szCs w:val="20"/>
          <w:rtl/>
        </w:rPr>
        <w:t>–</w:t>
      </w:r>
      <w:r w:rsidRPr="00911580">
        <w:rPr>
          <w:rFonts w:hint="cs"/>
          <w:sz w:val="18"/>
          <w:szCs w:val="20"/>
          <w:rtl/>
        </w:rPr>
        <w:t>2001 הצביע על רוב קטן (52%) מקרב הנשאלים שהעדיפו בעלות פרטית על יוזמות עסקית על פני בעלות ממשלתית. במדינות הבלטיות שיעור ההעדפה של הבעלות הפרטית היה גבוה במיוחד, והגיע ל-80%. לעומת זאת, כ-70% מהנשאלים ברוסיה חשו כי מצבם הורע בעקבות ההפרטות במדינה, והעדיפו בעלות ממשלתית (</w:t>
      </w:r>
      <w:proofErr w:type="spellStart"/>
      <w:r w:rsidRPr="00911580">
        <w:rPr>
          <w:sz w:val="18"/>
          <w:szCs w:val="20"/>
        </w:rPr>
        <w:t>Kikeri</w:t>
      </w:r>
      <w:proofErr w:type="spellEnd"/>
      <w:r w:rsidRPr="00911580">
        <w:rPr>
          <w:sz w:val="18"/>
          <w:szCs w:val="20"/>
        </w:rPr>
        <w:t xml:space="preserve"> &amp; </w:t>
      </w:r>
      <w:proofErr w:type="spellStart"/>
      <w:r w:rsidRPr="00911580">
        <w:rPr>
          <w:sz w:val="18"/>
          <w:szCs w:val="20"/>
        </w:rPr>
        <w:t>Kolo</w:t>
      </w:r>
      <w:proofErr w:type="spellEnd"/>
      <w:r w:rsidRPr="00911580">
        <w:rPr>
          <w:sz w:val="18"/>
          <w:szCs w:val="20"/>
        </w:rPr>
        <w:t>, 2005</w:t>
      </w:r>
      <w:r w:rsidRPr="00911580">
        <w:rPr>
          <w:rFonts w:hint="cs"/>
          <w:sz w:val="18"/>
          <w:szCs w:val="20"/>
          <w:rtl/>
        </w:rPr>
        <w:t>).</w:t>
      </w:r>
    </w:p>
    <w:p w14:paraId="603CEABE" w14:textId="77777777" w:rsidR="00B4735A" w:rsidRPr="00911580" w:rsidRDefault="00B4735A" w:rsidP="00911580">
      <w:pPr>
        <w:spacing w:after="180" w:line="280" w:lineRule="exact"/>
        <w:jc w:val="both"/>
        <w:rPr>
          <w:sz w:val="18"/>
          <w:szCs w:val="20"/>
          <w:u w:val="single"/>
        </w:rPr>
      </w:pPr>
    </w:p>
    <w:p w14:paraId="1C066F3D" w14:textId="31FDB711" w:rsidR="00B4735A" w:rsidRPr="00B4735A" w:rsidRDefault="00B4735A" w:rsidP="00B4735A">
      <w:pPr>
        <w:pStyle w:val="KOT5"/>
        <w:spacing w:after="0"/>
        <w:ind w:right="0"/>
        <w:rPr>
          <w:rFonts w:cs="Guttman Aharoni"/>
          <w:color w:val="00B0F0"/>
          <w:rtl/>
        </w:rPr>
      </w:pPr>
      <w:r w:rsidRPr="00B4735A">
        <w:rPr>
          <w:rFonts w:cs="Guttman Aharoni" w:hint="eastAsia"/>
          <w:color w:val="00B0F0"/>
          <w:rtl/>
        </w:rPr>
        <w:t>ישראל</w:t>
      </w:r>
    </w:p>
    <w:p w14:paraId="3DE6466F" w14:textId="77777777" w:rsidR="00B4735A" w:rsidRPr="00911580" w:rsidRDefault="00B4735A" w:rsidP="00911580">
      <w:pPr>
        <w:spacing w:after="180" w:line="280" w:lineRule="exact"/>
        <w:jc w:val="both"/>
        <w:rPr>
          <w:sz w:val="18"/>
          <w:szCs w:val="20"/>
          <w:rtl/>
        </w:rPr>
      </w:pPr>
      <w:r w:rsidRPr="00911580">
        <w:rPr>
          <w:rFonts w:hint="cs"/>
          <w:sz w:val="18"/>
          <w:szCs w:val="20"/>
          <w:rtl/>
        </w:rPr>
        <w:t>בישראל,</w:t>
      </w:r>
      <w:r w:rsidRPr="00911580">
        <w:rPr>
          <w:rFonts w:hint="cs"/>
          <w:b/>
          <w:bCs/>
          <w:sz w:val="18"/>
          <w:szCs w:val="20"/>
          <w:rtl/>
        </w:rPr>
        <w:t xml:space="preserve"> </w:t>
      </w:r>
      <w:r w:rsidRPr="00911580">
        <w:rPr>
          <w:sz w:val="18"/>
          <w:szCs w:val="20"/>
          <w:rtl/>
        </w:rPr>
        <w:t>המחאה החברתית של קיץ</w:t>
      </w:r>
      <w:r w:rsidRPr="00911580">
        <w:rPr>
          <w:rFonts w:hint="cs"/>
          <w:sz w:val="18"/>
          <w:szCs w:val="20"/>
          <w:rtl/>
        </w:rPr>
        <w:t xml:space="preserve"> 2011</w:t>
      </w:r>
      <w:r w:rsidRPr="00911580">
        <w:rPr>
          <w:sz w:val="18"/>
          <w:szCs w:val="20"/>
          <w:rtl/>
        </w:rPr>
        <w:t xml:space="preserve"> ביטאה את הרצון לשינוי </w:t>
      </w:r>
      <w:r w:rsidRPr="00911580">
        <w:rPr>
          <w:rFonts w:hint="cs"/>
          <w:sz w:val="18"/>
          <w:szCs w:val="20"/>
          <w:rtl/>
        </w:rPr>
        <w:t>חברתי עמוק</w:t>
      </w:r>
      <w:r w:rsidRPr="00911580">
        <w:rPr>
          <w:sz w:val="18"/>
          <w:szCs w:val="20"/>
          <w:rtl/>
        </w:rPr>
        <w:t xml:space="preserve"> ואת</w:t>
      </w:r>
      <w:r w:rsidRPr="00911580">
        <w:rPr>
          <w:rFonts w:hint="cs"/>
          <w:sz w:val="18"/>
          <w:szCs w:val="20"/>
          <w:rtl/>
        </w:rPr>
        <w:t xml:space="preserve"> </w:t>
      </w:r>
      <w:r w:rsidRPr="00911580">
        <w:rPr>
          <w:sz w:val="18"/>
          <w:szCs w:val="20"/>
          <w:rtl/>
        </w:rPr>
        <w:t>דרישות האזרחים להורדת יוקר המחיה, המטיל עול כבד על מעמד</w:t>
      </w:r>
      <w:r w:rsidRPr="00911580">
        <w:rPr>
          <w:rFonts w:hint="cs"/>
          <w:sz w:val="18"/>
          <w:szCs w:val="20"/>
          <w:rtl/>
        </w:rPr>
        <w:t xml:space="preserve"> </w:t>
      </w:r>
      <w:r w:rsidRPr="00911580">
        <w:rPr>
          <w:sz w:val="18"/>
          <w:szCs w:val="20"/>
          <w:rtl/>
        </w:rPr>
        <w:t>הביניים. סיסמאות דוגמת "התשובה להפרטה</w:t>
      </w:r>
      <w:r w:rsidRPr="00911580">
        <w:rPr>
          <w:rFonts w:hint="cs"/>
          <w:sz w:val="18"/>
          <w:szCs w:val="20"/>
          <w:rtl/>
        </w:rPr>
        <w:t xml:space="preserve"> </w:t>
      </w:r>
      <w:r w:rsidRPr="00911580">
        <w:rPr>
          <w:sz w:val="18"/>
          <w:szCs w:val="20"/>
          <w:rtl/>
        </w:rPr>
        <w:t xml:space="preserve">– מהפכה!" סימלו </w:t>
      </w:r>
      <w:r w:rsidRPr="00911580">
        <w:rPr>
          <w:rFonts w:hint="cs"/>
          <w:sz w:val="18"/>
          <w:szCs w:val="20"/>
          <w:rtl/>
        </w:rPr>
        <w:t>את ה</w:t>
      </w:r>
      <w:r w:rsidRPr="00911580">
        <w:rPr>
          <w:sz w:val="18"/>
          <w:szCs w:val="20"/>
          <w:rtl/>
        </w:rPr>
        <w:t>תפי</w:t>
      </w:r>
      <w:r w:rsidRPr="00911580">
        <w:rPr>
          <w:rFonts w:hint="cs"/>
          <w:sz w:val="18"/>
          <w:szCs w:val="20"/>
          <w:rtl/>
        </w:rPr>
        <w:t>סה בקרב</w:t>
      </w:r>
      <w:r w:rsidRPr="00911580">
        <w:rPr>
          <w:sz w:val="18"/>
          <w:szCs w:val="20"/>
          <w:rtl/>
        </w:rPr>
        <w:t xml:space="preserve"> הציבור הרחב,</w:t>
      </w:r>
      <w:r w:rsidRPr="00911580">
        <w:rPr>
          <w:rFonts w:hint="cs"/>
          <w:sz w:val="18"/>
          <w:szCs w:val="20"/>
          <w:rtl/>
        </w:rPr>
        <w:t xml:space="preserve"> ו</w:t>
      </w:r>
      <w:r w:rsidRPr="00911580">
        <w:rPr>
          <w:sz w:val="18"/>
          <w:szCs w:val="20"/>
          <w:rtl/>
        </w:rPr>
        <w:t xml:space="preserve">בעיקר הדור הצעיר, </w:t>
      </w:r>
      <w:r w:rsidRPr="00911580">
        <w:rPr>
          <w:rFonts w:hint="cs"/>
          <w:sz w:val="18"/>
          <w:szCs w:val="20"/>
          <w:rtl/>
        </w:rPr>
        <w:t xml:space="preserve">כלפי </w:t>
      </w:r>
      <w:r w:rsidRPr="00911580">
        <w:rPr>
          <w:sz w:val="18"/>
          <w:szCs w:val="20"/>
          <w:rtl/>
        </w:rPr>
        <w:t>תחומי</w:t>
      </w:r>
      <w:r w:rsidRPr="00911580">
        <w:rPr>
          <w:rFonts w:hint="cs"/>
          <w:sz w:val="18"/>
          <w:szCs w:val="20"/>
          <w:rtl/>
        </w:rPr>
        <w:t xml:space="preserve"> </w:t>
      </w:r>
      <w:r w:rsidRPr="00911580">
        <w:rPr>
          <w:sz w:val="18"/>
          <w:szCs w:val="20"/>
          <w:rtl/>
        </w:rPr>
        <w:t>האחריות הרצויים של המדינה. מעבר לכך,</w:t>
      </w:r>
      <w:r w:rsidRPr="00911580">
        <w:rPr>
          <w:rFonts w:hint="cs"/>
          <w:sz w:val="18"/>
          <w:szCs w:val="20"/>
          <w:rtl/>
        </w:rPr>
        <w:t xml:space="preserve"> </w:t>
      </w:r>
      <w:r w:rsidRPr="00911580">
        <w:rPr>
          <w:sz w:val="18"/>
          <w:szCs w:val="20"/>
          <w:rtl/>
        </w:rPr>
        <w:t>המחאה הי</w:t>
      </w:r>
      <w:r w:rsidRPr="00911580">
        <w:rPr>
          <w:rFonts w:hint="cs"/>
          <w:sz w:val="18"/>
          <w:szCs w:val="20"/>
          <w:rtl/>
        </w:rPr>
        <w:t>י</w:t>
      </w:r>
      <w:r w:rsidRPr="00911580">
        <w:rPr>
          <w:sz w:val="18"/>
          <w:szCs w:val="20"/>
          <w:rtl/>
        </w:rPr>
        <w:t>תה</w:t>
      </w:r>
      <w:r w:rsidRPr="00911580">
        <w:rPr>
          <w:rFonts w:hint="cs"/>
          <w:sz w:val="18"/>
          <w:szCs w:val="20"/>
          <w:rtl/>
        </w:rPr>
        <w:t xml:space="preserve"> במידה רבה</w:t>
      </w:r>
      <w:r w:rsidRPr="00911580">
        <w:rPr>
          <w:sz w:val="18"/>
          <w:szCs w:val="20"/>
          <w:rtl/>
        </w:rPr>
        <w:t xml:space="preserve"> ביטוי לכמיהה להחייאתה מחדש של מדינת הרווחה, להפסקת מדיניות</w:t>
      </w:r>
      <w:r w:rsidRPr="00911580">
        <w:rPr>
          <w:rFonts w:hint="cs"/>
          <w:sz w:val="18"/>
          <w:szCs w:val="20"/>
          <w:rtl/>
        </w:rPr>
        <w:t xml:space="preserve"> </w:t>
      </w:r>
      <w:r w:rsidRPr="00911580">
        <w:rPr>
          <w:sz w:val="18"/>
          <w:szCs w:val="20"/>
          <w:rtl/>
        </w:rPr>
        <w:t>ההפרט</w:t>
      </w:r>
      <w:r w:rsidRPr="00911580">
        <w:rPr>
          <w:rFonts w:hint="cs"/>
          <w:sz w:val="18"/>
          <w:szCs w:val="20"/>
          <w:rtl/>
        </w:rPr>
        <w:t>ה</w:t>
      </w:r>
      <w:r w:rsidRPr="00911580">
        <w:rPr>
          <w:sz w:val="18"/>
          <w:szCs w:val="20"/>
          <w:rtl/>
        </w:rPr>
        <w:t xml:space="preserve"> ולחזרה למדיניות המבוססת על סולידריות חברתית. המחאה הצביעה</w:t>
      </w:r>
      <w:r w:rsidRPr="00911580">
        <w:rPr>
          <w:rFonts w:hint="cs"/>
          <w:sz w:val="18"/>
          <w:szCs w:val="20"/>
          <w:rtl/>
        </w:rPr>
        <w:t xml:space="preserve">, לכאורה לפחות, </w:t>
      </w:r>
      <w:r w:rsidRPr="00911580">
        <w:rPr>
          <w:sz w:val="18"/>
          <w:szCs w:val="20"/>
          <w:rtl/>
        </w:rPr>
        <w:t>על שינוי תפי</w:t>
      </w:r>
      <w:r w:rsidRPr="00911580">
        <w:rPr>
          <w:rFonts w:hint="cs"/>
          <w:sz w:val="18"/>
          <w:szCs w:val="20"/>
          <w:rtl/>
        </w:rPr>
        <w:t>ס</w:t>
      </w:r>
      <w:r w:rsidRPr="00911580">
        <w:rPr>
          <w:sz w:val="18"/>
          <w:szCs w:val="20"/>
          <w:rtl/>
        </w:rPr>
        <w:t xml:space="preserve">תי </w:t>
      </w:r>
      <w:r w:rsidRPr="00911580">
        <w:rPr>
          <w:rFonts w:hint="cs"/>
          <w:sz w:val="18"/>
          <w:szCs w:val="20"/>
          <w:rtl/>
        </w:rPr>
        <w:t>ב</w:t>
      </w:r>
      <w:r w:rsidRPr="00911580">
        <w:rPr>
          <w:sz w:val="18"/>
          <w:szCs w:val="20"/>
          <w:rtl/>
        </w:rPr>
        <w:t>ציבור ועל התנגדות</w:t>
      </w:r>
      <w:r w:rsidRPr="00911580">
        <w:rPr>
          <w:rFonts w:hint="cs"/>
          <w:sz w:val="18"/>
          <w:szCs w:val="20"/>
          <w:rtl/>
        </w:rPr>
        <w:t>ו</w:t>
      </w:r>
      <w:r w:rsidRPr="00911580">
        <w:rPr>
          <w:sz w:val="18"/>
          <w:szCs w:val="20"/>
          <w:rtl/>
        </w:rPr>
        <w:t xml:space="preserve"> לא רק למדיניות הכלכלית אלא גם לה</w:t>
      </w:r>
      <w:r w:rsidRPr="00911580">
        <w:rPr>
          <w:rFonts w:hint="cs"/>
          <w:sz w:val="18"/>
          <w:szCs w:val="20"/>
          <w:rtl/>
        </w:rPr>
        <w:t>י</w:t>
      </w:r>
      <w:r w:rsidRPr="00911580">
        <w:rPr>
          <w:sz w:val="18"/>
          <w:szCs w:val="20"/>
          <w:rtl/>
        </w:rPr>
        <w:t>גיון הכלכלי הניאו</w:t>
      </w:r>
      <w:r w:rsidRPr="00911580">
        <w:rPr>
          <w:rFonts w:hint="cs"/>
          <w:sz w:val="18"/>
          <w:szCs w:val="20"/>
          <w:rtl/>
        </w:rPr>
        <w:t>-</w:t>
      </w:r>
      <w:r w:rsidRPr="00911580">
        <w:rPr>
          <w:sz w:val="18"/>
          <w:szCs w:val="20"/>
          <w:rtl/>
        </w:rPr>
        <w:t>ליברלי שהשתלט על סדר היום בישראל</w:t>
      </w:r>
      <w:r w:rsidRPr="00911580">
        <w:rPr>
          <w:rFonts w:hint="cs"/>
          <w:sz w:val="18"/>
          <w:szCs w:val="20"/>
          <w:rtl/>
        </w:rPr>
        <w:t xml:space="preserve"> (</w:t>
      </w:r>
      <w:r w:rsidRPr="00911580">
        <w:rPr>
          <w:sz w:val="18"/>
          <w:szCs w:val="20"/>
          <w:rtl/>
        </w:rPr>
        <w:t>גל</w:t>
      </w:r>
      <w:r w:rsidRPr="00911580">
        <w:rPr>
          <w:rFonts w:hint="cs"/>
          <w:sz w:val="18"/>
          <w:szCs w:val="20"/>
          <w:rtl/>
        </w:rPr>
        <w:t>-</w:t>
      </w:r>
      <w:r w:rsidRPr="00911580">
        <w:rPr>
          <w:sz w:val="18"/>
          <w:szCs w:val="20"/>
          <w:rtl/>
        </w:rPr>
        <w:t>נור ופז</w:t>
      </w:r>
      <w:r w:rsidRPr="00911580">
        <w:rPr>
          <w:rFonts w:hint="cs"/>
          <w:sz w:val="18"/>
          <w:szCs w:val="20"/>
          <w:rtl/>
        </w:rPr>
        <w:t>-</w:t>
      </w:r>
      <w:r w:rsidRPr="00911580">
        <w:rPr>
          <w:sz w:val="18"/>
          <w:szCs w:val="20"/>
          <w:rtl/>
        </w:rPr>
        <w:t>פוקס,</w:t>
      </w:r>
      <w:r w:rsidRPr="00911580">
        <w:rPr>
          <w:rFonts w:hint="cs"/>
          <w:sz w:val="18"/>
          <w:szCs w:val="20"/>
          <w:rtl/>
        </w:rPr>
        <w:t xml:space="preserve"> 2015).</w:t>
      </w:r>
    </w:p>
    <w:p w14:paraId="4628F0E8"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סקרי דעת קהל שנערכו בקרב הציבור הישראלי-יהודי מלמדים כי </w:t>
      </w:r>
      <w:r w:rsidRPr="00911580">
        <w:rPr>
          <w:sz w:val="18"/>
          <w:szCs w:val="20"/>
          <w:rtl/>
        </w:rPr>
        <w:t>עד</w:t>
      </w:r>
      <w:r w:rsidRPr="00911580">
        <w:rPr>
          <w:rFonts w:hint="cs"/>
          <w:sz w:val="18"/>
          <w:szCs w:val="20"/>
          <w:rtl/>
        </w:rPr>
        <w:t xml:space="preserve"> אמצע שנות ה-80 של המאה ה-20 נטה רוב הציבור לתמוך בשיטה הסוציאליסטית. במחצית השנייה של אותו עשור התהפכה המגמה, ועד לאמצע שנות ה-90 נטה רוב הציבור לתמוך בשיטה הקפיטליסטית (וולטר, 2011).</w:t>
      </w:r>
      <w:r w:rsidRPr="00911580">
        <w:rPr>
          <w:sz w:val="18"/>
          <w:szCs w:val="20"/>
          <w:rtl/>
        </w:rPr>
        <w:t xml:space="preserve"> </w:t>
      </w:r>
      <w:r w:rsidRPr="00911580">
        <w:rPr>
          <w:rFonts w:hint="cs"/>
          <w:sz w:val="18"/>
          <w:szCs w:val="20"/>
          <w:rtl/>
        </w:rPr>
        <w:t>אפשר</w:t>
      </w:r>
      <w:r w:rsidRPr="00911580">
        <w:rPr>
          <w:sz w:val="18"/>
          <w:szCs w:val="20"/>
          <w:rtl/>
        </w:rPr>
        <w:t xml:space="preserve"> להסביר מגמה זו </w:t>
      </w:r>
      <w:r w:rsidRPr="00911580">
        <w:rPr>
          <w:rFonts w:hint="cs"/>
          <w:sz w:val="18"/>
          <w:szCs w:val="20"/>
          <w:rtl/>
        </w:rPr>
        <w:t xml:space="preserve">על רקע </w:t>
      </w:r>
      <w:r w:rsidRPr="00911580">
        <w:rPr>
          <w:sz w:val="18"/>
          <w:szCs w:val="20"/>
          <w:rtl/>
        </w:rPr>
        <w:t>הצמיחה הכלכלית של שלהי שנות</w:t>
      </w:r>
      <w:r w:rsidRPr="00911580">
        <w:rPr>
          <w:rFonts w:hint="cs"/>
          <w:sz w:val="18"/>
          <w:szCs w:val="20"/>
          <w:rtl/>
        </w:rPr>
        <w:t xml:space="preserve"> ה-80 בעקבות יישום "תוכנית הייצוב",</w:t>
      </w:r>
      <w:r w:rsidRPr="00911580">
        <w:rPr>
          <w:sz w:val="18"/>
          <w:szCs w:val="20"/>
          <w:rtl/>
        </w:rPr>
        <w:t xml:space="preserve"> וכן</w:t>
      </w:r>
      <w:r w:rsidRPr="00911580">
        <w:rPr>
          <w:rFonts w:hint="cs"/>
          <w:sz w:val="18"/>
          <w:szCs w:val="20"/>
          <w:rtl/>
        </w:rPr>
        <w:t xml:space="preserve"> </w:t>
      </w:r>
      <w:r w:rsidRPr="00911580">
        <w:rPr>
          <w:sz w:val="18"/>
          <w:szCs w:val="20"/>
          <w:rtl/>
        </w:rPr>
        <w:t>בנפילת הגוש הקומוניסטי, שהתפרשה כניצחון השיטה הקפיטליסטית. התמיכה בהפרטה הי</w:t>
      </w:r>
      <w:r w:rsidRPr="00911580">
        <w:rPr>
          <w:rFonts w:hint="cs"/>
          <w:sz w:val="18"/>
          <w:szCs w:val="20"/>
          <w:rtl/>
        </w:rPr>
        <w:t>י</w:t>
      </w:r>
      <w:r w:rsidRPr="00911580">
        <w:rPr>
          <w:sz w:val="18"/>
          <w:szCs w:val="20"/>
          <w:rtl/>
        </w:rPr>
        <w:t xml:space="preserve">תה </w:t>
      </w:r>
      <w:r w:rsidRPr="00911580">
        <w:rPr>
          <w:rFonts w:hint="cs"/>
          <w:sz w:val="18"/>
          <w:szCs w:val="20"/>
          <w:rtl/>
        </w:rPr>
        <w:t>(</w:t>
      </w:r>
      <w:r w:rsidRPr="00911580">
        <w:rPr>
          <w:sz w:val="18"/>
          <w:szCs w:val="20"/>
          <w:rtl/>
        </w:rPr>
        <w:t>ובמידה רבה מאוד עודנה</w:t>
      </w:r>
      <w:r w:rsidRPr="00911580">
        <w:rPr>
          <w:rFonts w:hint="cs"/>
          <w:sz w:val="18"/>
          <w:szCs w:val="20"/>
          <w:rtl/>
        </w:rPr>
        <w:t>)</w:t>
      </w:r>
      <w:r w:rsidRPr="00911580">
        <w:rPr>
          <w:sz w:val="18"/>
          <w:szCs w:val="20"/>
          <w:rtl/>
        </w:rPr>
        <w:t xml:space="preserve"> בגדר</w:t>
      </w:r>
      <w:r w:rsidRPr="00911580">
        <w:rPr>
          <w:rFonts w:hint="cs"/>
          <w:sz w:val="18"/>
          <w:szCs w:val="20"/>
          <w:rtl/>
        </w:rPr>
        <w:t xml:space="preserve"> </w:t>
      </w:r>
      <w:r w:rsidRPr="00911580">
        <w:rPr>
          <w:sz w:val="18"/>
          <w:szCs w:val="20"/>
          <w:rtl/>
        </w:rPr>
        <w:t xml:space="preserve">מענה לביקורות שנשמעו </w:t>
      </w:r>
      <w:r w:rsidRPr="00911580">
        <w:rPr>
          <w:rFonts w:hint="cs"/>
          <w:sz w:val="18"/>
          <w:szCs w:val="20"/>
          <w:rtl/>
        </w:rPr>
        <w:t>בדבר</w:t>
      </w:r>
      <w:r w:rsidRPr="00911580">
        <w:rPr>
          <w:sz w:val="18"/>
          <w:szCs w:val="20"/>
          <w:rtl/>
        </w:rPr>
        <w:t xml:space="preserve"> חוסר היעילות</w:t>
      </w:r>
      <w:r w:rsidRPr="00911580">
        <w:rPr>
          <w:rFonts w:hint="cs"/>
          <w:sz w:val="18"/>
          <w:szCs w:val="20"/>
          <w:rtl/>
        </w:rPr>
        <w:t xml:space="preserve"> </w:t>
      </w:r>
      <w:r w:rsidRPr="00911580">
        <w:rPr>
          <w:sz w:val="18"/>
          <w:szCs w:val="20"/>
          <w:rtl/>
        </w:rPr>
        <w:t>של השירות הציבורי</w:t>
      </w:r>
      <w:r w:rsidRPr="00911580">
        <w:rPr>
          <w:rFonts w:hint="cs"/>
          <w:sz w:val="18"/>
          <w:szCs w:val="20"/>
          <w:rtl/>
        </w:rPr>
        <w:t>,</w:t>
      </w:r>
      <w:r w:rsidRPr="00911580">
        <w:rPr>
          <w:sz w:val="18"/>
          <w:szCs w:val="20"/>
          <w:rtl/>
        </w:rPr>
        <w:t xml:space="preserve"> הסובל</w:t>
      </w:r>
      <w:r w:rsidRPr="00911580">
        <w:rPr>
          <w:rFonts w:hint="cs"/>
          <w:sz w:val="18"/>
          <w:szCs w:val="20"/>
          <w:rtl/>
        </w:rPr>
        <w:t xml:space="preserve"> </w:t>
      </w:r>
      <w:r w:rsidRPr="00911580">
        <w:rPr>
          <w:sz w:val="18"/>
          <w:szCs w:val="20"/>
          <w:rtl/>
        </w:rPr>
        <w:t>מעודף כוח אדם, מחוסר גמישות ומיתר בי</w:t>
      </w:r>
      <w:r w:rsidRPr="00911580">
        <w:rPr>
          <w:rFonts w:hint="cs"/>
          <w:sz w:val="18"/>
          <w:szCs w:val="20"/>
          <w:rtl/>
        </w:rPr>
        <w:t>ו</w:t>
      </w:r>
      <w:r w:rsidRPr="00911580">
        <w:rPr>
          <w:sz w:val="18"/>
          <w:szCs w:val="20"/>
          <w:rtl/>
        </w:rPr>
        <w:t xml:space="preserve">רוקרטיה </w:t>
      </w:r>
      <w:r w:rsidRPr="00911580">
        <w:rPr>
          <w:rFonts w:hint="cs"/>
          <w:sz w:val="18"/>
          <w:szCs w:val="20"/>
          <w:rtl/>
        </w:rPr>
        <w:t>(</w:t>
      </w:r>
      <w:proofErr w:type="spellStart"/>
      <w:r w:rsidRPr="00911580">
        <w:rPr>
          <w:sz w:val="18"/>
          <w:szCs w:val="20"/>
          <w:rtl/>
        </w:rPr>
        <w:t>טליאס</w:t>
      </w:r>
      <w:proofErr w:type="spellEnd"/>
      <w:r w:rsidRPr="00911580">
        <w:rPr>
          <w:sz w:val="18"/>
          <w:szCs w:val="20"/>
          <w:rtl/>
        </w:rPr>
        <w:t>,</w:t>
      </w:r>
      <w:r w:rsidRPr="00911580">
        <w:rPr>
          <w:rFonts w:hint="cs"/>
          <w:sz w:val="18"/>
          <w:szCs w:val="20"/>
          <w:rtl/>
        </w:rPr>
        <w:t xml:space="preserve"> 2012</w:t>
      </w:r>
      <w:r w:rsidRPr="00911580">
        <w:rPr>
          <w:sz w:val="18"/>
          <w:szCs w:val="20"/>
          <w:rtl/>
        </w:rPr>
        <w:t xml:space="preserve">; </w:t>
      </w:r>
      <w:proofErr w:type="spellStart"/>
      <w:r w:rsidRPr="00911580">
        <w:rPr>
          <w:sz w:val="18"/>
          <w:szCs w:val="20"/>
          <w:rtl/>
        </w:rPr>
        <w:t>מנדלקרן</w:t>
      </w:r>
      <w:proofErr w:type="spellEnd"/>
      <w:r w:rsidRPr="00911580">
        <w:rPr>
          <w:sz w:val="18"/>
          <w:szCs w:val="20"/>
          <w:rtl/>
        </w:rPr>
        <w:t>,</w:t>
      </w:r>
      <w:r w:rsidRPr="00911580">
        <w:rPr>
          <w:rFonts w:hint="cs"/>
          <w:sz w:val="18"/>
          <w:szCs w:val="20"/>
          <w:rtl/>
        </w:rPr>
        <w:t xml:space="preserve"> 2012). ואולם אהדה זו לשיטה הקפיטליסטית הייתה קצרת ימים.</w:t>
      </w:r>
      <w:r w:rsidRPr="00911580">
        <w:rPr>
          <w:sz w:val="18"/>
          <w:szCs w:val="20"/>
          <w:rtl/>
        </w:rPr>
        <w:t xml:space="preserve"> סקרים שנערכו </w:t>
      </w:r>
      <w:r w:rsidRPr="00911580">
        <w:rPr>
          <w:rFonts w:hint="cs"/>
          <w:sz w:val="18"/>
          <w:szCs w:val="20"/>
          <w:rtl/>
        </w:rPr>
        <w:t xml:space="preserve">במהלך העשור הראשון של שנות ה-2000 </w:t>
      </w:r>
      <w:r w:rsidRPr="00911580">
        <w:rPr>
          <w:sz w:val="18"/>
          <w:szCs w:val="20"/>
          <w:rtl/>
        </w:rPr>
        <w:t>הראו כי המגמה השתנתה</w:t>
      </w:r>
      <w:r w:rsidRPr="00911580">
        <w:rPr>
          <w:rFonts w:hint="cs"/>
          <w:sz w:val="18"/>
          <w:szCs w:val="20"/>
          <w:rtl/>
        </w:rPr>
        <w:t>, ו</w:t>
      </w:r>
      <w:r w:rsidRPr="00911580">
        <w:rPr>
          <w:sz w:val="18"/>
          <w:szCs w:val="20"/>
          <w:rtl/>
        </w:rPr>
        <w:t xml:space="preserve">כי </w:t>
      </w:r>
      <w:r w:rsidRPr="00911580">
        <w:rPr>
          <w:rFonts w:hint="cs"/>
          <w:sz w:val="18"/>
          <w:szCs w:val="20"/>
          <w:rtl/>
        </w:rPr>
        <w:t xml:space="preserve">יותר </w:t>
      </w:r>
      <w:r w:rsidRPr="00911580">
        <w:rPr>
          <w:sz w:val="18"/>
          <w:szCs w:val="20"/>
          <w:rtl/>
        </w:rPr>
        <w:t>מ</w:t>
      </w:r>
      <w:r w:rsidRPr="00911580">
        <w:rPr>
          <w:rFonts w:hint="cs"/>
          <w:sz w:val="18"/>
          <w:szCs w:val="20"/>
          <w:rtl/>
        </w:rPr>
        <w:t>-50%</w:t>
      </w:r>
      <w:r w:rsidRPr="00911580">
        <w:rPr>
          <w:sz w:val="18"/>
          <w:szCs w:val="20"/>
          <w:rtl/>
        </w:rPr>
        <w:t xml:space="preserve"> מן</w:t>
      </w:r>
      <w:r w:rsidRPr="00911580">
        <w:rPr>
          <w:rFonts w:hint="cs"/>
          <w:sz w:val="18"/>
          <w:szCs w:val="20"/>
          <w:rtl/>
        </w:rPr>
        <w:t xml:space="preserve"> </w:t>
      </w:r>
      <w:r w:rsidRPr="00911580">
        <w:rPr>
          <w:sz w:val="18"/>
          <w:szCs w:val="20"/>
          <w:rtl/>
        </w:rPr>
        <w:t>הציבור הישראלי תמכו בהעמקת מעורבות המדינה יותר מאשר בשוק קפיטליסטי</w:t>
      </w:r>
      <w:r w:rsidRPr="00911580">
        <w:rPr>
          <w:rFonts w:hint="cs"/>
          <w:sz w:val="18"/>
          <w:szCs w:val="20"/>
          <w:rtl/>
        </w:rPr>
        <w:t xml:space="preserve"> (</w:t>
      </w:r>
      <w:proofErr w:type="spellStart"/>
      <w:r w:rsidRPr="00911580">
        <w:rPr>
          <w:sz w:val="18"/>
          <w:szCs w:val="20"/>
          <w:rtl/>
        </w:rPr>
        <w:t>אטמור</w:t>
      </w:r>
      <w:proofErr w:type="spellEnd"/>
      <w:r w:rsidRPr="00911580">
        <w:rPr>
          <w:rFonts w:hint="cs"/>
          <w:sz w:val="18"/>
          <w:szCs w:val="20"/>
          <w:rtl/>
        </w:rPr>
        <w:t xml:space="preserve"> ועמיתים</w:t>
      </w:r>
      <w:r w:rsidRPr="00911580">
        <w:rPr>
          <w:sz w:val="18"/>
          <w:szCs w:val="20"/>
          <w:rtl/>
        </w:rPr>
        <w:t>,</w:t>
      </w:r>
      <w:r w:rsidRPr="00911580">
        <w:rPr>
          <w:rFonts w:hint="cs"/>
          <w:sz w:val="18"/>
          <w:szCs w:val="20"/>
          <w:rtl/>
        </w:rPr>
        <w:t xml:space="preserve"> 2008). בהתאם לכך, מדד </w:t>
      </w:r>
      <w:r w:rsidRPr="00911580">
        <w:rPr>
          <w:rFonts w:hint="cs"/>
          <w:sz w:val="18"/>
          <w:szCs w:val="20"/>
          <w:rtl/>
        </w:rPr>
        <w:lastRenderedPageBreak/>
        <w:t xml:space="preserve">הדמוקרטיה הישראלית 2019 הראה כי מחצית מהנשאלים מעדיפים מיסים גבוהים ושירותים ציבוריים נרחבים, לעומת 39% בלבד המעדיפים מיסים נמוכים ושירותים בסיסיים (הרמן, </w:t>
      </w:r>
      <w:r w:rsidRPr="00911580">
        <w:rPr>
          <w:sz w:val="18"/>
          <w:szCs w:val="20"/>
          <w:rtl/>
        </w:rPr>
        <w:t xml:space="preserve">ענבי, </w:t>
      </w:r>
      <w:proofErr w:type="spellStart"/>
      <w:r w:rsidRPr="00911580">
        <w:rPr>
          <w:sz w:val="18"/>
          <w:szCs w:val="20"/>
          <w:rtl/>
        </w:rPr>
        <w:t>קביסון</w:t>
      </w:r>
      <w:proofErr w:type="spellEnd"/>
      <w:r w:rsidRPr="00911580">
        <w:rPr>
          <w:sz w:val="18"/>
          <w:szCs w:val="20"/>
          <w:rtl/>
        </w:rPr>
        <w:t xml:space="preserve"> והלר</w:t>
      </w:r>
      <w:r w:rsidRPr="00911580">
        <w:rPr>
          <w:rFonts w:hint="cs"/>
          <w:sz w:val="18"/>
          <w:szCs w:val="20"/>
          <w:rtl/>
        </w:rPr>
        <w:t>, 2019).</w:t>
      </w:r>
    </w:p>
    <w:p w14:paraId="2BAED34B" w14:textId="77777777" w:rsidR="00B4735A" w:rsidRPr="00911580" w:rsidRDefault="00B4735A" w:rsidP="00911580">
      <w:pPr>
        <w:spacing w:after="180" w:line="280" w:lineRule="exact"/>
        <w:jc w:val="both"/>
        <w:rPr>
          <w:sz w:val="18"/>
          <w:szCs w:val="20"/>
          <w:rtl/>
        </w:rPr>
      </w:pPr>
      <w:r w:rsidRPr="00911580">
        <w:rPr>
          <w:sz w:val="18"/>
          <w:szCs w:val="20"/>
          <w:rtl/>
        </w:rPr>
        <w:t>מחקרם של כהן</w:t>
      </w:r>
      <w:r w:rsidRPr="00911580">
        <w:rPr>
          <w:rFonts w:hint="cs"/>
          <w:sz w:val="18"/>
          <w:szCs w:val="20"/>
          <w:rtl/>
        </w:rPr>
        <w:t>, מזרחי ויובל (2010)</w:t>
      </w:r>
      <w:r w:rsidRPr="00911580">
        <w:rPr>
          <w:sz w:val="18"/>
          <w:szCs w:val="20"/>
          <w:rtl/>
        </w:rPr>
        <w:t xml:space="preserve"> מספק תמונת מצב של המורכבות בדעת הקהל</w:t>
      </w:r>
      <w:r w:rsidRPr="00911580">
        <w:rPr>
          <w:rFonts w:hint="cs"/>
          <w:sz w:val="18"/>
          <w:szCs w:val="20"/>
          <w:rtl/>
        </w:rPr>
        <w:t xml:space="preserve"> </w:t>
      </w:r>
      <w:r w:rsidRPr="00911580">
        <w:rPr>
          <w:sz w:val="18"/>
          <w:szCs w:val="20"/>
          <w:rtl/>
        </w:rPr>
        <w:t>הישראלית כלפי מדינת הרווחה והמדיניות החברתית</w:t>
      </w:r>
      <w:r w:rsidRPr="00911580">
        <w:rPr>
          <w:rFonts w:hint="cs"/>
          <w:sz w:val="18"/>
          <w:szCs w:val="20"/>
          <w:rtl/>
        </w:rPr>
        <w:t xml:space="preserve">, ומפלח את העמדות </w:t>
      </w:r>
      <w:r w:rsidRPr="00911580">
        <w:rPr>
          <w:sz w:val="18"/>
          <w:szCs w:val="20"/>
          <w:rtl/>
        </w:rPr>
        <w:t>לפי מאפיינים סוציו-דמוגרפיים</w:t>
      </w:r>
      <w:r w:rsidRPr="00911580">
        <w:rPr>
          <w:rFonts w:hint="cs"/>
          <w:sz w:val="18"/>
          <w:szCs w:val="20"/>
          <w:rtl/>
        </w:rPr>
        <w:t xml:space="preserve"> </w:t>
      </w:r>
      <w:r w:rsidRPr="00911580">
        <w:rPr>
          <w:sz w:val="18"/>
          <w:szCs w:val="20"/>
          <w:rtl/>
        </w:rPr>
        <w:t xml:space="preserve">וסקטוריאליים שונים. </w:t>
      </w:r>
      <w:r w:rsidRPr="00911580">
        <w:rPr>
          <w:rFonts w:hint="cs"/>
          <w:sz w:val="18"/>
          <w:szCs w:val="20"/>
          <w:rtl/>
        </w:rPr>
        <w:t>מן העבר האחד, ממצא בולט במ</w:t>
      </w:r>
      <w:r w:rsidRPr="00911580">
        <w:rPr>
          <w:sz w:val="18"/>
          <w:szCs w:val="20"/>
          <w:rtl/>
        </w:rPr>
        <w:t xml:space="preserve">חקר </w:t>
      </w:r>
      <w:r w:rsidRPr="00911580">
        <w:rPr>
          <w:rFonts w:hint="cs"/>
          <w:sz w:val="18"/>
          <w:szCs w:val="20"/>
          <w:rtl/>
        </w:rPr>
        <w:t xml:space="preserve">היה </w:t>
      </w:r>
      <w:r w:rsidRPr="00911580">
        <w:rPr>
          <w:sz w:val="18"/>
          <w:szCs w:val="20"/>
          <w:rtl/>
        </w:rPr>
        <w:t>שהציבור</w:t>
      </w:r>
      <w:r w:rsidRPr="00911580">
        <w:rPr>
          <w:rFonts w:hint="cs"/>
          <w:sz w:val="18"/>
          <w:szCs w:val="20"/>
          <w:rtl/>
        </w:rPr>
        <w:t xml:space="preserve"> </w:t>
      </w:r>
      <w:r w:rsidRPr="00911580">
        <w:rPr>
          <w:sz w:val="18"/>
          <w:szCs w:val="20"/>
          <w:rtl/>
        </w:rPr>
        <w:t>הישראלי מצדיק במידה רבה מעורבות</w:t>
      </w:r>
      <w:r w:rsidRPr="00911580">
        <w:rPr>
          <w:rFonts w:hint="cs"/>
          <w:sz w:val="18"/>
          <w:szCs w:val="20"/>
          <w:rtl/>
        </w:rPr>
        <w:t xml:space="preserve"> </w:t>
      </w:r>
      <w:r w:rsidRPr="00911580">
        <w:rPr>
          <w:sz w:val="18"/>
          <w:szCs w:val="20"/>
          <w:rtl/>
        </w:rPr>
        <w:t>של המדינה באספקת שירותים ציבוריים, תומך</w:t>
      </w:r>
      <w:r w:rsidRPr="00911580">
        <w:rPr>
          <w:rFonts w:hint="cs"/>
          <w:sz w:val="18"/>
          <w:szCs w:val="20"/>
          <w:rtl/>
        </w:rPr>
        <w:t xml:space="preserve"> </w:t>
      </w:r>
      <w:r w:rsidRPr="00911580">
        <w:rPr>
          <w:sz w:val="18"/>
          <w:szCs w:val="20"/>
          <w:rtl/>
        </w:rPr>
        <w:t>בהשקעה בתחומים המזוהים עם מדינת הרווחה</w:t>
      </w:r>
      <w:r w:rsidRPr="00911580">
        <w:rPr>
          <w:rFonts w:hint="cs"/>
          <w:sz w:val="18"/>
          <w:szCs w:val="20"/>
          <w:rtl/>
        </w:rPr>
        <w:t xml:space="preserve"> </w:t>
      </w:r>
      <w:r w:rsidRPr="00911580">
        <w:rPr>
          <w:sz w:val="18"/>
          <w:szCs w:val="20"/>
          <w:rtl/>
        </w:rPr>
        <w:t>–</w:t>
      </w:r>
      <w:r w:rsidRPr="00911580">
        <w:rPr>
          <w:rFonts w:hint="cs"/>
          <w:sz w:val="18"/>
          <w:szCs w:val="20"/>
          <w:rtl/>
        </w:rPr>
        <w:t xml:space="preserve"> כגון ביטוח בריאות וחינוך</w:t>
      </w:r>
      <w:r w:rsidRPr="00911580">
        <w:rPr>
          <w:sz w:val="18"/>
          <w:szCs w:val="20"/>
          <w:rtl/>
        </w:rPr>
        <w:t>, ומסכים עם הצורך לתמוך באוכלוסיות</w:t>
      </w:r>
      <w:r w:rsidRPr="00911580">
        <w:rPr>
          <w:rFonts w:hint="cs"/>
          <w:sz w:val="18"/>
          <w:szCs w:val="20"/>
          <w:rtl/>
        </w:rPr>
        <w:t xml:space="preserve"> </w:t>
      </w:r>
      <w:r w:rsidRPr="00911580">
        <w:rPr>
          <w:sz w:val="18"/>
          <w:szCs w:val="20"/>
          <w:rtl/>
        </w:rPr>
        <w:t>חלשות. מן ה</w:t>
      </w:r>
      <w:r w:rsidRPr="00911580">
        <w:rPr>
          <w:rFonts w:hint="cs"/>
          <w:sz w:val="18"/>
          <w:szCs w:val="20"/>
          <w:rtl/>
        </w:rPr>
        <w:t xml:space="preserve">עבר </w:t>
      </w:r>
      <w:r w:rsidRPr="00911580">
        <w:rPr>
          <w:sz w:val="18"/>
          <w:szCs w:val="20"/>
          <w:rtl/>
        </w:rPr>
        <w:t>השני נמצא כי הנכונות לשלם עבור אותם שירותים שמספקת</w:t>
      </w:r>
      <w:r w:rsidRPr="00911580">
        <w:rPr>
          <w:rFonts w:hint="cs"/>
          <w:sz w:val="18"/>
          <w:szCs w:val="20"/>
          <w:rtl/>
        </w:rPr>
        <w:t xml:space="preserve"> </w:t>
      </w:r>
      <w:r w:rsidRPr="00911580">
        <w:rPr>
          <w:sz w:val="18"/>
          <w:szCs w:val="20"/>
          <w:rtl/>
        </w:rPr>
        <w:t>מדינת הרווחה נמוכה</w:t>
      </w:r>
      <w:r w:rsidRPr="00911580">
        <w:rPr>
          <w:rFonts w:hint="cs"/>
          <w:sz w:val="18"/>
          <w:szCs w:val="20"/>
          <w:rtl/>
        </w:rPr>
        <w:t xml:space="preserve"> יחסית, דהיינו הנכונות של הציבור לשאת בעלויותיה של מדינת הרווחה קיימת אומנם לפי הסקר, אך היא נמוכה מהתמיכה המוצהרת במדינת הרווחה</w:t>
      </w:r>
      <w:r w:rsidRPr="00911580">
        <w:rPr>
          <w:sz w:val="18"/>
          <w:szCs w:val="20"/>
          <w:rtl/>
        </w:rPr>
        <w:t>. אם כך, במעבר בין</w:t>
      </w:r>
      <w:r w:rsidRPr="00911580">
        <w:rPr>
          <w:rFonts w:hint="cs"/>
          <w:sz w:val="18"/>
          <w:szCs w:val="20"/>
          <w:rtl/>
        </w:rPr>
        <w:t xml:space="preserve"> </w:t>
      </w:r>
      <w:r w:rsidRPr="00911580">
        <w:rPr>
          <w:sz w:val="18"/>
          <w:szCs w:val="20"/>
          <w:rtl/>
        </w:rPr>
        <w:t>עמדה הצהרתית להתנהגות בפועל קיימת ירידה בתמיכה במדינת הרווחה.</w:t>
      </w:r>
    </w:p>
    <w:p w14:paraId="6CECA402" w14:textId="77777777" w:rsidR="00B4735A" w:rsidRPr="00911580" w:rsidRDefault="00B4735A" w:rsidP="00911580">
      <w:pPr>
        <w:spacing w:after="180" w:line="280" w:lineRule="exact"/>
        <w:jc w:val="both"/>
        <w:rPr>
          <w:sz w:val="18"/>
          <w:szCs w:val="20"/>
          <w:rtl/>
        </w:rPr>
      </w:pPr>
      <w:r w:rsidRPr="00911580">
        <w:rPr>
          <w:rFonts w:hint="cs"/>
          <w:sz w:val="18"/>
          <w:szCs w:val="20"/>
          <w:rtl/>
        </w:rPr>
        <w:t>ההתנגדות להפרטה</w:t>
      </w:r>
      <w:r w:rsidRPr="00911580">
        <w:rPr>
          <w:sz w:val="18"/>
          <w:szCs w:val="20"/>
          <w:rtl/>
        </w:rPr>
        <w:t xml:space="preserve"> בישראל באה לידי ביטוי גם בסקר מדד הדמוקרטיה</w:t>
      </w:r>
      <w:r w:rsidRPr="00911580">
        <w:rPr>
          <w:rFonts w:hint="cs"/>
          <w:sz w:val="18"/>
          <w:szCs w:val="20"/>
          <w:rtl/>
        </w:rPr>
        <w:t xml:space="preserve"> 2008, </w:t>
      </w:r>
      <w:r w:rsidRPr="00911580">
        <w:rPr>
          <w:sz w:val="18"/>
          <w:szCs w:val="20"/>
          <w:rtl/>
        </w:rPr>
        <w:t xml:space="preserve">המרמז כי הציבור </w:t>
      </w:r>
      <w:r w:rsidRPr="00911580">
        <w:rPr>
          <w:rFonts w:hint="cs"/>
          <w:sz w:val="18"/>
          <w:szCs w:val="20"/>
          <w:rtl/>
        </w:rPr>
        <w:t>נוטה לחשוב</w:t>
      </w:r>
      <w:r w:rsidRPr="00911580">
        <w:rPr>
          <w:sz w:val="18"/>
          <w:szCs w:val="20"/>
          <w:rtl/>
        </w:rPr>
        <w:t xml:space="preserve"> </w:t>
      </w:r>
      <w:r w:rsidRPr="00911580">
        <w:rPr>
          <w:rFonts w:hint="cs"/>
          <w:sz w:val="18"/>
          <w:szCs w:val="20"/>
          <w:rtl/>
        </w:rPr>
        <w:t>ששירותים</w:t>
      </w:r>
      <w:r w:rsidRPr="00911580">
        <w:rPr>
          <w:sz w:val="18"/>
          <w:szCs w:val="20"/>
          <w:rtl/>
        </w:rPr>
        <w:t xml:space="preserve"> המסופקים</w:t>
      </w:r>
      <w:r w:rsidRPr="00911580">
        <w:rPr>
          <w:rFonts w:hint="cs"/>
          <w:sz w:val="18"/>
          <w:szCs w:val="20"/>
          <w:rtl/>
        </w:rPr>
        <w:t xml:space="preserve"> </w:t>
      </w:r>
      <w:r w:rsidRPr="00911580">
        <w:rPr>
          <w:sz w:val="18"/>
          <w:szCs w:val="20"/>
          <w:rtl/>
        </w:rPr>
        <w:t>על</w:t>
      </w:r>
      <w:r w:rsidRPr="00911580">
        <w:rPr>
          <w:rFonts w:hint="cs"/>
          <w:sz w:val="18"/>
          <w:szCs w:val="20"/>
          <w:rtl/>
        </w:rPr>
        <w:t xml:space="preserve"> </w:t>
      </w:r>
      <w:r w:rsidRPr="00911580">
        <w:rPr>
          <w:sz w:val="18"/>
          <w:szCs w:val="20"/>
          <w:rtl/>
        </w:rPr>
        <w:t>ידי הארגונים החוץ</w:t>
      </w:r>
      <w:r w:rsidRPr="00911580">
        <w:rPr>
          <w:rFonts w:hint="cs"/>
          <w:sz w:val="18"/>
          <w:szCs w:val="20"/>
          <w:rtl/>
        </w:rPr>
        <w:t>-</w:t>
      </w:r>
      <w:r w:rsidRPr="00911580">
        <w:rPr>
          <w:sz w:val="18"/>
          <w:szCs w:val="20"/>
          <w:rtl/>
        </w:rPr>
        <w:t>ממשלתיים</w:t>
      </w:r>
      <w:r w:rsidRPr="00911580">
        <w:rPr>
          <w:rFonts w:hint="cs"/>
          <w:sz w:val="18"/>
          <w:szCs w:val="20"/>
          <w:rtl/>
        </w:rPr>
        <w:t xml:space="preserve"> איכותיים יותר מאלו הציבוריים</w:t>
      </w:r>
      <w:r w:rsidRPr="00911580">
        <w:rPr>
          <w:sz w:val="18"/>
          <w:szCs w:val="20"/>
          <w:rtl/>
        </w:rPr>
        <w:t>, אך מעדיף בבירור מעורבות רבה מצד המדינה. נראה</w:t>
      </w:r>
      <w:r w:rsidRPr="00911580">
        <w:rPr>
          <w:rFonts w:hint="cs"/>
          <w:sz w:val="18"/>
          <w:szCs w:val="20"/>
          <w:rtl/>
        </w:rPr>
        <w:t xml:space="preserve"> אפוא כי </w:t>
      </w:r>
      <w:r w:rsidRPr="00911580">
        <w:rPr>
          <w:sz w:val="18"/>
          <w:szCs w:val="20"/>
          <w:rtl/>
        </w:rPr>
        <w:t>הציבור הישראלי</w:t>
      </w:r>
      <w:r w:rsidRPr="00911580">
        <w:rPr>
          <w:rFonts w:hint="cs"/>
          <w:sz w:val="18"/>
          <w:szCs w:val="20"/>
          <w:rtl/>
        </w:rPr>
        <w:t xml:space="preserve"> </w:t>
      </w:r>
      <w:r w:rsidRPr="00911580">
        <w:rPr>
          <w:sz w:val="18"/>
          <w:szCs w:val="20"/>
          <w:rtl/>
        </w:rPr>
        <w:t>חשדן למדי בכל הנוגע לשירותים החוץ</w:t>
      </w:r>
      <w:r w:rsidRPr="00911580">
        <w:rPr>
          <w:rFonts w:hint="cs"/>
          <w:sz w:val="18"/>
          <w:szCs w:val="20"/>
          <w:rtl/>
        </w:rPr>
        <w:t>-</w:t>
      </w:r>
      <w:r w:rsidRPr="00911580">
        <w:rPr>
          <w:sz w:val="18"/>
          <w:szCs w:val="20"/>
          <w:rtl/>
        </w:rPr>
        <w:t xml:space="preserve">ממשלתיים. </w:t>
      </w:r>
      <w:r w:rsidRPr="00911580">
        <w:rPr>
          <w:rFonts w:hint="cs"/>
          <w:sz w:val="18"/>
          <w:szCs w:val="20"/>
          <w:rtl/>
        </w:rPr>
        <w:t xml:space="preserve">עוד </w:t>
      </w:r>
      <w:r w:rsidRPr="00911580">
        <w:rPr>
          <w:sz w:val="18"/>
          <w:szCs w:val="20"/>
          <w:rtl/>
        </w:rPr>
        <w:t>נמצא כי 20% מהמשיבים סברו כי אותם ארגונים אינם חסרי אינטרסים ונקיי כפיים.</w:t>
      </w:r>
      <w:r w:rsidRPr="00911580">
        <w:rPr>
          <w:rFonts w:hint="cs"/>
          <w:sz w:val="18"/>
          <w:szCs w:val="20"/>
          <w:rtl/>
        </w:rPr>
        <w:t xml:space="preserve"> מעניין לציין ש</w:t>
      </w:r>
      <w:r w:rsidRPr="00911580">
        <w:rPr>
          <w:sz w:val="18"/>
          <w:szCs w:val="20"/>
          <w:rtl/>
        </w:rPr>
        <w:t xml:space="preserve">שיעור גבוה מאותם משיבים </w:t>
      </w:r>
      <w:r w:rsidRPr="00911580">
        <w:rPr>
          <w:rFonts w:hint="cs"/>
          <w:sz w:val="18"/>
          <w:szCs w:val="20"/>
          <w:rtl/>
        </w:rPr>
        <w:t xml:space="preserve">שסברו כך גם </w:t>
      </w:r>
      <w:r w:rsidRPr="00911580">
        <w:rPr>
          <w:sz w:val="18"/>
          <w:szCs w:val="20"/>
          <w:rtl/>
        </w:rPr>
        <w:t>הסכימו עם הטענה כי אותם ארגונים</w:t>
      </w:r>
      <w:r w:rsidRPr="00911580">
        <w:rPr>
          <w:rFonts w:hint="cs"/>
          <w:sz w:val="18"/>
          <w:szCs w:val="20"/>
          <w:rtl/>
        </w:rPr>
        <w:t xml:space="preserve"> </w:t>
      </w:r>
      <w:r w:rsidRPr="00911580">
        <w:rPr>
          <w:sz w:val="18"/>
          <w:szCs w:val="20"/>
          <w:rtl/>
        </w:rPr>
        <w:t>מספקים שירותים איכותיים יותר מן השירותים שהמדינה מספקת</w:t>
      </w:r>
      <w:r w:rsidRPr="00911580">
        <w:rPr>
          <w:rFonts w:hint="cs"/>
          <w:sz w:val="18"/>
          <w:szCs w:val="20"/>
          <w:rtl/>
        </w:rPr>
        <w:t xml:space="preserve"> (</w:t>
      </w:r>
      <w:r w:rsidRPr="00911580">
        <w:rPr>
          <w:sz w:val="18"/>
          <w:szCs w:val="20"/>
          <w:rtl/>
        </w:rPr>
        <w:t>מרון,</w:t>
      </w:r>
      <w:r w:rsidRPr="00911580">
        <w:rPr>
          <w:rFonts w:hint="cs"/>
          <w:sz w:val="18"/>
          <w:szCs w:val="20"/>
          <w:rtl/>
        </w:rPr>
        <w:t xml:space="preserve"> 2013).</w:t>
      </w:r>
    </w:p>
    <w:p w14:paraId="4D5CD0AB" w14:textId="53736370" w:rsidR="00B4735A" w:rsidRPr="00911580" w:rsidRDefault="00B4735A" w:rsidP="00115BC6">
      <w:pPr>
        <w:spacing w:after="180" w:line="280" w:lineRule="exact"/>
        <w:jc w:val="both"/>
        <w:rPr>
          <w:sz w:val="18"/>
          <w:szCs w:val="20"/>
          <w:rtl/>
        </w:rPr>
      </w:pPr>
      <w:r w:rsidRPr="00911580">
        <w:rPr>
          <w:sz w:val="18"/>
          <w:szCs w:val="20"/>
          <w:rtl/>
        </w:rPr>
        <w:t xml:space="preserve">ממצאי סקר שערכה חברת </w:t>
      </w:r>
      <w:r w:rsidRPr="00911580">
        <w:rPr>
          <w:rFonts w:hint="cs"/>
          <w:sz w:val="18"/>
          <w:szCs w:val="20"/>
          <w:rtl/>
        </w:rPr>
        <w:t>"</w:t>
      </w:r>
      <w:r w:rsidRPr="00911580">
        <w:rPr>
          <w:sz w:val="18"/>
          <w:szCs w:val="20"/>
          <w:rtl/>
        </w:rPr>
        <w:t>מאגר מוחות</w:t>
      </w:r>
      <w:r w:rsidRPr="00911580">
        <w:rPr>
          <w:rFonts w:hint="cs"/>
          <w:sz w:val="18"/>
          <w:szCs w:val="20"/>
          <w:rtl/>
        </w:rPr>
        <w:t>" (2007)</w:t>
      </w:r>
      <w:r w:rsidRPr="00911580">
        <w:rPr>
          <w:sz w:val="18"/>
          <w:szCs w:val="20"/>
          <w:rtl/>
        </w:rPr>
        <w:t xml:space="preserve"> מעלים תמונה</w:t>
      </w:r>
      <w:r w:rsidRPr="00911580">
        <w:rPr>
          <w:rFonts w:hint="cs"/>
          <w:sz w:val="18"/>
          <w:szCs w:val="20"/>
          <w:rtl/>
        </w:rPr>
        <w:t xml:space="preserve"> מעט </w:t>
      </w:r>
      <w:r w:rsidRPr="00911580">
        <w:rPr>
          <w:sz w:val="18"/>
          <w:szCs w:val="20"/>
          <w:rtl/>
        </w:rPr>
        <w:t>שונה.</w:t>
      </w:r>
      <w:r w:rsidRPr="00911580">
        <w:rPr>
          <w:rFonts w:hint="cs"/>
          <w:sz w:val="18"/>
          <w:szCs w:val="20"/>
          <w:rtl/>
        </w:rPr>
        <w:t xml:space="preserve"> </w:t>
      </w:r>
      <w:r w:rsidRPr="00911580">
        <w:rPr>
          <w:sz w:val="18"/>
          <w:szCs w:val="20"/>
          <w:rtl/>
        </w:rPr>
        <w:t xml:space="preserve">בתגובה לשאלה אם הם תומכים </w:t>
      </w:r>
      <w:r w:rsidRPr="00911580">
        <w:rPr>
          <w:rFonts w:hint="cs"/>
          <w:sz w:val="18"/>
          <w:szCs w:val="20"/>
          <w:rtl/>
        </w:rPr>
        <w:t>ב</w:t>
      </w:r>
      <w:r w:rsidRPr="00911580">
        <w:rPr>
          <w:sz w:val="18"/>
          <w:szCs w:val="20"/>
          <w:rtl/>
        </w:rPr>
        <w:t>הפרטה של שירותים ושל חברות</w:t>
      </w:r>
      <w:r w:rsidRPr="00911580">
        <w:rPr>
          <w:rFonts w:hint="cs"/>
          <w:sz w:val="18"/>
          <w:szCs w:val="20"/>
          <w:rtl/>
        </w:rPr>
        <w:t xml:space="preserve"> </w:t>
      </w:r>
      <w:r w:rsidRPr="00911580">
        <w:rPr>
          <w:sz w:val="18"/>
          <w:szCs w:val="20"/>
          <w:rtl/>
        </w:rPr>
        <w:t>ממשלתיות בישראל או מתנגדים</w:t>
      </w:r>
      <w:r w:rsidRPr="00911580">
        <w:rPr>
          <w:rFonts w:hint="cs"/>
          <w:sz w:val="18"/>
          <w:szCs w:val="20"/>
          <w:rtl/>
        </w:rPr>
        <w:t xml:space="preserve"> לה</w:t>
      </w:r>
      <w:r w:rsidRPr="00911580">
        <w:rPr>
          <w:sz w:val="18"/>
          <w:szCs w:val="20"/>
          <w:rtl/>
        </w:rPr>
        <w:t xml:space="preserve"> השיבו </w:t>
      </w:r>
      <w:r w:rsidRPr="00911580">
        <w:rPr>
          <w:rFonts w:hint="cs"/>
          <w:sz w:val="18"/>
          <w:szCs w:val="20"/>
          <w:rtl/>
        </w:rPr>
        <w:t>33</w:t>
      </w:r>
      <w:r w:rsidRPr="00911580">
        <w:rPr>
          <w:sz w:val="18"/>
          <w:szCs w:val="20"/>
          <w:rtl/>
        </w:rPr>
        <w:t>% כי הם מתנגדים</w:t>
      </w:r>
      <w:r w:rsidRPr="00911580">
        <w:rPr>
          <w:rFonts w:hint="cs"/>
          <w:sz w:val="18"/>
          <w:szCs w:val="20"/>
          <w:rtl/>
        </w:rPr>
        <w:t xml:space="preserve"> להפרטה</w:t>
      </w:r>
      <w:r w:rsidRPr="00911580">
        <w:rPr>
          <w:sz w:val="18"/>
          <w:szCs w:val="20"/>
          <w:rtl/>
        </w:rPr>
        <w:t xml:space="preserve">, </w:t>
      </w:r>
      <w:r w:rsidRPr="00911580">
        <w:rPr>
          <w:rFonts w:hint="cs"/>
          <w:sz w:val="18"/>
          <w:szCs w:val="20"/>
          <w:rtl/>
        </w:rPr>
        <w:t>ואילו 45</w:t>
      </w:r>
      <w:r w:rsidRPr="00911580">
        <w:rPr>
          <w:sz w:val="18"/>
          <w:szCs w:val="20"/>
          <w:rtl/>
        </w:rPr>
        <w:t>% השיבו כי הם תומכים</w:t>
      </w:r>
      <w:r w:rsidRPr="00911580">
        <w:rPr>
          <w:rFonts w:hint="cs"/>
          <w:sz w:val="18"/>
          <w:szCs w:val="20"/>
          <w:rtl/>
        </w:rPr>
        <w:t xml:space="preserve"> בה</w:t>
      </w:r>
      <w:r w:rsidRPr="00911580">
        <w:rPr>
          <w:sz w:val="18"/>
          <w:szCs w:val="20"/>
          <w:rtl/>
        </w:rPr>
        <w:t>.</w:t>
      </w:r>
      <w:r w:rsidRPr="00911580">
        <w:rPr>
          <w:rFonts w:hint="cs"/>
          <w:sz w:val="18"/>
          <w:szCs w:val="20"/>
          <w:rtl/>
        </w:rPr>
        <w:t xml:space="preserve"> אשר </w:t>
      </w:r>
      <w:proofErr w:type="spellStart"/>
      <w:r w:rsidRPr="00911580">
        <w:rPr>
          <w:rFonts w:hint="cs"/>
          <w:sz w:val="18"/>
          <w:szCs w:val="20"/>
          <w:rtl/>
        </w:rPr>
        <w:t>ל</w:t>
      </w:r>
      <w:r w:rsidRPr="00911580">
        <w:rPr>
          <w:sz w:val="18"/>
          <w:szCs w:val="20"/>
          <w:rtl/>
        </w:rPr>
        <w:t>הפרטתם</w:t>
      </w:r>
      <w:proofErr w:type="spellEnd"/>
      <w:r w:rsidRPr="00911580">
        <w:rPr>
          <w:sz w:val="18"/>
          <w:szCs w:val="20"/>
          <w:rtl/>
        </w:rPr>
        <w:t xml:space="preserve"> של שירותים שונים, נמצא כי</w:t>
      </w:r>
      <w:r w:rsidRPr="00911580">
        <w:rPr>
          <w:rFonts w:hint="cs"/>
          <w:sz w:val="18"/>
          <w:szCs w:val="20"/>
          <w:rtl/>
        </w:rPr>
        <w:t xml:space="preserve"> הציבור נוטה לתמוך (בסדר יורד) בהפרטת</w:t>
      </w:r>
      <w:r w:rsidRPr="00911580">
        <w:rPr>
          <w:sz w:val="18"/>
          <w:szCs w:val="20"/>
          <w:rtl/>
        </w:rPr>
        <w:t xml:space="preserve"> </w:t>
      </w:r>
      <w:r w:rsidRPr="00911580">
        <w:rPr>
          <w:rFonts w:hint="cs"/>
          <w:sz w:val="18"/>
          <w:szCs w:val="20"/>
          <w:rtl/>
        </w:rPr>
        <w:t>ה</w:t>
      </w:r>
      <w:r w:rsidRPr="00911580">
        <w:rPr>
          <w:sz w:val="18"/>
          <w:szCs w:val="20"/>
          <w:rtl/>
        </w:rPr>
        <w:t xml:space="preserve">תפעול </w:t>
      </w:r>
      <w:r w:rsidRPr="00911580">
        <w:rPr>
          <w:rFonts w:hint="cs"/>
          <w:sz w:val="18"/>
          <w:szCs w:val="20"/>
          <w:rtl/>
        </w:rPr>
        <w:t xml:space="preserve">של </w:t>
      </w:r>
      <w:r w:rsidRPr="00911580">
        <w:rPr>
          <w:sz w:val="18"/>
          <w:szCs w:val="20"/>
          <w:rtl/>
        </w:rPr>
        <w:t>נמל</w:t>
      </w:r>
      <w:r w:rsidRPr="00911580">
        <w:rPr>
          <w:rFonts w:hint="cs"/>
          <w:sz w:val="18"/>
          <w:szCs w:val="20"/>
          <w:rtl/>
        </w:rPr>
        <w:t>י</w:t>
      </w:r>
      <w:r w:rsidRPr="00911580">
        <w:rPr>
          <w:sz w:val="18"/>
          <w:szCs w:val="20"/>
          <w:rtl/>
        </w:rPr>
        <w:t xml:space="preserve"> ים</w:t>
      </w:r>
      <w:r w:rsidR="00115BC6">
        <w:rPr>
          <w:rFonts w:hint="cs"/>
          <w:sz w:val="18"/>
          <w:szCs w:val="20"/>
          <w:rtl/>
        </w:rPr>
        <w:t xml:space="preserve"> ושדות </w:t>
      </w:r>
      <w:r w:rsidRPr="00911580">
        <w:rPr>
          <w:sz w:val="18"/>
          <w:szCs w:val="20"/>
          <w:rtl/>
        </w:rPr>
        <w:t>תעופה</w:t>
      </w:r>
      <w:r w:rsidRPr="00911580">
        <w:rPr>
          <w:rFonts w:hint="cs"/>
          <w:sz w:val="18"/>
          <w:szCs w:val="20"/>
          <w:rtl/>
        </w:rPr>
        <w:t>,</w:t>
      </w:r>
      <w:r w:rsidRPr="00911580">
        <w:rPr>
          <w:sz w:val="18"/>
          <w:szCs w:val="20"/>
          <w:rtl/>
        </w:rPr>
        <w:t xml:space="preserve"> וייצור ו</w:t>
      </w:r>
      <w:r w:rsidRPr="00911580">
        <w:rPr>
          <w:rFonts w:hint="cs"/>
          <w:sz w:val="18"/>
          <w:szCs w:val="20"/>
          <w:rtl/>
        </w:rPr>
        <w:t>א</w:t>
      </w:r>
      <w:r w:rsidRPr="00911580">
        <w:rPr>
          <w:sz w:val="18"/>
          <w:szCs w:val="20"/>
          <w:rtl/>
        </w:rPr>
        <w:t>ספקת חשמל</w:t>
      </w:r>
      <w:r w:rsidRPr="00911580">
        <w:rPr>
          <w:rFonts w:hint="cs"/>
          <w:sz w:val="18"/>
          <w:szCs w:val="20"/>
          <w:rtl/>
        </w:rPr>
        <w:t xml:space="preserve"> </w:t>
      </w:r>
      <w:r w:rsidRPr="00911580">
        <w:rPr>
          <w:sz w:val="18"/>
          <w:szCs w:val="20"/>
          <w:rtl/>
        </w:rPr>
        <w:t xml:space="preserve">– </w:t>
      </w:r>
      <w:r w:rsidRPr="00911580">
        <w:rPr>
          <w:rFonts w:hint="cs"/>
          <w:sz w:val="18"/>
          <w:szCs w:val="20"/>
          <w:rtl/>
        </w:rPr>
        <w:t xml:space="preserve">ונוטה להתנגד </w:t>
      </w:r>
      <w:proofErr w:type="spellStart"/>
      <w:r w:rsidRPr="00911580">
        <w:rPr>
          <w:rFonts w:hint="cs"/>
          <w:sz w:val="18"/>
          <w:szCs w:val="20"/>
          <w:rtl/>
        </w:rPr>
        <w:t>להפרטתם</w:t>
      </w:r>
      <w:proofErr w:type="spellEnd"/>
      <w:r w:rsidRPr="00911580">
        <w:rPr>
          <w:sz w:val="18"/>
          <w:szCs w:val="20"/>
          <w:rtl/>
        </w:rPr>
        <w:t xml:space="preserve"> </w:t>
      </w:r>
      <w:r w:rsidRPr="00911580">
        <w:rPr>
          <w:rFonts w:hint="cs"/>
          <w:sz w:val="18"/>
          <w:szCs w:val="20"/>
          <w:rtl/>
        </w:rPr>
        <w:t xml:space="preserve">של </w:t>
      </w:r>
      <w:r w:rsidRPr="00911580">
        <w:rPr>
          <w:sz w:val="18"/>
          <w:szCs w:val="20"/>
          <w:rtl/>
        </w:rPr>
        <w:t>מערכת החינוך, בתי</w:t>
      </w:r>
      <w:r w:rsidRPr="00911580">
        <w:rPr>
          <w:rFonts w:hint="cs"/>
          <w:sz w:val="18"/>
          <w:szCs w:val="20"/>
          <w:rtl/>
        </w:rPr>
        <w:t xml:space="preserve"> </w:t>
      </w:r>
      <w:r w:rsidRPr="00911580">
        <w:rPr>
          <w:sz w:val="18"/>
          <w:szCs w:val="20"/>
          <w:rtl/>
        </w:rPr>
        <w:t>הסוהר, שירותי הבריאות ותשתיות המים והביוב.</w:t>
      </w:r>
    </w:p>
    <w:p w14:paraId="7CBE1858" w14:textId="7DE79C56" w:rsidR="00B4735A" w:rsidRDefault="00B4735A" w:rsidP="00911580">
      <w:pPr>
        <w:spacing w:after="180" w:line="280" w:lineRule="exact"/>
        <w:jc w:val="both"/>
        <w:rPr>
          <w:sz w:val="18"/>
          <w:szCs w:val="20"/>
          <w:rtl/>
        </w:rPr>
      </w:pPr>
    </w:p>
    <w:p w14:paraId="396582C8" w14:textId="77777777" w:rsidR="00E62E88" w:rsidRPr="00911580" w:rsidRDefault="00E62E88" w:rsidP="00911580">
      <w:pPr>
        <w:spacing w:after="180" w:line="280" w:lineRule="exact"/>
        <w:jc w:val="both"/>
        <w:rPr>
          <w:sz w:val="18"/>
          <w:szCs w:val="20"/>
        </w:rPr>
      </w:pPr>
    </w:p>
    <w:p w14:paraId="23B8DB36" w14:textId="58BB9887" w:rsidR="00B4735A" w:rsidRPr="00B4735A" w:rsidRDefault="00B4735A" w:rsidP="00B4735A">
      <w:pPr>
        <w:pStyle w:val="KOT4"/>
        <w:spacing w:after="0"/>
        <w:ind w:left="397" w:right="0" w:hanging="397"/>
        <w:rPr>
          <w:rFonts w:cs="Guttman Aharoni"/>
          <w:color w:val="00B0F0"/>
          <w:sz w:val="32"/>
          <w:szCs w:val="32"/>
          <w:rtl/>
        </w:rPr>
      </w:pPr>
      <w:r w:rsidRPr="00B4735A">
        <w:rPr>
          <w:rFonts w:cs="Guttman Aharoni" w:hint="cs"/>
          <w:color w:val="00B0F0"/>
          <w:sz w:val="32"/>
          <w:szCs w:val="32"/>
          <w:rtl/>
        </w:rPr>
        <w:t>3. משתנים המשפיעים על עמדות הציבור כלפי הפרטה</w:t>
      </w:r>
    </w:p>
    <w:p w14:paraId="05BE682F"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במעבר מהרמה האגרגטיבית אל רמת האינדיבידואל, אפשר להצביע על משתנים רבים העשויים להשפיע על עמדתו של הפרט כלפי הפרטה. הללו מייצגים רכיבים שונים בעולמם </w:t>
      </w:r>
      <w:r w:rsidRPr="00911580">
        <w:rPr>
          <w:rFonts w:hint="cs"/>
          <w:sz w:val="18"/>
          <w:szCs w:val="20"/>
          <w:rtl/>
        </w:rPr>
        <w:lastRenderedPageBreak/>
        <w:t>של הפרטים, לרבות מאפיינים סוציו-דמוגרפיים, השקפות ערכיות וזהויות קולקטיביות. אותם משתנים עשויים להשפיע על עמדתו של הפרט דרך מנגנוני סיבתיות מגוונים, ובהם תועלת אישית, הזדהות עם קבוצת שייכות או תפיסות אידיאולוגיות. הללו עשויות לסתור זו את זו, או לדור בכפיפה אחת.</w:t>
      </w:r>
    </w:p>
    <w:p w14:paraId="74AF8413" w14:textId="0CBAB4BB" w:rsidR="00B4735A" w:rsidRPr="00911580" w:rsidRDefault="00B4735A" w:rsidP="00115BC6">
      <w:pPr>
        <w:spacing w:after="180" w:line="280" w:lineRule="exact"/>
        <w:jc w:val="both"/>
        <w:rPr>
          <w:sz w:val="18"/>
          <w:szCs w:val="20"/>
          <w:rtl/>
        </w:rPr>
      </w:pPr>
      <w:r w:rsidRPr="00911580">
        <w:rPr>
          <w:rFonts w:hint="cs"/>
          <w:sz w:val="18"/>
          <w:szCs w:val="20"/>
          <w:rtl/>
        </w:rPr>
        <w:t>מעמד כלכלי-חברתי נחשב על פי רוב למייצג מובהק של הסברים ה</w:t>
      </w:r>
      <w:r w:rsidRPr="00911580">
        <w:rPr>
          <w:sz w:val="18"/>
          <w:szCs w:val="20"/>
          <w:rtl/>
        </w:rPr>
        <w:t xml:space="preserve">מניחים </w:t>
      </w:r>
      <w:r w:rsidRPr="00911580">
        <w:rPr>
          <w:rFonts w:hint="cs"/>
          <w:sz w:val="18"/>
          <w:szCs w:val="20"/>
          <w:rtl/>
        </w:rPr>
        <w:t xml:space="preserve">כי </w:t>
      </w:r>
      <w:r w:rsidRPr="00911580">
        <w:rPr>
          <w:sz w:val="18"/>
          <w:szCs w:val="20"/>
          <w:rtl/>
        </w:rPr>
        <w:t>העדפת הפרט נגזרת מהתועלת או מהאינטרס העצמי שלו</w:t>
      </w:r>
      <w:r w:rsidRPr="00911580">
        <w:rPr>
          <w:rFonts w:hint="cs"/>
          <w:sz w:val="18"/>
          <w:szCs w:val="20"/>
          <w:rtl/>
        </w:rPr>
        <w:t xml:space="preserve">. כך, </w:t>
      </w:r>
      <w:r w:rsidRPr="00911580">
        <w:rPr>
          <w:sz w:val="18"/>
          <w:szCs w:val="20"/>
          <w:rtl/>
        </w:rPr>
        <w:t>מחקרים שונים ה</w:t>
      </w:r>
      <w:r w:rsidRPr="00911580">
        <w:rPr>
          <w:rFonts w:hint="cs"/>
          <w:sz w:val="18"/>
          <w:szCs w:val="20"/>
          <w:rtl/>
        </w:rPr>
        <w:t>ראו, בדרך כלל, כי בני מעמדות כלכליים-חברתיים נמוכים נוטים להתנגד להפרטה, ואילו בני המעמדות הגבוהים נוטים לצדד בה</w:t>
      </w:r>
      <w:r w:rsidR="00115BC6">
        <w:rPr>
          <w:rFonts w:hint="cs"/>
          <w:sz w:val="18"/>
          <w:szCs w:val="20"/>
          <w:rtl/>
        </w:rPr>
        <w:t xml:space="preserve"> (</w:t>
      </w:r>
      <w:r w:rsidRPr="00911580">
        <w:rPr>
          <w:rFonts w:hint="cs"/>
          <w:sz w:val="18"/>
          <w:szCs w:val="20"/>
          <w:rtl/>
        </w:rPr>
        <w:t xml:space="preserve"> </w:t>
      </w:r>
      <w:proofErr w:type="spellStart"/>
      <w:r w:rsidRPr="00911580">
        <w:rPr>
          <w:sz w:val="18"/>
          <w:szCs w:val="20"/>
        </w:rPr>
        <w:t>Battaglio</w:t>
      </w:r>
      <w:proofErr w:type="spellEnd"/>
      <w:r w:rsidRPr="00911580">
        <w:rPr>
          <w:sz w:val="18"/>
          <w:szCs w:val="20"/>
        </w:rPr>
        <w:t xml:space="preserve"> &amp; </w:t>
      </w:r>
      <w:proofErr w:type="spellStart"/>
      <w:r w:rsidRPr="00911580">
        <w:rPr>
          <w:sz w:val="18"/>
          <w:szCs w:val="20"/>
        </w:rPr>
        <w:t>Legge</w:t>
      </w:r>
      <w:proofErr w:type="spellEnd"/>
      <w:r w:rsidRPr="00911580">
        <w:rPr>
          <w:sz w:val="18"/>
          <w:szCs w:val="20"/>
        </w:rPr>
        <w:t xml:space="preserve">, 2009; Boyer &amp; Van Slyke, 2019; </w:t>
      </w:r>
      <w:proofErr w:type="spellStart"/>
      <w:r w:rsidRPr="00911580">
        <w:rPr>
          <w:sz w:val="18"/>
          <w:szCs w:val="20"/>
        </w:rPr>
        <w:t>Flecker</w:t>
      </w:r>
      <w:proofErr w:type="spellEnd"/>
      <w:r w:rsidRPr="00911580">
        <w:rPr>
          <w:sz w:val="18"/>
          <w:szCs w:val="20"/>
        </w:rPr>
        <w:t xml:space="preserve"> &amp; Hermann, 2009</w:t>
      </w:r>
      <w:r w:rsidRPr="00911580">
        <w:rPr>
          <w:rFonts w:hint="cs"/>
          <w:sz w:val="18"/>
          <w:szCs w:val="20"/>
          <w:rtl/>
        </w:rPr>
        <w:t>)</w:t>
      </w:r>
      <w:r w:rsidRPr="00911580">
        <w:rPr>
          <w:sz w:val="18"/>
          <w:szCs w:val="20"/>
          <w:rtl/>
        </w:rPr>
        <w:t xml:space="preserve">. </w:t>
      </w:r>
      <w:r w:rsidRPr="00911580">
        <w:rPr>
          <w:rFonts w:hint="cs"/>
          <w:sz w:val="18"/>
          <w:szCs w:val="20"/>
          <w:rtl/>
        </w:rPr>
        <w:t>ההסבר בבסיסם של ממצאים אלה הוא שפרטים הממוקמים במעלה הסולם הכלכלי-חברתי סבורים כי הם עשויים להפיק תועלת מהזדמנויות בשוק הפרטי, ואילו פרטים הממוקמים בתחתית הסולם חוששים מאיבוד משרותיהם ומקריסת רשת הביטחון החברתית עקב ההפרטה.</w:t>
      </w:r>
    </w:p>
    <w:p w14:paraId="0C6AC52A" w14:textId="77777777" w:rsidR="00B4735A" w:rsidRPr="00911580" w:rsidRDefault="00B4735A" w:rsidP="00911580">
      <w:pPr>
        <w:spacing w:after="180" w:line="280" w:lineRule="exact"/>
        <w:jc w:val="both"/>
        <w:rPr>
          <w:sz w:val="18"/>
          <w:szCs w:val="20"/>
          <w:rtl/>
        </w:rPr>
      </w:pPr>
      <w:r w:rsidRPr="00911580">
        <w:rPr>
          <w:rFonts w:hint="cs"/>
          <w:sz w:val="18"/>
          <w:szCs w:val="20"/>
          <w:rtl/>
        </w:rPr>
        <w:t>בניגוד לתמונה העולה ממדינות שונות בעולם, הממצאים בישראל מציירים תמונה מעורבת באשר להשפעתו של המעמד הכלכלי-חברתי על עמדת הפרט בתחומי הכלכלה והחברה בכלל, ובשאלת ההפרטה בפרט. סקר "מאגר מוחות" (2007) מצא אומנם כי בעלי הכנסה נמוכה נטו להתנגד להפרטה יותר מבעלי הכנסה גבוהה, אך מזרחי, יובל וכהן לא מצאו קשר מובהק בין מעמד כלכלי-חברתי לבין עמדות הפרט כלפי מדינת הרווחה (</w:t>
      </w:r>
      <w:r w:rsidRPr="00911580">
        <w:rPr>
          <w:sz w:val="18"/>
          <w:szCs w:val="20"/>
        </w:rPr>
        <w:t>Mizrahi, Yuval, &amp; Cohen, 2014</w:t>
      </w:r>
      <w:r w:rsidRPr="00911580">
        <w:rPr>
          <w:rFonts w:hint="cs"/>
          <w:sz w:val="18"/>
          <w:szCs w:val="20"/>
          <w:rtl/>
        </w:rPr>
        <w:t>).</w:t>
      </w:r>
      <w:r w:rsidRPr="00911580">
        <w:rPr>
          <w:sz w:val="18"/>
          <w:szCs w:val="20"/>
          <w:rtl/>
        </w:rPr>
        <w:t xml:space="preserve"> במחקר נוסף שערכו כהן ועמיתים (2010) נמצא כי </w:t>
      </w:r>
      <w:r w:rsidRPr="00911580">
        <w:rPr>
          <w:rFonts w:hint="cs"/>
          <w:sz w:val="18"/>
          <w:szCs w:val="20"/>
          <w:rtl/>
        </w:rPr>
        <w:t xml:space="preserve">כאשר מבחינים </w:t>
      </w:r>
      <w:r w:rsidRPr="00911580">
        <w:rPr>
          <w:sz w:val="18"/>
          <w:szCs w:val="20"/>
          <w:rtl/>
        </w:rPr>
        <w:t>בין רמות הכנסתם של הנשאלים</w:t>
      </w:r>
      <w:r w:rsidRPr="00911580">
        <w:rPr>
          <w:rFonts w:hint="cs"/>
          <w:sz w:val="18"/>
          <w:szCs w:val="20"/>
          <w:rtl/>
        </w:rPr>
        <w:t xml:space="preserve"> הרי </w:t>
      </w:r>
      <w:r w:rsidRPr="00911580">
        <w:rPr>
          <w:sz w:val="18"/>
          <w:szCs w:val="20"/>
          <w:rtl/>
        </w:rPr>
        <w:t xml:space="preserve">ההבדלים בנוגע לעמדות כלפי מדיניות רווחה הופיעו רק </w:t>
      </w:r>
      <w:r w:rsidRPr="00911580">
        <w:rPr>
          <w:rFonts w:hint="cs"/>
          <w:sz w:val="18"/>
          <w:szCs w:val="20"/>
          <w:rtl/>
        </w:rPr>
        <w:t>ב</w:t>
      </w:r>
      <w:r w:rsidRPr="00911580">
        <w:rPr>
          <w:sz w:val="18"/>
          <w:szCs w:val="20"/>
          <w:rtl/>
        </w:rPr>
        <w:t>חלק קטן יחסית מן ההיגדים שהוצגו.</w:t>
      </w:r>
      <w:r w:rsidRPr="00911580">
        <w:rPr>
          <w:rFonts w:hint="cs"/>
          <w:sz w:val="18"/>
          <w:szCs w:val="20"/>
          <w:rtl/>
        </w:rPr>
        <w:t xml:space="preserve"> החוקרים ייחסו ממצא זה לתפקיד השולי שממלא </w:t>
      </w:r>
      <w:r w:rsidRPr="009C161B">
        <w:rPr>
          <w:rFonts w:hint="cs"/>
          <w:sz w:val="18"/>
          <w:szCs w:val="20"/>
          <w:rtl/>
        </w:rPr>
        <w:t>השיח הכלכלי-</w:t>
      </w:r>
      <w:r w:rsidRPr="00911580">
        <w:rPr>
          <w:rFonts w:hint="cs"/>
          <w:sz w:val="18"/>
          <w:szCs w:val="20"/>
          <w:rtl/>
        </w:rPr>
        <w:t xml:space="preserve">חברתי בישראל בהשוואה לדומיננטיות של סוגיות חוץ וביטחון. אדרבא, המכון הישראלי לדמוקרטי מצא כי שיעורי התמיכה בשיטה הקפיטליסטית בישראל הם הגבוהים ביותר בקרב המעמד הנמוך (וולטר, 2011). לפי סברה אחת, הסוציאליזם מזוהה עם מפא"י, ועל כן בני המעמדות הנמוכים, שהיו בעבר לפחות מזרחים ברובם, נטו לתמוך בשיטה הקפיטליסטית מתוך התרסה וכחלק מהתנגדותם הכוללת לאליטה. לפי סברה אחרת, בני המעמדות הנמוכים מאמינים כי המשק מתגמל את הראויים לכך, ועל כן מאפשר ניעות בין רבדים (וולטר, 2011, עמ' 6). </w:t>
      </w:r>
    </w:p>
    <w:p w14:paraId="771AA443" w14:textId="2440E92F" w:rsidR="00B4735A" w:rsidRPr="00911580" w:rsidRDefault="00115BC6" w:rsidP="00115BC6">
      <w:pPr>
        <w:spacing w:after="180" w:line="280" w:lineRule="exact"/>
        <w:jc w:val="both"/>
        <w:rPr>
          <w:sz w:val="18"/>
          <w:szCs w:val="20"/>
          <w:rtl/>
        </w:rPr>
      </w:pPr>
      <w:r>
        <w:rPr>
          <w:rFonts w:hint="cs"/>
          <w:sz w:val="18"/>
          <w:szCs w:val="20"/>
          <w:rtl/>
        </w:rPr>
        <w:t>עוד נמצא כי ר</w:t>
      </w:r>
      <w:r w:rsidR="00B4735A" w:rsidRPr="00911580">
        <w:rPr>
          <w:sz w:val="18"/>
          <w:szCs w:val="20"/>
          <w:rtl/>
        </w:rPr>
        <w:t>מת ההשכלה</w:t>
      </w:r>
      <w:r w:rsidR="00B4735A" w:rsidRPr="00911580">
        <w:rPr>
          <w:rFonts w:hint="cs"/>
          <w:sz w:val="18"/>
          <w:szCs w:val="20"/>
          <w:rtl/>
        </w:rPr>
        <w:t xml:space="preserve"> </w:t>
      </w:r>
      <w:r>
        <w:rPr>
          <w:rFonts w:hint="cs"/>
          <w:sz w:val="18"/>
          <w:szCs w:val="20"/>
          <w:rtl/>
        </w:rPr>
        <w:t xml:space="preserve">היא </w:t>
      </w:r>
      <w:r w:rsidR="00B4735A" w:rsidRPr="00911580">
        <w:rPr>
          <w:rFonts w:hint="cs"/>
          <w:sz w:val="18"/>
          <w:szCs w:val="20"/>
          <w:rtl/>
        </w:rPr>
        <w:t>משתנה בעל</w:t>
      </w:r>
      <w:r w:rsidR="00B4735A" w:rsidRPr="00911580">
        <w:rPr>
          <w:sz w:val="18"/>
          <w:szCs w:val="20"/>
          <w:rtl/>
        </w:rPr>
        <w:t xml:space="preserve"> השפעה</w:t>
      </w:r>
      <w:r w:rsidR="00B4735A" w:rsidRPr="00911580">
        <w:rPr>
          <w:rFonts w:hint="cs"/>
          <w:sz w:val="18"/>
          <w:szCs w:val="20"/>
          <w:rtl/>
        </w:rPr>
        <w:t xml:space="preserve"> רבה </w:t>
      </w:r>
      <w:r w:rsidR="00B4735A" w:rsidRPr="00911580">
        <w:rPr>
          <w:sz w:val="18"/>
          <w:szCs w:val="20"/>
          <w:rtl/>
        </w:rPr>
        <w:t>על עמדות כלפי הפרטה. מחקרים מראים כי</w:t>
      </w:r>
      <w:r w:rsidR="00B4735A" w:rsidRPr="00911580">
        <w:rPr>
          <w:rFonts w:hint="cs"/>
          <w:sz w:val="18"/>
          <w:szCs w:val="20"/>
          <w:rtl/>
        </w:rPr>
        <w:t xml:space="preserve"> </w:t>
      </w:r>
      <w:r w:rsidR="00B4735A" w:rsidRPr="00911580">
        <w:rPr>
          <w:sz w:val="18"/>
          <w:szCs w:val="20"/>
          <w:rtl/>
        </w:rPr>
        <w:t xml:space="preserve">ככל שרמת ההשכלה של הנשאלים גבוהה יותר, כך הם </w:t>
      </w:r>
      <w:r w:rsidR="00B4735A" w:rsidRPr="00911580">
        <w:rPr>
          <w:rFonts w:hint="cs"/>
          <w:sz w:val="18"/>
          <w:szCs w:val="20"/>
          <w:rtl/>
        </w:rPr>
        <w:t xml:space="preserve">מחזיקים </w:t>
      </w:r>
      <w:r w:rsidR="00B4735A" w:rsidRPr="00911580">
        <w:rPr>
          <w:sz w:val="18"/>
          <w:szCs w:val="20"/>
          <w:rtl/>
        </w:rPr>
        <w:t>בעמדות חיוביות יותר</w:t>
      </w:r>
      <w:r w:rsidR="00B4735A" w:rsidRPr="00911580">
        <w:rPr>
          <w:rFonts w:hint="cs"/>
          <w:sz w:val="18"/>
          <w:szCs w:val="20"/>
          <w:rtl/>
        </w:rPr>
        <w:t xml:space="preserve"> </w:t>
      </w:r>
      <w:r w:rsidR="00B4735A" w:rsidRPr="00911580">
        <w:rPr>
          <w:sz w:val="18"/>
          <w:szCs w:val="20"/>
          <w:rtl/>
        </w:rPr>
        <w:t>באשר לצורך</w:t>
      </w:r>
      <w:r w:rsidR="00B4735A" w:rsidRPr="00911580">
        <w:rPr>
          <w:rFonts w:hint="cs"/>
          <w:sz w:val="18"/>
          <w:szCs w:val="20"/>
          <w:rtl/>
        </w:rPr>
        <w:t xml:space="preserve"> </w:t>
      </w:r>
      <w:r w:rsidR="00B4735A" w:rsidRPr="00911580">
        <w:rPr>
          <w:sz w:val="18"/>
          <w:szCs w:val="20"/>
          <w:rtl/>
        </w:rPr>
        <w:t xml:space="preserve">בתחרות בשוק </w:t>
      </w:r>
      <w:r w:rsidR="00B4735A" w:rsidRPr="00911580">
        <w:rPr>
          <w:rFonts w:hint="cs"/>
          <w:sz w:val="18"/>
          <w:szCs w:val="20"/>
          <w:rtl/>
        </w:rPr>
        <w:t>(</w:t>
      </w:r>
      <w:proofErr w:type="spellStart"/>
      <w:r w:rsidR="00B4735A" w:rsidRPr="00911580">
        <w:rPr>
          <w:sz w:val="18"/>
          <w:szCs w:val="20"/>
        </w:rPr>
        <w:t>Denisova</w:t>
      </w:r>
      <w:proofErr w:type="spellEnd"/>
      <w:r w:rsidR="00B4735A" w:rsidRPr="00911580">
        <w:rPr>
          <w:sz w:val="18"/>
          <w:szCs w:val="20"/>
        </w:rPr>
        <w:t xml:space="preserve">, Eller, Frye, &amp; </w:t>
      </w:r>
      <w:proofErr w:type="spellStart"/>
      <w:r w:rsidR="00B4735A" w:rsidRPr="00911580">
        <w:rPr>
          <w:sz w:val="18"/>
          <w:szCs w:val="20"/>
        </w:rPr>
        <w:t>Zhuravskaya</w:t>
      </w:r>
      <w:proofErr w:type="spellEnd"/>
      <w:r w:rsidR="00B4735A" w:rsidRPr="00911580">
        <w:rPr>
          <w:sz w:val="18"/>
          <w:szCs w:val="20"/>
        </w:rPr>
        <w:t xml:space="preserve">, 2012; </w:t>
      </w:r>
      <w:proofErr w:type="spellStart"/>
      <w:r w:rsidR="00B4735A" w:rsidRPr="00911580">
        <w:rPr>
          <w:sz w:val="18"/>
          <w:szCs w:val="20"/>
        </w:rPr>
        <w:t>Flecker</w:t>
      </w:r>
      <w:proofErr w:type="spellEnd"/>
      <w:r w:rsidR="00B4735A" w:rsidRPr="00911580">
        <w:rPr>
          <w:sz w:val="18"/>
          <w:szCs w:val="20"/>
        </w:rPr>
        <w:t xml:space="preserve"> &amp; Hermann, 2009; </w:t>
      </w:r>
      <w:proofErr w:type="spellStart"/>
      <w:r w:rsidR="00B4735A" w:rsidRPr="00911580">
        <w:rPr>
          <w:sz w:val="18"/>
          <w:szCs w:val="20"/>
        </w:rPr>
        <w:t>Legge</w:t>
      </w:r>
      <w:proofErr w:type="spellEnd"/>
      <w:r w:rsidR="00B4735A" w:rsidRPr="00911580">
        <w:rPr>
          <w:sz w:val="18"/>
          <w:szCs w:val="20"/>
        </w:rPr>
        <w:t xml:space="preserve"> &amp; Rainey, 2003</w:t>
      </w:r>
      <w:r w:rsidR="00B4735A" w:rsidRPr="00911580">
        <w:rPr>
          <w:rFonts w:hint="cs"/>
          <w:sz w:val="18"/>
          <w:szCs w:val="20"/>
          <w:rtl/>
        </w:rPr>
        <w:t>)</w:t>
      </w:r>
      <w:r w:rsidR="00B4735A" w:rsidRPr="00911580">
        <w:rPr>
          <w:sz w:val="18"/>
          <w:szCs w:val="20"/>
          <w:rtl/>
        </w:rPr>
        <w:t xml:space="preserve">. </w:t>
      </w:r>
      <w:r w:rsidR="00B4735A" w:rsidRPr="00911580">
        <w:rPr>
          <w:rFonts w:hint="cs"/>
          <w:sz w:val="18"/>
          <w:szCs w:val="20"/>
          <w:rtl/>
        </w:rPr>
        <w:t xml:space="preserve">אומנם </w:t>
      </w:r>
      <w:r w:rsidR="00B4735A" w:rsidRPr="00911580">
        <w:rPr>
          <w:sz w:val="18"/>
          <w:szCs w:val="20"/>
          <w:rtl/>
        </w:rPr>
        <w:t>רמת השכלה קש</w:t>
      </w:r>
      <w:r w:rsidR="00B4735A" w:rsidRPr="00911580">
        <w:rPr>
          <w:rFonts w:hint="cs"/>
          <w:sz w:val="18"/>
          <w:szCs w:val="20"/>
          <w:rtl/>
        </w:rPr>
        <w:t>ורה ל</w:t>
      </w:r>
      <w:r w:rsidR="00B4735A" w:rsidRPr="00911580">
        <w:rPr>
          <w:sz w:val="18"/>
          <w:szCs w:val="20"/>
          <w:rtl/>
        </w:rPr>
        <w:t>מצב</w:t>
      </w:r>
      <w:r w:rsidR="00B4735A" w:rsidRPr="00911580">
        <w:rPr>
          <w:rFonts w:hint="cs"/>
          <w:sz w:val="18"/>
          <w:szCs w:val="20"/>
          <w:rtl/>
        </w:rPr>
        <w:t xml:space="preserve"> כלכלי-חברתי, </w:t>
      </w:r>
      <w:r w:rsidR="00B4735A" w:rsidRPr="00911580">
        <w:rPr>
          <w:sz w:val="18"/>
          <w:szCs w:val="20"/>
          <w:rtl/>
        </w:rPr>
        <w:t>וככל שזה גבוה יותר כך גוברת התמיכה בהפרטה</w:t>
      </w:r>
      <w:r w:rsidR="00B4735A" w:rsidRPr="00911580">
        <w:rPr>
          <w:rFonts w:hint="cs"/>
          <w:sz w:val="18"/>
          <w:szCs w:val="20"/>
          <w:rtl/>
        </w:rPr>
        <w:t xml:space="preserve"> מתוך שיקול תועלתני</w:t>
      </w:r>
      <w:r w:rsidR="00B4735A" w:rsidRPr="00911580">
        <w:rPr>
          <w:sz w:val="18"/>
          <w:szCs w:val="20"/>
          <w:rtl/>
        </w:rPr>
        <w:t xml:space="preserve"> </w:t>
      </w:r>
      <w:r w:rsidR="00B4735A" w:rsidRPr="00911580">
        <w:rPr>
          <w:rFonts w:hint="cs"/>
          <w:sz w:val="18"/>
          <w:szCs w:val="20"/>
          <w:rtl/>
        </w:rPr>
        <w:t>(</w:t>
      </w:r>
      <w:r w:rsidR="00B4735A" w:rsidRPr="00911580">
        <w:rPr>
          <w:sz w:val="18"/>
          <w:szCs w:val="20"/>
        </w:rPr>
        <w:t>REDET Opinion Poll Report, 2002</w:t>
      </w:r>
      <w:r w:rsidR="00B4735A" w:rsidRPr="00911580">
        <w:rPr>
          <w:rFonts w:hint="cs"/>
          <w:sz w:val="18"/>
          <w:szCs w:val="20"/>
          <w:rtl/>
        </w:rPr>
        <w:t>), אך חוקרים סברו כי למשתנה ההשכלה כשלעצמו יש השפעה ישירה על עמדות הפרט. השכלה עשויה לצייד את הפרט בידע הדרוש כדי לתבוע מהממשלה לפעול ביתר יעילות ויצרנות, לבקר את מוסדותיה ולהעריך את יתרונות ההפרטה (</w:t>
      </w:r>
      <w:proofErr w:type="spellStart"/>
      <w:r w:rsidR="00B4735A" w:rsidRPr="00911580">
        <w:rPr>
          <w:sz w:val="18"/>
          <w:szCs w:val="20"/>
        </w:rPr>
        <w:t>Battaglio</w:t>
      </w:r>
      <w:proofErr w:type="spellEnd"/>
      <w:r w:rsidR="00B4735A" w:rsidRPr="00911580">
        <w:rPr>
          <w:sz w:val="18"/>
          <w:szCs w:val="20"/>
        </w:rPr>
        <w:t xml:space="preserve"> &amp; </w:t>
      </w:r>
      <w:proofErr w:type="spellStart"/>
      <w:r w:rsidR="00B4735A" w:rsidRPr="00911580">
        <w:rPr>
          <w:sz w:val="18"/>
          <w:szCs w:val="20"/>
        </w:rPr>
        <w:t>Legge</w:t>
      </w:r>
      <w:proofErr w:type="spellEnd"/>
      <w:r w:rsidR="00B4735A" w:rsidRPr="00911580">
        <w:rPr>
          <w:sz w:val="18"/>
          <w:szCs w:val="20"/>
        </w:rPr>
        <w:t xml:space="preserve">, </w:t>
      </w:r>
      <w:r w:rsidR="00B4735A" w:rsidRPr="00911580">
        <w:rPr>
          <w:sz w:val="18"/>
          <w:szCs w:val="20"/>
        </w:rPr>
        <w:lastRenderedPageBreak/>
        <w:t>2009</w:t>
      </w:r>
      <w:r w:rsidR="00B4735A" w:rsidRPr="00911580">
        <w:rPr>
          <w:rFonts w:hint="cs"/>
          <w:sz w:val="18"/>
          <w:szCs w:val="20"/>
          <w:rtl/>
        </w:rPr>
        <w:t xml:space="preserve">). עם זאת, יש חוקרים שטענו כי עלייה ברמת ההשכלה עשויה לפעול דווקא בכיוון ההפוך, משום שלדעתם ההשכלה מאפשרת לפרט להתעלות מעל לשיקול האנוכי ולזכותו בראייה כוללת יותר של צורכי החברה (תפיסה המכונה </w:t>
      </w:r>
      <w:r w:rsidR="00B4735A" w:rsidRPr="00911580">
        <w:rPr>
          <w:sz w:val="18"/>
          <w:szCs w:val="20"/>
          <w:rtl/>
        </w:rPr>
        <w:t>"</w:t>
      </w:r>
      <w:r w:rsidR="00B4735A" w:rsidRPr="00911580">
        <w:rPr>
          <w:sz w:val="18"/>
          <w:szCs w:val="20"/>
        </w:rPr>
        <w:t>enlightenment education</w:t>
      </w:r>
      <w:r w:rsidR="00B4735A" w:rsidRPr="00911580">
        <w:rPr>
          <w:sz w:val="18"/>
          <w:szCs w:val="20"/>
          <w:rtl/>
        </w:rPr>
        <w:t>"</w:t>
      </w:r>
      <w:r w:rsidR="00B4735A" w:rsidRPr="00911580">
        <w:rPr>
          <w:rFonts w:hint="cs"/>
          <w:sz w:val="18"/>
          <w:szCs w:val="20"/>
          <w:rtl/>
        </w:rPr>
        <w:t>). לכן השכלה עשויה דווקא להגביר את התביעה לצדק חלוקתי ולהתרחקות ממשטר השוק החופשי (</w:t>
      </w:r>
      <w:proofErr w:type="spellStart"/>
      <w:r w:rsidR="00B4735A" w:rsidRPr="00911580">
        <w:rPr>
          <w:sz w:val="18"/>
          <w:szCs w:val="20"/>
        </w:rPr>
        <w:t>deLeon</w:t>
      </w:r>
      <w:proofErr w:type="spellEnd"/>
      <w:r w:rsidR="00B4735A" w:rsidRPr="00911580">
        <w:rPr>
          <w:sz w:val="18"/>
          <w:szCs w:val="20"/>
        </w:rPr>
        <w:t xml:space="preserve"> &amp; Denhardt, 2000</w:t>
      </w:r>
      <w:r w:rsidR="00B4735A" w:rsidRPr="00911580">
        <w:rPr>
          <w:rFonts w:hint="cs"/>
          <w:sz w:val="18"/>
          <w:szCs w:val="20"/>
          <w:rtl/>
        </w:rPr>
        <w:t>). בישראל נמצא בעבר קשר מסוים בין רמת השכלה לעמדה כלפי מדינת הרווחה (כהן ועמיתים</w:t>
      </w:r>
      <w:r w:rsidR="00B4735A" w:rsidRPr="00911580">
        <w:rPr>
          <w:sz w:val="18"/>
          <w:szCs w:val="20"/>
          <w:rtl/>
        </w:rPr>
        <w:t>,</w:t>
      </w:r>
      <w:r w:rsidR="00B4735A" w:rsidRPr="00911580">
        <w:rPr>
          <w:rFonts w:hint="cs"/>
          <w:sz w:val="18"/>
          <w:szCs w:val="20"/>
          <w:rtl/>
        </w:rPr>
        <w:t xml:space="preserve"> 2010), ומשכילים יותר נטו לתמוך פחות במעורבות ממשלתית בכלכלה ובמדינת הרווחה.</w:t>
      </w:r>
    </w:p>
    <w:p w14:paraId="541C8D88" w14:textId="64592E7F" w:rsidR="00B4735A" w:rsidRPr="00911580" w:rsidRDefault="00115BC6" w:rsidP="00115BC6">
      <w:pPr>
        <w:spacing w:after="180" w:line="280" w:lineRule="exact"/>
        <w:jc w:val="both"/>
        <w:rPr>
          <w:sz w:val="18"/>
          <w:szCs w:val="20"/>
        </w:rPr>
      </w:pPr>
      <w:r>
        <w:rPr>
          <w:rFonts w:hint="cs"/>
          <w:sz w:val="18"/>
          <w:szCs w:val="20"/>
          <w:rtl/>
        </w:rPr>
        <w:t xml:space="preserve">נמצא כי משתנה </w:t>
      </w:r>
      <w:r w:rsidR="00B4735A" w:rsidRPr="00911580">
        <w:rPr>
          <w:rFonts w:hint="cs"/>
          <w:sz w:val="18"/>
          <w:szCs w:val="20"/>
          <w:rtl/>
        </w:rPr>
        <w:t xml:space="preserve">מקום העבודה </w:t>
      </w:r>
      <w:r>
        <w:rPr>
          <w:rFonts w:hint="cs"/>
          <w:sz w:val="18"/>
          <w:szCs w:val="20"/>
          <w:rtl/>
        </w:rPr>
        <w:t>גם הוא ק</w:t>
      </w:r>
      <w:r w:rsidR="00B4735A" w:rsidRPr="00911580">
        <w:rPr>
          <w:rFonts w:hint="cs"/>
          <w:sz w:val="18"/>
          <w:szCs w:val="20"/>
          <w:rtl/>
        </w:rPr>
        <w:t xml:space="preserve">שור לעמדת הפרט כלפי הפרטה, ועובדי המגזר הציבורי נוטים לחשוש מפניה ולהתנגד לה יותר מעובדי המגזר הפרטי. יתרה מכך, ככל שהוותק של העובד </w:t>
      </w:r>
      <w:r>
        <w:rPr>
          <w:rFonts w:hint="cs"/>
          <w:sz w:val="18"/>
          <w:szCs w:val="20"/>
          <w:rtl/>
        </w:rPr>
        <w:t xml:space="preserve">במקום עבודה ציבורי הוא ארוך יותר </w:t>
      </w:r>
      <w:r w:rsidR="00B4735A" w:rsidRPr="00911580">
        <w:rPr>
          <w:rFonts w:hint="cs"/>
          <w:sz w:val="18"/>
          <w:szCs w:val="20"/>
          <w:rtl/>
        </w:rPr>
        <w:t>כן הוא ייטה להתנגד יותר להפרטה (</w:t>
      </w:r>
      <w:proofErr w:type="spellStart"/>
      <w:r w:rsidR="00B4735A" w:rsidRPr="00911580">
        <w:rPr>
          <w:sz w:val="18"/>
          <w:szCs w:val="20"/>
        </w:rPr>
        <w:t>Denisova</w:t>
      </w:r>
      <w:proofErr w:type="spellEnd"/>
      <w:r w:rsidR="00B4735A" w:rsidRPr="00911580">
        <w:rPr>
          <w:sz w:val="18"/>
          <w:szCs w:val="20"/>
        </w:rPr>
        <w:t xml:space="preserve"> et al., 2012; Steen &amp; Duran, 2010</w:t>
      </w:r>
      <w:r w:rsidR="00B4735A" w:rsidRPr="00911580">
        <w:rPr>
          <w:rFonts w:hint="cs"/>
          <w:sz w:val="18"/>
          <w:szCs w:val="20"/>
          <w:rtl/>
        </w:rPr>
        <w:t xml:space="preserve">). הדבר עשוי לנבוע מראייה תועלתנית, משום שעובדים המאוגדים בארגון עובדים חשים צורך להגן על מקום פרנסתם, אך גם מתוך הפנמת הערכים שמקום העבודה מקרין אל עובדיו </w:t>
      </w:r>
      <w:r w:rsidR="00B4735A" w:rsidRPr="00911580">
        <w:rPr>
          <w:sz w:val="18"/>
          <w:szCs w:val="20"/>
          <w:rtl/>
        </w:rPr>
        <w:t>–</w:t>
      </w:r>
      <w:r w:rsidR="00B4735A" w:rsidRPr="00911580">
        <w:rPr>
          <w:rFonts w:hint="cs"/>
          <w:sz w:val="18"/>
          <w:szCs w:val="20"/>
          <w:rtl/>
        </w:rPr>
        <w:t xml:space="preserve"> הן במגזר הציבורי (נגד הפרטה) הן במגזר הפרטי (בעד הפרטה). לעיתים ארגון העובדים עצמו משפיע על האופן שבו מתעצבים ערכיהם ותפיסותיהם של חבריו בנושאי מדיניות שונים (</w:t>
      </w:r>
      <w:r w:rsidR="00B4735A" w:rsidRPr="00911580">
        <w:rPr>
          <w:sz w:val="18"/>
          <w:szCs w:val="20"/>
        </w:rPr>
        <w:t>Kim &amp; Margalit, 2016</w:t>
      </w:r>
      <w:r w:rsidR="00B4735A" w:rsidRPr="00911580">
        <w:rPr>
          <w:rFonts w:hint="cs"/>
          <w:sz w:val="18"/>
          <w:szCs w:val="20"/>
          <w:rtl/>
        </w:rPr>
        <w:t xml:space="preserve">). מחקרם של כהן ועמיתים (2010) העלה כי עובדי המגזר הציבורי תומכים בדרך כלל במדינת הרווחה יותר מעובדי המגזר הפרטי. </w:t>
      </w:r>
    </w:p>
    <w:p w14:paraId="666E8986" w14:textId="77777777" w:rsidR="00B4735A" w:rsidRPr="00911580" w:rsidRDefault="00B4735A" w:rsidP="00911580">
      <w:pPr>
        <w:spacing w:after="180" w:line="280" w:lineRule="exact"/>
        <w:jc w:val="both"/>
        <w:rPr>
          <w:sz w:val="18"/>
          <w:szCs w:val="20"/>
          <w:rtl/>
        </w:rPr>
      </w:pPr>
      <w:r w:rsidRPr="00911580">
        <w:rPr>
          <w:rFonts w:hint="cs"/>
          <w:sz w:val="18"/>
          <w:szCs w:val="20"/>
          <w:rtl/>
        </w:rPr>
        <w:t>עוד נמצא קשר בין גיל ל</w:t>
      </w:r>
      <w:r w:rsidRPr="00911580">
        <w:rPr>
          <w:sz w:val="18"/>
          <w:szCs w:val="20"/>
          <w:rtl/>
        </w:rPr>
        <w:t>עמדות כלפי הפרט</w:t>
      </w:r>
      <w:r w:rsidRPr="00911580">
        <w:rPr>
          <w:rFonts w:hint="cs"/>
          <w:sz w:val="18"/>
          <w:szCs w:val="20"/>
          <w:rtl/>
        </w:rPr>
        <w:t xml:space="preserve">ה. </w:t>
      </w:r>
      <w:r w:rsidRPr="00911580">
        <w:rPr>
          <w:sz w:val="18"/>
          <w:szCs w:val="20"/>
          <w:rtl/>
        </w:rPr>
        <w:t>כך לדוג</w:t>
      </w:r>
      <w:r w:rsidRPr="00911580">
        <w:rPr>
          <w:rFonts w:hint="cs"/>
          <w:sz w:val="18"/>
          <w:szCs w:val="20"/>
          <w:rtl/>
        </w:rPr>
        <w:t>מה</w:t>
      </w:r>
      <w:r w:rsidRPr="00911580">
        <w:rPr>
          <w:sz w:val="18"/>
          <w:szCs w:val="20"/>
          <w:rtl/>
        </w:rPr>
        <w:t>,</w:t>
      </w:r>
      <w:r w:rsidRPr="00911580">
        <w:rPr>
          <w:rFonts w:hint="cs"/>
          <w:sz w:val="18"/>
          <w:szCs w:val="20"/>
          <w:rtl/>
        </w:rPr>
        <w:t xml:space="preserve"> </w:t>
      </w:r>
      <w:r w:rsidRPr="00911580">
        <w:rPr>
          <w:sz w:val="18"/>
          <w:szCs w:val="20"/>
          <w:rtl/>
        </w:rPr>
        <w:t xml:space="preserve">ככל שהגיל עולה </w:t>
      </w:r>
      <w:r w:rsidRPr="00911580">
        <w:rPr>
          <w:rFonts w:hint="cs"/>
          <w:sz w:val="18"/>
          <w:szCs w:val="20"/>
          <w:rtl/>
        </w:rPr>
        <w:t>כך י</w:t>
      </w:r>
      <w:r w:rsidRPr="00911580">
        <w:rPr>
          <w:sz w:val="18"/>
          <w:szCs w:val="20"/>
          <w:rtl/>
        </w:rPr>
        <w:t>יטה הנשאל ל</w:t>
      </w:r>
      <w:r w:rsidRPr="00911580">
        <w:rPr>
          <w:rFonts w:hint="cs"/>
          <w:sz w:val="18"/>
          <w:szCs w:val="20"/>
          <w:rtl/>
        </w:rPr>
        <w:t>ה</w:t>
      </w:r>
      <w:r w:rsidRPr="00911580">
        <w:rPr>
          <w:sz w:val="18"/>
          <w:szCs w:val="20"/>
          <w:rtl/>
        </w:rPr>
        <w:t>סתיי</w:t>
      </w:r>
      <w:r w:rsidRPr="00911580">
        <w:rPr>
          <w:rFonts w:hint="cs"/>
          <w:sz w:val="18"/>
          <w:szCs w:val="20"/>
          <w:rtl/>
        </w:rPr>
        <w:t xml:space="preserve">ג </w:t>
      </w:r>
      <w:r w:rsidRPr="00911580">
        <w:rPr>
          <w:sz w:val="18"/>
          <w:szCs w:val="20"/>
          <w:rtl/>
        </w:rPr>
        <w:t>מליברליזציה של השוק</w:t>
      </w:r>
      <w:r w:rsidRPr="00911580">
        <w:rPr>
          <w:rFonts w:hint="cs"/>
          <w:sz w:val="18"/>
          <w:szCs w:val="20"/>
          <w:rtl/>
        </w:rPr>
        <w:t>,</w:t>
      </w:r>
      <w:r w:rsidRPr="00911580">
        <w:rPr>
          <w:sz w:val="18"/>
          <w:szCs w:val="20"/>
          <w:rtl/>
        </w:rPr>
        <w:t xml:space="preserve"> </w:t>
      </w:r>
      <w:r w:rsidRPr="00911580">
        <w:rPr>
          <w:rFonts w:hint="cs"/>
          <w:sz w:val="18"/>
          <w:szCs w:val="20"/>
          <w:rtl/>
        </w:rPr>
        <w:t xml:space="preserve">ובמיוחד מהפרטה. ייתכן כי הדבר נובע מכך שברמה התועלתנית אנשים מבוגרים יותר זקוקים יותר, בדרך כלל, לרשת ביטחון חברתית, וחוששים יותר מסיכויי השתלבות נמוכים בשוק העבודה הפרטי </w:t>
      </w:r>
      <w:r w:rsidRPr="00911580">
        <w:rPr>
          <w:sz w:val="18"/>
          <w:szCs w:val="20"/>
          <w:rtl/>
        </w:rPr>
        <w:t>(</w:t>
      </w:r>
      <w:proofErr w:type="spellStart"/>
      <w:r w:rsidRPr="00911580">
        <w:rPr>
          <w:sz w:val="18"/>
          <w:szCs w:val="20"/>
        </w:rPr>
        <w:t>Denisova</w:t>
      </w:r>
      <w:proofErr w:type="spellEnd"/>
      <w:r w:rsidRPr="00911580">
        <w:rPr>
          <w:sz w:val="18"/>
          <w:szCs w:val="20"/>
        </w:rPr>
        <w:t xml:space="preserve"> et al., 2012</w:t>
      </w:r>
      <w:r w:rsidRPr="00911580">
        <w:rPr>
          <w:sz w:val="18"/>
          <w:szCs w:val="20"/>
          <w:rtl/>
        </w:rPr>
        <w:t>)</w:t>
      </w:r>
      <w:r w:rsidRPr="00911580">
        <w:rPr>
          <w:rFonts w:hint="cs"/>
          <w:sz w:val="18"/>
          <w:szCs w:val="20"/>
          <w:rtl/>
        </w:rPr>
        <w:t>. הסבר אחר עשוי להיות הבדלי תפיסה, ערכים ונורמות בין-דוריים, משום שאנשים צעירים יותר גדלים ומתחנכים בעולם המקדש על פי רוב אינדיבידואליזם ותחרות (</w:t>
      </w:r>
      <w:proofErr w:type="spellStart"/>
      <w:r w:rsidRPr="00911580">
        <w:rPr>
          <w:sz w:val="18"/>
          <w:szCs w:val="20"/>
        </w:rPr>
        <w:t>Allsop</w:t>
      </w:r>
      <w:proofErr w:type="spellEnd"/>
      <w:r w:rsidRPr="00911580">
        <w:rPr>
          <w:sz w:val="18"/>
          <w:szCs w:val="20"/>
        </w:rPr>
        <w:t xml:space="preserve">, Briggs &amp;, </w:t>
      </w:r>
      <w:proofErr w:type="spellStart"/>
      <w:r w:rsidRPr="00911580">
        <w:rPr>
          <w:sz w:val="18"/>
          <w:szCs w:val="20"/>
        </w:rPr>
        <w:t>Kisby</w:t>
      </w:r>
      <w:proofErr w:type="spellEnd"/>
      <w:r w:rsidRPr="00911580">
        <w:rPr>
          <w:sz w:val="18"/>
          <w:szCs w:val="20"/>
        </w:rPr>
        <w:t xml:space="preserve">, 2018; </w:t>
      </w:r>
      <w:proofErr w:type="spellStart"/>
      <w:r w:rsidRPr="00911580">
        <w:rPr>
          <w:sz w:val="18"/>
          <w:szCs w:val="20"/>
        </w:rPr>
        <w:t>Nafstad</w:t>
      </w:r>
      <w:proofErr w:type="spellEnd"/>
      <w:r w:rsidRPr="00911580">
        <w:rPr>
          <w:sz w:val="18"/>
          <w:szCs w:val="20"/>
        </w:rPr>
        <w:t xml:space="preserve">, </w:t>
      </w:r>
      <w:proofErr w:type="spellStart"/>
      <w:r w:rsidRPr="00911580">
        <w:rPr>
          <w:sz w:val="18"/>
          <w:szCs w:val="20"/>
        </w:rPr>
        <w:t>Blakar</w:t>
      </w:r>
      <w:proofErr w:type="spellEnd"/>
      <w:r w:rsidRPr="00911580">
        <w:rPr>
          <w:sz w:val="18"/>
          <w:szCs w:val="20"/>
        </w:rPr>
        <w:t xml:space="preserve">, </w:t>
      </w:r>
      <w:proofErr w:type="spellStart"/>
      <w:r w:rsidRPr="00911580">
        <w:rPr>
          <w:sz w:val="18"/>
          <w:szCs w:val="20"/>
        </w:rPr>
        <w:t>Carlquist</w:t>
      </w:r>
      <w:proofErr w:type="spellEnd"/>
      <w:r w:rsidRPr="00911580">
        <w:rPr>
          <w:sz w:val="18"/>
          <w:szCs w:val="20"/>
        </w:rPr>
        <w:t>, Phelps, &amp; Rand-Hendriksen, 2007</w:t>
      </w:r>
      <w:r w:rsidRPr="00911580">
        <w:rPr>
          <w:rFonts w:hint="cs"/>
          <w:sz w:val="18"/>
          <w:szCs w:val="20"/>
          <w:rtl/>
        </w:rPr>
        <w:t xml:space="preserve">). </w:t>
      </w:r>
    </w:p>
    <w:p w14:paraId="399EC1D5" w14:textId="77777777" w:rsidR="00B4735A" w:rsidRPr="00911580" w:rsidRDefault="00B4735A" w:rsidP="00911580">
      <w:pPr>
        <w:spacing w:after="180" w:line="280" w:lineRule="exact"/>
        <w:jc w:val="both"/>
        <w:rPr>
          <w:sz w:val="18"/>
          <w:szCs w:val="20"/>
          <w:rtl/>
        </w:rPr>
      </w:pPr>
      <w:r w:rsidRPr="00911580">
        <w:rPr>
          <w:rFonts w:hint="cs"/>
          <w:sz w:val="18"/>
          <w:szCs w:val="20"/>
          <w:rtl/>
        </w:rPr>
        <w:t>הממצאים באשר לק</w:t>
      </w:r>
      <w:r w:rsidRPr="00911580">
        <w:rPr>
          <w:sz w:val="18"/>
          <w:szCs w:val="20"/>
          <w:rtl/>
        </w:rPr>
        <w:t>שר בין מגדר לעמדות כלפי הפרטה אינם ח</w:t>
      </w:r>
      <w:r w:rsidRPr="00911580">
        <w:rPr>
          <w:rFonts w:hint="cs"/>
          <w:sz w:val="18"/>
          <w:szCs w:val="20"/>
          <w:rtl/>
        </w:rPr>
        <w:t>ד-</w:t>
      </w:r>
      <w:r w:rsidRPr="00911580">
        <w:rPr>
          <w:sz w:val="18"/>
          <w:szCs w:val="20"/>
          <w:rtl/>
        </w:rPr>
        <w:t>משמעיים</w:t>
      </w:r>
      <w:r w:rsidRPr="00911580">
        <w:rPr>
          <w:rFonts w:hint="cs"/>
          <w:sz w:val="18"/>
          <w:szCs w:val="20"/>
          <w:rtl/>
        </w:rPr>
        <w:t>.</w:t>
      </w:r>
      <w:r w:rsidRPr="00911580">
        <w:rPr>
          <w:sz w:val="18"/>
          <w:szCs w:val="20"/>
          <w:rtl/>
        </w:rPr>
        <w:t xml:space="preserve"> מחד</w:t>
      </w:r>
      <w:r w:rsidRPr="00911580">
        <w:rPr>
          <w:rFonts w:hint="cs"/>
          <w:sz w:val="18"/>
          <w:szCs w:val="20"/>
          <w:rtl/>
        </w:rPr>
        <w:t xml:space="preserve"> </w:t>
      </w:r>
      <w:r w:rsidRPr="00911580">
        <w:rPr>
          <w:sz w:val="18"/>
          <w:szCs w:val="20"/>
          <w:rtl/>
        </w:rPr>
        <w:t>גיסא</w:t>
      </w:r>
      <w:r w:rsidRPr="00911580">
        <w:rPr>
          <w:rFonts w:hint="cs"/>
          <w:sz w:val="18"/>
          <w:szCs w:val="20"/>
          <w:rtl/>
        </w:rPr>
        <w:t xml:space="preserve"> יש </w:t>
      </w:r>
      <w:r w:rsidRPr="00911580">
        <w:rPr>
          <w:sz w:val="18"/>
          <w:szCs w:val="20"/>
          <w:rtl/>
        </w:rPr>
        <w:t>מחקרי</w:t>
      </w:r>
      <w:r w:rsidRPr="00911580">
        <w:rPr>
          <w:rFonts w:hint="cs"/>
          <w:sz w:val="18"/>
          <w:szCs w:val="20"/>
          <w:rtl/>
        </w:rPr>
        <w:t>ם שלא מצאו קשר בין מגדר לבין עמדה כלפי הפרטה (</w:t>
      </w:r>
      <w:proofErr w:type="spellStart"/>
      <w:r w:rsidRPr="00911580">
        <w:rPr>
          <w:sz w:val="18"/>
          <w:szCs w:val="20"/>
        </w:rPr>
        <w:t>Devroye</w:t>
      </w:r>
      <w:proofErr w:type="spellEnd"/>
      <w:r w:rsidRPr="00911580">
        <w:rPr>
          <w:sz w:val="18"/>
          <w:szCs w:val="20"/>
        </w:rPr>
        <w:t>, 2003; Steen &amp; Duran, 2010</w:t>
      </w:r>
      <w:r w:rsidRPr="00911580">
        <w:rPr>
          <w:rFonts w:hint="cs"/>
          <w:sz w:val="18"/>
          <w:szCs w:val="20"/>
          <w:rtl/>
        </w:rPr>
        <w:t>).</w:t>
      </w:r>
      <w:r w:rsidRPr="00911580">
        <w:rPr>
          <w:sz w:val="18"/>
          <w:szCs w:val="20"/>
          <w:rtl/>
        </w:rPr>
        <w:t xml:space="preserve"> מאידך גיסא </w:t>
      </w:r>
      <w:r w:rsidRPr="00911580">
        <w:rPr>
          <w:rFonts w:hint="cs"/>
          <w:sz w:val="18"/>
          <w:szCs w:val="20"/>
          <w:rtl/>
        </w:rPr>
        <w:t xml:space="preserve">יש גם ממצאים המעידים על קיומו של קשר כזה, ולפיהם </w:t>
      </w:r>
      <w:r w:rsidRPr="00911580">
        <w:rPr>
          <w:sz w:val="18"/>
          <w:szCs w:val="20"/>
          <w:rtl/>
        </w:rPr>
        <w:t>נשים נוטות להתנגד לה</w:t>
      </w:r>
      <w:r w:rsidRPr="00911580">
        <w:rPr>
          <w:rFonts w:hint="cs"/>
          <w:sz w:val="18"/>
          <w:szCs w:val="20"/>
          <w:rtl/>
        </w:rPr>
        <w:t xml:space="preserve">פרטה </w:t>
      </w:r>
      <w:r w:rsidRPr="00911580">
        <w:rPr>
          <w:sz w:val="18"/>
          <w:szCs w:val="20"/>
          <w:rtl/>
        </w:rPr>
        <w:t>יותר מאשר גברים</w:t>
      </w:r>
      <w:r w:rsidRPr="00911580">
        <w:rPr>
          <w:rFonts w:hint="cs"/>
          <w:sz w:val="18"/>
          <w:szCs w:val="20"/>
          <w:rtl/>
        </w:rPr>
        <w:t>.</w:t>
      </w:r>
      <w:r w:rsidRPr="00911580">
        <w:rPr>
          <w:sz w:val="18"/>
          <w:szCs w:val="20"/>
          <w:rtl/>
        </w:rPr>
        <w:t xml:space="preserve"> ייתכן </w:t>
      </w:r>
      <w:r w:rsidRPr="00911580">
        <w:rPr>
          <w:rFonts w:hint="cs"/>
          <w:sz w:val="18"/>
          <w:szCs w:val="20"/>
          <w:rtl/>
        </w:rPr>
        <w:t>ש</w:t>
      </w:r>
      <w:r w:rsidRPr="00911580">
        <w:rPr>
          <w:sz w:val="18"/>
          <w:szCs w:val="20"/>
          <w:rtl/>
        </w:rPr>
        <w:t>הסיבה נעוצה בכך ש</w:t>
      </w:r>
      <w:r w:rsidRPr="00911580">
        <w:rPr>
          <w:rFonts w:hint="cs"/>
          <w:sz w:val="18"/>
          <w:szCs w:val="20"/>
          <w:rtl/>
        </w:rPr>
        <w:t>הן אינן תופסות את ההפרטה כהבטחה ל</w:t>
      </w:r>
      <w:r w:rsidRPr="00911580">
        <w:rPr>
          <w:sz w:val="18"/>
          <w:szCs w:val="20"/>
          <w:rtl/>
        </w:rPr>
        <w:t>הזדמנויות תעסוקתיות שוויוניות יותר</w:t>
      </w:r>
      <w:r w:rsidRPr="00911580">
        <w:rPr>
          <w:rFonts w:hint="cs"/>
          <w:sz w:val="18"/>
          <w:szCs w:val="20"/>
          <w:rtl/>
        </w:rPr>
        <w:t>.</w:t>
      </w:r>
      <w:r w:rsidRPr="00911580">
        <w:rPr>
          <w:sz w:val="18"/>
          <w:szCs w:val="20"/>
          <w:rtl/>
        </w:rPr>
        <w:t xml:space="preserve"> נשים מציגות</w:t>
      </w:r>
      <w:r w:rsidRPr="00911580">
        <w:rPr>
          <w:rFonts w:hint="cs"/>
          <w:sz w:val="18"/>
          <w:szCs w:val="20"/>
          <w:rtl/>
        </w:rPr>
        <w:t xml:space="preserve"> </w:t>
      </w:r>
      <w:r w:rsidRPr="00911580">
        <w:rPr>
          <w:sz w:val="18"/>
          <w:szCs w:val="20"/>
          <w:rtl/>
        </w:rPr>
        <w:t>רמה פחותה של אמון פוליטי</w:t>
      </w:r>
      <w:r w:rsidRPr="00911580">
        <w:rPr>
          <w:rFonts w:hint="cs"/>
          <w:sz w:val="18"/>
          <w:szCs w:val="20"/>
          <w:rtl/>
        </w:rPr>
        <w:t>,</w:t>
      </w:r>
      <w:r w:rsidRPr="00911580">
        <w:rPr>
          <w:sz w:val="18"/>
          <w:szCs w:val="20"/>
          <w:rtl/>
        </w:rPr>
        <w:t xml:space="preserve"> וכן</w:t>
      </w:r>
      <w:r w:rsidRPr="00911580">
        <w:rPr>
          <w:rFonts w:hint="cs"/>
          <w:sz w:val="18"/>
          <w:szCs w:val="20"/>
          <w:rtl/>
        </w:rPr>
        <w:t xml:space="preserve"> </w:t>
      </w:r>
      <w:r w:rsidRPr="00911580">
        <w:rPr>
          <w:sz w:val="18"/>
          <w:szCs w:val="20"/>
          <w:rtl/>
        </w:rPr>
        <w:t xml:space="preserve">חוששות כי הן </w:t>
      </w:r>
      <w:r w:rsidRPr="00911580">
        <w:rPr>
          <w:rFonts w:hint="cs"/>
          <w:sz w:val="18"/>
          <w:szCs w:val="20"/>
          <w:rtl/>
        </w:rPr>
        <w:t>לא</w:t>
      </w:r>
      <w:r w:rsidRPr="00911580">
        <w:rPr>
          <w:sz w:val="18"/>
          <w:szCs w:val="20"/>
          <w:rtl/>
        </w:rPr>
        <w:t xml:space="preserve"> ירוויחו ממדיניות ההפרטה</w:t>
      </w:r>
      <w:r w:rsidRPr="00911580">
        <w:rPr>
          <w:rFonts w:hint="cs"/>
          <w:sz w:val="18"/>
          <w:szCs w:val="20"/>
          <w:rtl/>
        </w:rPr>
        <w:t>,</w:t>
      </w:r>
      <w:r w:rsidRPr="00911580">
        <w:rPr>
          <w:sz w:val="18"/>
          <w:szCs w:val="20"/>
          <w:rtl/>
        </w:rPr>
        <w:t xml:space="preserve"> וכי </w:t>
      </w:r>
      <w:r w:rsidRPr="00911580">
        <w:rPr>
          <w:rFonts w:hint="cs"/>
          <w:sz w:val="18"/>
          <w:szCs w:val="20"/>
          <w:rtl/>
        </w:rPr>
        <w:t xml:space="preserve">היא </w:t>
      </w:r>
      <w:r w:rsidRPr="00911580">
        <w:rPr>
          <w:sz w:val="18"/>
          <w:szCs w:val="20"/>
          <w:rtl/>
        </w:rPr>
        <w:t>אף</w:t>
      </w:r>
      <w:r w:rsidRPr="00911580">
        <w:rPr>
          <w:rFonts w:hint="cs"/>
          <w:sz w:val="18"/>
          <w:szCs w:val="20"/>
          <w:rtl/>
        </w:rPr>
        <w:t xml:space="preserve"> תפגע במדיניות רווחה המתחשבת בנשים כקבוצה חברתית מובחנת </w:t>
      </w:r>
      <w:r w:rsidRPr="00911580">
        <w:rPr>
          <w:sz w:val="18"/>
          <w:szCs w:val="20"/>
          <w:rtl/>
        </w:rPr>
        <w:t>(</w:t>
      </w:r>
      <w:r w:rsidRPr="00911580">
        <w:rPr>
          <w:sz w:val="18"/>
          <w:szCs w:val="20"/>
        </w:rPr>
        <w:t xml:space="preserve">Durant &amp; </w:t>
      </w:r>
      <w:proofErr w:type="spellStart"/>
      <w:r w:rsidRPr="00911580">
        <w:rPr>
          <w:sz w:val="18"/>
          <w:szCs w:val="20"/>
        </w:rPr>
        <w:t>Legge</w:t>
      </w:r>
      <w:proofErr w:type="spellEnd"/>
      <w:r w:rsidRPr="00911580">
        <w:rPr>
          <w:sz w:val="18"/>
          <w:szCs w:val="20"/>
        </w:rPr>
        <w:t xml:space="preserve">, 2001; </w:t>
      </w:r>
      <w:proofErr w:type="spellStart"/>
      <w:r w:rsidRPr="00911580">
        <w:rPr>
          <w:sz w:val="18"/>
          <w:szCs w:val="20"/>
        </w:rPr>
        <w:t>Legge</w:t>
      </w:r>
      <w:proofErr w:type="spellEnd"/>
      <w:r w:rsidRPr="00911580">
        <w:rPr>
          <w:sz w:val="18"/>
          <w:szCs w:val="20"/>
        </w:rPr>
        <w:t xml:space="preserve"> &amp; Rainey, 2003</w:t>
      </w:r>
      <w:r w:rsidRPr="00911580">
        <w:rPr>
          <w:sz w:val="18"/>
          <w:szCs w:val="20"/>
          <w:rtl/>
        </w:rPr>
        <w:t>)</w:t>
      </w:r>
      <w:r w:rsidRPr="00911580">
        <w:rPr>
          <w:rFonts w:hint="cs"/>
          <w:sz w:val="18"/>
          <w:szCs w:val="20"/>
          <w:rtl/>
        </w:rPr>
        <w:t>. בישראל, באופן דומה, כהן ועמיתים (2010) מצאו ש</w:t>
      </w:r>
      <w:r w:rsidRPr="00911580">
        <w:rPr>
          <w:sz w:val="18"/>
          <w:szCs w:val="20"/>
          <w:rtl/>
        </w:rPr>
        <w:t>נשים</w:t>
      </w:r>
      <w:r w:rsidRPr="00911580">
        <w:rPr>
          <w:rFonts w:hint="cs"/>
          <w:sz w:val="18"/>
          <w:szCs w:val="20"/>
          <w:rtl/>
        </w:rPr>
        <w:t>,</w:t>
      </w:r>
      <w:r w:rsidRPr="00911580">
        <w:rPr>
          <w:sz w:val="18"/>
          <w:szCs w:val="20"/>
          <w:rtl/>
        </w:rPr>
        <w:t xml:space="preserve"> יותר מגברים</w:t>
      </w:r>
      <w:r w:rsidRPr="00911580">
        <w:rPr>
          <w:rFonts w:hint="cs"/>
          <w:sz w:val="18"/>
          <w:szCs w:val="20"/>
          <w:rtl/>
        </w:rPr>
        <w:t>,</w:t>
      </w:r>
      <w:r w:rsidRPr="00911580">
        <w:rPr>
          <w:sz w:val="18"/>
          <w:szCs w:val="20"/>
          <w:rtl/>
        </w:rPr>
        <w:t xml:space="preserve"> סבורות </w:t>
      </w:r>
      <w:r w:rsidRPr="00911580">
        <w:rPr>
          <w:rFonts w:hint="cs"/>
          <w:sz w:val="18"/>
          <w:szCs w:val="20"/>
          <w:rtl/>
        </w:rPr>
        <w:t xml:space="preserve">כי </w:t>
      </w:r>
      <w:r w:rsidRPr="00911580">
        <w:rPr>
          <w:sz w:val="18"/>
          <w:szCs w:val="20"/>
          <w:rtl/>
        </w:rPr>
        <w:t>בישראל יש יותר</w:t>
      </w:r>
      <w:r w:rsidRPr="00911580">
        <w:rPr>
          <w:rFonts w:hint="cs"/>
          <w:sz w:val="18"/>
          <w:szCs w:val="20"/>
          <w:rtl/>
        </w:rPr>
        <w:t xml:space="preserve"> </w:t>
      </w:r>
      <w:r w:rsidRPr="00911580">
        <w:rPr>
          <w:sz w:val="18"/>
          <w:szCs w:val="20"/>
          <w:rtl/>
        </w:rPr>
        <w:t>מדי עניים; כי פערי ההכנסה גדולים מדי; כי ראוי שהמדינה תדאג לקבוצות חלשות</w:t>
      </w:r>
      <w:r w:rsidRPr="00911580">
        <w:rPr>
          <w:rFonts w:hint="cs"/>
          <w:sz w:val="18"/>
          <w:szCs w:val="20"/>
          <w:rtl/>
        </w:rPr>
        <w:t xml:space="preserve"> </w:t>
      </w:r>
      <w:r w:rsidRPr="00911580">
        <w:rPr>
          <w:sz w:val="18"/>
          <w:szCs w:val="20"/>
          <w:rtl/>
        </w:rPr>
        <w:t>באוכלוסייה יותר משה</w:t>
      </w:r>
      <w:r w:rsidRPr="00911580">
        <w:rPr>
          <w:rFonts w:hint="cs"/>
          <w:sz w:val="18"/>
          <w:szCs w:val="20"/>
          <w:rtl/>
        </w:rPr>
        <w:t xml:space="preserve">ן נדרשות </w:t>
      </w:r>
      <w:r w:rsidRPr="00911580">
        <w:rPr>
          <w:sz w:val="18"/>
          <w:szCs w:val="20"/>
          <w:rtl/>
        </w:rPr>
        <w:t>לדאוג לעצמ</w:t>
      </w:r>
      <w:r w:rsidRPr="00911580">
        <w:rPr>
          <w:rFonts w:hint="cs"/>
          <w:sz w:val="18"/>
          <w:szCs w:val="20"/>
          <w:rtl/>
        </w:rPr>
        <w:t>ן</w:t>
      </w:r>
      <w:r w:rsidRPr="00911580">
        <w:rPr>
          <w:sz w:val="18"/>
          <w:szCs w:val="20"/>
          <w:rtl/>
        </w:rPr>
        <w:t xml:space="preserve">; וכי המדינה </w:t>
      </w:r>
      <w:r w:rsidRPr="00911580">
        <w:rPr>
          <w:rFonts w:hint="cs"/>
          <w:sz w:val="18"/>
          <w:szCs w:val="20"/>
          <w:rtl/>
        </w:rPr>
        <w:t xml:space="preserve">אחראית </w:t>
      </w:r>
      <w:r w:rsidRPr="00911580">
        <w:rPr>
          <w:sz w:val="18"/>
          <w:szCs w:val="20"/>
          <w:rtl/>
        </w:rPr>
        <w:lastRenderedPageBreak/>
        <w:t>לדאוג לפרנסת</w:t>
      </w:r>
      <w:r w:rsidRPr="00911580">
        <w:rPr>
          <w:rFonts w:hint="cs"/>
          <w:sz w:val="18"/>
          <w:szCs w:val="20"/>
          <w:rtl/>
        </w:rPr>
        <w:t xml:space="preserve"> </w:t>
      </w:r>
      <w:r w:rsidRPr="00911580">
        <w:rPr>
          <w:sz w:val="18"/>
          <w:szCs w:val="20"/>
          <w:rtl/>
        </w:rPr>
        <w:t>אזרחיה באופן שוויוני יותר.</w:t>
      </w:r>
      <w:r w:rsidRPr="00911580">
        <w:rPr>
          <w:rFonts w:hint="cs"/>
          <w:sz w:val="18"/>
          <w:szCs w:val="20"/>
          <w:rtl/>
        </w:rPr>
        <w:t xml:space="preserve"> גם שמיר וגדליה-לביא (2015) מצאו כי נשים בישראל ממוקמות שמאלה יותר מגברים על הציר הכלכלי-חברתי. </w:t>
      </w:r>
    </w:p>
    <w:p w14:paraId="1A7ECE4A" w14:textId="77777777" w:rsidR="00B4735A" w:rsidRPr="00911580" w:rsidRDefault="00B4735A" w:rsidP="00911580">
      <w:pPr>
        <w:spacing w:after="180" w:line="280" w:lineRule="exact"/>
        <w:jc w:val="both"/>
        <w:rPr>
          <w:sz w:val="18"/>
          <w:szCs w:val="20"/>
          <w:rtl/>
        </w:rPr>
      </w:pPr>
      <w:r w:rsidRPr="00911580">
        <w:rPr>
          <w:rFonts w:hint="cs"/>
          <w:sz w:val="18"/>
          <w:szCs w:val="20"/>
          <w:rtl/>
        </w:rPr>
        <w:t>מעבר להסברים התועלתניים המאפיינים, על פי רוב, את המשתנים שהוצגו עד כה, מחקרים שבחנו את הגורם הערכי-אידיאולוגי מצאו, למשל, קשר בין השקפתו הכלכלית-חברתית של הפרט לבין עמדתו כלפי ההפרטה. בעלי השקפות קפיטליסטיות נוטים לצדד בהפרטה, ואלו הנוטים להשקפות סוציאליסטיות נוטים, כצפוי, להתנגד לה (</w:t>
      </w:r>
      <w:r w:rsidRPr="00911580">
        <w:rPr>
          <w:sz w:val="18"/>
          <w:szCs w:val="20"/>
        </w:rPr>
        <w:t>Boyer &amp; Van Slyke, 2019; Cohen, Mizrahi, &amp; Yuval, 2011; Heath &amp; Gifford, 2006</w:t>
      </w:r>
      <w:r w:rsidRPr="00911580">
        <w:rPr>
          <w:sz w:val="18"/>
          <w:szCs w:val="20"/>
          <w:rtl/>
        </w:rPr>
        <w:t>)</w:t>
      </w:r>
      <w:r w:rsidRPr="00911580">
        <w:rPr>
          <w:rFonts w:hint="cs"/>
          <w:sz w:val="18"/>
          <w:szCs w:val="20"/>
          <w:rtl/>
        </w:rPr>
        <w:t xml:space="preserve">. </w:t>
      </w:r>
    </w:p>
    <w:p w14:paraId="0DBCB26B" w14:textId="259812F1" w:rsidR="00B4735A" w:rsidRPr="00911580" w:rsidRDefault="00B4735A" w:rsidP="00115BC6">
      <w:pPr>
        <w:spacing w:after="180" w:line="280" w:lineRule="exact"/>
        <w:jc w:val="both"/>
        <w:rPr>
          <w:sz w:val="18"/>
          <w:szCs w:val="20"/>
          <w:rtl/>
        </w:rPr>
      </w:pPr>
      <w:r w:rsidRPr="00911580">
        <w:rPr>
          <w:rFonts w:hint="cs"/>
          <w:sz w:val="18"/>
          <w:szCs w:val="20"/>
          <w:rtl/>
        </w:rPr>
        <w:t xml:space="preserve">שני משתנים נוספים המופיעים גם הם בספרות </w:t>
      </w:r>
      <w:r w:rsidR="00115BC6">
        <w:rPr>
          <w:rFonts w:hint="cs"/>
          <w:sz w:val="18"/>
          <w:szCs w:val="20"/>
          <w:rtl/>
        </w:rPr>
        <w:t xml:space="preserve">נוגעים </w:t>
      </w:r>
      <w:r w:rsidRPr="00911580">
        <w:rPr>
          <w:rFonts w:hint="cs"/>
          <w:sz w:val="18"/>
          <w:szCs w:val="20"/>
          <w:rtl/>
        </w:rPr>
        <w:t>למאפייני זהותו של הפרט. נמצא כי ההשתייכות האתנית היא גורם המשפיע על שאלות של מדיניות רווחה: בני מיעוטים אתניים נוטים לתמוך במדינת הרווחה יותר מבני קבוצת הרוב. כך למשל, התמיכה של שחורים בארצות הברית בחלוקת קצבאות גדולה מהתמיכה של לבנים, גם לאחר פיקוח על משתנים כלכליים-חברתיים</w:t>
      </w:r>
      <w:r w:rsidRPr="00911580">
        <w:rPr>
          <w:sz w:val="18"/>
          <w:szCs w:val="20"/>
          <w:rtl/>
        </w:rPr>
        <w:t xml:space="preserve"> </w:t>
      </w:r>
      <w:r w:rsidRPr="00911580">
        <w:rPr>
          <w:rFonts w:hint="cs"/>
          <w:sz w:val="18"/>
          <w:szCs w:val="20"/>
          <w:rtl/>
        </w:rPr>
        <w:t>(</w:t>
      </w:r>
      <w:proofErr w:type="spellStart"/>
      <w:r w:rsidRPr="00911580">
        <w:rPr>
          <w:sz w:val="18"/>
          <w:szCs w:val="20"/>
        </w:rPr>
        <w:t>Alesina</w:t>
      </w:r>
      <w:proofErr w:type="spellEnd"/>
      <w:r w:rsidRPr="00911580">
        <w:rPr>
          <w:sz w:val="18"/>
          <w:szCs w:val="20"/>
        </w:rPr>
        <w:t xml:space="preserve">, </w:t>
      </w:r>
      <w:proofErr w:type="spellStart"/>
      <w:r w:rsidRPr="00911580">
        <w:rPr>
          <w:sz w:val="18"/>
          <w:szCs w:val="20"/>
        </w:rPr>
        <w:t>Glaeser</w:t>
      </w:r>
      <w:proofErr w:type="spellEnd"/>
      <w:r w:rsidRPr="00911580">
        <w:rPr>
          <w:sz w:val="18"/>
          <w:szCs w:val="20"/>
        </w:rPr>
        <w:t xml:space="preserve">, &amp; </w:t>
      </w:r>
      <w:proofErr w:type="spellStart"/>
      <w:r w:rsidRPr="00911580">
        <w:rPr>
          <w:sz w:val="18"/>
          <w:szCs w:val="20"/>
        </w:rPr>
        <w:t>Sacerdote</w:t>
      </w:r>
      <w:proofErr w:type="spellEnd"/>
      <w:r w:rsidRPr="00911580">
        <w:rPr>
          <w:sz w:val="18"/>
          <w:szCs w:val="20"/>
        </w:rPr>
        <w:t xml:space="preserve">, 2001; Lind, 2007; </w:t>
      </w:r>
      <w:proofErr w:type="spellStart"/>
      <w:r w:rsidRPr="00911580">
        <w:rPr>
          <w:sz w:val="18"/>
          <w:szCs w:val="20"/>
        </w:rPr>
        <w:t>Luttmer</w:t>
      </w:r>
      <w:proofErr w:type="spellEnd"/>
      <w:r w:rsidRPr="00911580">
        <w:rPr>
          <w:sz w:val="18"/>
          <w:szCs w:val="20"/>
        </w:rPr>
        <w:t>, 2001</w:t>
      </w:r>
      <w:r w:rsidRPr="00911580">
        <w:rPr>
          <w:rFonts w:hint="cs"/>
          <w:sz w:val="18"/>
          <w:szCs w:val="20"/>
          <w:rtl/>
        </w:rPr>
        <w:t>). ממצאים דומים נמצאו בבריטניה, שבה ניסוי חברתי הראה כי בקרב לבנים התמיכה במדיניות של חלוקת קצבאות נוטה להיות גדולה יותר כאשר הנתמכים עצמם הם לבנים ילידי בריטניה (</w:t>
      </w:r>
      <w:r w:rsidRPr="00911580">
        <w:rPr>
          <w:sz w:val="18"/>
          <w:szCs w:val="20"/>
        </w:rPr>
        <w:t>Ford, 2016</w:t>
      </w:r>
      <w:r w:rsidRPr="00911580">
        <w:rPr>
          <w:rFonts w:hint="cs"/>
          <w:sz w:val="18"/>
          <w:szCs w:val="20"/>
          <w:rtl/>
        </w:rPr>
        <w:t xml:space="preserve">). מחקרים אלה מראים כי נטייתם של בני מיעוטים לצדד במעורבות ממשלתית אינה קשורה תמיד למעמד הכלכלי-חברתי של הפרט עצמו, ועל כן אינה נובעת בהכרח מאינטרס עצמי אלא מהזדהות עם קבוצת שייכות. מכאן חשיבותו של משתנה השיוך האתני כמשתנה מסביר העומד בפני עצמו. </w:t>
      </w:r>
    </w:p>
    <w:p w14:paraId="1B157BEE" w14:textId="3E4AA708" w:rsidR="00B4735A" w:rsidRPr="00911580" w:rsidRDefault="00B4735A" w:rsidP="00115BC6">
      <w:pPr>
        <w:spacing w:after="180" w:line="280" w:lineRule="exact"/>
        <w:jc w:val="both"/>
        <w:rPr>
          <w:sz w:val="18"/>
          <w:szCs w:val="20"/>
          <w:rtl/>
        </w:rPr>
      </w:pPr>
      <w:r w:rsidRPr="00911580">
        <w:rPr>
          <w:rFonts w:hint="cs"/>
          <w:sz w:val="18"/>
          <w:szCs w:val="20"/>
          <w:rtl/>
        </w:rPr>
        <w:t xml:space="preserve">בדומה להשתייכות אתנית, גם דת עשויה למלא תפקיד חשוב בעיצוב עולמו הפנימי של הפרט, ועל כן להשפיע על עמדותיו בספרה הציבורית. רמת דתיותו של אדם עשויה אומנם להשפיע מאוד על עמדותיו בנושאים פוליטיים וחברתיים כגון דת ומדינה, ובהקשר הישראלי </w:t>
      </w:r>
      <w:r w:rsidRPr="00911580">
        <w:rPr>
          <w:sz w:val="18"/>
          <w:szCs w:val="20"/>
          <w:rtl/>
        </w:rPr>
        <w:t>–</w:t>
      </w:r>
      <w:r w:rsidRPr="00911580">
        <w:rPr>
          <w:rFonts w:hint="cs"/>
          <w:sz w:val="18"/>
          <w:szCs w:val="20"/>
          <w:rtl/>
        </w:rPr>
        <w:t xml:space="preserve"> סוגיית הגיוס לצבא, אך מה לתפיסות דתיות ולנושאים בעלי גוון כלכלי מובהק? ובכן, בעבר נמצא בארצות הברית יחס הפוך בין רמת דתיותו של אדם למידת תמיכתו בחלוקת קצבאות ביטוח לאומי (</w:t>
      </w:r>
      <w:proofErr w:type="spellStart"/>
      <w:r w:rsidRPr="00911580">
        <w:rPr>
          <w:sz w:val="18"/>
          <w:szCs w:val="20"/>
        </w:rPr>
        <w:t>Scheve</w:t>
      </w:r>
      <w:proofErr w:type="spellEnd"/>
      <w:r w:rsidRPr="00911580">
        <w:rPr>
          <w:sz w:val="18"/>
          <w:szCs w:val="20"/>
        </w:rPr>
        <w:t xml:space="preserve"> &amp; </w:t>
      </w:r>
      <w:proofErr w:type="spellStart"/>
      <w:r w:rsidRPr="00911580">
        <w:rPr>
          <w:sz w:val="18"/>
          <w:szCs w:val="20"/>
        </w:rPr>
        <w:t>Stasavage</w:t>
      </w:r>
      <w:proofErr w:type="spellEnd"/>
      <w:r w:rsidRPr="00911580">
        <w:rPr>
          <w:sz w:val="18"/>
          <w:szCs w:val="20"/>
        </w:rPr>
        <w:t>, 2006</w:t>
      </w:r>
      <w:r w:rsidRPr="00911580">
        <w:rPr>
          <w:rFonts w:hint="cs"/>
          <w:sz w:val="18"/>
          <w:szCs w:val="20"/>
          <w:rtl/>
        </w:rPr>
        <w:t>). החוקרים הסבירו זאת בכך שמוסדות הדת מהווים תחליף למוסדות המדינה, ולמעשה מתחרים בהם, ועל כן מנסים לדחוק אותם החוצה. קלארק וללקס העלו במחקרם טענה דומה, ולפיה אמונה דתית ממלאת תפקיד ביטוחי בחייו של האדם המאמין, ומחליפה בכך, לפחות במידה מסוימת, את המדינה (</w:t>
      </w:r>
      <w:r w:rsidRPr="00911580">
        <w:rPr>
          <w:sz w:val="18"/>
          <w:szCs w:val="20"/>
        </w:rPr>
        <w:t xml:space="preserve">Clark &amp; </w:t>
      </w:r>
      <w:proofErr w:type="spellStart"/>
      <w:r w:rsidRPr="00911580">
        <w:rPr>
          <w:sz w:val="18"/>
          <w:szCs w:val="20"/>
        </w:rPr>
        <w:t>Lelkes</w:t>
      </w:r>
      <w:proofErr w:type="spellEnd"/>
      <w:r w:rsidRPr="00911580">
        <w:rPr>
          <w:sz w:val="18"/>
          <w:szCs w:val="20"/>
        </w:rPr>
        <w:t>, 2005</w:t>
      </w:r>
      <w:r w:rsidRPr="00911580">
        <w:rPr>
          <w:rFonts w:hint="cs"/>
          <w:sz w:val="18"/>
          <w:szCs w:val="20"/>
          <w:rtl/>
        </w:rPr>
        <w:t>). מבחינה היסטורית, בכל אופן, ממשלות ומוסדות דת הרבו לשתף פעולה בייצור השירותים החברתיים. חלוקת העבודה ביניהם התבססה על מימון ממשלתי לצד אספקת שירותים על ידי מוסדות הדת (</w:t>
      </w:r>
      <w:r w:rsidRPr="00911580">
        <w:rPr>
          <w:sz w:val="18"/>
          <w:szCs w:val="20"/>
        </w:rPr>
        <w:t xml:space="preserve">van </w:t>
      </w:r>
      <w:proofErr w:type="spellStart"/>
      <w:r w:rsidRPr="00911580">
        <w:rPr>
          <w:sz w:val="18"/>
          <w:szCs w:val="20"/>
        </w:rPr>
        <w:t>Kersbergen</w:t>
      </w:r>
      <w:proofErr w:type="spellEnd"/>
      <w:r w:rsidRPr="00911580">
        <w:rPr>
          <w:sz w:val="18"/>
          <w:szCs w:val="20"/>
        </w:rPr>
        <w:t>, 1995</w:t>
      </w:r>
      <w:r w:rsidRPr="00911580">
        <w:rPr>
          <w:rFonts w:hint="cs"/>
          <w:sz w:val="18"/>
          <w:szCs w:val="20"/>
          <w:rtl/>
        </w:rPr>
        <w:t xml:space="preserve">). לפי הסדר זה אפשר להניח כי אנשים דתיים ייטו לתמוך בהתערבות ממשלתית ברמת המימון, אך לעומת זאת יתנגדו לאספקת השירותים על ידי המדינה, ועל כן יתמכו ב"הפרטה חלקית", כלומר יעדיפו מיקור חוץ של שירותים חברתיים בידי ארגונים ומוסדות שהם חלק מהקהילה שהם משתייכים אליה. עמדה זו עשויה לקבל צידוק ברמה התיאולוגית, שכן אפשר להצביע על השקפות </w:t>
      </w:r>
      <w:proofErr w:type="spellStart"/>
      <w:r w:rsidRPr="00911580">
        <w:rPr>
          <w:rFonts w:hint="cs"/>
          <w:sz w:val="18"/>
          <w:szCs w:val="20"/>
          <w:rtl/>
        </w:rPr>
        <w:t>אמוניות</w:t>
      </w:r>
      <w:proofErr w:type="spellEnd"/>
      <w:r w:rsidRPr="00911580">
        <w:rPr>
          <w:rFonts w:hint="cs"/>
          <w:sz w:val="18"/>
          <w:szCs w:val="20"/>
          <w:rtl/>
        </w:rPr>
        <w:t xml:space="preserve"> </w:t>
      </w:r>
      <w:r w:rsidRPr="00911580">
        <w:rPr>
          <w:rFonts w:hint="cs"/>
          <w:sz w:val="18"/>
          <w:szCs w:val="20"/>
          <w:rtl/>
        </w:rPr>
        <w:lastRenderedPageBreak/>
        <w:t>המצדדות בהחזקתו של קניין פרטי, ואף מקדשות אותו, הן בקרב זרמים בנצרות והן ביהדות</w:t>
      </w:r>
      <w:r w:rsidR="00115BC6">
        <w:rPr>
          <w:rFonts w:hint="cs"/>
          <w:sz w:val="18"/>
          <w:szCs w:val="20"/>
          <w:rtl/>
        </w:rPr>
        <w:t xml:space="preserve"> (</w:t>
      </w:r>
      <w:r w:rsidRPr="00911580">
        <w:rPr>
          <w:sz w:val="18"/>
          <w:szCs w:val="20"/>
        </w:rPr>
        <w:fldChar w:fldCharType="begin"/>
      </w:r>
      <w:r w:rsidRPr="00911580">
        <w:rPr>
          <w:sz w:val="18"/>
          <w:szCs w:val="20"/>
          <w:rtl/>
        </w:rPr>
        <w:instrText xml:space="preserve"> </w:instrText>
      </w:r>
      <w:r w:rsidRPr="00911580">
        <w:rPr>
          <w:sz w:val="18"/>
          <w:szCs w:val="20"/>
        </w:rPr>
        <w:instrText>ADDIN EN.CITE &lt;EndNote&gt;&lt;Cite&gt;&lt;Author&gt;Lifshitz&lt;/Author&gt;&lt;Year&gt;2007&lt;/Year&gt;&lt;RecNum&gt;1077&lt;/RecNum&gt;&lt;DisplayText&gt;(Lifshitz 2007)&lt;/DisplayText&gt;&lt;record&gt;&lt;rec-number&gt;1077&lt;/rec-number&gt;&lt;foreign-keys&gt;&lt;key app="EN" db-id="0e9f25xwttrwspez906xd0rk0zdx9vvpf2p9" timestamp="1570112270"&gt;1077&lt;/key&gt;&lt;/foreign-keys&gt;&lt;ref-type name="Journal Article"&gt;17&lt;/ref-type&gt;&lt;contributors&gt;&lt;authors&gt;&lt;author&gt;Lifshitz, Joseph Isaac&lt;/author&gt;&lt;/authors&gt;&lt;/contributors&gt;&lt;titles&gt;&lt;title&gt;Welfare, property, and charity in Jewish thought&lt;/title&gt;&lt;secondary-title&gt;Society&lt;/secondary-title&gt;&lt;/titles&gt;&lt;periodical&gt;&lt;full-title&gt;Society&lt;/full-title&gt;&lt;/periodical&gt;&lt;pages&gt;71&lt;/pages&gt;&lt;volume&gt;44&lt;/volume&gt;&lt;number&gt;2&lt;/number&gt;&lt;dates&gt;&lt;year&gt;2007&lt;/year&gt;&lt;/dates&gt;&lt;isbn&gt;0147-2011&lt;/isbn&gt;&lt;urls&gt;&lt;/urls&gt;&lt;/record&gt;&lt;/Cite&gt;&lt;/EndNote&gt;</w:instrText>
      </w:r>
      <w:r w:rsidRPr="00911580">
        <w:rPr>
          <w:sz w:val="18"/>
          <w:szCs w:val="20"/>
        </w:rPr>
        <w:fldChar w:fldCharType="separate"/>
      </w:r>
      <w:r w:rsidRPr="00911580">
        <w:rPr>
          <w:sz w:val="18"/>
          <w:szCs w:val="20"/>
        </w:rPr>
        <w:t>Lifshitz, 2007; Williams, 1993</w:t>
      </w:r>
      <w:r w:rsidRPr="00911580">
        <w:rPr>
          <w:sz w:val="18"/>
          <w:szCs w:val="20"/>
        </w:rPr>
        <w:fldChar w:fldCharType="end"/>
      </w:r>
      <w:r w:rsidR="00115BC6">
        <w:rPr>
          <w:rFonts w:hint="cs"/>
          <w:sz w:val="18"/>
          <w:szCs w:val="20"/>
          <w:rtl/>
        </w:rPr>
        <w:t>)</w:t>
      </w:r>
      <w:r w:rsidRPr="00911580">
        <w:rPr>
          <w:rFonts w:hint="cs"/>
          <w:sz w:val="18"/>
          <w:szCs w:val="20"/>
          <w:rtl/>
        </w:rPr>
        <w:t>.</w:t>
      </w:r>
    </w:p>
    <w:p w14:paraId="224010C3"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הבדלים על בסיס זהות אתנית ורמת דתיות נמצאו גם בישראל. </w:t>
      </w:r>
      <w:r w:rsidRPr="00911580">
        <w:rPr>
          <w:sz w:val="18"/>
          <w:szCs w:val="20"/>
          <w:rtl/>
        </w:rPr>
        <w:t>בקרב יהודים</w:t>
      </w:r>
      <w:r w:rsidRPr="00911580">
        <w:rPr>
          <w:rFonts w:hint="cs"/>
          <w:sz w:val="18"/>
          <w:szCs w:val="20"/>
          <w:rtl/>
        </w:rPr>
        <w:t xml:space="preserve"> </w:t>
      </w:r>
      <w:r w:rsidRPr="00911580">
        <w:rPr>
          <w:sz w:val="18"/>
          <w:szCs w:val="20"/>
          <w:rtl/>
        </w:rPr>
        <w:t>וחילונים רמת התמיכה בהפרטה גבוהה מאשר</w:t>
      </w:r>
      <w:r w:rsidRPr="00911580">
        <w:rPr>
          <w:rFonts w:hint="cs"/>
          <w:sz w:val="18"/>
          <w:szCs w:val="20"/>
          <w:rtl/>
        </w:rPr>
        <w:t xml:space="preserve"> </w:t>
      </w:r>
      <w:r w:rsidRPr="00911580">
        <w:rPr>
          <w:sz w:val="18"/>
          <w:szCs w:val="20"/>
          <w:rtl/>
        </w:rPr>
        <w:t xml:space="preserve">בקרב בני דתות אחרות, </w:t>
      </w:r>
      <w:r w:rsidRPr="00911580">
        <w:rPr>
          <w:rFonts w:hint="cs"/>
          <w:sz w:val="18"/>
          <w:szCs w:val="20"/>
          <w:rtl/>
        </w:rPr>
        <w:t>דתיים</w:t>
      </w:r>
      <w:r w:rsidRPr="00911580">
        <w:rPr>
          <w:sz w:val="18"/>
          <w:szCs w:val="20"/>
          <w:rtl/>
        </w:rPr>
        <w:t xml:space="preserve"> וחרדים.</w:t>
      </w:r>
      <w:r w:rsidRPr="00911580">
        <w:rPr>
          <w:rFonts w:hint="cs"/>
          <w:sz w:val="18"/>
          <w:szCs w:val="20"/>
          <w:rtl/>
        </w:rPr>
        <w:t xml:space="preserve"> לדעת החוקרים, אין בכך משום הפתעה, שכן </w:t>
      </w:r>
      <w:r w:rsidRPr="00911580">
        <w:rPr>
          <w:sz w:val="18"/>
          <w:szCs w:val="20"/>
          <w:rtl/>
        </w:rPr>
        <w:t>שסעים אלה</w:t>
      </w:r>
      <w:r w:rsidRPr="00911580">
        <w:rPr>
          <w:rFonts w:hint="cs"/>
          <w:sz w:val="18"/>
          <w:szCs w:val="20"/>
          <w:rtl/>
        </w:rPr>
        <w:t xml:space="preserve"> </w:t>
      </w:r>
      <w:r w:rsidRPr="00911580">
        <w:rPr>
          <w:sz w:val="18"/>
          <w:szCs w:val="20"/>
          <w:rtl/>
        </w:rPr>
        <w:t>חופפים את</w:t>
      </w:r>
      <w:r w:rsidRPr="00911580">
        <w:rPr>
          <w:rFonts w:hint="cs"/>
          <w:sz w:val="18"/>
          <w:szCs w:val="20"/>
          <w:rtl/>
        </w:rPr>
        <w:t xml:space="preserve"> </w:t>
      </w:r>
      <w:r w:rsidRPr="00911580">
        <w:rPr>
          <w:sz w:val="18"/>
          <w:szCs w:val="20"/>
          <w:rtl/>
        </w:rPr>
        <w:t>החלוקה ה</w:t>
      </w:r>
      <w:r w:rsidRPr="00911580">
        <w:rPr>
          <w:rFonts w:hint="cs"/>
          <w:sz w:val="18"/>
          <w:szCs w:val="20"/>
          <w:rtl/>
        </w:rPr>
        <w:t>כלכלית-חברתית</w:t>
      </w:r>
      <w:r w:rsidRPr="00911580">
        <w:rPr>
          <w:sz w:val="18"/>
          <w:szCs w:val="20"/>
          <w:rtl/>
        </w:rPr>
        <w:t xml:space="preserve"> בחברה הישראלית</w:t>
      </w:r>
      <w:r w:rsidRPr="00911580">
        <w:rPr>
          <w:rFonts w:hint="cs"/>
          <w:sz w:val="18"/>
          <w:szCs w:val="20"/>
          <w:rtl/>
        </w:rPr>
        <w:t>,</w:t>
      </w:r>
      <w:r w:rsidRPr="00911580">
        <w:rPr>
          <w:sz w:val="18"/>
          <w:szCs w:val="20"/>
          <w:rtl/>
        </w:rPr>
        <w:t xml:space="preserve"> ולאור העובדה שקיים מתאם</w:t>
      </w:r>
      <w:r w:rsidRPr="00911580">
        <w:rPr>
          <w:rFonts w:hint="cs"/>
          <w:sz w:val="18"/>
          <w:szCs w:val="20"/>
          <w:rtl/>
        </w:rPr>
        <w:t xml:space="preserve"> מסוים</w:t>
      </w:r>
      <w:r w:rsidRPr="00911580">
        <w:rPr>
          <w:sz w:val="18"/>
          <w:szCs w:val="20"/>
          <w:rtl/>
        </w:rPr>
        <w:t xml:space="preserve"> בין רמה</w:t>
      </w:r>
      <w:r w:rsidRPr="00911580">
        <w:rPr>
          <w:rFonts w:hint="cs"/>
          <w:sz w:val="18"/>
          <w:szCs w:val="20"/>
          <w:rtl/>
        </w:rPr>
        <w:t xml:space="preserve"> כלכלית-חברתית לבין </w:t>
      </w:r>
      <w:r w:rsidRPr="00911580">
        <w:rPr>
          <w:sz w:val="18"/>
          <w:szCs w:val="20"/>
          <w:rtl/>
        </w:rPr>
        <w:t>תמיכה בהפרטה</w:t>
      </w:r>
      <w:r w:rsidRPr="00911580">
        <w:rPr>
          <w:rFonts w:hint="cs"/>
          <w:sz w:val="18"/>
          <w:szCs w:val="20"/>
          <w:rtl/>
        </w:rPr>
        <w:t xml:space="preserve"> (כהן ועמיתים, 2010). עם זאת, </w:t>
      </w:r>
      <w:r w:rsidRPr="00911580">
        <w:rPr>
          <w:sz w:val="18"/>
          <w:szCs w:val="20"/>
          <w:rtl/>
        </w:rPr>
        <w:t xml:space="preserve">מדד הדמוקרטיה הישראלית </w:t>
      </w:r>
      <w:r w:rsidRPr="00911580">
        <w:rPr>
          <w:rFonts w:hint="cs"/>
          <w:sz w:val="18"/>
          <w:szCs w:val="20"/>
          <w:rtl/>
        </w:rPr>
        <w:t xml:space="preserve">העלה כי </w:t>
      </w:r>
      <w:r w:rsidRPr="00911580">
        <w:rPr>
          <w:sz w:val="18"/>
          <w:szCs w:val="20"/>
          <w:rtl/>
        </w:rPr>
        <w:t>בקרב חילונים ומסורתיים-לא דתיים באוכלוסייה היהודית יש רוב למעדיפים מיסוי גבוה ושירותים נרחבים, ואילו בקרב החרדים והדתיים רק מ</w:t>
      </w:r>
      <w:r w:rsidRPr="00911580">
        <w:rPr>
          <w:rFonts w:hint="cs"/>
          <w:sz w:val="18"/>
          <w:szCs w:val="20"/>
          <w:rtl/>
        </w:rPr>
        <w:t>עטים</w:t>
      </w:r>
      <w:r w:rsidRPr="00911580">
        <w:rPr>
          <w:sz w:val="18"/>
          <w:szCs w:val="20"/>
          <w:rtl/>
        </w:rPr>
        <w:t xml:space="preserve"> מעוניי</w:t>
      </w:r>
      <w:r w:rsidRPr="00911580">
        <w:rPr>
          <w:rFonts w:hint="cs"/>
          <w:sz w:val="18"/>
          <w:szCs w:val="20"/>
          <w:rtl/>
        </w:rPr>
        <w:t>נים</w:t>
      </w:r>
      <w:r w:rsidRPr="00911580">
        <w:rPr>
          <w:sz w:val="18"/>
          <w:szCs w:val="20"/>
          <w:rtl/>
        </w:rPr>
        <w:t xml:space="preserve"> בכ</w:t>
      </w:r>
      <w:r w:rsidRPr="00911580">
        <w:rPr>
          <w:rFonts w:hint="cs"/>
          <w:sz w:val="18"/>
          <w:szCs w:val="20"/>
          <w:rtl/>
        </w:rPr>
        <w:t>ך, ו</w:t>
      </w:r>
      <w:r w:rsidRPr="00911580">
        <w:rPr>
          <w:sz w:val="18"/>
          <w:szCs w:val="20"/>
          <w:rtl/>
        </w:rPr>
        <w:t>הרוב מצדדים במיסוי נמוך ובשירותים בסיסיים מטעם המדינה</w:t>
      </w:r>
      <w:r w:rsidRPr="00911580">
        <w:rPr>
          <w:rFonts w:hint="cs"/>
          <w:sz w:val="18"/>
          <w:szCs w:val="20"/>
          <w:rtl/>
        </w:rPr>
        <w:t xml:space="preserve"> </w:t>
      </w:r>
      <w:r w:rsidRPr="00911580">
        <w:rPr>
          <w:sz w:val="18"/>
          <w:szCs w:val="20"/>
          <w:rtl/>
        </w:rPr>
        <w:t>(הרמן ועמיתים, 2019).</w:t>
      </w:r>
    </w:p>
    <w:p w14:paraId="0ECFBE44" w14:textId="06571018" w:rsidR="00B4735A" w:rsidRDefault="00B4735A" w:rsidP="00911580">
      <w:pPr>
        <w:spacing w:after="180" w:line="280" w:lineRule="exact"/>
        <w:jc w:val="both"/>
        <w:rPr>
          <w:sz w:val="18"/>
          <w:szCs w:val="20"/>
          <w:rtl/>
        </w:rPr>
      </w:pPr>
    </w:p>
    <w:p w14:paraId="55112F9A" w14:textId="77777777" w:rsidR="00E62E88" w:rsidRPr="00911580" w:rsidRDefault="00E62E88" w:rsidP="00911580">
      <w:pPr>
        <w:spacing w:after="180" w:line="280" w:lineRule="exact"/>
        <w:jc w:val="both"/>
        <w:rPr>
          <w:sz w:val="18"/>
          <w:szCs w:val="20"/>
          <w:rtl/>
        </w:rPr>
      </w:pPr>
    </w:p>
    <w:p w14:paraId="52C2FDBC" w14:textId="2FD753A0" w:rsidR="00B4735A" w:rsidRPr="00B4735A" w:rsidRDefault="00B4735A" w:rsidP="00B4735A">
      <w:pPr>
        <w:pStyle w:val="KOT4"/>
        <w:spacing w:after="0"/>
        <w:ind w:left="397" w:right="0" w:hanging="397"/>
        <w:rPr>
          <w:rFonts w:cs="Guttman Aharoni"/>
          <w:color w:val="00B0F0"/>
          <w:sz w:val="32"/>
          <w:szCs w:val="32"/>
          <w:rtl/>
        </w:rPr>
      </w:pPr>
      <w:r w:rsidRPr="00B4735A">
        <w:rPr>
          <w:rFonts w:cs="Guttman Aharoni" w:hint="cs"/>
          <w:color w:val="00B0F0"/>
          <w:sz w:val="32"/>
          <w:szCs w:val="32"/>
          <w:rtl/>
        </w:rPr>
        <w:t>4. מאפייני הסקר</w:t>
      </w:r>
    </w:p>
    <w:p w14:paraId="1D8CF6A2" w14:textId="77777777" w:rsidR="00B4735A" w:rsidRPr="00911580" w:rsidRDefault="00B4735A" w:rsidP="00911580">
      <w:pPr>
        <w:spacing w:after="180" w:line="280" w:lineRule="exact"/>
        <w:jc w:val="both"/>
        <w:rPr>
          <w:rFonts w:eastAsia="Calibri"/>
          <w:sz w:val="18"/>
          <w:szCs w:val="20"/>
          <w:rtl/>
        </w:rPr>
      </w:pPr>
      <w:r w:rsidRPr="00911580">
        <w:rPr>
          <w:rFonts w:eastAsia="Calibri"/>
          <w:sz w:val="18"/>
          <w:szCs w:val="20"/>
          <w:rtl/>
        </w:rPr>
        <w:t xml:space="preserve">בחודש אוגוסט 2016 ערך משרד הכלכלה והתעשייה סקר </w:t>
      </w:r>
      <w:r w:rsidRPr="00911580">
        <w:rPr>
          <w:rFonts w:eastAsia="Calibri" w:hint="cs"/>
          <w:sz w:val="18"/>
          <w:szCs w:val="20"/>
          <w:rtl/>
        </w:rPr>
        <w:t>שמטרתו</w:t>
      </w:r>
      <w:r w:rsidRPr="00911580">
        <w:rPr>
          <w:rFonts w:eastAsia="Calibri"/>
          <w:sz w:val="18"/>
          <w:szCs w:val="20"/>
          <w:rtl/>
        </w:rPr>
        <w:t xml:space="preserve"> לבחון את דעת הציבור בישראל </w:t>
      </w:r>
      <w:r w:rsidRPr="00911580">
        <w:rPr>
          <w:rFonts w:eastAsia="Calibri" w:hint="cs"/>
          <w:sz w:val="18"/>
          <w:szCs w:val="20"/>
          <w:rtl/>
        </w:rPr>
        <w:t xml:space="preserve">באשר </w:t>
      </w:r>
      <w:r w:rsidRPr="00911580">
        <w:rPr>
          <w:rFonts w:eastAsia="Calibri"/>
          <w:sz w:val="18"/>
          <w:szCs w:val="20"/>
          <w:rtl/>
        </w:rPr>
        <w:t xml:space="preserve">להפרטת שירותים חברתיים ותשתיות ממשלתיות. במסגרת הסקר, שנערך באמצעות מכון המחקר והסקרים </w:t>
      </w:r>
      <w:proofErr w:type="spellStart"/>
      <w:r w:rsidRPr="00911580">
        <w:rPr>
          <w:rFonts w:eastAsia="Calibri"/>
          <w:sz w:val="18"/>
          <w:szCs w:val="20"/>
          <w:rtl/>
        </w:rPr>
        <w:t>סטאט</w:t>
      </w:r>
      <w:proofErr w:type="spellEnd"/>
      <w:r w:rsidRPr="00911580">
        <w:rPr>
          <w:rFonts w:eastAsia="Calibri"/>
          <w:sz w:val="18"/>
          <w:szCs w:val="20"/>
          <w:rtl/>
        </w:rPr>
        <w:t xml:space="preserve">-נט ובשיתוף חוקרים מאוניברסיטת תל אביב, ביקש המשרד ללמוד על שיעורי התמיכה </w:t>
      </w:r>
      <w:r w:rsidRPr="00911580">
        <w:rPr>
          <w:rFonts w:eastAsia="Calibri" w:hint="cs"/>
          <w:sz w:val="18"/>
          <w:szCs w:val="20"/>
          <w:rtl/>
        </w:rPr>
        <w:t>ב</w:t>
      </w:r>
      <w:r w:rsidRPr="00911580">
        <w:rPr>
          <w:rFonts w:eastAsia="Calibri"/>
          <w:sz w:val="18"/>
          <w:szCs w:val="20"/>
          <w:rtl/>
        </w:rPr>
        <w:t xml:space="preserve">הפרטה וההתנגדות </w:t>
      </w:r>
      <w:r w:rsidRPr="00911580">
        <w:rPr>
          <w:rFonts w:eastAsia="Calibri" w:hint="cs"/>
          <w:sz w:val="18"/>
          <w:szCs w:val="20"/>
          <w:rtl/>
        </w:rPr>
        <w:t>לה בקרב ה</w:t>
      </w:r>
      <w:r w:rsidRPr="00911580">
        <w:rPr>
          <w:rFonts w:eastAsia="Calibri"/>
          <w:sz w:val="18"/>
          <w:szCs w:val="20"/>
          <w:rtl/>
        </w:rPr>
        <w:t xml:space="preserve">ציבור, הן ברמה העקרונית והכוללנית הן כמדיניות המוכוונת לתחומים </w:t>
      </w:r>
      <w:r w:rsidRPr="00911580">
        <w:rPr>
          <w:rFonts w:eastAsia="Calibri" w:hint="cs"/>
          <w:sz w:val="18"/>
          <w:szCs w:val="20"/>
          <w:rtl/>
        </w:rPr>
        <w:t xml:space="preserve">ספציפיים </w:t>
      </w:r>
      <w:r w:rsidRPr="00911580">
        <w:rPr>
          <w:rFonts w:eastAsia="Calibri"/>
          <w:sz w:val="18"/>
          <w:szCs w:val="20"/>
          <w:rtl/>
        </w:rPr>
        <w:t xml:space="preserve">דוגמת בריאות, חינוך, משק החשמל ועוד. </w:t>
      </w:r>
    </w:p>
    <w:p w14:paraId="43DE5674" w14:textId="77777777" w:rsidR="00B4735A" w:rsidRPr="00911580" w:rsidRDefault="00B4735A" w:rsidP="00911580">
      <w:pPr>
        <w:spacing w:after="180" w:line="280" w:lineRule="exact"/>
        <w:jc w:val="both"/>
        <w:rPr>
          <w:rFonts w:eastAsia="Calibri"/>
          <w:sz w:val="18"/>
          <w:szCs w:val="20"/>
          <w:rtl/>
        </w:rPr>
      </w:pPr>
    </w:p>
    <w:p w14:paraId="43A7836C" w14:textId="52FF1DC7" w:rsidR="00B4735A" w:rsidRPr="00B4735A" w:rsidRDefault="00B4735A" w:rsidP="00B4735A">
      <w:pPr>
        <w:pStyle w:val="KOT5"/>
        <w:spacing w:after="0"/>
        <w:ind w:right="0"/>
        <w:rPr>
          <w:rFonts w:cs="Guttman Aharoni"/>
          <w:color w:val="00B0F0"/>
          <w:rtl/>
        </w:rPr>
      </w:pPr>
      <w:r w:rsidRPr="00B4735A">
        <w:rPr>
          <w:rFonts w:cs="Guttman Aharoni" w:hint="cs"/>
          <w:color w:val="00B0F0"/>
          <w:rtl/>
        </w:rPr>
        <w:t>אוכלוסיית הסקר</w:t>
      </w:r>
    </w:p>
    <w:p w14:paraId="0C699390" w14:textId="2352F34E" w:rsidR="00B4735A" w:rsidRPr="00911580" w:rsidRDefault="00B4735A" w:rsidP="00115BC6">
      <w:pPr>
        <w:spacing w:after="180" w:line="280" w:lineRule="exact"/>
        <w:jc w:val="both"/>
        <w:rPr>
          <w:rFonts w:eastAsia="Calibri"/>
          <w:sz w:val="18"/>
          <w:szCs w:val="20"/>
          <w:rtl/>
        </w:rPr>
      </w:pPr>
      <w:r w:rsidRPr="00911580">
        <w:rPr>
          <w:rFonts w:eastAsia="Calibri" w:hint="cs"/>
          <w:sz w:val="18"/>
          <w:szCs w:val="20"/>
          <w:rtl/>
        </w:rPr>
        <w:t xml:space="preserve">אוכלוסיית הסקר הייתה </w:t>
      </w:r>
      <w:r w:rsidRPr="00911580">
        <w:rPr>
          <w:rFonts w:eastAsia="Calibri"/>
          <w:sz w:val="18"/>
          <w:szCs w:val="20"/>
          <w:rtl/>
        </w:rPr>
        <w:t xml:space="preserve">האוכלוסייה הבוגרת של מדינת ישראל (18 ומעלה) – מדגם </w:t>
      </w:r>
      <w:r w:rsidR="00115BC6">
        <w:rPr>
          <w:rFonts w:eastAsia="Calibri" w:hint="cs"/>
          <w:sz w:val="18"/>
          <w:szCs w:val="20"/>
          <w:rtl/>
        </w:rPr>
        <w:t>שכלל</w:t>
      </w:r>
      <w:r w:rsidRPr="00911580">
        <w:rPr>
          <w:rFonts w:eastAsia="Calibri"/>
          <w:sz w:val="18"/>
          <w:szCs w:val="20"/>
          <w:rtl/>
        </w:rPr>
        <w:t xml:space="preserve"> הציבור היהודי והלא-יהודי. אוכלוסיית המדגם מייצגת את אוכלוסיית ישראל לפי חתכים סוציו-דמוגרפיים מקובלים, לרבות גיל, מין, מיקום גיאוגרפי, השתייכות אתנית, מעמד כלכלי, מצב משפחתי ועוד. במקרים מסוימים הוגדל משקלן של קבוצות מיעוט מעבר לחלקן באוכלוסייה לצרכים סטטיסטיים. בהמשך תוקננו תוצאות הסקר לפי הצורך </w:t>
      </w:r>
      <w:r w:rsidRPr="00911580">
        <w:rPr>
          <w:rFonts w:eastAsia="Calibri" w:hint="cs"/>
          <w:sz w:val="18"/>
          <w:szCs w:val="20"/>
          <w:rtl/>
        </w:rPr>
        <w:t>כדי</w:t>
      </w:r>
      <w:r w:rsidRPr="00911580">
        <w:rPr>
          <w:rFonts w:eastAsia="Calibri"/>
          <w:sz w:val="18"/>
          <w:szCs w:val="20"/>
          <w:rtl/>
        </w:rPr>
        <w:t xml:space="preserve"> להתאימן להרכב הדמוגרפי של אוכלוסיית המדינה.</w:t>
      </w:r>
    </w:p>
    <w:p w14:paraId="494EC02C" w14:textId="77777777" w:rsidR="00B4735A" w:rsidRPr="00911580" w:rsidRDefault="00B4735A" w:rsidP="00911580">
      <w:pPr>
        <w:spacing w:after="180" w:line="280" w:lineRule="exact"/>
        <w:jc w:val="both"/>
        <w:rPr>
          <w:rFonts w:eastAsia="Calibri"/>
          <w:sz w:val="18"/>
          <w:szCs w:val="20"/>
        </w:rPr>
      </w:pPr>
      <w:r w:rsidRPr="00911580">
        <w:rPr>
          <w:rFonts w:eastAsia="Calibri" w:hint="cs"/>
          <w:sz w:val="18"/>
          <w:szCs w:val="20"/>
          <w:rtl/>
        </w:rPr>
        <w:t>בסקר השתתפו 1,142 אזרחי ישראל, מהם 595 גברים (52%) ו-547 נשים (48%). כל הנסקרים היו בני 18 ומעלה. גילם הממוצע עמד על כ-49 שנים (חציון 48 שנים, סטיית תקן 17.59).</w:t>
      </w:r>
    </w:p>
    <w:p w14:paraId="6D2F2F0C" w14:textId="77777777" w:rsidR="00B4735A" w:rsidRPr="00911580" w:rsidRDefault="00B4735A" w:rsidP="00911580">
      <w:pPr>
        <w:spacing w:after="180" w:line="280" w:lineRule="exact"/>
        <w:jc w:val="both"/>
        <w:rPr>
          <w:rFonts w:eastAsia="Calibri"/>
          <w:sz w:val="18"/>
          <w:szCs w:val="20"/>
          <w:rtl/>
        </w:rPr>
      </w:pPr>
      <w:r w:rsidRPr="00911580">
        <w:rPr>
          <w:rFonts w:eastAsia="Calibri" w:hint="cs"/>
          <w:sz w:val="18"/>
          <w:szCs w:val="20"/>
          <w:rtl/>
        </w:rPr>
        <w:t>ה</w:t>
      </w:r>
      <w:r w:rsidRPr="00911580">
        <w:rPr>
          <w:rFonts w:eastAsia="Calibri"/>
          <w:sz w:val="18"/>
          <w:szCs w:val="20"/>
          <w:rtl/>
        </w:rPr>
        <w:t xml:space="preserve">סקר </w:t>
      </w:r>
      <w:r w:rsidRPr="00911580">
        <w:rPr>
          <w:rFonts w:eastAsia="Calibri" w:hint="cs"/>
          <w:sz w:val="18"/>
          <w:szCs w:val="20"/>
          <w:rtl/>
        </w:rPr>
        <w:t xml:space="preserve">היה סקר </w:t>
      </w:r>
      <w:r w:rsidRPr="00911580">
        <w:rPr>
          <w:rFonts w:eastAsia="Calibri"/>
          <w:sz w:val="18"/>
          <w:szCs w:val="20"/>
          <w:rtl/>
        </w:rPr>
        <w:t xml:space="preserve">טלפוני מקיף (טלפונים נייחים וניידים) </w:t>
      </w:r>
      <w:r w:rsidRPr="00911580">
        <w:rPr>
          <w:rFonts w:eastAsia="Calibri" w:hint="cs"/>
          <w:sz w:val="18"/>
          <w:szCs w:val="20"/>
          <w:rtl/>
        </w:rPr>
        <w:t>ו</w:t>
      </w:r>
      <w:r w:rsidRPr="00911580">
        <w:rPr>
          <w:rFonts w:eastAsia="Calibri"/>
          <w:sz w:val="18"/>
          <w:szCs w:val="20"/>
          <w:rtl/>
        </w:rPr>
        <w:t xml:space="preserve">נערך באמצעות שאלון מובנה </w:t>
      </w:r>
      <w:r w:rsidRPr="00911580">
        <w:rPr>
          <w:rFonts w:eastAsia="Calibri" w:hint="cs"/>
          <w:sz w:val="18"/>
          <w:szCs w:val="20"/>
          <w:rtl/>
        </w:rPr>
        <w:t xml:space="preserve">בן </w:t>
      </w:r>
      <w:r w:rsidRPr="00911580">
        <w:rPr>
          <w:rFonts w:eastAsia="Calibri"/>
          <w:sz w:val="18"/>
          <w:szCs w:val="20"/>
          <w:rtl/>
        </w:rPr>
        <w:t>שני חלקים עיקריים:</w:t>
      </w:r>
      <w:r w:rsidRPr="00911580">
        <w:rPr>
          <w:rFonts w:eastAsia="Calibri" w:hint="cs"/>
          <w:sz w:val="18"/>
          <w:szCs w:val="20"/>
          <w:rtl/>
        </w:rPr>
        <w:t xml:space="preserve"> (1) </w:t>
      </w:r>
      <w:r w:rsidRPr="00911580">
        <w:rPr>
          <w:rFonts w:eastAsia="Calibri"/>
          <w:sz w:val="18"/>
          <w:szCs w:val="20"/>
          <w:rtl/>
        </w:rPr>
        <w:t>מקבץ שאלות והיגדים בנושא הפרטה</w:t>
      </w:r>
      <w:r w:rsidRPr="00911580">
        <w:rPr>
          <w:rFonts w:eastAsia="Calibri" w:hint="cs"/>
          <w:sz w:val="18"/>
          <w:szCs w:val="20"/>
          <w:rtl/>
        </w:rPr>
        <w:t>:</w:t>
      </w:r>
      <w:r w:rsidRPr="00911580">
        <w:rPr>
          <w:rFonts w:eastAsia="Calibri"/>
          <w:sz w:val="18"/>
          <w:szCs w:val="20"/>
          <w:rtl/>
        </w:rPr>
        <w:t xml:space="preserve"> הנשאלים התבקשו להביע את </w:t>
      </w:r>
      <w:r w:rsidRPr="00911580">
        <w:rPr>
          <w:rFonts w:eastAsia="Calibri"/>
          <w:sz w:val="18"/>
          <w:szCs w:val="20"/>
          <w:rtl/>
        </w:rPr>
        <w:lastRenderedPageBreak/>
        <w:t xml:space="preserve">דעתם בנושא באמצעות שאלות סגורות </w:t>
      </w:r>
      <w:r w:rsidRPr="00911580">
        <w:rPr>
          <w:rFonts w:eastAsia="Calibri" w:hint="cs"/>
          <w:sz w:val="18"/>
          <w:szCs w:val="20"/>
          <w:rtl/>
        </w:rPr>
        <w:t>ש</w:t>
      </w:r>
      <w:r w:rsidRPr="00911580">
        <w:rPr>
          <w:rFonts w:eastAsia="Calibri"/>
          <w:sz w:val="18"/>
          <w:szCs w:val="20"/>
          <w:rtl/>
        </w:rPr>
        <w:t xml:space="preserve">ישיבו </w:t>
      </w:r>
      <w:r w:rsidRPr="00911580">
        <w:rPr>
          <w:rFonts w:eastAsia="Calibri" w:hint="cs"/>
          <w:sz w:val="18"/>
          <w:szCs w:val="20"/>
          <w:rtl/>
        </w:rPr>
        <w:t xml:space="preserve">עליהן </w:t>
      </w:r>
      <w:r w:rsidRPr="00911580">
        <w:rPr>
          <w:rFonts w:eastAsia="Calibri"/>
          <w:sz w:val="18"/>
          <w:szCs w:val="20"/>
          <w:rtl/>
        </w:rPr>
        <w:t>"כן/לא", "תומך/מתנגד"</w:t>
      </w:r>
      <w:r w:rsidRPr="00911580">
        <w:rPr>
          <w:rFonts w:eastAsia="Calibri" w:hint="cs"/>
          <w:sz w:val="18"/>
          <w:szCs w:val="20"/>
          <w:rtl/>
        </w:rPr>
        <w:t xml:space="preserve">, או באמצעות </w:t>
      </w:r>
      <w:r w:rsidRPr="00911580">
        <w:rPr>
          <w:rFonts w:eastAsia="Calibri"/>
          <w:sz w:val="18"/>
          <w:szCs w:val="20"/>
          <w:rtl/>
        </w:rPr>
        <w:t>סולם המבטא דרגות הסכמה להיגדים העוסקים במדיניות ההפרטה</w:t>
      </w:r>
      <w:r w:rsidRPr="00911580">
        <w:rPr>
          <w:rFonts w:eastAsia="Calibri" w:hint="cs"/>
          <w:sz w:val="18"/>
          <w:szCs w:val="20"/>
          <w:rtl/>
        </w:rPr>
        <w:t xml:space="preserve">; (2) </w:t>
      </w:r>
      <w:r w:rsidRPr="00911580">
        <w:rPr>
          <w:rFonts w:eastAsia="Calibri"/>
          <w:sz w:val="18"/>
          <w:szCs w:val="20"/>
          <w:rtl/>
        </w:rPr>
        <w:t xml:space="preserve">מקבץ שאלות ומשתני רקע רלוונטיים אשר עשויים להימצא בזיקה לדעתו של הנשאל על מדיניות ההפרטה, </w:t>
      </w:r>
      <w:r w:rsidRPr="00911580">
        <w:rPr>
          <w:rFonts w:eastAsia="Calibri" w:hint="cs"/>
          <w:sz w:val="18"/>
          <w:szCs w:val="20"/>
          <w:rtl/>
        </w:rPr>
        <w:t>ובהם</w:t>
      </w:r>
      <w:r w:rsidRPr="00911580">
        <w:rPr>
          <w:rFonts w:eastAsia="Calibri"/>
          <w:sz w:val="18"/>
          <w:szCs w:val="20"/>
          <w:rtl/>
        </w:rPr>
        <w:t xml:space="preserve"> מין, גיל, מעמד כלכלי-חברתי, רמת השכלה, השקפה כלכלית-חברתית, אמון בשירות הציבורי ועוד.</w:t>
      </w:r>
    </w:p>
    <w:p w14:paraId="42EB24AA" w14:textId="5444BEB4" w:rsidR="00B4735A" w:rsidRPr="00911580" w:rsidRDefault="00B4735A" w:rsidP="00911580">
      <w:pPr>
        <w:pStyle w:val="tab-name"/>
        <w:spacing w:before="300" w:line="260" w:lineRule="exact"/>
        <w:ind w:right="0"/>
        <w:rPr>
          <w:rFonts w:cs="Guttman Aharoni"/>
          <w:color w:val="auto"/>
          <w:sz w:val="20"/>
          <w:szCs w:val="20"/>
        </w:rPr>
      </w:pPr>
      <w:r w:rsidRPr="00911580">
        <w:rPr>
          <w:rFonts w:cs="Guttman Aharoni" w:hint="eastAsia"/>
          <w:color w:val="auto"/>
          <w:sz w:val="20"/>
          <w:szCs w:val="20"/>
          <w:rtl/>
        </w:rPr>
        <w:t>לוח</w:t>
      </w:r>
      <w:r w:rsidRPr="00911580">
        <w:rPr>
          <w:rFonts w:cs="Guttman Aharoni"/>
          <w:color w:val="auto"/>
          <w:sz w:val="20"/>
          <w:szCs w:val="20"/>
          <w:rtl/>
        </w:rPr>
        <w:t xml:space="preserve"> 1</w:t>
      </w:r>
      <w:r w:rsidR="00911580" w:rsidRPr="00911580">
        <w:rPr>
          <w:rFonts w:cs="Guttman Aharoni" w:hint="cs"/>
          <w:color w:val="auto"/>
          <w:sz w:val="20"/>
          <w:szCs w:val="20"/>
          <w:rtl/>
        </w:rPr>
        <w:t xml:space="preserve">: </w:t>
      </w:r>
      <w:r w:rsidRPr="00911580">
        <w:rPr>
          <w:rFonts w:cs="Guttman Aharoni" w:hint="cs"/>
          <w:color w:val="auto"/>
          <w:sz w:val="20"/>
          <w:szCs w:val="20"/>
          <w:rtl/>
        </w:rPr>
        <w:t>סיכום משתנים סוציו</w:t>
      </w:r>
      <w:r w:rsidRPr="00507134">
        <w:rPr>
          <w:rFonts w:ascii="David" w:hAnsi="David" w:cs="David"/>
          <w:color w:val="auto"/>
          <w:sz w:val="20"/>
          <w:szCs w:val="20"/>
          <w:rtl/>
        </w:rPr>
        <w:t>-</w:t>
      </w:r>
      <w:r w:rsidRPr="00911580">
        <w:rPr>
          <w:rFonts w:cs="Guttman Aharoni" w:hint="cs"/>
          <w:color w:val="auto"/>
          <w:sz w:val="20"/>
          <w:szCs w:val="20"/>
          <w:rtl/>
        </w:rPr>
        <w:t>דמוגרפיים עיקריים באוכלוסיית המדגם</w:t>
      </w:r>
    </w:p>
    <w:tbl>
      <w:tblPr>
        <w:tblW w:w="3969" w:type="dxa"/>
        <w:jc w:val="right"/>
        <w:tblBorders>
          <w:top w:val="single" w:sz="8" w:space="0" w:color="auto"/>
          <w:left w:val="single" w:sz="8" w:space="0" w:color="auto"/>
          <w:bottom w:val="single" w:sz="8" w:space="0" w:color="auto"/>
          <w:right w:val="single" w:sz="8" w:space="0" w:color="auto"/>
          <w:insideV w:val="single" w:sz="4" w:space="0" w:color="auto"/>
        </w:tblBorders>
        <w:tblLook w:val="04A0" w:firstRow="1" w:lastRow="0" w:firstColumn="1" w:lastColumn="0" w:noHBand="0" w:noVBand="1"/>
      </w:tblPr>
      <w:tblGrid>
        <w:gridCol w:w="1870"/>
        <w:gridCol w:w="2099"/>
      </w:tblGrid>
      <w:tr w:rsidR="00507134" w:rsidRPr="006B2D00" w14:paraId="0A03E93D" w14:textId="77777777" w:rsidTr="002C3F84">
        <w:trPr>
          <w:jc w:val="right"/>
        </w:trPr>
        <w:tc>
          <w:tcPr>
            <w:tcW w:w="2765" w:type="dxa"/>
            <w:tcBorders>
              <w:top w:val="single" w:sz="8" w:space="0" w:color="auto"/>
              <w:bottom w:val="single" w:sz="8" w:space="0" w:color="auto"/>
            </w:tcBorders>
            <w:shd w:val="clear" w:color="auto" w:fill="auto"/>
          </w:tcPr>
          <w:p w14:paraId="26B4C16A" w14:textId="58A64571" w:rsidR="00507134" w:rsidRPr="002C3F84" w:rsidRDefault="00365A58" w:rsidP="002C3F84">
            <w:pPr>
              <w:tabs>
                <w:tab w:val="left" w:pos="1148"/>
              </w:tabs>
              <w:spacing w:before="60" w:after="60" w:line="220" w:lineRule="exact"/>
              <w:rPr>
                <w:rFonts w:ascii="Calibri" w:eastAsia="Calibri" w:hAnsi="Calibri"/>
                <w:sz w:val="16"/>
                <w:szCs w:val="18"/>
                <w:highlight w:val="yellow"/>
              </w:rPr>
            </w:pPr>
            <w:r w:rsidRPr="00365A58">
              <w:rPr>
                <w:rFonts w:ascii="Calibri" w:eastAsia="Calibri" w:hAnsi="Calibri"/>
                <w:sz w:val="16"/>
                <w:szCs w:val="18"/>
                <w:rtl/>
              </w:rPr>
              <w:t>ערכים</w:t>
            </w:r>
          </w:p>
        </w:tc>
        <w:tc>
          <w:tcPr>
            <w:tcW w:w="2765" w:type="dxa"/>
            <w:tcBorders>
              <w:top w:val="single" w:sz="8" w:space="0" w:color="auto"/>
              <w:bottom w:val="single" w:sz="8" w:space="0" w:color="auto"/>
            </w:tcBorders>
            <w:shd w:val="clear" w:color="auto" w:fill="auto"/>
          </w:tcPr>
          <w:p w14:paraId="7F6CBFB8" w14:textId="144088AC" w:rsidR="00507134" w:rsidRPr="002C3F84" w:rsidRDefault="00365A58" w:rsidP="002C3F84">
            <w:pPr>
              <w:tabs>
                <w:tab w:val="left" w:pos="1148"/>
              </w:tabs>
              <w:spacing w:before="60" w:after="60" w:line="220" w:lineRule="exact"/>
              <w:rPr>
                <w:rFonts w:ascii="Calibri" w:eastAsia="Calibri" w:hAnsi="Calibri"/>
                <w:sz w:val="16"/>
                <w:szCs w:val="18"/>
                <w:highlight w:val="yellow"/>
                <w:rtl/>
              </w:rPr>
            </w:pPr>
            <w:r w:rsidRPr="00365A58">
              <w:rPr>
                <w:rFonts w:ascii="Calibri" w:eastAsia="Calibri" w:hAnsi="Calibri"/>
                <w:sz w:val="16"/>
                <w:szCs w:val="18"/>
                <w:rtl/>
              </w:rPr>
              <w:t>משתנים וקטגוריות עיקריות</w:t>
            </w:r>
          </w:p>
        </w:tc>
      </w:tr>
      <w:tr w:rsidR="002C3F84" w:rsidRPr="006B2D00" w14:paraId="1792AE03" w14:textId="77777777" w:rsidTr="002C3F84">
        <w:trPr>
          <w:jc w:val="right"/>
        </w:trPr>
        <w:tc>
          <w:tcPr>
            <w:tcW w:w="2765" w:type="dxa"/>
            <w:tcBorders>
              <w:top w:val="single" w:sz="8" w:space="0" w:color="auto"/>
            </w:tcBorders>
            <w:shd w:val="clear" w:color="auto" w:fill="auto"/>
          </w:tcPr>
          <w:p w14:paraId="51EA5517" w14:textId="77777777" w:rsidR="00B4735A" w:rsidRPr="002C3F84" w:rsidRDefault="00B4735A" w:rsidP="002C3F84">
            <w:pPr>
              <w:tabs>
                <w:tab w:val="left" w:pos="1148"/>
              </w:tabs>
              <w:spacing w:before="60" w:after="60" w:line="220" w:lineRule="exact"/>
              <w:rPr>
                <w:rFonts w:ascii="Calibri" w:eastAsia="Calibri" w:hAnsi="Calibri"/>
                <w:sz w:val="16"/>
                <w:szCs w:val="18"/>
              </w:rPr>
            </w:pPr>
            <w:r w:rsidRPr="002C3F84">
              <w:rPr>
                <w:rFonts w:eastAsia="Calibri"/>
                <w:sz w:val="16"/>
                <w:szCs w:val="18"/>
              </w:rPr>
              <w:t>595 (52)</w:t>
            </w:r>
          </w:p>
        </w:tc>
        <w:tc>
          <w:tcPr>
            <w:tcW w:w="2765" w:type="dxa"/>
            <w:tcBorders>
              <w:top w:val="single" w:sz="8" w:space="0" w:color="auto"/>
            </w:tcBorders>
            <w:shd w:val="clear" w:color="auto" w:fill="auto"/>
          </w:tcPr>
          <w:p w14:paraId="25CF2A33" w14:textId="77777777" w:rsidR="00B4735A" w:rsidRPr="002C3F84" w:rsidRDefault="00B4735A" w:rsidP="002C3F84">
            <w:pPr>
              <w:tabs>
                <w:tab w:val="left" w:pos="1148"/>
              </w:tabs>
              <w:spacing w:before="60" w:after="60" w:line="220" w:lineRule="exact"/>
              <w:rPr>
                <w:rFonts w:ascii="Calibri" w:eastAsia="Calibri" w:hAnsi="Calibri"/>
                <w:sz w:val="16"/>
                <w:szCs w:val="18"/>
                <w:rtl/>
              </w:rPr>
            </w:pPr>
            <w:r w:rsidRPr="002C3F84">
              <w:rPr>
                <w:rFonts w:eastAsia="Calibri" w:hint="cs"/>
                <w:sz w:val="16"/>
                <w:szCs w:val="18"/>
                <w:rtl/>
              </w:rPr>
              <w:t xml:space="preserve">גברים, </w:t>
            </w:r>
            <w:r w:rsidRPr="002C3F84">
              <w:rPr>
                <w:rFonts w:eastAsia="Calibri"/>
                <w:sz w:val="16"/>
                <w:szCs w:val="18"/>
              </w:rPr>
              <w:t>n</w:t>
            </w:r>
            <w:r w:rsidRPr="002C3F84">
              <w:rPr>
                <w:rFonts w:eastAsia="Calibri" w:hint="cs"/>
                <w:sz w:val="16"/>
                <w:szCs w:val="18"/>
                <w:rtl/>
              </w:rPr>
              <w:t xml:space="preserve"> (%)</w:t>
            </w:r>
          </w:p>
        </w:tc>
      </w:tr>
      <w:tr w:rsidR="002C3F84" w:rsidRPr="006B2D00" w14:paraId="3FC5ABC2" w14:textId="77777777" w:rsidTr="002C3F84">
        <w:trPr>
          <w:jc w:val="right"/>
        </w:trPr>
        <w:tc>
          <w:tcPr>
            <w:tcW w:w="2765" w:type="dxa"/>
            <w:shd w:val="clear" w:color="auto" w:fill="auto"/>
          </w:tcPr>
          <w:p w14:paraId="712A6781" w14:textId="77777777" w:rsidR="00B4735A" w:rsidRPr="002C3F84" w:rsidRDefault="00B4735A" w:rsidP="002C3F84">
            <w:pPr>
              <w:tabs>
                <w:tab w:val="left" w:pos="1148"/>
              </w:tabs>
              <w:spacing w:before="60" w:after="60" w:line="220" w:lineRule="exact"/>
              <w:rPr>
                <w:rFonts w:ascii="Calibri" w:eastAsia="Calibri" w:hAnsi="Calibri"/>
                <w:sz w:val="16"/>
                <w:szCs w:val="18"/>
              </w:rPr>
            </w:pPr>
            <w:r w:rsidRPr="002C3F84">
              <w:rPr>
                <w:rFonts w:eastAsia="Calibri"/>
                <w:sz w:val="16"/>
                <w:szCs w:val="18"/>
              </w:rPr>
              <w:t>49 [48]</w:t>
            </w:r>
          </w:p>
        </w:tc>
        <w:tc>
          <w:tcPr>
            <w:tcW w:w="2765" w:type="dxa"/>
            <w:shd w:val="clear" w:color="auto" w:fill="auto"/>
          </w:tcPr>
          <w:p w14:paraId="02D1A578" w14:textId="77777777" w:rsidR="00B4735A" w:rsidRPr="002C3F84" w:rsidRDefault="00B4735A" w:rsidP="002C3F84">
            <w:pPr>
              <w:tabs>
                <w:tab w:val="left" w:pos="1148"/>
              </w:tabs>
              <w:spacing w:before="60" w:after="60" w:line="220" w:lineRule="exact"/>
              <w:rPr>
                <w:rFonts w:ascii="Calibri" w:eastAsia="Calibri" w:hAnsi="Calibri"/>
                <w:sz w:val="16"/>
                <w:szCs w:val="18"/>
                <w:rtl/>
              </w:rPr>
            </w:pPr>
            <w:r w:rsidRPr="002C3F84">
              <w:rPr>
                <w:rFonts w:eastAsia="Calibri" w:hint="cs"/>
                <w:sz w:val="16"/>
                <w:szCs w:val="18"/>
                <w:rtl/>
              </w:rPr>
              <w:t>גיל, ממוצע [חציון]</w:t>
            </w:r>
          </w:p>
        </w:tc>
      </w:tr>
      <w:tr w:rsidR="002C3F84" w:rsidRPr="006B2D00" w14:paraId="46E0C3E1" w14:textId="77777777" w:rsidTr="002C3F84">
        <w:trPr>
          <w:jc w:val="right"/>
        </w:trPr>
        <w:tc>
          <w:tcPr>
            <w:tcW w:w="2765" w:type="dxa"/>
            <w:shd w:val="clear" w:color="auto" w:fill="auto"/>
          </w:tcPr>
          <w:p w14:paraId="1D5B100A" w14:textId="77777777" w:rsidR="00B4735A" w:rsidRPr="002C3F84" w:rsidRDefault="00B4735A" w:rsidP="002C3F84">
            <w:pPr>
              <w:tabs>
                <w:tab w:val="left" w:pos="1148"/>
              </w:tabs>
              <w:spacing w:before="60" w:after="60" w:line="220" w:lineRule="exact"/>
              <w:rPr>
                <w:rFonts w:ascii="Calibri" w:eastAsia="Calibri" w:hAnsi="Calibri"/>
                <w:sz w:val="16"/>
                <w:szCs w:val="18"/>
              </w:rPr>
            </w:pPr>
            <w:r w:rsidRPr="002C3F84">
              <w:rPr>
                <w:rFonts w:eastAsia="Calibri"/>
                <w:sz w:val="16"/>
                <w:szCs w:val="18"/>
              </w:rPr>
              <w:t>776 (68)</w:t>
            </w:r>
          </w:p>
        </w:tc>
        <w:tc>
          <w:tcPr>
            <w:tcW w:w="2765" w:type="dxa"/>
            <w:shd w:val="clear" w:color="auto" w:fill="auto"/>
          </w:tcPr>
          <w:p w14:paraId="498322F4" w14:textId="77777777" w:rsidR="00B4735A" w:rsidRPr="002C3F84" w:rsidRDefault="00B4735A" w:rsidP="002C3F84">
            <w:pPr>
              <w:tabs>
                <w:tab w:val="left" w:pos="1148"/>
              </w:tabs>
              <w:spacing w:before="60" w:after="60" w:line="220" w:lineRule="exact"/>
              <w:rPr>
                <w:rFonts w:ascii="Calibri" w:eastAsia="Calibri" w:hAnsi="Calibri"/>
                <w:sz w:val="16"/>
                <w:szCs w:val="18"/>
                <w:rtl/>
              </w:rPr>
            </w:pPr>
            <w:r w:rsidRPr="002C3F84">
              <w:rPr>
                <w:rFonts w:eastAsia="Calibri" w:hint="cs"/>
                <w:sz w:val="16"/>
                <w:szCs w:val="18"/>
                <w:rtl/>
              </w:rPr>
              <w:t xml:space="preserve">יהודים, </w:t>
            </w:r>
            <w:r w:rsidRPr="002C3F84">
              <w:rPr>
                <w:rFonts w:eastAsia="Calibri"/>
                <w:sz w:val="16"/>
                <w:szCs w:val="18"/>
              </w:rPr>
              <w:t>n</w:t>
            </w:r>
            <w:r w:rsidRPr="002C3F84">
              <w:rPr>
                <w:rFonts w:eastAsia="Calibri" w:hint="cs"/>
                <w:sz w:val="16"/>
                <w:szCs w:val="18"/>
                <w:rtl/>
              </w:rPr>
              <w:t xml:space="preserve"> (%)</w:t>
            </w:r>
          </w:p>
        </w:tc>
      </w:tr>
      <w:tr w:rsidR="002C3F84" w:rsidRPr="006B2D00" w14:paraId="6D0FA861" w14:textId="77777777" w:rsidTr="002C3F84">
        <w:trPr>
          <w:jc w:val="right"/>
        </w:trPr>
        <w:tc>
          <w:tcPr>
            <w:tcW w:w="2765" w:type="dxa"/>
            <w:shd w:val="clear" w:color="auto" w:fill="auto"/>
          </w:tcPr>
          <w:p w14:paraId="37C77564" w14:textId="77777777" w:rsidR="00B4735A" w:rsidRPr="002C3F84" w:rsidRDefault="00B4735A" w:rsidP="002C3F84">
            <w:pPr>
              <w:tabs>
                <w:tab w:val="left" w:pos="1148"/>
              </w:tabs>
              <w:spacing w:before="60" w:after="60" w:line="220" w:lineRule="exact"/>
              <w:rPr>
                <w:rFonts w:ascii="Calibri" w:eastAsia="Calibri" w:hAnsi="Calibri"/>
                <w:sz w:val="16"/>
                <w:szCs w:val="18"/>
              </w:rPr>
            </w:pPr>
            <w:r w:rsidRPr="002C3F84">
              <w:rPr>
                <w:rFonts w:eastAsia="Calibri"/>
                <w:sz w:val="16"/>
                <w:szCs w:val="18"/>
              </w:rPr>
              <w:t>400 (35)</w:t>
            </w:r>
          </w:p>
        </w:tc>
        <w:tc>
          <w:tcPr>
            <w:tcW w:w="2765" w:type="dxa"/>
            <w:shd w:val="clear" w:color="auto" w:fill="auto"/>
          </w:tcPr>
          <w:p w14:paraId="79EF5152" w14:textId="77777777" w:rsidR="00B4735A" w:rsidRPr="002C3F84" w:rsidRDefault="00B4735A" w:rsidP="002C3F84">
            <w:pPr>
              <w:tabs>
                <w:tab w:val="left" w:pos="1148"/>
              </w:tabs>
              <w:spacing w:before="60" w:after="60" w:line="220" w:lineRule="exact"/>
              <w:rPr>
                <w:rFonts w:ascii="Calibri" w:eastAsia="Calibri" w:hAnsi="Calibri"/>
                <w:sz w:val="16"/>
                <w:szCs w:val="18"/>
                <w:rtl/>
              </w:rPr>
            </w:pPr>
            <w:r w:rsidRPr="002C3F84">
              <w:rPr>
                <w:rFonts w:eastAsia="Calibri" w:hint="cs"/>
                <w:sz w:val="16"/>
                <w:szCs w:val="18"/>
                <w:rtl/>
              </w:rPr>
              <w:t xml:space="preserve">חילונים, </w:t>
            </w:r>
            <w:r w:rsidRPr="002C3F84">
              <w:rPr>
                <w:rFonts w:eastAsia="Calibri"/>
                <w:sz w:val="16"/>
                <w:szCs w:val="18"/>
              </w:rPr>
              <w:t>n</w:t>
            </w:r>
            <w:r w:rsidRPr="002C3F84">
              <w:rPr>
                <w:rFonts w:eastAsia="Calibri" w:hint="cs"/>
                <w:sz w:val="16"/>
                <w:szCs w:val="18"/>
                <w:rtl/>
              </w:rPr>
              <w:t xml:space="preserve"> (%)</w:t>
            </w:r>
          </w:p>
        </w:tc>
      </w:tr>
      <w:tr w:rsidR="002C3F84" w:rsidRPr="006B2D00" w14:paraId="76AE06E4" w14:textId="77777777" w:rsidTr="002C3F84">
        <w:trPr>
          <w:jc w:val="right"/>
        </w:trPr>
        <w:tc>
          <w:tcPr>
            <w:tcW w:w="2765" w:type="dxa"/>
            <w:shd w:val="clear" w:color="auto" w:fill="auto"/>
          </w:tcPr>
          <w:p w14:paraId="0CBB792B" w14:textId="77777777" w:rsidR="00B4735A" w:rsidRPr="002C3F84" w:rsidRDefault="00B4735A" w:rsidP="002C3F84">
            <w:pPr>
              <w:tabs>
                <w:tab w:val="left" w:pos="1148"/>
              </w:tabs>
              <w:spacing w:before="60" w:after="60" w:line="220" w:lineRule="exact"/>
              <w:rPr>
                <w:rFonts w:ascii="Calibri" w:eastAsia="Calibri" w:hAnsi="Calibri"/>
                <w:sz w:val="16"/>
                <w:szCs w:val="18"/>
              </w:rPr>
            </w:pPr>
            <w:r w:rsidRPr="002C3F84">
              <w:rPr>
                <w:rFonts w:eastAsia="Calibri"/>
                <w:sz w:val="16"/>
                <w:szCs w:val="18"/>
              </w:rPr>
              <w:t>502 (44)</w:t>
            </w:r>
          </w:p>
        </w:tc>
        <w:tc>
          <w:tcPr>
            <w:tcW w:w="2765" w:type="dxa"/>
            <w:shd w:val="clear" w:color="auto" w:fill="auto"/>
          </w:tcPr>
          <w:p w14:paraId="0F2417B4" w14:textId="77777777" w:rsidR="00B4735A" w:rsidRPr="002C3F84" w:rsidRDefault="00B4735A" w:rsidP="002C3F84">
            <w:pPr>
              <w:tabs>
                <w:tab w:val="left" w:pos="1148"/>
              </w:tabs>
              <w:spacing w:before="60" w:after="60" w:line="220" w:lineRule="exact"/>
              <w:rPr>
                <w:rFonts w:ascii="Calibri" w:eastAsia="Calibri" w:hAnsi="Calibri"/>
                <w:sz w:val="16"/>
                <w:szCs w:val="18"/>
                <w:rtl/>
              </w:rPr>
            </w:pPr>
            <w:r w:rsidRPr="002C3F84">
              <w:rPr>
                <w:rFonts w:eastAsia="Calibri" w:hint="cs"/>
                <w:sz w:val="16"/>
                <w:szCs w:val="18"/>
                <w:rtl/>
              </w:rPr>
              <w:t xml:space="preserve">שכירים, </w:t>
            </w:r>
            <w:r w:rsidRPr="002C3F84">
              <w:rPr>
                <w:rFonts w:eastAsia="Calibri"/>
                <w:sz w:val="16"/>
                <w:szCs w:val="18"/>
              </w:rPr>
              <w:t>n</w:t>
            </w:r>
            <w:r w:rsidRPr="002C3F84">
              <w:rPr>
                <w:rFonts w:eastAsia="Calibri" w:hint="cs"/>
                <w:sz w:val="16"/>
                <w:szCs w:val="18"/>
                <w:rtl/>
              </w:rPr>
              <w:t xml:space="preserve"> (%)</w:t>
            </w:r>
          </w:p>
        </w:tc>
      </w:tr>
      <w:tr w:rsidR="002C3F84" w:rsidRPr="006B2D00" w14:paraId="56D5A02B" w14:textId="77777777" w:rsidTr="002C3F84">
        <w:trPr>
          <w:jc w:val="right"/>
        </w:trPr>
        <w:tc>
          <w:tcPr>
            <w:tcW w:w="2765" w:type="dxa"/>
            <w:shd w:val="clear" w:color="auto" w:fill="auto"/>
          </w:tcPr>
          <w:p w14:paraId="0D4B4301" w14:textId="77777777" w:rsidR="00B4735A" w:rsidRPr="002C3F84" w:rsidRDefault="00B4735A" w:rsidP="002C3F84">
            <w:pPr>
              <w:tabs>
                <w:tab w:val="left" w:pos="1148"/>
              </w:tabs>
              <w:spacing w:before="60" w:after="60" w:line="220" w:lineRule="exact"/>
              <w:rPr>
                <w:rFonts w:ascii="Calibri" w:eastAsia="Calibri" w:hAnsi="Calibri"/>
                <w:sz w:val="16"/>
                <w:szCs w:val="18"/>
              </w:rPr>
            </w:pPr>
            <w:r w:rsidRPr="002C3F84">
              <w:rPr>
                <w:rFonts w:eastAsia="Calibri"/>
                <w:sz w:val="16"/>
                <w:szCs w:val="18"/>
              </w:rPr>
              <w:t>491 (43)</w:t>
            </w:r>
          </w:p>
        </w:tc>
        <w:tc>
          <w:tcPr>
            <w:tcW w:w="2765" w:type="dxa"/>
            <w:shd w:val="clear" w:color="auto" w:fill="auto"/>
          </w:tcPr>
          <w:p w14:paraId="1B563FAD" w14:textId="77777777" w:rsidR="00B4735A" w:rsidRPr="002C3F84" w:rsidRDefault="00B4735A" w:rsidP="002C3F84">
            <w:pPr>
              <w:tabs>
                <w:tab w:val="left" w:pos="1148"/>
              </w:tabs>
              <w:spacing w:before="60" w:after="60" w:line="220" w:lineRule="exact"/>
              <w:rPr>
                <w:rFonts w:ascii="Calibri" w:eastAsia="Calibri" w:hAnsi="Calibri"/>
                <w:sz w:val="16"/>
                <w:szCs w:val="18"/>
              </w:rPr>
            </w:pPr>
            <w:r w:rsidRPr="002C3F84">
              <w:rPr>
                <w:rFonts w:eastAsia="Calibri" w:hint="cs"/>
                <w:sz w:val="16"/>
                <w:szCs w:val="18"/>
                <w:rtl/>
              </w:rPr>
              <w:t xml:space="preserve">אקדמאים, </w:t>
            </w:r>
            <w:r w:rsidRPr="002C3F84">
              <w:rPr>
                <w:rFonts w:eastAsia="Calibri"/>
                <w:sz w:val="16"/>
                <w:szCs w:val="18"/>
              </w:rPr>
              <w:t>n</w:t>
            </w:r>
            <w:r w:rsidRPr="002C3F84">
              <w:rPr>
                <w:rFonts w:eastAsia="Calibri" w:hint="cs"/>
                <w:sz w:val="16"/>
                <w:szCs w:val="18"/>
                <w:rtl/>
              </w:rPr>
              <w:t xml:space="preserve"> (%)</w:t>
            </w:r>
          </w:p>
        </w:tc>
      </w:tr>
      <w:tr w:rsidR="002C3F84" w:rsidRPr="006B2D00" w14:paraId="6E1F4249" w14:textId="77777777" w:rsidTr="002C3F84">
        <w:trPr>
          <w:jc w:val="right"/>
        </w:trPr>
        <w:tc>
          <w:tcPr>
            <w:tcW w:w="2765" w:type="dxa"/>
            <w:shd w:val="clear" w:color="auto" w:fill="auto"/>
          </w:tcPr>
          <w:p w14:paraId="5C6E8708" w14:textId="77777777" w:rsidR="00B4735A" w:rsidRPr="002C3F84" w:rsidRDefault="00B4735A" w:rsidP="002C3F84">
            <w:pPr>
              <w:tabs>
                <w:tab w:val="left" w:pos="1148"/>
              </w:tabs>
              <w:spacing w:before="60" w:after="60" w:line="220" w:lineRule="exact"/>
              <w:rPr>
                <w:rFonts w:ascii="Calibri" w:eastAsia="Calibri" w:hAnsi="Calibri"/>
                <w:sz w:val="16"/>
                <w:szCs w:val="18"/>
              </w:rPr>
            </w:pPr>
            <w:r w:rsidRPr="002C3F84">
              <w:rPr>
                <w:rFonts w:eastAsia="Calibri"/>
                <w:sz w:val="16"/>
                <w:szCs w:val="18"/>
              </w:rPr>
              <w:t>593 (52)</w:t>
            </w:r>
          </w:p>
        </w:tc>
        <w:tc>
          <w:tcPr>
            <w:tcW w:w="2765" w:type="dxa"/>
            <w:shd w:val="clear" w:color="auto" w:fill="auto"/>
          </w:tcPr>
          <w:p w14:paraId="173F2FF3" w14:textId="77777777" w:rsidR="00B4735A" w:rsidRPr="002C3F84" w:rsidRDefault="00B4735A" w:rsidP="002C3F84">
            <w:pPr>
              <w:tabs>
                <w:tab w:val="left" w:pos="1148"/>
              </w:tabs>
              <w:spacing w:before="60" w:after="60" w:line="220" w:lineRule="exact"/>
              <w:rPr>
                <w:rFonts w:ascii="Calibri" w:eastAsia="Calibri" w:hAnsi="Calibri"/>
                <w:sz w:val="16"/>
                <w:szCs w:val="18"/>
              </w:rPr>
            </w:pPr>
            <w:r w:rsidRPr="002C3F84">
              <w:rPr>
                <w:rFonts w:eastAsia="Calibri" w:hint="cs"/>
                <w:sz w:val="16"/>
                <w:szCs w:val="18"/>
                <w:rtl/>
              </w:rPr>
              <w:t xml:space="preserve">מעמד בינוני, </w:t>
            </w:r>
            <w:r w:rsidRPr="002C3F84">
              <w:rPr>
                <w:rFonts w:eastAsia="Calibri"/>
                <w:sz w:val="16"/>
                <w:szCs w:val="18"/>
              </w:rPr>
              <w:t>n</w:t>
            </w:r>
            <w:r w:rsidRPr="002C3F84">
              <w:rPr>
                <w:rFonts w:eastAsia="Calibri" w:hint="cs"/>
                <w:sz w:val="16"/>
                <w:szCs w:val="18"/>
                <w:rtl/>
              </w:rPr>
              <w:t xml:space="preserve"> (%)</w:t>
            </w:r>
          </w:p>
        </w:tc>
      </w:tr>
      <w:tr w:rsidR="002C3F84" w:rsidRPr="002C3F84" w14:paraId="19B446D2" w14:textId="77777777" w:rsidTr="002C3F84">
        <w:trPr>
          <w:jc w:val="right"/>
        </w:trPr>
        <w:tc>
          <w:tcPr>
            <w:tcW w:w="2765" w:type="dxa"/>
            <w:shd w:val="clear" w:color="auto" w:fill="auto"/>
          </w:tcPr>
          <w:p w14:paraId="403ECF86" w14:textId="77777777" w:rsidR="00B4735A" w:rsidRPr="002C3F84" w:rsidRDefault="00B4735A" w:rsidP="002C3F84">
            <w:pPr>
              <w:tabs>
                <w:tab w:val="left" w:pos="1148"/>
              </w:tabs>
              <w:spacing w:before="60" w:after="60" w:line="220" w:lineRule="exact"/>
              <w:rPr>
                <w:rFonts w:ascii="Calibri" w:eastAsia="Calibri" w:hAnsi="Calibri"/>
                <w:sz w:val="16"/>
                <w:szCs w:val="18"/>
              </w:rPr>
            </w:pPr>
            <w:r w:rsidRPr="002C3F84">
              <w:rPr>
                <w:rFonts w:eastAsia="Calibri"/>
                <w:sz w:val="16"/>
                <w:szCs w:val="18"/>
              </w:rPr>
              <w:t>434 (38)</w:t>
            </w:r>
          </w:p>
        </w:tc>
        <w:tc>
          <w:tcPr>
            <w:tcW w:w="2765" w:type="dxa"/>
            <w:shd w:val="clear" w:color="auto" w:fill="auto"/>
          </w:tcPr>
          <w:p w14:paraId="44AC1BD3" w14:textId="77777777" w:rsidR="00B4735A" w:rsidRPr="002C3F84" w:rsidRDefault="00B4735A" w:rsidP="002C3F84">
            <w:pPr>
              <w:tabs>
                <w:tab w:val="left" w:pos="1148"/>
              </w:tabs>
              <w:spacing w:before="60" w:after="60" w:line="220" w:lineRule="exact"/>
              <w:rPr>
                <w:rFonts w:eastAsia="Calibri"/>
                <w:sz w:val="16"/>
                <w:szCs w:val="18"/>
              </w:rPr>
            </w:pPr>
            <w:r w:rsidRPr="002C3F84">
              <w:rPr>
                <w:rFonts w:eastAsia="Calibri" w:hint="cs"/>
                <w:sz w:val="16"/>
                <w:szCs w:val="18"/>
                <w:rtl/>
              </w:rPr>
              <w:t xml:space="preserve">סוציאליסטים, </w:t>
            </w:r>
            <w:r w:rsidRPr="002C3F84">
              <w:rPr>
                <w:rFonts w:eastAsia="Calibri"/>
                <w:sz w:val="16"/>
                <w:szCs w:val="18"/>
              </w:rPr>
              <w:t>n</w:t>
            </w:r>
            <w:r w:rsidRPr="002C3F84">
              <w:rPr>
                <w:rFonts w:eastAsia="Calibri" w:hint="cs"/>
                <w:sz w:val="16"/>
                <w:szCs w:val="18"/>
                <w:rtl/>
              </w:rPr>
              <w:t xml:space="preserve"> (%)</w:t>
            </w:r>
          </w:p>
        </w:tc>
      </w:tr>
    </w:tbl>
    <w:p w14:paraId="09B0FBCB" w14:textId="404CAAF6" w:rsidR="00B4735A" w:rsidRPr="00911580" w:rsidRDefault="00B4735A" w:rsidP="003D0537">
      <w:pPr>
        <w:spacing w:before="240" w:after="180" w:line="280" w:lineRule="exact"/>
        <w:jc w:val="both"/>
        <w:rPr>
          <w:rFonts w:eastAsia="Calibri"/>
          <w:sz w:val="18"/>
          <w:szCs w:val="20"/>
          <w:rtl/>
        </w:rPr>
      </w:pPr>
      <w:r w:rsidRPr="00911580">
        <w:rPr>
          <w:rFonts w:eastAsia="Calibri" w:hint="cs"/>
          <w:sz w:val="18"/>
          <w:szCs w:val="20"/>
          <w:rtl/>
        </w:rPr>
        <w:t xml:space="preserve">מטעמים סטטיסטיים ניתן במדגם ייצוג יתר לאוכלוסיות מיעוט. מבחינה אתנית, שיעור היהודים (כולל נוצרים לא-ערבים) עמד על 68%, ושיעור הלא-יהודים (ערבים מוסלמים, ערבים נוצרים, דרוזים ועדות נוספות) עמד על 32%. מבחינה דתית, כ-27% ממשתתפי הסקר הגדירו עצמם "דתיים" או "דתיים מאוד", כ-33% מסורתיים, וכ-35% חילונים (היתר לא השיבו). </w:t>
      </w:r>
    </w:p>
    <w:p w14:paraId="65B83F3C" w14:textId="49DF0DF8" w:rsidR="00B4735A" w:rsidRPr="00911580" w:rsidRDefault="00B4735A" w:rsidP="003D0537">
      <w:pPr>
        <w:spacing w:after="180" w:line="280" w:lineRule="exact"/>
        <w:jc w:val="both"/>
        <w:rPr>
          <w:sz w:val="18"/>
          <w:szCs w:val="20"/>
          <w:rtl/>
        </w:rPr>
      </w:pPr>
      <w:r w:rsidRPr="00911580">
        <w:rPr>
          <w:rFonts w:hint="cs"/>
          <w:sz w:val="18"/>
          <w:szCs w:val="20"/>
          <w:rtl/>
        </w:rPr>
        <w:t xml:space="preserve">כ-44% ממשתתפי הסקר הם שכירים, רובם עובדים במשרה מלאה. כ-13% נוספים עובדים כעצמאים, וכ-22% מובטלים או מקבלי קצבאות ביטוח לאומי (כל היתר לא השיבו). עוד </w:t>
      </w:r>
      <w:r w:rsidR="003D0537">
        <w:rPr>
          <w:rFonts w:hint="cs"/>
          <w:sz w:val="18"/>
          <w:szCs w:val="20"/>
          <w:rtl/>
        </w:rPr>
        <w:t xml:space="preserve">בהיבט התעסוקתי, </w:t>
      </w:r>
      <w:r w:rsidRPr="00911580">
        <w:rPr>
          <w:rFonts w:hint="cs"/>
          <w:sz w:val="18"/>
          <w:szCs w:val="20"/>
          <w:rtl/>
        </w:rPr>
        <w:t>כ-16% ממשתתפי הסקר עובדים במגזר הציבורי, כ-8% בחברות ממשלתיות, כ-6% במוסדות ללא כוונת רווח (מלכ"רים), וכ-37% הם עובדי המגזר הפרטי (כל היתר לא השיבו, או שאינם עובדים). כ-12% ממשתתפי הסקר הם חברים בוועדי עובדים.</w:t>
      </w:r>
    </w:p>
    <w:p w14:paraId="685ECC3E" w14:textId="417D3302" w:rsidR="00B4735A" w:rsidRPr="00911580" w:rsidRDefault="00B4735A" w:rsidP="00911580">
      <w:pPr>
        <w:spacing w:after="180" w:line="280" w:lineRule="exact"/>
        <w:jc w:val="both"/>
        <w:rPr>
          <w:sz w:val="18"/>
          <w:szCs w:val="20"/>
          <w:rtl/>
        </w:rPr>
      </w:pPr>
      <w:r w:rsidRPr="009C161B">
        <w:rPr>
          <w:rFonts w:hint="cs"/>
          <w:sz w:val="18"/>
          <w:szCs w:val="20"/>
          <w:rtl/>
        </w:rPr>
        <w:t xml:space="preserve">בסקר נבדקה גם רמת ההשכלה של המשיבים. כ-20% ממשתתפי הסקר הם בעלי השכלה נמוכה, דהיינו השכלה יסודית/חטיבת ביניים או תיכונית ללא תעודת בגרות. כ-33% הם בעלי תעודת בגרות או השכלה על-תיכונית כלשהי שאינה אקדמית (כגון טכנאים והנדסאים), </w:t>
      </w:r>
      <w:r w:rsidR="009C161B" w:rsidRPr="009C161B">
        <w:rPr>
          <w:sz w:val="18"/>
          <w:szCs w:val="20"/>
        </w:rPr>
        <w:br/>
      </w:r>
      <w:r w:rsidRPr="009C161B">
        <w:rPr>
          <w:rFonts w:hint="cs"/>
          <w:sz w:val="18"/>
          <w:szCs w:val="20"/>
          <w:rtl/>
        </w:rPr>
        <w:t>וכ-43% הם בעלי השכלה אקדמית (בעלי תואר ראשון לפחות באוניברסיטה או במכללה אקדמית). כל היתר לא השיבו.</w:t>
      </w:r>
    </w:p>
    <w:p w14:paraId="17CE527F" w14:textId="77777777" w:rsidR="00B4735A" w:rsidRPr="00911580" w:rsidRDefault="00B4735A" w:rsidP="00911580">
      <w:pPr>
        <w:spacing w:after="180" w:line="280" w:lineRule="exact"/>
        <w:jc w:val="both"/>
        <w:rPr>
          <w:sz w:val="18"/>
          <w:szCs w:val="20"/>
          <w:rtl/>
        </w:rPr>
      </w:pPr>
      <w:r w:rsidRPr="00911580">
        <w:rPr>
          <w:rFonts w:hint="cs"/>
          <w:sz w:val="18"/>
          <w:szCs w:val="20"/>
          <w:rtl/>
        </w:rPr>
        <w:lastRenderedPageBreak/>
        <w:t xml:space="preserve">מבחינה כלכלית-חברתית, כ-22% ממשתתפי הסקר הגדירו את עצמם כמשתייכים למעמד נמוך או בינוני נמוך. כ-52% הגדירו עצמם כמשתייכים למעמד הבינוני, וכ-22% נוספים כמשתייכים למעמד בינוני-גבוה או גבוה (היתר לא השיבו). בתשובה על הכנסתם החודשית השיבו כ-10% מן המשתתפים כי לא הייתה להם הכנסה כלל בחודש האחרון. כ-26% הרוויחו עד 5,000 שקלים בחודש האחרון, ושיעור דומה הרוויחו בין 5,000 ל-10,000 שקלים. כ-13% הרוויחו בין 10,000 ל-15,000 שקלים בחודש, וכ-8% </w:t>
      </w:r>
      <w:r w:rsidRPr="00911580">
        <w:rPr>
          <w:sz w:val="18"/>
          <w:szCs w:val="20"/>
          <w:rtl/>
        </w:rPr>
        <w:t>–</w:t>
      </w:r>
      <w:r w:rsidRPr="00911580">
        <w:rPr>
          <w:rFonts w:hint="cs"/>
          <w:sz w:val="18"/>
          <w:szCs w:val="20"/>
          <w:rtl/>
        </w:rPr>
        <w:t xml:space="preserve"> יותר מ-15,000 שקלים (כל היתר לא השיבו). בין שני המשתנים הללו נמצא קשר חיובי מובהק סטטיסטית (</w:t>
      </w:r>
      <w:r w:rsidRPr="00911580">
        <w:rPr>
          <w:i/>
          <w:iCs/>
          <w:sz w:val="18"/>
          <w:szCs w:val="20"/>
        </w:rPr>
        <w:t>p</w:t>
      </w:r>
      <w:r w:rsidRPr="00911580">
        <w:rPr>
          <w:sz w:val="18"/>
          <w:szCs w:val="20"/>
        </w:rPr>
        <w:t>=0.000</w:t>
      </w:r>
      <w:r w:rsidRPr="00911580">
        <w:rPr>
          <w:rFonts w:hint="cs"/>
          <w:sz w:val="18"/>
          <w:szCs w:val="20"/>
          <w:rtl/>
        </w:rPr>
        <w:t xml:space="preserve">) לפי מקדם מתאם </w:t>
      </w:r>
      <w:proofErr w:type="spellStart"/>
      <w:r w:rsidRPr="00911580">
        <w:rPr>
          <w:rFonts w:hint="cs"/>
          <w:sz w:val="18"/>
          <w:szCs w:val="20"/>
          <w:rtl/>
        </w:rPr>
        <w:t>פירסון</w:t>
      </w:r>
      <w:proofErr w:type="spellEnd"/>
      <w:r w:rsidRPr="00911580">
        <w:rPr>
          <w:rFonts w:hint="cs"/>
          <w:sz w:val="18"/>
          <w:szCs w:val="20"/>
          <w:rtl/>
        </w:rPr>
        <w:t xml:space="preserve"> (0.373).</w:t>
      </w:r>
    </w:p>
    <w:p w14:paraId="613FA229" w14:textId="77777777" w:rsidR="00B4735A" w:rsidRPr="00911580" w:rsidRDefault="00B4735A" w:rsidP="00911580">
      <w:pPr>
        <w:spacing w:after="180" w:line="280" w:lineRule="exact"/>
        <w:jc w:val="both"/>
        <w:rPr>
          <w:sz w:val="18"/>
          <w:szCs w:val="20"/>
          <w:rtl/>
        </w:rPr>
      </w:pPr>
      <w:r w:rsidRPr="00911580">
        <w:rPr>
          <w:rFonts w:hint="cs"/>
          <w:sz w:val="18"/>
          <w:szCs w:val="20"/>
          <w:rtl/>
        </w:rPr>
        <w:t>יצוין כי התקופה שבה נערך הסקר לא התאפיינה באירועים כלכליים יוצאי דופן אשר היו עשויים להשפיע בצורה משמעותית על תשובות הנשאלים. שנת 2016 התאפיינה בצמיחה כלכלית חיובית גבוהה מעט יותר מהשנתיים שקדמו לה, אך לא חרגה מנתוני הצמיחה השנתיים במהלך העשור. בשנה זו נמשכה מגמת הירידה ההדרגתית בשיעור האבטלה, וחלה עלייה בשכר הריאלי. העלייה בשכר הביאה באותה שנה להתרחבות הצריכה הפרטית, אך לצידה נמשכה ההאטה בייצוא (ברנד, 2016). לסיכום, שנת 2016 הייתה שנה שגרתית למדי מבחינה כלכלית, וייצגה תקופה של שיפור מתמשך אך מתון במשתנים המאקרו-כלכליים של ישראל.</w:t>
      </w:r>
    </w:p>
    <w:p w14:paraId="613CD86F" w14:textId="0F5BFA58" w:rsidR="00B4735A" w:rsidRDefault="00B4735A" w:rsidP="00911580">
      <w:pPr>
        <w:spacing w:after="180" w:line="280" w:lineRule="exact"/>
        <w:jc w:val="both"/>
        <w:rPr>
          <w:b/>
          <w:bCs/>
          <w:sz w:val="18"/>
          <w:szCs w:val="20"/>
          <w:rtl/>
        </w:rPr>
      </w:pPr>
    </w:p>
    <w:p w14:paraId="569FBBD0" w14:textId="77777777" w:rsidR="00E62E88" w:rsidRPr="00911580" w:rsidRDefault="00E62E88" w:rsidP="00911580">
      <w:pPr>
        <w:spacing w:after="180" w:line="280" w:lineRule="exact"/>
        <w:jc w:val="both"/>
        <w:rPr>
          <w:b/>
          <w:bCs/>
          <w:sz w:val="18"/>
          <w:szCs w:val="20"/>
          <w:rtl/>
        </w:rPr>
      </w:pPr>
    </w:p>
    <w:p w14:paraId="7647F67C" w14:textId="72B00022" w:rsidR="00B4735A" w:rsidRPr="00B4735A" w:rsidRDefault="00B4735A" w:rsidP="00B4735A">
      <w:pPr>
        <w:pStyle w:val="KOT4"/>
        <w:spacing w:after="0"/>
        <w:ind w:left="397" w:right="0" w:hanging="397"/>
        <w:rPr>
          <w:rFonts w:cs="Guttman Aharoni"/>
          <w:color w:val="00B0F0"/>
          <w:sz w:val="32"/>
          <w:szCs w:val="32"/>
          <w:rtl/>
        </w:rPr>
      </w:pPr>
      <w:r w:rsidRPr="00B4735A">
        <w:rPr>
          <w:rFonts w:cs="Guttman Aharoni" w:hint="cs"/>
          <w:color w:val="00B0F0"/>
          <w:sz w:val="32"/>
          <w:szCs w:val="32"/>
          <w:rtl/>
        </w:rPr>
        <w:t>5. שיטות המחקר והשערות המחקר</w:t>
      </w:r>
    </w:p>
    <w:p w14:paraId="41C7DCEC" w14:textId="305763DC" w:rsidR="00B4735A" w:rsidRPr="00911580" w:rsidRDefault="00B4735A" w:rsidP="003D0537">
      <w:pPr>
        <w:spacing w:after="180" w:line="280" w:lineRule="exact"/>
        <w:jc w:val="both"/>
        <w:rPr>
          <w:sz w:val="18"/>
          <w:szCs w:val="20"/>
        </w:rPr>
      </w:pPr>
      <w:r w:rsidRPr="00911580">
        <w:rPr>
          <w:rFonts w:hint="cs"/>
          <w:sz w:val="18"/>
          <w:szCs w:val="20"/>
          <w:rtl/>
        </w:rPr>
        <w:t xml:space="preserve">הניתוח הכמותי של ממצאי הסקר נערך באמצעות רגרסיה לוגיסטית מרובת משתנים, </w:t>
      </w:r>
      <w:proofErr w:type="spellStart"/>
      <w:r w:rsidRPr="00911580">
        <w:rPr>
          <w:rFonts w:hint="cs"/>
          <w:sz w:val="18"/>
          <w:szCs w:val="20"/>
          <w:rtl/>
        </w:rPr>
        <w:t>צלווח</w:t>
      </w:r>
      <w:proofErr w:type="spellEnd"/>
      <w:r w:rsidRPr="00911580">
        <w:rPr>
          <w:rFonts w:hint="cs"/>
          <w:sz w:val="18"/>
          <w:szCs w:val="20"/>
          <w:rtl/>
        </w:rPr>
        <w:t xml:space="preserve"> נתונים</w:t>
      </w:r>
      <w:r w:rsidR="003D0537">
        <w:rPr>
          <w:rFonts w:hint="cs"/>
          <w:sz w:val="18"/>
          <w:szCs w:val="20"/>
          <w:rtl/>
        </w:rPr>
        <w:t>,</w:t>
      </w:r>
      <w:r w:rsidR="003D0537">
        <w:rPr>
          <w:rStyle w:val="FootnoteReference"/>
          <w:sz w:val="18"/>
          <w:szCs w:val="20"/>
          <w:rtl/>
        </w:rPr>
        <w:footnoteReference w:id="5"/>
      </w:r>
      <w:r w:rsidRPr="00911580">
        <w:rPr>
          <w:rFonts w:hint="cs"/>
          <w:sz w:val="18"/>
          <w:szCs w:val="20"/>
          <w:rtl/>
        </w:rPr>
        <w:t xml:space="preserve"> מבחני </w:t>
      </w:r>
      <w:r w:rsidRPr="00911580">
        <w:rPr>
          <w:sz w:val="18"/>
          <w:szCs w:val="20"/>
        </w:rPr>
        <w:t>t</w:t>
      </w:r>
      <w:r w:rsidRPr="00911580">
        <w:rPr>
          <w:rFonts w:hint="cs"/>
          <w:sz w:val="18"/>
          <w:szCs w:val="20"/>
          <w:rtl/>
        </w:rPr>
        <w:t xml:space="preserve"> וסטטיסטיקה תיאורית באמצעות תוכנת </w:t>
      </w:r>
      <w:r w:rsidRPr="00911580">
        <w:rPr>
          <w:sz w:val="18"/>
          <w:szCs w:val="20"/>
        </w:rPr>
        <w:t>IBM-SPSS</w:t>
      </w:r>
      <w:r w:rsidRPr="00911580">
        <w:rPr>
          <w:rFonts w:hint="cs"/>
          <w:sz w:val="18"/>
          <w:szCs w:val="20"/>
          <w:rtl/>
        </w:rPr>
        <w:t xml:space="preserve">. </w:t>
      </w:r>
    </w:p>
    <w:p w14:paraId="2B73168A" w14:textId="239EB030" w:rsidR="00B4735A" w:rsidRPr="00911580" w:rsidRDefault="00B4735A" w:rsidP="00891433">
      <w:pPr>
        <w:spacing w:after="180" w:line="280" w:lineRule="exact"/>
        <w:jc w:val="both"/>
        <w:rPr>
          <w:sz w:val="18"/>
          <w:szCs w:val="20"/>
          <w:rtl/>
        </w:rPr>
      </w:pPr>
      <w:r w:rsidRPr="00911580">
        <w:rPr>
          <w:rFonts w:hint="cs"/>
          <w:sz w:val="18"/>
          <w:szCs w:val="20"/>
          <w:rtl/>
        </w:rPr>
        <w:t>הניתוח הסטטיסטי של עמדות הציבור כלפי הפרטה נעשה באמצעות רגרסיה לוגיסטית שבה המשתנה המוסבר הוא "עמדה בנוגע להפרטה" (</w:t>
      </w:r>
      <w:r w:rsidRPr="00911580">
        <w:rPr>
          <w:sz w:val="18"/>
          <w:szCs w:val="20"/>
        </w:rPr>
        <w:t>Y</w:t>
      </w:r>
      <w:r w:rsidRPr="00911580">
        <w:rPr>
          <w:rFonts w:hint="cs"/>
          <w:sz w:val="18"/>
          <w:szCs w:val="20"/>
          <w:rtl/>
        </w:rPr>
        <w:t xml:space="preserve">). זהו משתנה בעל שתי קטגוריות: תומך (0)/מתנגד (1), ללא קבוצת המשיבים שענו "לא יודע" או שלא השיבו לשאלה זו. </w:t>
      </w:r>
      <w:r w:rsidR="00891433">
        <w:rPr>
          <w:rFonts w:hint="cs"/>
          <w:sz w:val="18"/>
          <w:szCs w:val="20"/>
          <w:rtl/>
        </w:rPr>
        <w:t xml:space="preserve">מיעוט </w:t>
      </w:r>
      <w:r w:rsidRPr="00911580">
        <w:rPr>
          <w:rFonts w:hint="cs"/>
          <w:sz w:val="18"/>
          <w:szCs w:val="20"/>
          <w:rtl/>
        </w:rPr>
        <w:t xml:space="preserve">התצפיות בקטגוריות הקיצון (תומך מאוד/מתנגד מאוד) של המשתנה התלוי לא אפשר שימוש הולם ברגרסיה לינארית מרובה. קידודו הדיכוטומי של המשתנה התלוי נועד להגביר את עוצמת המודל הסטטיסטי. כמו כן, הסולם האורדינלי בחלק מהמשתנים המסבירים כווץ מחמש קטגוריות לשלוש מאותה סיבה </w:t>
      </w:r>
      <w:r w:rsidRPr="00911580">
        <w:rPr>
          <w:sz w:val="18"/>
          <w:szCs w:val="20"/>
          <w:rtl/>
        </w:rPr>
        <w:t>–</w:t>
      </w:r>
      <w:r w:rsidRPr="00911580">
        <w:rPr>
          <w:rFonts w:hint="cs"/>
          <w:sz w:val="18"/>
          <w:szCs w:val="20"/>
          <w:rtl/>
        </w:rPr>
        <w:t xml:space="preserve"> הגדלת מספר התצפיות בכל קטגוריה.</w:t>
      </w:r>
    </w:p>
    <w:p w14:paraId="79346693" w14:textId="77777777" w:rsidR="00B4735A" w:rsidRPr="00911580" w:rsidRDefault="00B4735A" w:rsidP="00911580">
      <w:pPr>
        <w:spacing w:after="180" w:line="280" w:lineRule="exact"/>
        <w:jc w:val="both"/>
        <w:rPr>
          <w:sz w:val="18"/>
          <w:szCs w:val="20"/>
          <w:rtl/>
        </w:rPr>
      </w:pPr>
      <w:r w:rsidRPr="00911580">
        <w:rPr>
          <w:rFonts w:hint="cs"/>
          <w:sz w:val="18"/>
          <w:szCs w:val="20"/>
          <w:rtl/>
        </w:rPr>
        <w:lastRenderedPageBreak/>
        <w:t>על סמך סקירת הספרות שהוצגה לעיל, אשר במהלכה הוצגו משתנים סוציו-דמוגרפיים רלוונטיים לעמדות כלפי הפרטה, מוצג להלן מודל סטטיסטי לבחינת השפעתם של שמונה משתנים מסבירים:</w:t>
      </w:r>
    </w:p>
    <w:p w14:paraId="6A500950" w14:textId="77777777" w:rsidR="00B4735A" w:rsidRPr="00911580" w:rsidRDefault="00B4735A" w:rsidP="00911580">
      <w:pPr>
        <w:bidi w:val="0"/>
        <w:spacing w:after="180" w:line="280" w:lineRule="exact"/>
        <w:jc w:val="both"/>
        <w:rPr>
          <w:sz w:val="18"/>
          <w:szCs w:val="20"/>
          <w:vertAlign w:val="subscript"/>
        </w:rPr>
      </w:pPr>
      <w:r w:rsidRPr="00911580">
        <w:rPr>
          <w:rFonts w:hint="cs"/>
          <w:sz w:val="18"/>
          <w:szCs w:val="20"/>
        </w:rPr>
        <w:t>Y</w:t>
      </w:r>
      <w:r w:rsidRPr="00911580">
        <w:rPr>
          <w:sz w:val="18"/>
          <w:szCs w:val="20"/>
        </w:rPr>
        <w:t xml:space="preserve"> = a + b1</w:t>
      </w:r>
      <w:r w:rsidRPr="00911580">
        <w:rPr>
          <w:rFonts w:hint="cs"/>
          <w:sz w:val="18"/>
          <w:szCs w:val="20"/>
        </w:rPr>
        <w:t>X</w:t>
      </w:r>
      <w:r w:rsidRPr="00911580">
        <w:rPr>
          <w:rFonts w:hint="cs"/>
          <w:sz w:val="18"/>
          <w:szCs w:val="20"/>
          <w:vertAlign w:val="subscript"/>
        </w:rPr>
        <w:t>1</w:t>
      </w:r>
      <w:r w:rsidRPr="00911580">
        <w:rPr>
          <w:sz w:val="18"/>
          <w:szCs w:val="20"/>
        </w:rPr>
        <w:t xml:space="preserve"> +b</w:t>
      </w:r>
      <w:r w:rsidRPr="00911580">
        <w:rPr>
          <w:sz w:val="18"/>
          <w:szCs w:val="20"/>
          <w:vertAlign w:val="subscript"/>
        </w:rPr>
        <w:t>2</w:t>
      </w:r>
      <w:r w:rsidRPr="00911580">
        <w:rPr>
          <w:sz w:val="18"/>
          <w:szCs w:val="20"/>
        </w:rPr>
        <w:t>X</w:t>
      </w:r>
      <w:r w:rsidRPr="00911580">
        <w:rPr>
          <w:sz w:val="18"/>
          <w:szCs w:val="20"/>
          <w:vertAlign w:val="subscript"/>
        </w:rPr>
        <w:t>2 +</w:t>
      </w:r>
      <w:r w:rsidRPr="00911580">
        <w:rPr>
          <w:sz w:val="18"/>
          <w:szCs w:val="20"/>
        </w:rPr>
        <w:t xml:space="preserve"> b</w:t>
      </w:r>
      <w:r w:rsidRPr="00911580">
        <w:rPr>
          <w:sz w:val="18"/>
          <w:szCs w:val="20"/>
          <w:vertAlign w:val="subscript"/>
        </w:rPr>
        <w:t>3</w:t>
      </w:r>
      <w:r w:rsidRPr="00911580">
        <w:rPr>
          <w:sz w:val="18"/>
          <w:szCs w:val="20"/>
        </w:rPr>
        <w:t>X</w:t>
      </w:r>
      <w:r w:rsidRPr="00911580">
        <w:rPr>
          <w:sz w:val="18"/>
          <w:szCs w:val="20"/>
          <w:vertAlign w:val="subscript"/>
        </w:rPr>
        <w:t xml:space="preserve">3 </w:t>
      </w:r>
      <w:r w:rsidRPr="00911580">
        <w:rPr>
          <w:sz w:val="18"/>
          <w:szCs w:val="20"/>
        </w:rPr>
        <w:t>+ b</w:t>
      </w:r>
      <w:r w:rsidRPr="00911580">
        <w:rPr>
          <w:sz w:val="18"/>
          <w:szCs w:val="20"/>
          <w:vertAlign w:val="subscript"/>
        </w:rPr>
        <w:t>4</w:t>
      </w:r>
      <w:r w:rsidRPr="00911580">
        <w:rPr>
          <w:sz w:val="18"/>
          <w:szCs w:val="20"/>
        </w:rPr>
        <w:t>X</w:t>
      </w:r>
      <w:r w:rsidRPr="00911580">
        <w:rPr>
          <w:sz w:val="18"/>
          <w:szCs w:val="20"/>
          <w:vertAlign w:val="subscript"/>
        </w:rPr>
        <w:t>4</w:t>
      </w:r>
      <w:r w:rsidRPr="00911580">
        <w:rPr>
          <w:sz w:val="18"/>
          <w:szCs w:val="20"/>
        </w:rPr>
        <w:t xml:space="preserve"> + b</w:t>
      </w:r>
      <w:r w:rsidRPr="00911580">
        <w:rPr>
          <w:sz w:val="18"/>
          <w:szCs w:val="20"/>
          <w:vertAlign w:val="subscript"/>
        </w:rPr>
        <w:t>5</w:t>
      </w:r>
      <w:r w:rsidRPr="00911580">
        <w:rPr>
          <w:sz w:val="18"/>
          <w:szCs w:val="20"/>
        </w:rPr>
        <w:t>X</w:t>
      </w:r>
      <w:r w:rsidRPr="00911580">
        <w:rPr>
          <w:sz w:val="18"/>
          <w:szCs w:val="20"/>
          <w:vertAlign w:val="subscript"/>
        </w:rPr>
        <w:t xml:space="preserve">5 + </w:t>
      </w:r>
      <w:r w:rsidRPr="00911580">
        <w:rPr>
          <w:sz w:val="18"/>
          <w:szCs w:val="20"/>
        </w:rPr>
        <w:t>b</w:t>
      </w:r>
      <w:r w:rsidRPr="00911580">
        <w:rPr>
          <w:sz w:val="18"/>
          <w:szCs w:val="20"/>
          <w:vertAlign w:val="subscript"/>
        </w:rPr>
        <w:t>6</w:t>
      </w:r>
      <w:r w:rsidRPr="00911580">
        <w:rPr>
          <w:sz w:val="18"/>
          <w:szCs w:val="20"/>
        </w:rPr>
        <w:t>X</w:t>
      </w:r>
      <w:r w:rsidRPr="00911580">
        <w:rPr>
          <w:sz w:val="18"/>
          <w:szCs w:val="20"/>
          <w:vertAlign w:val="subscript"/>
        </w:rPr>
        <w:t xml:space="preserve">6 </w:t>
      </w:r>
      <w:r w:rsidRPr="00911580">
        <w:rPr>
          <w:sz w:val="18"/>
          <w:szCs w:val="20"/>
        </w:rPr>
        <w:t>+ b</w:t>
      </w:r>
      <w:r w:rsidRPr="00911580">
        <w:rPr>
          <w:sz w:val="18"/>
          <w:szCs w:val="20"/>
          <w:vertAlign w:val="subscript"/>
        </w:rPr>
        <w:t>7</w:t>
      </w:r>
      <w:r w:rsidRPr="00911580">
        <w:rPr>
          <w:sz w:val="18"/>
          <w:szCs w:val="20"/>
        </w:rPr>
        <w:t>X</w:t>
      </w:r>
      <w:r w:rsidRPr="00911580">
        <w:rPr>
          <w:sz w:val="18"/>
          <w:szCs w:val="20"/>
          <w:vertAlign w:val="subscript"/>
        </w:rPr>
        <w:t xml:space="preserve">7 </w:t>
      </w:r>
      <w:r w:rsidRPr="00911580">
        <w:rPr>
          <w:sz w:val="18"/>
          <w:szCs w:val="20"/>
        </w:rPr>
        <w:t>+ b</w:t>
      </w:r>
      <w:r w:rsidRPr="00911580">
        <w:rPr>
          <w:sz w:val="18"/>
          <w:szCs w:val="20"/>
          <w:vertAlign w:val="subscript"/>
        </w:rPr>
        <w:t>8</w:t>
      </w:r>
      <w:r w:rsidRPr="00911580">
        <w:rPr>
          <w:sz w:val="18"/>
          <w:szCs w:val="20"/>
        </w:rPr>
        <w:t>X</w:t>
      </w:r>
      <w:r w:rsidRPr="00911580">
        <w:rPr>
          <w:sz w:val="18"/>
          <w:szCs w:val="20"/>
          <w:vertAlign w:val="subscript"/>
        </w:rPr>
        <w:t>8</w:t>
      </w:r>
    </w:p>
    <w:p w14:paraId="1B824244" w14:textId="77777777" w:rsidR="00B4735A" w:rsidRPr="00911580" w:rsidRDefault="00B4735A" w:rsidP="00495FC4">
      <w:pPr>
        <w:keepNext/>
        <w:keepLines/>
        <w:spacing w:after="180" w:line="280" w:lineRule="exact"/>
        <w:jc w:val="both"/>
        <w:rPr>
          <w:sz w:val="18"/>
          <w:szCs w:val="20"/>
          <w:rtl/>
        </w:rPr>
      </w:pPr>
      <w:r w:rsidRPr="00911580">
        <w:rPr>
          <w:rFonts w:hint="cs"/>
          <w:sz w:val="18"/>
          <w:szCs w:val="20"/>
          <w:rtl/>
        </w:rPr>
        <w:t>ה</w:t>
      </w:r>
      <w:r w:rsidRPr="00911580">
        <w:rPr>
          <w:sz w:val="18"/>
          <w:szCs w:val="20"/>
          <w:rtl/>
        </w:rPr>
        <w:t xml:space="preserve">משתנים </w:t>
      </w:r>
      <w:r w:rsidRPr="00911580">
        <w:rPr>
          <w:rFonts w:hint="cs"/>
          <w:sz w:val="18"/>
          <w:szCs w:val="20"/>
          <w:rtl/>
        </w:rPr>
        <w:t>ה</w:t>
      </w:r>
      <w:r w:rsidRPr="00911580">
        <w:rPr>
          <w:sz w:val="18"/>
          <w:szCs w:val="20"/>
          <w:rtl/>
        </w:rPr>
        <w:t>מסבירים</w:t>
      </w:r>
      <w:r w:rsidRPr="00911580">
        <w:rPr>
          <w:rFonts w:hint="cs"/>
          <w:sz w:val="18"/>
          <w:szCs w:val="20"/>
          <w:rtl/>
        </w:rPr>
        <w:t xml:space="preserve"> והשערות המחקר על בסיס סקירת הספרות מהעולם ומישראל</w:t>
      </w:r>
      <w:r w:rsidRPr="00911580">
        <w:rPr>
          <w:sz w:val="18"/>
          <w:szCs w:val="20"/>
          <w:rtl/>
        </w:rPr>
        <w:t>:</w:t>
      </w:r>
      <w:r w:rsidRPr="00911580" w:rsidDel="00773055">
        <w:rPr>
          <w:rStyle w:val="FootnoteReference"/>
          <w:sz w:val="18"/>
          <w:szCs w:val="20"/>
          <w:rtl/>
        </w:rPr>
        <w:t xml:space="preserve"> </w:t>
      </w:r>
    </w:p>
    <w:p w14:paraId="6F34FC5F" w14:textId="77777777" w:rsidR="00B4735A" w:rsidRPr="00911580" w:rsidRDefault="00B4735A" w:rsidP="00911580">
      <w:pPr>
        <w:spacing w:after="180" w:line="280" w:lineRule="exact"/>
        <w:jc w:val="both"/>
        <w:rPr>
          <w:sz w:val="18"/>
          <w:szCs w:val="20"/>
          <w:rtl/>
        </w:rPr>
      </w:pPr>
      <w:r w:rsidRPr="00911580">
        <w:rPr>
          <w:sz w:val="18"/>
          <w:szCs w:val="20"/>
        </w:rPr>
        <w:t>X</w:t>
      </w:r>
      <w:r w:rsidRPr="00911580">
        <w:rPr>
          <w:sz w:val="18"/>
          <w:szCs w:val="20"/>
          <w:vertAlign w:val="subscript"/>
        </w:rPr>
        <w:t>1</w:t>
      </w:r>
      <w:r w:rsidRPr="00911580">
        <w:rPr>
          <w:sz w:val="18"/>
          <w:szCs w:val="20"/>
          <w:rtl/>
        </w:rPr>
        <w:t xml:space="preserve"> מעמד כלכלי-חברתי (משתנה אורדינלי בעל שלוש קטגוריות: נמוך, בינוני, גבוה)</w:t>
      </w:r>
      <w:r w:rsidRPr="00911580">
        <w:rPr>
          <w:rFonts w:hint="cs"/>
          <w:sz w:val="18"/>
          <w:szCs w:val="20"/>
          <w:rtl/>
        </w:rPr>
        <w:t>, בה</w:t>
      </w:r>
      <w:r w:rsidRPr="00911580">
        <w:rPr>
          <w:sz w:val="18"/>
          <w:szCs w:val="20"/>
          <w:rtl/>
        </w:rPr>
        <w:t>תבסס על השאלה: כיצד היית מגדיר את המעמד הכלכלי-חברתי שלך?</w:t>
      </w:r>
    </w:p>
    <w:p w14:paraId="5EC2C843" w14:textId="77777777" w:rsidR="00B4735A" w:rsidRPr="00911580" w:rsidRDefault="00B4735A" w:rsidP="00911580">
      <w:pPr>
        <w:spacing w:after="180" w:line="280" w:lineRule="exact"/>
        <w:jc w:val="both"/>
        <w:rPr>
          <w:sz w:val="18"/>
          <w:szCs w:val="20"/>
          <w:rtl/>
        </w:rPr>
      </w:pPr>
      <w:r w:rsidRPr="00911580">
        <w:rPr>
          <w:rFonts w:hint="cs"/>
          <w:b/>
          <w:bCs/>
          <w:sz w:val="18"/>
          <w:szCs w:val="20"/>
          <w:rtl/>
        </w:rPr>
        <w:t>השערת המחקר</w:t>
      </w:r>
      <w:r w:rsidRPr="00911580">
        <w:rPr>
          <w:rFonts w:hint="cs"/>
          <w:sz w:val="18"/>
          <w:szCs w:val="20"/>
          <w:rtl/>
        </w:rPr>
        <w:t>: על בסיס הראיות הקיימות, אף כי במקרה הישראלי הן אינן חד-משמעיות, נשער כי בני מעמדות נמוכים ייטו להתנגד יותר להפרטה מתוך שיקולי אינטרס עצמי, הרואים במעורבות הממשלתית מדיניות העשויה לקדם את מצבם החומרי.</w:t>
      </w:r>
    </w:p>
    <w:p w14:paraId="7189A700" w14:textId="77777777" w:rsidR="00B4735A" w:rsidRPr="00911580" w:rsidRDefault="00B4735A" w:rsidP="00911580">
      <w:pPr>
        <w:spacing w:after="180" w:line="280" w:lineRule="exact"/>
        <w:jc w:val="both"/>
        <w:rPr>
          <w:sz w:val="18"/>
          <w:szCs w:val="20"/>
          <w:rtl/>
        </w:rPr>
      </w:pPr>
      <w:r w:rsidRPr="00911580">
        <w:rPr>
          <w:sz w:val="18"/>
          <w:szCs w:val="20"/>
        </w:rPr>
        <w:t>X</w:t>
      </w:r>
      <w:r w:rsidRPr="00911580">
        <w:rPr>
          <w:sz w:val="18"/>
          <w:szCs w:val="20"/>
          <w:vertAlign w:val="subscript"/>
        </w:rPr>
        <w:t>2</w:t>
      </w:r>
      <w:r w:rsidRPr="00911580">
        <w:rPr>
          <w:sz w:val="18"/>
          <w:szCs w:val="20"/>
          <w:vertAlign w:val="subscript"/>
          <w:rtl/>
        </w:rPr>
        <w:t xml:space="preserve"> </w:t>
      </w:r>
      <w:r w:rsidRPr="00911580">
        <w:rPr>
          <w:sz w:val="18"/>
          <w:szCs w:val="20"/>
          <w:rtl/>
        </w:rPr>
        <w:t>רמת השכלה (משתנה אורדינלי בעל שלוש קטגוריות: נמוך, בינוני, גבוה)</w:t>
      </w:r>
      <w:r w:rsidRPr="00911580">
        <w:rPr>
          <w:rFonts w:hint="cs"/>
          <w:sz w:val="18"/>
          <w:szCs w:val="20"/>
          <w:rtl/>
        </w:rPr>
        <w:t>, בה</w:t>
      </w:r>
      <w:r w:rsidRPr="00911580">
        <w:rPr>
          <w:sz w:val="18"/>
          <w:szCs w:val="20"/>
          <w:rtl/>
        </w:rPr>
        <w:t>תבסס על השאלה: מהי התעודה האחרונה שלך? יסודי/ללא תעודת בגרות = נמוך; סיום תיכון עם תעודת בגרות = בינוני; השכלה על</w:t>
      </w:r>
      <w:r w:rsidRPr="00911580">
        <w:rPr>
          <w:rFonts w:hint="cs"/>
          <w:sz w:val="18"/>
          <w:szCs w:val="20"/>
          <w:rtl/>
        </w:rPr>
        <w:t>-</w:t>
      </w:r>
      <w:r w:rsidRPr="00911580">
        <w:rPr>
          <w:sz w:val="18"/>
          <w:szCs w:val="20"/>
          <w:rtl/>
        </w:rPr>
        <w:t>תיכונית גבוהה</w:t>
      </w:r>
      <w:r w:rsidRPr="00911580">
        <w:rPr>
          <w:rFonts w:hint="cs"/>
          <w:sz w:val="18"/>
          <w:szCs w:val="20"/>
          <w:rtl/>
        </w:rPr>
        <w:t>,</w:t>
      </w:r>
      <w:r w:rsidRPr="00911580">
        <w:rPr>
          <w:sz w:val="18"/>
          <w:szCs w:val="20"/>
          <w:rtl/>
        </w:rPr>
        <w:t xml:space="preserve"> אוניברסיטאית או שאינה אוניברסיטאית</w:t>
      </w:r>
      <w:r w:rsidRPr="00911580">
        <w:rPr>
          <w:rFonts w:hint="cs"/>
          <w:sz w:val="18"/>
          <w:szCs w:val="20"/>
          <w:rtl/>
        </w:rPr>
        <w:t>,</w:t>
      </w:r>
      <w:r w:rsidRPr="00911580">
        <w:rPr>
          <w:sz w:val="18"/>
          <w:szCs w:val="20"/>
          <w:rtl/>
        </w:rPr>
        <w:t xml:space="preserve"> לרבות מכללה = גבוהה</w:t>
      </w:r>
      <w:r w:rsidRPr="00911580">
        <w:rPr>
          <w:rFonts w:hint="cs"/>
          <w:sz w:val="18"/>
          <w:szCs w:val="20"/>
          <w:rtl/>
        </w:rPr>
        <w:t>.</w:t>
      </w:r>
    </w:p>
    <w:p w14:paraId="48D8A415" w14:textId="77777777" w:rsidR="00B4735A" w:rsidRPr="00911580" w:rsidRDefault="00B4735A" w:rsidP="00911580">
      <w:pPr>
        <w:spacing w:after="180" w:line="280" w:lineRule="exact"/>
        <w:jc w:val="both"/>
        <w:rPr>
          <w:sz w:val="18"/>
          <w:szCs w:val="20"/>
          <w:rtl/>
        </w:rPr>
      </w:pPr>
      <w:r w:rsidRPr="00911580">
        <w:rPr>
          <w:rFonts w:hint="cs"/>
          <w:b/>
          <w:bCs/>
          <w:sz w:val="18"/>
          <w:szCs w:val="20"/>
          <w:rtl/>
        </w:rPr>
        <w:t>השערת המחקר</w:t>
      </w:r>
      <w:r w:rsidRPr="00911580">
        <w:rPr>
          <w:rFonts w:hint="cs"/>
          <w:sz w:val="18"/>
          <w:szCs w:val="20"/>
          <w:rtl/>
        </w:rPr>
        <w:t>: הראיות בנושא אינן חד-משמעיות, אך נראה כי יש ממצאים המאששים את קיומו של קשר בין השכלה לבין עמדות הפרט בנושאי כלכלה וחברה. על בסיס ראיות אלה נשער כי ככל שהפרט משכיל יותר, כן הוא ייטה לתמוך יותר בהפרטה.</w:t>
      </w:r>
    </w:p>
    <w:p w14:paraId="3A1BA7D9" w14:textId="77777777" w:rsidR="00B4735A" w:rsidRPr="00911580" w:rsidRDefault="00B4735A" w:rsidP="00911580">
      <w:pPr>
        <w:spacing w:after="180" w:line="280" w:lineRule="exact"/>
        <w:jc w:val="both"/>
        <w:rPr>
          <w:sz w:val="18"/>
          <w:szCs w:val="20"/>
          <w:rtl/>
        </w:rPr>
      </w:pPr>
      <w:r w:rsidRPr="00911580">
        <w:rPr>
          <w:sz w:val="18"/>
          <w:szCs w:val="20"/>
        </w:rPr>
        <w:t>X</w:t>
      </w:r>
      <w:r w:rsidRPr="00911580">
        <w:rPr>
          <w:sz w:val="18"/>
          <w:szCs w:val="20"/>
          <w:vertAlign w:val="subscript"/>
        </w:rPr>
        <w:t>3</w:t>
      </w:r>
      <w:r w:rsidRPr="00911580">
        <w:rPr>
          <w:sz w:val="18"/>
          <w:szCs w:val="20"/>
          <w:vertAlign w:val="subscript"/>
          <w:rtl/>
        </w:rPr>
        <w:t xml:space="preserve"> </w:t>
      </w:r>
      <w:r w:rsidRPr="00911580">
        <w:rPr>
          <w:sz w:val="18"/>
          <w:szCs w:val="20"/>
          <w:rtl/>
        </w:rPr>
        <w:t>חברות בוועד עובדים (לא חבר ועד</w:t>
      </w:r>
      <w:r w:rsidRPr="00911580">
        <w:rPr>
          <w:rFonts w:hint="cs"/>
          <w:sz w:val="18"/>
          <w:szCs w:val="20"/>
          <w:rtl/>
        </w:rPr>
        <w:t xml:space="preserve"> </w:t>
      </w:r>
      <w:r w:rsidRPr="00911580">
        <w:rPr>
          <w:sz w:val="18"/>
          <w:szCs w:val="20"/>
          <w:rtl/>
        </w:rPr>
        <w:t>=</w:t>
      </w:r>
      <w:r w:rsidRPr="00911580">
        <w:rPr>
          <w:rFonts w:hint="cs"/>
          <w:sz w:val="18"/>
          <w:szCs w:val="20"/>
          <w:rtl/>
        </w:rPr>
        <w:t xml:space="preserve"> </w:t>
      </w:r>
      <w:r w:rsidRPr="00911580">
        <w:rPr>
          <w:sz w:val="18"/>
          <w:szCs w:val="20"/>
          <w:rtl/>
        </w:rPr>
        <w:t>0</w:t>
      </w:r>
      <w:r w:rsidRPr="00911580">
        <w:rPr>
          <w:rFonts w:hint="cs"/>
          <w:sz w:val="18"/>
          <w:szCs w:val="20"/>
          <w:rtl/>
        </w:rPr>
        <w:t>;</w:t>
      </w:r>
      <w:r w:rsidRPr="00911580">
        <w:rPr>
          <w:sz w:val="18"/>
          <w:szCs w:val="20"/>
          <w:rtl/>
        </w:rPr>
        <w:t xml:space="preserve"> חבר ועד</w:t>
      </w:r>
      <w:r w:rsidRPr="00911580">
        <w:rPr>
          <w:rFonts w:hint="cs"/>
          <w:sz w:val="18"/>
          <w:szCs w:val="20"/>
          <w:rtl/>
        </w:rPr>
        <w:t xml:space="preserve"> </w:t>
      </w:r>
      <w:r w:rsidRPr="00911580">
        <w:rPr>
          <w:sz w:val="18"/>
          <w:szCs w:val="20"/>
          <w:rtl/>
        </w:rPr>
        <w:t>=</w:t>
      </w:r>
      <w:r w:rsidRPr="00911580">
        <w:rPr>
          <w:rFonts w:hint="cs"/>
          <w:sz w:val="18"/>
          <w:szCs w:val="20"/>
          <w:rtl/>
        </w:rPr>
        <w:t xml:space="preserve"> </w:t>
      </w:r>
      <w:r w:rsidRPr="00911580">
        <w:rPr>
          <w:sz w:val="18"/>
          <w:szCs w:val="20"/>
          <w:rtl/>
        </w:rPr>
        <w:t>1)</w:t>
      </w:r>
      <w:r w:rsidRPr="00911580">
        <w:rPr>
          <w:rFonts w:hint="cs"/>
          <w:sz w:val="18"/>
          <w:szCs w:val="20"/>
          <w:rtl/>
        </w:rPr>
        <w:t>, בה</w:t>
      </w:r>
      <w:r w:rsidRPr="00911580">
        <w:rPr>
          <w:sz w:val="18"/>
          <w:szCs w:val="20"/>
          <w:rtl/>
        </w:rPr>
        <w:t>תבסס על השאלה: האם אתה חבר בוועד עובדים?</w:t>
      </w:r>
    </w:p>
    <w:p w14:paraId="52031117" w14:textId="77777777" w:rsidR="00B4735A" w:rsidRPr="00911580" w:rsidRDefault="00B4735A" w:rsidP="00911580">
      <w:pPr>
        <w:spacing w:after="180" w:line="280" w:lineRule="exact"/>
        <w:jc w:val="both"/>
        <w:rPr>
          <w:sz w:val="18"/>
          <w:szCs w:val="20"/>
          <w:rtl/>
        </w:rPr>
      </w:pPr>
      <w:r w:rsidRPr="00911580">
        <w:rPr>
          <w:rFonts w:hint="cs"/>
          <w:b/>
          <w:bCs/>
          <w:sz w:val="18"/>
          <w:szCs w:val="20"/>
          <w:rtl/>
        </w:rPr>
        <w:t>השערת המחקר</w:t>
      </w:r>
      <w:r w:rsidRPr="00911580">
        <w:rPr>
          <w:rFonts w:hint="cs"/>
          <w:sz w:val="18"/>
          <w:szCs w:val="20"/>
          <w:rtl/>
        </w:rPr>
        <w:t>: על בסיס ממצאים קיימים מישראל ומהעולם נשער כי חברות בוועד עובדים קשורה להתנגדות להפרטה, הן מתוך אינטרס עצמי הנובע מהרצון לשמור על מקום העבודה הן מתוך הפנמת האידיאולוגיה השוררת במקום העבודה ובוועד העובדים עצמו בנוגע להתאגדות עובדים ולהפרטה.</w:t>
      </w:r>
    </w:p>
    <w:p w14:paraId="5AB3705A" w14:textId="77777777" w:rsidR="00B4735A" w:rsidRPr="00911580" w:rsidRDefault="00B4735A" w:rsidP="00911580">
      <w:pPr>
        <w:spacing w:after="180" w:line="280" w:lineRule="exact"/>
        <w:jc w:val="both"/>
        <w:rPr>
          <w:sz w:val="18"/>
          <w:szCs w:val="20"/>
          <w:rtl/>
        </w:rPr>
      </w:pPr>
      <w:r w:rsidRPr="00911580">
        <w:rPr>
          <w:sz w:val="18"/>
          <w:szCs w:val="20"/>
        </w:rPr>
        <w:t>X</w:t>
      </w:r>
      <w:r w:rsidRPr="00911580">
        <w:rPr>
          <w:sz w:val="18"/>
          <w:szCs w:val="20"/>
          <w:vertAlign w:val="subscript"/>
        </w:rPr>
        <w:t>4</w:t>
      </w:r>
      <w:r w:rsidRPr="00911580">
        <w:rPr>
          <w:sz w:val="18"/>
          <w:szCs w:val="20"/>
          <w:vertAlign w:val="subscript"/>
          <w:rtl/>
        </w:rPr>
        <w:t xml:space="preserve"> </w:t>
      </w:r>
      <w:r w:rsidRPr="00911580">
        <w:rPr>
          <w:sz w:val="18"/>
          <w:szCs w:val="20"/>
          <w:rtl/>
        </w:rPr>
        <w:t>גיל (בני 18 ומעלה)</w:t>
      </w:r>
      <w:r w:rsidRPr="00911580">
        <w:rPr>
          <w:rFonts w:hint="cs"/>
          <w:sz w:val="18"/>
          <w:szCs w:val="20"/>
          <w:rtl/>
        </w:rPr>
        <w:t>, בה</w:t>
      </w:r>
      <w:r w:rsidRPr="00911580">
        <w:rPr>
          <w:sz w:val="18"/>
          <w:szCs w:val="20"/>
          <w:rtl/>
        </w:rPr>
        <w:t>תבסס על השאלה: באיזו שנה נולדת</w:t>
      </w:r>
      <w:r w:rsidRPr="00911580">
        <w:rPr>
          <w:rFonts w:hint="cs"/>
          <w:sz w:val="18"/>
          <w:szCs w:val="20"/>
          <w:rtl/>
        </w:rPr>
        <w:t>?</w:t>
      </w:r>
      <w:r w:rsidRPr="00911580">
        <w:rPr>
          <w:sz w:val="18"/>
          <w:szCs w:val="20"/>
          <w:rtl/>
        </w:rPr>
        <w:t xml:space="preserve"> (ציין בארבע ספרות)</w:t>
      </w:r>
    </w:p>
    <w:p w14:paraId="30EA1419" w14:textId="77777777" w:rsidR="00B4735A" w:rsidRPr="00911580" w:rsidRDefault="00B4735A" w:rsidP="00911580">
      <w:pPr>
        <w:spacing w:after="180" w:line="280" w:lineRule="exact"/>
        <w:jc w:val="both"/>
        <w:rPr>
          <w:sz w:val="18"/>
          <w:szCs w:val="20"/>
          <w:rtl/>
        </w:rPr>
      </w:pPr>
      <w:r w:rsidRPr="00911580">
        <w:rPr>
          <w:rFonts w:hint="cs"/>
          <w:b/>
          <w:bCs/>
          <w:sz w:val="18"/>
          <w:szCs w:val="20"/>
          <w:rtl/>
        </w:rPr>
        <w:t>השערת המחקר</w:t>
      </w:r>
      <w:r w:rsidRPr="00911580">
        <w:rPr>
          <w:rFonts w:hint="cs"/>
          <w:sz w:val="18"/>
          <w:szCs w:val="20"/>
          <w:rtl/>
        </w:rPr>
        <w:t xml:space="preserve">: עם העלייה בגיל עולה התנגדותו של הפרט להפרטה, משתי סיבות: האחת </w:t>
      </w:r>
      <w:r w:rsidRPr="00911580">
        <w:rPr>
          <w:sz w:val="18"/>
          <w:szCs w:val="20"/>
          <w:rtl/>
        </w:rPr>
        <w:t>–</w:t>
      </w:r>
      <w:r w:rsidRPr="00911580">
        <w:rPr>
          <w:rFonts w:hint="cs"/>
          <w:sz w:val="18"/>
          <w:szCs w:val="20"/>
          <w:rtl/>
        </w:rPr>
        <w:t xml:space="preserve"> תפיסת אינטרס עצמי, שביסודה התלות הגוברת עם הגיל במנגנונים המזוהים עם מדינת הרווחה, כגון שירותי בריאות ממלכתיים וקצבאות זקנה; האחרת </w:t>
      </w:r>
      <w:r w:rsidRPr="00911580">
        <w:rPr>
          <w:sz w:val="18"/>
          <w:szCs w:val="20"/>
          <w:rtl/>
        </w:rPr>
        <w:t>–</w:t>
      </w:r>
      <w:r w:rsidRPr="00911580">
        <w:rPr>
          <w:rFonts w:hint="cs"/>
          <w:sz w:val="18"/>
          <w:szCs w:val="20"/>
          <w:rtl/>
        </w:rPr>
        <w:t xml:space="preserve"> הבדלים ערכיים בין-דוריים, שמקורם בשינויים הרעיוניים שחלו בחברה הישראלית עם דחיקתן של השקפות סוציאליסטיות על ידי תפיסות המקדשות את האינדיבידואליזם ואת מנגנון השוק התחרותי.</w:t>
      </w:r>
    </w:p>
    <w:p w14:paraId="1F11D009" w14:textId="77777777" w:rsidR="00B4735A" w:rsidRPr="00911580" w:rsidRDefault="00B4735A" w:rsidP="00911580">
      <w:pPr>
        <w:spacing w:after="180" w:line="280" w:lineRule="exact"/>
        <w:jc w:val="both"/>
        <w:rPr>
          <w:sz w:val="18"/>
          <w:szCs w:val="20"/>
          <w:rtl/>
        </w:rPr>
      </w:pPr>
      <w:r w:rsidRPr="00911580">
        <w:rPr>
          <w:sz w:val="18"/>
          <w:szCs w:val="20"/>
        </w:rPr>
        <w:lastRenderedPageBreak/>
        <w:t>X</w:t>
      </w:r>
      <w:r w:rsidRPr="00911580">
        <w:rPr>
          <w:sz w:val="18"/>
          <w:szCs w:val="20"/>
          <w:vertAlign w:val="subscript"/>
        </w:rPr>
        <w:t>5</w:t>
      </w:r>
      <w:r w:rsidRPr="00911580">
        <w:rPr>
          <w:sz w:val="18"/>
          <w:szCs w:val="20"/>
          <w:rtl/>
        </w:rPr>
        <w:t xml:space="preserve"> מ</w:t>
      </w:r>
      <w:r w:rsidRPr="00911580">
        <w:rPr>
          <w:rFonts w:hint="cs"/>
          <w:sz w:val="18"/>
          <w:szCs w:val="20"/>
          <w:rtl/>
        </w:rPr>
        <w:t>גדר</w:t>
      </w:r>
      <w:r w:rsidRPr="00911580">
        <w:rPr>
          <w:sz w:val="18"/>
          <w:szCs w:val="20"/>
          <w:rtl/>
        </w:rPr>
        <w:t xml:space="preserve"> (0</w:t>
      </w:r>
      <w:r w:rsidRPr="00911580">
        <w:rPr>
          <w:rFonts w:hint="cs"/>
          <w:sz w:val="18"/>
          <w:szCs w:val="20"/>
          <w:rtl/>
        </w:rPr>
        <w:t xml:space="preserve"> </w:t>
      </w:r>
      <w:r w:rsidRPr="00911580">
        <w:rPr>
          <w:sz w:val="18"/>
          <w:szCs w:val="20"/>
          <w:rtl/>
        </w:rPr>
        <w:t>=</w:t>
      </w:r>
      <w:r w:rsidRPr="00911580">
        <w:rPr>
          <w:rFonts w:hint="cs"/>
          <w:sz w:val="18"/>
          <w:szCs w:val="20"/>
          <w:rtl/>
        </w:rPr>
        <w:t xml:space="preserve"> </w:t>
      </w:r>
      <w:r w:rsidRPr="00911580">
        <w:rPr>
          <w:sz w:val="18"/>
          <w:szCs w:val="20"/>
          <w:rtl/>
        </w:rPr>
        <w:t>זכר</w:t>
      </w:r>
      <w:r w:rsidRPr="00911580">
        <w:rPr>
          <w:rFonts w:hint="cs"/>
          <w:sz w:val="18"/>
          <w:szCs w:val="20"/>
          <w:rtl/>
        </w:rPr>
        <w:t>;</w:t>
      </w:r>
      <w:r w:rsidRPr="00911580">
        <w:rPr>
          <w:sz w:val="18"/>
          <w:szCs w:val="20"/>
          <w:rtl/>
        </w:rPr>
        <w:t xml:space="preserve"> 1</w:t>
      </w:r>
      <w:r w:rsidRPr="00911580">
        <w:rPr>
          <w:rFonts w:hint="cs"/>
          <w:sz w:val="18"/>
          <w:szCs w:val="20"/>
          <w:rtl/>
        </w:rPr>
        <w:t xml:space="preserve"> </w:t>
      </w:r>
      <w:r w:rsidRPr="00911580">
        <w:rPr>
          <w:sz w:val="18"/>
          <w:szCs w:val="20"/>
          <w:rtl/>
        </w:rPr>
        <w:t>=</w:t>
      </w:r>
      <w:r w:rsidRPr="00911580">
        <w:rPr>
          <w:rFonts w:hint="cs"/>
          <w:sz w:val="18"/>
          <w:szCs w:val="20"/>
          <w:rtl/>
        </w:rPr>
        <w:t xml:space="preserve"> </w:t>
      </w:r>
      <w:r w:rsidRPr="00911580">
        <w:rPr>
          <w:sz w:val="18"/>
          <w:szCs w:val="20"/>
          <w:rtl/>
        </w:rPr>
        <w:t>נקבה)</w:t>
      </w:r>
    </w:p>
    <w:p w14:paraId="0966B1A7" w14:textId="31BEE13C" w:rsidR="00B4735A" w:rsidRPr="00911580" w:rsidRDefault="00B4735A" w:rsidP="00911580">
      <w:pPr>
        <w:spacing w:after="180" w:line="280" w:lineRule="exact"/>
        <w:jc w:val="both"/>
        <w:rPr>
          <w:sz w:val="18"/>
          <w:szCs w:val="20"/>
        </w:rPr>
      </w:pPr>
      <w:r w:rsidRPr="00911580">
        <w:rPr>
          <w:rFonts w:hint="cs"/>
          <w:b/>
          <w:bCs/>
          <w:sz w:val="18"/>
          <w:szCs w:val="20"/>
          <w:rtl/>
        </w:rPr>
        <w:t>השערת המחקר</w:t>
      </w:r>
      <w:r w:rsidRPr="00911580">
        <w:rPr>
          <w:rFonts w:hint="cs"/>
          <w:sz w:val="18"/>
          <w:szCs w:val="20"/>
          <w:rtl/>
        </w:rPr>
        <w:t>: על בסיס הממצאים הקיימים נשער כי נשים ייטו יותר מגברים להתנגד להפרטה, משום שהחשיבות שהן מייחסות לסוגיות חברתיות רבה יותר מאשר החשיבות שמייחסים להן גברים, ו</w:t>
      </w:r>
      <w:r w:rsidR="00891433">
        <w:rPr>
          <w:rFonts w:hint="cs"/>
          <w:sz w:val="18"/>
          <w:szCs w:val="20"/>
          <w:rtl/>
        </w:rPr>
        <w:t xml:space="preserve">הן </w:t>
      </w:r>
      <w:r w:rsidRPr="00911580">
        <w:rPr>
          <w:rFonts w:hint="cs"/>
          <w:sz w:val="18"/>
          <w:szCs w:val="20"/>
          <w:rtl/>
        </w:rPr>
        <w:t xml:space="preserve">אף חוששות לסבול מאפליה בשוק הפרטי. </w:t>
      </w:r>
    </w:p>
    <w:p w14:paraId="43BA18FA" w14:textId="77777777" w:rsidR="00B4735A" w:rsidRPr="00911580" w:rsidRDefault="00B4735A" w:rsidP="00911580">
      <w:pPr>
        <w:spacing w:after="180" w:line="280" w:lineRule="exact"/>
        <w:jc w:val="both"/>
        <w:rPr>
          <w:sz w:val="18"/>
          <w:szCs w:val="20"/>
          <w:rtl/>
        </w:rPr>
      </w:pPr>
      <w:r w:rsidRPr="00911580">
        <w:rPr>
          <w:sz w:val="18"/>
          <w:szCs w:val="20"/>
        </w:rPr>
        <w:t>X</w:t>
      </w:r>
      <w:r w:rsidRPr="00911580">
        <w:rPr>
          <w:sz w:val="18"/>
          <w:szCs w:val="20"/>
          <w:vertAlign w:val="subscript"/>
        </w:rPr>
        <w:t>6</w:t>
      </w:r>
      <w:r w:rsidRPr="00911580">
        <w:rPr>
          <w:sz w:val="18"/>
          <w:szCs w:val="20"/>
          <w:rtl/>
        </w:rPr>
        <w:t xml:space="preserve"> השקפה כלכלית-חברתית (משתנה אורדינלי בעל חמש קטגוריות: סוציאליזם [1] </w:t>
      </w:r>
      <w:r w:rsidRPr="009C161B">
        <w:rPr>
          <w:sz w:val="18"/>
          <w:szCs w:val="20"/>
          <w:rtl/>
        </w:rPr>
        <w:t>–</w:t>
      </w:r>
      <w:r w:rsidRPr="00911580">
        <w:rPr>
          <w:sz w:val="18"/>
          <w:szCs w:val="20"/>
          <w:rtl/>
        </w:rPr>
        <w:t xml:space="preserve"> קפיטליזם [5])</w:t>
      </w:r>
      <w:r w:rsidRPr="00911580">
        <w:rPr>
          <w:rFonts w:hint="cs"/>
          <w:sz w:val="18"/>
          <w:szCs w:val="20"/>
          <w:rtl/>
        </w:rPr>
        <w:t>,</w:t>
      </w:r>
      <w:r w:rsidRPr="00911580">
        <w:rPr>
          <w:sz w:val="18"/>
          <w:szCs w:val="20"/>
          <w:rtl/>
        </w:rPr>
        <w:t xml:space="preserve"> </w:t>
      </w:r>
      <w:r w:rsidRPr="00911580">
        <w:rPr>
          <w:rFonts w:hint="cs"/>
          <w:sz w:val="18"/>
          <w:szCs w:val="20"/>
          <w:rtl/>
        </w:rPr>
        <w:t>בה</w:t>
      </w:r>
      <w:r w:rsidRPr="00911580">
        <w:rPr>
          <w:sz w:val="18"/>
          <w:szCs w:val="20"/>
          <w:rtl/>
        </w:rPr>
        <w:t xml:space="preserve">תבסס על השאלה: על רצף בין 1 ל-5 של שיטות כלכליות-חברתיות, כאשר 1 פירושו שיטה שהמדינה מתערבת בה מאוד בנושאים כלכליים-חברתיים (סוציאליזם) ו-5 </w:t>
      </w:r>
      <w:r w:rsidRPr="00911580">
        <w:rPr>
          <w:rFonts w:hint="cs"/>
          <w:sz w:val="18"/>
          <w:szCs w:val="20"/>
          <w:rtl/>
        </w:rPr>
        <w:t xml:space="preserve">פירושו </w:t>
      </w:r>
      <w:r w:rsidRPr="00911580">
        <w:rPr>
          <w:sz w:val="18"/>
          <w:szCs w:val="20"/>
          <w:rtl/>
        </w:rPr>
        <w:t>שיטה שבה המדינה בכלל לא מתערבת בנושאי כלכלה וחברה והשוק חופשי (קפיטליזם), היכן היית ממקם את עצמך מבחינת השקפתך הכלכלית?</w:t>
      </w:r>
    </w:p>
    <w:p w14:paraId="555D0955" w14:textId="19D9DCEF" w:rsidR="00B4735A" w:rsidRPr="00E62E88" w:rsidRDefault="00891433" w:rsidP="00891433">
      <w:pPr>
        <w:spacing w:after="180" w:line="280" w:lineRule="exact"/>
        <w:jc w:val="both"/>
        <w:rPr>
          <w:spacing w:val="-2"/>
          <w:sz w:val="18"/>
          <w:szCs w:val="20"/>
          <w:rtl/>
        </w:rPr>
      </w:pPr>
      <w:r w:rsidRPr="00911580">
        <w:rPr>
          <w:rFonts w:hint="cs"/>
          <w:b/>
          <w:bCs/>
          <w:sz w:val="18"/>
          <w:szCs w:val="20"/>
          <w:rtl/>
        </w:rPr>
        <w:t>השערת</w:t>
      </w:r>
      <w:r>
        <w:rPr>
          <w:rFonts w:hint="cs"/>
          <w:b/>
          <w:bCs/>
          <w:sz w:val="18"/>
          <w:szCs w:val="20"/>
          <w:rtl/>
        </w:rPr>
        <w:t xml:space="preserve"> ה</w:t>
      </w:r>
      <w:r w:rsidR="00B4735A" w:rsidRPr="00911580">
        <w:rPr>
          <w:rFonts w:hint="cs"/>
          <w:b/>
          <w:bCs/>
          <w:sz w:val="18"/>
          <w:szCs w:val="20"/>
          <w:rtl/>
        </w:rPr>
        <w:t>מחקר</w:t>
      </w:r>
      <w:r w:rsidR="00B4735A" w:rsidRPr="00911580">
        <w:rPr>
          <w:rFonts w:hint="cs"/>
          <w:sz w:val="18"/>
          <w:szCs w:val="20"/>
          <w:rtl/>
        </w:rPr>
        <w:t xml:space="preserve">: </w:t>
      </w:r>
      <w:r w:rsidR="00B4735A" w:rsidRPr="00E62E88">
        <w:rPr>
          <w:rFonts w:hint="cs"/>
          <w:spacing w:val="-2"/>
          <w:sz w:val="18"/>
          <w:szCs w:val="20"/>
          <w:rtl/>
        </w:rPr>
        <w:t>ככל שהפרט תומך יותר בעמדה קפיטליסטית כן הוא ייטה יותר לתמוך בהפרטה, שכן זו עולה בקנה אחד עם תפיסת העולם הכללית העולה מההשקפה הקפיטליסטית ומעודדת יוזמה חופשית, שוק תחרותי ומעורבות ממשלתית מינימלית בחיי הכלכלה.</w:t>
      </w:r>
    </w:p>
    <w:p w14:paraId="6D3BEBE6" w14:textId="77777777" w:rsidR="00B4735A" w:rsidRPr="00911580" w:rsidRDefault="00B4735A" w:rsidP="00911580">
      <w:pPr>
        <w:spacing w:after="180" w:line="280" w:lineRule="exact"/>
        <w:jc w:val="both"/>
        <w:rPr>
          <w:sz w:val="18"/>
          <w:szCs w:val="20"/>
          <w:rtl/>
        </w:rPr>
      </w:pPr>
      <w:r w:rsidRPr="00911580">
        <w:rPr>
          <w:sz w:val="18"/>
          <w:szCs w:val="20"/>
        </w:rPr>
        <w:t>X</w:t>
      </w:r>
      <w:r w:rsidRPr="00911580">
        <w:rPr>
          <w:sz w:val="18"/>
          <w:szCs w:val="20"/>
          <w:vertAlign w:val="subscript"/>
        </w:rPr>
        <w:t>7</w:t>
      </w:r>
      <w:r w:rsidRPr="00911580">
        <w:rPr>
          <w:sz w:val="18"/>
          <w:szCs w:val="20"/>
          <w:rtl/>
        </w:rPr>
        <w:t xml:space="preserve"> השתייכות אתנית (יהודים</w:t>
      </w:r>
      <w:r w:rsidRPr="00911580">
        <w:rPr>
          <w:rFonts w:hint="cs"/>
          <w:sz w:val="18"/>
          <w:szCs w:val="20"/>
          <w:rtl/>
        </w:rPr>
        <w:t xml:space="preserve"> </w:t>
      </w:r>
      <w:r w:rsidRPr="00911580">
        <w:rPr>
          <w:sz w:val="18"/>
          <w:szCs w:val="20"/>
          <w:rtl/>
        </w:rPr>
        <w:t>=</w:t>
      </w:r>
      <w:r w:rsidRPr="00911580">
        <w:rPr>
          <w:rFonts w:hint="cs"/>
          <w:sz w:val="18"/>
          <w:szCs w:val="20"/>
          <w:rtl/>
        </w:rPr>
        <w:t xml:space="preserve"> </w:t>
      </w:r>
      <w:r w:rsidRPr="00911580">
        <w:rPr>
          <w:sz w:val="18"/>
          <w:szCs w:val="20"/>
          <w:rtl/>
        </w:rPr>
        <w:t>0</w:t>
      </w:r>
      <w:r w:rsidRPr="00911580">
        <w:rPr>
          <w:rFonts w:hint="cs"/>
          <w:sz w:val="18"/>
          <w:szCs w:val="20"/>
          <w:rtl/>
        </w:rPr>
        <w:t>;</w:t>
      </w:r>
      <w:r w:rsidRPr="00911580">
        <w:rPr>
          <w:sz w:val="18"/>
          <w:szCs w:val="20"/>
          <w:rtl/>
        </w:rPr>
        <w:t xml:space="preserve"> לא-יהודים</w:t>
      </w:r>
      <w:r w:rsidRPr="00911580">
        <w:rPr>
          <w:rFonts w:hint="cs"/>
          <w:sz w:val="18"/>
          <w:szCs w:val="20"/>
          <w:rtl/>
        </w:rPr>
        <w:t xml:space="preserve"> </w:t>
      </w:r>
      <w:r w:rsidRPr="00911580">
        <w:rPr>
          <w:sz w:val="18"/>
          <w:szCs w:val="20"/>
          <w:rtl/>
        </w:rPr>
        <w:t>=</w:t>
      </w:r>
      <w:r w:rsidRPr="00911580">
        <w:rPr>
          <w:rFonts w:hint="cs"/>
          <w:sz w:val="18"/>
          <w:szCs w:val="20"/>
          <w:rtl/>
        </w:rPr>
        <w:t xml:space="preserve"> </w:t>
      </w:r>
      <w:r w:rsidRPr="00911580">
        <w:rPr>
          <w:sz w:val="18"/>
          <w:szCs w:val="20"/>
          <w:rtl/>
        </w:rPr>
        <w:t>1), בהתבסס על השאלה: לאיזה לאום/מגזר אתה משתייך? תחת "לא-יהודים" קובצו מי שהגדירו עצמם ערבים-מוסלמים, ערבים-נוצרים ודרוזים.</w:t>
      </w:r>
    </w:p>
    <w:p w14:paraId="2ED5D795" w14:textId="77777777" w:rsidR="00B4735A" w:rsidRPr="00911580" w:rsidRDefault="00B4735A" w:rsidP="00911580">
      <w:pPr>
        <w:spacing w:after="180" w:line="280" w:lineRule="exact"/>
        <w:jc w:val="both"/>
        <w:rPr>
          <w:sz w:val="18"/>
          <w:szCs w:val="20"/>
        </w:rPr>
      </w:pPr>
      <w:r w:rsidRPr="00911580">
        <w:rPr>
          <w:rFonts w:hint="cs"/>
          <w:b/>
          <w:bCs/>
          <w:sz w:val="18"/>
          <w:szCs w:val="20"/>
          <w:rtl/>
        </w:rPr>
        <w:t>השערת המחקר</w:t>
      </w:r>
      <w:r w:rsidRPr="00911580">
        <w:rPr>
          <w:rFonts w:hint="cs"/>
          <w:sz w:val="18"/>
          <w:szCs w:val="20"/>
          <w:rtl/>
        </w:rPr>
        <w:t>: על בסיס הראיות לנטייתם של מיעוטים אתניים לתמוך יותר במדיניות רווחה ובמעורבות ממשלתית, נשער כי לא-יהודים ייטו להתנגד להפרטה יותר מיהודים.</w:t>
      </w:r>
    </w:p>
    <w:p w14:paraId="5CBC40E0" w14:textId="77777777" w:rsidR="00B4735A" w:rsidRPr="00911580" w:rsidRDefault="00B4735A" w:rsidP="00911580">
      <w:pPr>
        <w:spacing w:after="180" w:line="280" w:lineRule="exact"/>
        <w:jc w:val="both"/>
        <w:rPr>
          <w:sz w:val="18"/>
          <w:szCs w:val="20"/>
          <w:rtl/>
        </w:rPr>
      </w:pPr>
      <w:r w:rsidRPr="00911580">
        <w:rPr>
          <w:sz w:val="18"/>
          <w:szCs w:val="20"/>
        </w:rPr>
        <w:t>X</w:t>
      </w:r>
      <w:r w:rsidRPr="00911580">
        <w:rPr>
          <w:sz w:val="18"/>
          <w:szCs w:val="20"/>
          <w:vertAlign w:val="subscript"/>
        </w:rPr>
        <w:t>8</w:t>
      </w:r>
      <w:r w:rsidRPr="00911580">
        <w:rPr>
          <w:sz w:val="18"/>
          <w:szCs w:val="20"/>
          <w:rtl/>
        </w:rPr>
        <w:t xml:space="preserve"> רמת דתיות (משתנה אורדינלי בעל 4 קטגוריות: חילוני, מסורתי, דתי, דתי מאוד)</w:t>
      </w:r>
      <w:r w:rsidRPr="00911580">
        <w:rPr>
          <w:rFonts w:hint="cs"/>
          <w:sz w:val="18"/>
          <w:szCs w:val="20"/>
          <w:rtl/>
        </w:rPr>
        <w:t>, ב</w:t>
      </w:r>
      <w:r w:rsidRPr="00911580">
        <w:rPr>
          <w:sz w:val="18"/>
          <w:szCs w:val="20"/>
          <w:rtl/>
        </w:rPr>
        <w:t xml:space="preserve">התבסס על השאלה: כיצד אתה מגדיר את עצמך מבחינה דתית? </w:t>
      </w:r>
      <w:r w:rsidRPr="00911580">
        <w:rPr>
          <w:rFonts w:hint="cs"/>
          <w:sz w:val="18"/>
          <w:szCs w:val="20"/>
          <w:rtl/>
        </w:rPr>
        <w:t>(</w:t>
      </w:r>
      <w:r w:rsidRPr="00911580">
        <w:rPr>
          <w:sz w:val="18"/>
          <w:szCs w:val="20"/>
          <w:rtl/>
        </w:rPr>
        <w:t>נופו מי שהגדירו עצמם "חסרי דת" או לא ענו</w:t>
      </w:r>
      <w:r w:rsidRPr="00911580">
        <w:rPr>
          <w:rFonts w:hint="cs"/>
          <w:sz w:val="18"/>
          <w:szCs w:val="20"/>
          <w:rtl/>
        </w:rPr>
        <w:t>)</w:t>
      </w:r>
      <w:r w:rsidRPr="00911580">
        <w:rPr>
          <w:sz w:val="18"/>
          <w:szCs w:val="20"/>
          <w:rtl/>
        </w:rPr>
        <w:t>.</w:t>
      </w:r>
    </w:p>
    <w:p w14:paraId="3D11B1BC" w14:textId="77777777" w:rsidR="00B4735A" w:rsidRPr="00911580" w:rsidRDefault="00B4735A" w:rsidP="00911580">
      <w:pPr>
        <w:spacing w:after="180" w:line="280" w:lineRule="exact"/>
        <w:jc w:val="both"/>
        <w:rPr>
          <w:sz w:val="18"/>
          <w:szCs w:val="20"/>
          <w:rtl/>
        </w:rPr>
      </w:pPr>
      <w:r w:rsidRPr="00911580">
        <w:rPr>
          <w:rFonts w:hint="cs"/>
          <w:b/>
          <w:bCs/>
          <w:sz w:val="18"/>
          <w:szCs w:val="20"/>
          <w:rtl/>
        </w:rPr>
        <w:t>השערת המחקר</w:t>
      </w:r>
      <w:r w:rsidRPr="00911580">
        <w:rPr>
          <w:rFonts w:hint="cs"/>
          <w:sz w:val="18"/>
          <w:szCs w:val="20"/>
          <w:rtl/>
        </w:rPr>
        <w:t>: ככל שהפרט מגדיר עצמו כדתי יותר כן הוא ייטה לתמוך יותר בהפרטה, שכן העדויות מהעולם מצביעות על תחרות בין מוסדות הדת למדינה ואף על תמיכה תיאולוגית מסוימת בזכויות קניין.</w:t>
      </w:r>
    </w:p>
    <w:p w14:paraId="6ADC4366" w14:textId="11135DC7" w:rsidR="00B4735A" w:rsidRPr="00911580" w:rsidRDefault="00B4735A" w:rsidP="00D27543">
      <w:pPr>
        <w:spacing w:after="180" w:line="280" w:lineRule="exact"/>
        <w:jc w:val="both"/>
        <w:rPr>
          <w:sz w:val="18"/>
          <w:szCs w:val="20"/>
          <w:rtl/>
        </w:rPr>
      </w:pPr>
      <w:r w:rsidRPr="00911580">
        <w:rPr>
          <w:rFonts w:hint="cs"/>
          <w:sz w:val="18"/>
          <w:szCs w:val="20"/>
          <w:rtl/>
        </w:rPr>
        <w:t xml:space="preserve">לא נמצאה במודל בעיה של </w:t>
      </w:r>
      <w:proofErr w:type="spellStart"/>
      <w:r w:rsidRPr="00911580">
        <w:rPr>
          <w:rFonts w:hint="cs"/>
          <w:sz w:val="18"/>
          <w:szCs w:val="20"/>
          <w:rtl/>
        </w:rPr>
        <w:t>מולטיקולינאריות</w:t>
      </w:r>
      <w:proofErr w:type="spellEnd"/>
      <w:r w:rsidR="00FB10D3">
        <w:rPr>
          <w:rFonts w:hint="cs"/>
          <w:sz w:val="18"/>
          <w:szCs w:val="20"/>
          <w:rtl/>
        </w:rPr>
        <w:t xml:space="preserve"> (</w:t>
      </w:r>
      <w:r w:rsidR="00FB10D3">
        <w:rPr>
          <w:sz w:val="18"/>
          <w:szCs w:val="20"/>
        </w:rPr>
        <w:t>1</w:t>
      </w:r>
      <w:r w:rsidR="00D27543">
        <w:rPr>
          <w:sz w:val="18"/>
          <w:szCs w:val="20"/>
        </w:rPr>
        <w:t xml:space="preserve"> &lt;</w:t>
      </w:r>
      <w:r w:rsidR="00FB10D3">
        <w:rPr>
          <w:sz w:val="18"/>
          <w:szCs w:val="20"/>
        </w:rPr>
        <w:t xml:space="preserve"> VIF &lt; 10</w:t>
      </w:r>
      <w:r w:rsidR="00FB10D3">
        <w:rPr>
          <w:rFonts w:hint="cs"/>
          <w:sz w:val="18"/>
          <w:szCs w:val="20"/>
          <w:rtl/>
        </w:rPr>
        <w:t>).</w:t>
      </w:r>
    </w:p>
    <w:p w14:paraId="1F12928C" w14:textId="2888F86D" w:rsidR="00B4735A" w:rsidRDefault="00B4735A" w:rsidP="00911580">
      <w:pPr>
        <w:spacing w:after="180" w:line="280" w:lineRule="exact"/>
        <w:jc w:val="both"/>
        <w:rPr>
          <w:b/>
          <w:bCs/>
          <w:sz w:val="18"/>
          <w:szCs w:val="20"/>
          <w:rtl/>
        </w:rPr>
      </w:pPr>
    </w:p>
    <w:p w14:paraId="29AF354E" w14:textId="77777777" w:rsidR="00E62E88" w:rsidRPr="00911580" w:rsidRDefault="00E62E88" w:rsidP="00911580">
      <w:pPr>
        <w:spacing w:after="180" w:line="280" w:lineRule="exact"/>
        <w:jc w:val="both"/>
        <w:rPr>
          <w:b/>
          <w:bCs/>
          <w:sz w:val="18"/>
          <w:szCs w:val="20"/>
          <w:rtl/>
        </w:rPr>
      </w:pPr>
    </w:p>
    <w:p w14:paraId="268CCD51" w14:textId="6501FE7A" w:rsidR="00B4735A" w:rsidRPr="00B4735A" w:rsidRDefault="00B4735A" w:rsidP="00B4735A">
      <w:pPr>
        <w:pStyle w:val="KOT4"/>
        <w:spacing w:after="0"/>
        <w:ind w:left="397" w:right="0" w:hanging="397"/>
        <w:rPr>
          <w:rFonts w:cs="Guttman Aharoni"/>
          <w:color w:val="00B0F0"/>
          <w:sz w:val="32"/>
          <w:szCs w:val="32"/>
          <w:rtl/>
        </w:rPr>
      </w:pPr>
      <w:r w:rsidRPr="00B4735A">
        <w:rPr>
          <w:rFonts w:cs="Guttman Aharoni" w:hint="cs"/>
          <w:color w:val="00B0F0"/>
          <w:sz w:val="32"/>
          <w:szCs w:val="32"/>
          <w:rtl/>
        </w:rPr>
        <w:t xml:space="preserve">6. </w:t>
      </w:r>
      <w:r w:rsidRPr="00B4735A">
        <w:rPr>
          <w:rFonts w:cs="Guttman Aharoni" w:hint="eastAsia"/>
          <w:color w:val="00B0F0"/>
          <w:sz w:val="32"/>
          <w:szCs w:val="32"/>
          <w:rtl/>
        </w:rPr>
        <w:t>ממצאי</w:t>
      </w:r>
      <w:r w:rsidRPr="00B4735A">
        <w:rPr>
          <w:rFonts w:cs="Guttman Aharoni" w:hint="cs"/>
          <w:color w:val="00B0F0"/>
          <w:sz w:val="32"/>
          <w:szCs w:val="32"/>
          <w:rtl/>
        </w:rPr>
        <w:t>ם</w:t>
      </w:r>
    </w:p>
    <w:p w14:paraId="02AD68B5"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תחילה נשאלו משתתפי הסקר אם שמעו על המושג "הפרטה". 67.3% השיבו על שאלה זו </w:t>
      </w:r>
      <w:r w:rsidRPr="00911580">
        <w:rPr>
          <w:sz w:val="18"/>
          <w:szCs w:val="20"/>
          <w:rtl/>
        </w:rPr>
        <w:t>בחיוב.</w:t>
      </w:r>
      <w:r w:rsidRPr="00911580">
        <w:rPr>
          <w:rFonts w:hint="cs"/>
          <w:sz w:val="18"/>
          <w:szCs w:val="20"/>
          <w:rtl/>
        </w:rPr>
        <w:t xml:space="preserve"> שיעור זה עלה ל-72.3% לאחר תיקנון התוצאות בהתאם למשקל המייצג של קבוצתם </w:t>
      </w:r>
      <w:r w:rsidRPr="00911580">
        <w:rPr>
          <w:rFonts w:hint="cs"/>
          <w:sz w:val="18"/>
          <w:szCs w:val="20"/>
          <w:rtl/>
        </w:rPr>
        <w:lastRenderedPageBreak/>
        <w:t>באוכלוסייה (התיקנון נערך לפי משקל קבוצות הגיל בקרב יהודים ולא-יהודים באוכלוסייה, בהתאם לנתוני הלשכה המרכזית לסטטיסטיקה).</w:t>
      </w:r>
    </w:p>
    <w:p w14:paraId="519697C8" w14:textId="6134A1DB" w:rsidR="00B4735A" w:rsidRPr="00911580" w:rsidRDefault="00B4735A" w:rsidP="00223996">
      <w:pPr>
        <w:spacing w:after="180" w:line="280" w:lineRule="exact"/>
        <w:jc w:val="both"/>
        <w:rPr>
          <w:sz w:val="18"/>
          <w:szCs w:val="20"/>
        </w:rPr>
      </w:pPr>
      <w:r w:rsidRPr="00911580">
        <w:rPr>
          <w:rFonts w:eastAsia="Calibri" w:hint="cs"/>
          <w:sz w:val="18"/>
          <w:szCs w:val="20"/>
          <w:rtl/>
        </w:rPr>
        <w:t xml:space="preserve">בהמשך </w:t>
      </w:r>
      <w:r w:rsidRPr="00911580">
        <w:rPr>
          <w:rFonts w:eastAsia="Calibri"/>
          <w:sz w:val="18"/>
          <w:szCs w:val="20"/>
          <w:rtl/>
        </w:rPr>
        <w:t>הוצגה בפני</w:t>
      </w:r>
      <w:r w:rsidRPr="00911580">
        <w:rPr>
          <w:rFonts w:eastAsia="Calibri" w:hint="cs"/>
          <w:sz w:val="18"/>
          <w:szCs w:val="20"/>
          <w:rtl/>
        </w:rPr>
        <w:t xml:space="preserve"> המשתתפים</w:t>
      </w:r>
      <w:r w:rsidRPr="00911580">
        <w:rPr>
          <w:rFonts w:eastAsia="Calibri"/>
          <w:sz w:val="18"/>
          <w:szCs w:val="20"/>
          <w:rtl/>
        </w:rPr>
        <w:t xml:space="preserve"> הגדרה תמציתית של המושג </w:t>
      </w:r>
      <w:r w:rsidRPr="00911580">
        <w:rPr>
          <w:sz w:val="18"/>
          <w:szCs w:val="20"/>
          <w:rtl/>
        </w:rPr>
        <w:t>"הפרטה"</w:t>
      </w:r>
      <w:r w:rsidRPr="00911580">
        <w:rPr>
          <w:rFonts w:hint="cs"/>
          <w:sz w:val="18"/>
          <w:szCs w:val="20"/>
          <w:rtl/>
        </w:rPr>
        <w:t xml:space="preserve">: </w:t>
      </w:r>
      <w:r w:rsidRPr="00911580">
        <w:rPr>
          <w:sz w:val="18"/>
          <w:szCs w:val="20"/>
          <w:rtl/>
        </w:rPr>
        <w:t>"העברתו של נכס או של שירות ממשלתי לידיים פרטיות</w:t>
      </w:r>
      <w:r w:rsidRPr="00911580">
        <w:rPr>
          <w:rFonts w:hint="cs"/>
          <w:sz w:val="18"/>
          <w:szCs w:val="20"/>
          <w:rtl/>
        </w:rPr>
        <w:t>"</w:t>
      </w:r>
      <w:r w:rsidRPr="00911580">
        <w:rPr>
          <w:sz w:val="18"/>
          <w:szCs w:val="20"/>
          <w:rtl/>
        </w:rPr>
        <w:t>.</w:t>
      </w:r>
      <w:r w:rsidRPr="00911580">
        <w:rPr>
          <w:rFonts w:hint="cs"/>
          <w:sz w:val="18"/>
          <w:szCs w:val="20"/>
          <w:rtl/>
        </w:rPr>
        <w:t xml:space="preserve"> בעקבות הגדרה זו נשאלו משתתפי הסקר על עמדתם כלפי הפרטה (תומך מאוד, תומך, מתנגד, מתנגד מאוד, לא יודע).</w:t>
      </w:r>
      <w:r w:rsidRPr="00911580">
        <w:rPr>
          <w:sz w:val="18"/>
          <w:szCs w:val="20"/>
          <w:rtl/>
        </w:rPr>
        <w:t xml:space="preserve"> </w:t>
      </w:r>
      <w:r w:rsidRPr="00911580">
        <w:rPr>
          <w:rFonts w:hint="cs"/>
          <w:sz w:val="18"/>
          <w:szCs w:val="20"/>
          <w:rtl/>
        </w:rPr>
        <w:t xml:space="preserve">מתוך חמש הקטגוריות נמצא כי כ-42% </w:t>
      </w:r>
      <w:r w:rsidR="00891433">
        <w:rPr>
          <w:rFonts w:hint="cs"/>
          <w:sz w:val="18"/>
          <w:szCs w:val="20"/>
          <w:rtl/>
        </w:rPr>
        <w:t xml:space="preserve">צידדו </w:t>
      </w:r>
      <w:r w:rsidRPr="00911580">
        <w:rPr>
          <w:rFonts w:hint="cs"/>
          <w:sz w:val="18"/>
          <w:szCs w:val="20"/>
          <w:rtl/>
        </w:rPr>
        <w:t xml:space="preserve">בהפרטה (35% תומכים ו-7% תומכים מאוד); שיעור המתנגדים להפרטה עמד על כ-40% (28% מתנגדים ו-12% מתנגדים מאוד); היתר (כ-16%) בחרו שלא להביע עמדה בנושא. בניכוי קבוצת חסרי העמדה עולה כי יש רוב קטן לתומכי ההפרטה: </w:t>
      </w:r>
      <w:r w:rsidR="009C161B">
        <w:rPr>
          <w:sz w:val="18"/>
          <w:szCs w:val="20"/>
        </w:rPr>
        <w:br/>
      </w:r>
      <w:r w:rsidRPr="00911580">
        <w:rPr>
          <w:rFonts w:hint="cs"/>
          <w:sz w:val="18"/>
          <w:szCs w:val="20"/>
          <w:rtl/>
        </w:rPr>
        <w:t xml:space="preserve">כ-51% ממשתתפי הסקר </w:t>
      </w:r>
      <w:r w:rsidR="00891433">
        <w:rPr>
          <w:rFonts w:hint="cs"/>
          <w:sz w:val="18"/>
          <w:szCs w:val="20"/>
          <w:rtl/>
        </w:rPr>
        <w:t>הביעו</w:t>
      </w:r>
      <w:r w:rsidR="00891433" w:rsidRPr="00911580">
        <w:rPr>
          <w:rFonts w:hint="cs"/>
          <w:sz w:val="18"/>
          <w:szCs w:val="20"/>
          <w:rtl/>
        </w:rPr>
        <w:t xml:space="preserve"> </w:t>
      </w:r>
      <w:r w:rsidRPr="00911580">
        <w:rPr>
          <w:rFonts w:hint="cs"/>
          <w:sz w:val="18"/>
          <w:szCs w:val="20"/>
          <w:rtl/>
        </w:rPr>
        <w:t xml:space="preserve">תמיכה בהפרטה, ואילו 49% </w:t>
      </w:r>
      <w:r w:rsidR="00891433">
        <w:rPr>
          <w:rFonts w:hint="cs"/>
          <w:sz w:val="18"/>
          <w:szCs w:val="20"/>
          <w:rtl/>
        </w:rPr>
        <w:t xml:space="preserve">התנגדו </w:t>
      </w:r>
      <w:r w:rsidRPr="00911580">
        <w:rPr>
          <w:rFonts w:hint="cs"/>
          <w:sz w:val="18"/>
          <w:szCs w:val="20"/>
          <w:rtl/>
        </w:rPr>
        <w:t>לה. לאחר תיקנון התוצאות נוצר פער גדול יותר ומובהק סטטיסטית (</w:t>
      </w:r>
      <w:r w:rsidRPr="00911580">
        <w:rPr>
          <w:sz w:val="18"/>
          <w:szCs w:val="20"/>
          <w:rtl/>
        </w:rPr>
        <w:t>&lt;</w:t>
      </w:r>
      <w:r w:rsidR="00D27543">
        <w:rPr>
          <w:rFonts w:hint="cs"/>
          <w:sz w:val="18"/>
          <w:szCs w:val="20"/>
          <w:rtl/>
        </w:rPr>
        <w:t xml:space="preserve"> </w:t>
      </w:r>
      <w:r w:rsidR="00D27543">
        <w:rPr>
          <w:sz w:val="18"/>
          <w:szCs w:val="20"/>
        </w:rPr>
        <w:t>.</w:t>
      </w:r>
      <w:r w:rsidR="00D27543" w:rsidRPr="00D27543">
        <w:rPr>
          <w:rFonts w:ascii="David" w:hAnsi="David"/>
          <w:sz w:val="18"/>
          <w:szCs w:val="20"/>
        </w:rPr>
        <w:t>01</w:t>
      </w:r>
      <w:r w:rsidRPr="00911580">
        <w:rPr>
          <w:rFonts w:hint="cs"/>
          <w:sz w:val="18"/>
          <w:szCs w:val="20"/>
          <w:rtl/>
        </w:rPr>
        <w:t xml:space="preserve">): 57% </w:t>
      </w:r>
      <w:r w:rsidR="00891433">
        <w:rPr>
          <w:rFonts w:hint="cs"/>
          <w:sz w:val="18"/>
          <w:szCs w:val="20"/>
          <w:rtl/>
        </w:rPr>
        <w:t xml:space="preserve">תמכו </w:t>
      </w:r>
      <w:r w:rsidRPr="00911580">
        <w:rPr>
          <w:rFonts w:hint="cs"/>
          <w:sz w:val="18"/>
          <w:szCs w:val="20"/>
          <w:rtl/>
        </w:rPr>
        <w:t xml:space="preserve">בהפרטה, ואילו 43% </w:t>
      </w:r>
      <w:r w:rsidR="00891433">
        <w:rPr>
          <w:rFonts w:hint="cs"/>
          <w:sz w:val="18"/>
          <w:szCs w:val="20"/>
          <w:rtl/>
        </w:rPr>
        <w:t>התנגדו</w:t>
      </w:r>
      <w:r w:rsidR="00891433" w:rsidRPr="00911580">
        <w:rPr>
          <w:rFonts w:hint="cs"/>
          <w:sz w:val="18"/>
          <w:szCs w:val="20"/>
          <w:rtl/>
        </w:rPr>
        <w:t xml:space="preserve"> </w:t>
      </w:r>
      <w:r w:rsidRPr="00911580">
        <w:rPr>
          <w:rFonts w:hint="cs"/>
          <w:sz w:val="18"/>
          <w:szCs w:val="20"/>
          <w:rtl/>
        </w:rPr>
        <w:t>לה.</w:t>
      </w:r>
    </w:p>
    <w:p w14:paraId="1949BE0F" w14:textId="77777777" w:rsidR="00B4735A" w:rsidRPr="00911580" w:rsidRDefault="00B4735A" w:rsidP="00911580">
      <w:pPr>
        <w:spacing w:after="180" w:line="280" w:lineRule="exact"/>
        <w:jc w:val="both"/>
        <w:rPr>
          <w:sz w:val="18"/>
          <w:szCs w:val="20"/>
          <w:rtl/>
        </w:rPr>
      </w:pPr>
      <w:r w:rsidRPr="00911580">
        <w:rPr>
          <w:rFonts w:hint="cs"/>
          <w:sz w:val="18"/>
          <w:szCs w:val="20"/>
          <w:rtl/>
        </w:rPr>
        <w:t>לאחר מכן נשאלו משתתפי הסקר על עמדותיהם כלפי הפרטה בתשעה תחומים חברתיים וכלכליים שונים. שש שאלות עסקו בשירותים חברתיים: מוסדות לטיפול בקשישים, פנימיות לנוער בסיכון, מסגרות לטיפול באנשים עם פיגור שכלי, בתי ספר תיכוניים, אספקת שירותי בריאות, בתי סוהר. שלוש שאלות עסקו בתשתיות ממשלתיות: נמלי ים, משק החשמל ותשתיות מים וביוב. בתרשים 1 להלן מוצגות התוצאות שהתקבלו, בניכוי המשיבים שלא הביעו עמדה.</w:t>
      </w:r>
    </w:p>
    <w:p w14:paraId="6F281053" w14:textId="1B97AC1E" w:rsidR="00B4735A" w:rsidRPr="00495FC4" w:rsidRDefault="00B4735A" w:rsidP="00495FC4">
      <w:pPr>
        <w:pStyle w:val="tab-name"/>
        <w:spacing w:before="300" w:line="260" w:lineRule="exact"/>
        <w:ind w:right="0"/>
        <w:rPr>
          <w:rFonts w:cs="Guttman Aharoni"/>
          <w:color w:val="auto"/>
          <w:sz w:val="20"/>
          <w:szCs w:val="20"/>
          <w:rtl/>
        </w:rPr>
      </w:pPr>
      <w:r w:rsidRPr="00495FC4">
        <w:rPr>
          <w:rFonts w:cs="Guttman Aharoni" w:hint="eastAsia"/>
          <w:color w:val="auto"/>
          <w:sz w:val="20"/>
          <w:szCs w:val="20"/>
          <w:rtl/>
        </w:rPr>
        <w:t>תרשים</w:t>
      </w:r>
      <w:r w:rsidRPr="00495FC4">
        <w:rPr>
          <w:rFonts w:cs="Guttman Aharoni"/>
          <w:color w:val="auto"/>
          <w:sz w:val="20"/>
          <w:szCs w:val="20"/>
          <w:rtl/>
        </w:rPr>
        <w:t xml:space="preserve"> 1</w:t>
      </w:r>
      <w:r w:rsidR="00495FC4">
        <w:rPr>
          <w:rFonts w:cs="Guttman Aharoni" w:hint="cs"/>
          <w:color w:val="auto"/>
          <w:sz w:val="20"/>
          <w:szCs w:val="20"/>
          <w:rtl/>
        </w:rPr>
        <w:t xml:space="preserve">: </w:t>
      </w:r>
      <w:r w:rsidRPr="00495FC4">
        <w:rPr>
          <w:rFonts w:cs="Guttman Aharoni" w:hint="cs"/>
          <w:color w:val="auto"/>
          <w:sz w:val="20"/>
          <w:szCs w:val="20"/>
          <w:rtl/>
        </w:rPr>
        <w:t>שיעור המתנגדים להפרטה*</w:t>
      </w:r>
    </w:p>
    <w:p w14:paraId="13C1C0DC" w14:textId="46F40436" w:rsidR="00276C26" w:rsidRDefault="00586F98" w:rsidP="00276C26">
      <w:pPr>
        <w:spacing w:line="240" w:lineRule="atLeast"/>
        <w:jc w:val="center"/>
      </w:pPr>
      <w:r>
        <w:rPr>
          <w:noProof/>
        </w:rPr>
        <w:drawing>
          <wp:inline distT="0" distB="0" distL="0" distR="0" wp14:anchorId="11AA224A" wp14:editId="4C67D8C6">
            <wp:extent cx="4100830" cy="2272030"/>
            <wp:effectExtent l="0" t="0" r="0" b="0"/>
            <wp:docPr id="4" name="תמונה 1" descr="60-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0830" cy="2272030"/>
                    </a:xfrm>
                    <a:prstGeom prst="rect">
                      <a:avLst/>
                    </a:prstGeom>
                    <a:noFill/>
                    <a:ln>
                      <a:noFill/>
                    </a:ln>
                  </pic:spPr>
                </pic:pic>
              </a:graphicData>
            </a:graphic>
          </wp:inline>
        </w:drawing>
      </w:r>
    </w:p>
    <w:p w14:paraId="0076E043" w14:textId="42B5D2AB" w:rsidR="00B4735A" w:rsidRPr="00EC26EC" w:rsidRDefault="00B4735A" w:rsidP="00EC26EC">
      <w:pPr>
        <w:spacing w:before="120" w:after="240" w:line="200" w:lineRule="exact"/>
        <w:jc w:val="both"/>
        <w:rPr>
          <w:sz w:val="16"/>
          <w:szCs w:val="18"/>
        </w:rPr>
      </w:pPr>
      <w:r w:rsidRPr="00EC26EC">
        <w:rPr>
          <w:rFonts w:hint="cs"/>
          <w:sz w:val="16"/>
          <w:szCs w:val="18"/>
          <w:rtl/>
        </w:rPr>
        <w:t xml:space="preserve">* </w:t>
      </w:r>
      <w:r w:rsidRPr="00EC26EC">
        <w:rPr>
          <w:sz w:val="16"/>
          <w:szCs w:val="18"/>
          <w:rtl/>
        </w:rPr>
        <w:tab/>
      </w:r>
      <w:r w:rsidRPr="00EC26EC">
        <w:rPr>
          <w:rFonts w:hint="cs"/>
          <w:sz w:val="16"/>
          <w:szCs w:val="18"/>
          <w:rtl/>
        </w:rPr>
        <w:t>התוצאות המתוקננות בסוגריים</w:t>
      </w:r>
    </w:p>
    <w:p w14:paraId="6B862801" w14:textId="77777777" w:rsidR="00B4735A" w:rsidRPr="00911580" w:rsidRDefault="00B4735A" w:rsidP="00911580">
      <w:pPr>
        <w:spacing w:after="180" w:line="280" w:lineRule="exact"/>
        <w:jc w:val="both"/>
        <w:rPr>
          <w:sz w:val="18"/>
          <w:szCs w:val="20"/>
          <w:rtl/>
        </w:rPr>
      </w:pPr>
      <w:r w:rsidRPr="00911580">
        <w:rPr>
          <w:rFonts w:hint="cs"/>
          <w:sz w:val="18"/>
          <w:szCs w:val="20"/>
          <w:rtl/>
        </w:rPr>
        <w:lastRenderedPageBreak/>
        <w:t>מן הלוח מתברר כי בניגוד לממצאים העולים מהשאלה הכללית בדבר הפרטה, ולפיהם רוב קטן בציבור תומך בהפרטה, מערך השאלות הספציפיות מעלה כי ככל שמדובר בשירותים חברתיים, רוב גדול בציבור מתנגד למדיניות ההפרטה. שיעור ההתנגדות גדול במיוחד בנוגע להפרטת בתי סוהר (כמעט 80%). שיעורי התנגדות גבוהים נרשמו גם בנוגע להפרטת שירותי בריאות, בתי ספר תיכוניים ושירותים חברתיים נוספים. עמדות הציבור כלפי שירותים חברתיים שונות מעמדותיו כלפי תשתיות. אומנם רוב הציבור מתנגד להפרטת תשתיות מים וביוב, אולם רק מיעוט מתנגד להפרטת משק החשמל ותפעול נמלי ים.</w:t>
      </w:r>
    </w:p>
    <w:p w14:paraId="14B99B03"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לאחר מכן קובצו שש השאלות העוסקות בשירותים חברתיים, וקודדו כדי ליצור משתנה דיכוטומי בשם "עמדה כלפי הפרטת שירותים חברתיים" בן שתי קטגוריות </w:t>
      </w:r>
      <w:r w:rsidRPr="00911580">
        <w:rPr>
          <w:sz w:val="18"/>
          <w:szCs w:val="20"/>
          <w:rtl/>
        </w:rPr>
        <w:t>–</w:t>
      </w:r>
      <w:r w:rsidRPr="00911580">
        <w:rPr>
          <w:rFonts w:hint="cs"/>
          <w:sz w:val="18"/>
          <w:szCs w:val="20"/>
          <w:rtl/>
        </w:rPr>
        <w:t xml:space="preserve"> "תמיכה" ו"התנגדות". באופן דומה קובצו וקודדו מחדש שלוש השאלות העוסקות בתשתיות לכדי משתנה "עמדה כלפי הפרטת תשתיות".</w:t>
      </w:r>
      <w:r w:rsidRPr="00911580">
        <w:rPr>
          <w:rStyle w:val="FootnoteReference"/>
          <w:sz w:val="18"/>
          <w:szCs w:val="20"/>
          <w:rtl/>
        </w:rPr>
        <w:footnoteReference w:id="6"/>
      </w:r>
      <w:r w:rsidRPr="00911580">
        <w:rPr>
          <w:rFonts w:hint="cs"/>
          <w:sz w:val="18"/>
          <w:szCs w:val="20"/>
          <w:rtl/>
        </w:rPr>
        <w:t xml:space="preserve"> על פי התוצאות שהתקבלו, כ-66% מהנשאלים מתנגדים להפרטת השירותים החברתיים (62% לאחר תיקנון), לעומת 48% בלבד המתנגדים להפרטת תשתיות (43% לאחר תיקנון).</w:t>
      </w:r>
    </w:p>
    <w:p w14:paraId="2F7C8FA4" w14:textId="77777777" w:rsidR="00B4735A" w:rsidRPr="00911580" w:rsidRDefault="00B4735A" w:rsidP="00911580">
      <w:pPr>
        <w:spacing w:after="180" w:line="280" w:lineRule="exact"/>
        <w:jc w:val="both"/>
        <w:rPr>
          <w:sz w:val="18"/>
          <w:szCs w:val="20"/>
          <w:rtl/>
        </w:rPr>
      </w:pPr>
      <w:r w:rsidRPr="00911580">
        <w:rPr>
          <w:rFonts w:hint="cs"/>
          <w:sz w:val="18"/>
          <w:szCs w:val="20"/>
          <w:rtl/>
        </w:rPr>
        <w:t>בהמשך נשאלו משתתפי הסקר גם על המושג "הפרטה חלקית", שכן במציאות, מהלכי הפרטה אינם מבוצעים בצורה מלאה. כך, גם אם אספקת השירותים עשויה לעיתים לעבור לידיהם של גופים פרטיים, חברות פרטיות הפועלות למטרת רווח או מלכ"רים, מימון השירותים והפיקוח עליהם עשויים להיוותר בידי הממשלה. צורות שונות של הפרטה חלקית קיימות בישראל ובעולם בתחומים שונים.</w:t>
      </w:r>
    </w:p>
    <w:p w14:paraId="589F6057"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כ-32% ממשתתפי הסקר השיבו בחיוב על השאלה "האם שמעת על המושג הפרטה חלקית" (כ-34% לאחר תיקנון). לאחר מכן ניתן למשתתפים ההסבר הקצר הבא: </w:t>
      </w:r>
    </w:p>
    <w:p w14:paraId="753FDAAB" w14:textId="77777777" w:rsidR="00B4735A" w:rsidRPr="00911580" w:rsidRDefault="00B4735A" w:rsidP="00911580">
      <w:pPr>
        <w:spacing w:after="180" w:line="280" w:lineRule="exact"/>
        <w:ind w:left="567"/>
        <w:jc w:val="both"/>
        <w:rPr>
          <w:sz w:val="18"/>
          <w:szCs w:val="20"/>
        </w:rPr>
      </w:pPr>
      <w:r w:rsidRPr="00911580">
        <w:rPr>
          <w:rFonts w:hint="eastAsia"/>
          <w:sz w:val="18"/>
          <w:szCs w:val="20"/>
          <w:rtl/>
        </w:rPr>
        <w:t>להבדיל</w:t>
      </w:r>
      <w:r w:rsidRPr="00911580">
        <w:rPr>
          <w:rFonts w:hint="cs"/>
          <w:sz w:val="18"/>
          <w:szCs w:val="20"/>
          <w:rtl/>
        </w:rPr>
        <w:t xml:space="preserve"> </w:t>
      </w:r>
      <w:r w:rsidRPr="00911580">
        <w:rPr>
          <w:rFonts w:hint="eastAsia"/>
          <w:sz w:val="18"/>
          <w:szCs w:val="20"/>
          <w:rtl/>
        </w:rPr>
        <w:t>מהפרטה</w:t>
      </w:r>
      <w:r w:rsidRPr="00911580">
        <w:rPr>
          <w:rFonts w:hint="cs"/>
          <w:sz w:val="18"/>
          <w:szCs w:val="20"/>
          <w:rtl/>
        </w:rPr>
        <w:t xml:space="preserve"> </w:t>
      </w:r>
      <w:r w:rsidRPr="00911580">
        <w:rPr>
          <w:rFonts w:hint="eastAsia"/>
          <w:sz w:val="18"/>
          <w:szCs w:val="20"/>
          <w:rtl/>
        </w:rPr>
        <w:t>מלאה</w:t>
      </w:r>
      <w:r w:rsidRPr="00911580">
        <w:rPr>
          <w:rFonts w:hint="cs"/>
          <w:sz w:val="18"/>
          <w:szCs w:val="20"/>
          <w:rtl/>
        </w:rPr>
        <w:t xml:space="preserve">, </w:t>
      </w:r>
      <w:r w:rsidRPr="00911580">
        <w:rPr>
          <w:rFonts w:hint="eastAsia"/>
          <w:sz w:val="18"/>
          <w:szCs w:val="20"/>
          <w:rtl/>
        </w:rPr>
        <w:t>הפרטה</w:t>
      </w:r>
      <w:r w:rsidRPr="00911580">
        <w:rPr>
          <w:rFonts w:hint="cs"/>
          <w:sz w:val="18"/>
          <w:szCs w:val="20"/>
          <w:rtl/>
        </w:rPr>
        <w:t xml:space="preserve"> </w:t>
      </w:r>
      <w:r w:rsidRPr="00911580">
        <w:rPr>
          <w:rFonts w:hint="eastAsia"/>
          <w:sz w:val="18"/>
          <w:szCs w:val="20"/>
          <w:rtl/>
        </w:rPr>
        <w:t>חלקית</w:t>
      </w:r>
      <w:r w:rsidRPr="00911580">
        <w:rPr>
          <w:rFonts w:hint="cs"/>
          <w:sz w:val="18"/>
          <w:szCs w:val="20"/>
          <w:rtl/>
        </w:rPr>
        <w:t xml:space="preserve"> </w:t>
      </w:r>
      <w:r w:rsidRPr="00911580">
        <w:rPr>
          <w:rFonts w:hint="eastAsia"/>
          <w:sz w:val="18"/>
          <w:szCs w:val="20"/>
          <w:rtl/>
        </w:rPr>
        <w:t>משמעותה</w:t>
      </w:r>
      <w:r w:rsidRPr="00911580">
        <w:rPr>
          <w:rFonts w:hint="cs"/>
          <w:sz w:val="18"/>
          <w:szCs w:val="20"/>
          <w:rtl/>
        </w:rPr>
        <w:t xml:space="preserve"> </w:t>
      </w:r>
      <w:r w:rsidRPr="00911580">
        <w:rPr>
          <w:rFonts w:hint="eastAsia"/>
          <w:sz w:val="18"/>
          <w:szCs w:val="20"/>
          <w:rtl/>
        </w:rPr>
        <w:t>כי</w:t>
      </w:r>
      <w:r w:rsidRPr="00911580">
        <w:rPr>
          <w:rFonts w:hint="cs"/>
          <w:sz w:val="18"/>
          <w:szCs w:val="20"/>
          <w:rtl/>
        </w:rPr>
        <w:t xml:space="preserve"> </w:t>
      </w:r>
      <w:r w:rsidRPr="00911580">
        <w:rPr>
          <w:rFonts w:hint="eastAsia"/>
          <w:sz w:val="18"/>
          <w:szCs w:val="20"/>
          <w:rtl/>
        </w:rPr>
        <w:t>הפעלתו</w:t>
      </w:r>
      <w:r w:rsidRPr="00911580">
        <w:rPr>
          <w:rFonts w:hint="cs"/>
          <w:sz w:val="18"/>
          <w:szCs w:val="20"/>
          <w:rtl/>
        </w:rPr>
        <w:t xml:space="preserve"> </w:t>
      </w:r>
      <w:r w:rsidRPr="00911580">
        <w:rPr>
          <w:rFonts w:hint="eastAsia"/>
          <w:sz w:val="18"/>
          <w:szCs w:val="20"/>
          <w:rtl/>
        </w:rPr>
        <w:t>של</w:t>
      </w:r>
      <w:r w:rsidRPr="00911580">
        <w:rPr>
          <w:rFonts w:hint="cs"/>
          <w:sz w:val="18"/>
          <w:szCs w:val="20"/>
          <w:rtl/>
        </w:rPr>
        <w:t xml:space="preserve"> </w:t>
      </w:r>
      <w:r w:rsidRPr="00911580">
        <w:rPr>
          <w:rFonts w:hint="eastAsia"/>
          <w:sz w:val="18"/>
          <w:szCs w:val="20"/>
          <w:rtl/>
        </w:rPr>
        <w:t>שירות</w:t>
      </w:r>
      <w:r w:rsidRPr="00911580">
        <w:rPr>
          <w:rFonts w:hint="cs"/>
          <w:sz w:val="18"/>
          <w:szCs w:val="20"/>
          <w:rtl/>
        </w:rPr>
        <w:t xml:space="preserve"> </w:t>
      </w:r>
      <w:r w:rsidRPr="00911580">
        <w:rPr>
          <w:rFonts w:hint="eastAsia"/>
          <w:sz w:val="18"/>
          <w:szCs w:val="20"/>
          <w:rtl/>
        </w:rPr>
        <w:t>ממשלתי</w:t>
      </w:r>
      <w:r w:rsidRPr="00911580">
        <w:rPr>
          <w:sz w:val="18"/>
          <w:szCs w:val="20"/>
          <w:rtl/>
        </w:rPr>
        <w:t xml:space="preserve"> </w:t>
      </w:r>
      <w:r w:rsidRPr="00911580">
        <w:rPr>
          <w:rFonts w:hint="eastAsia"/>
          <w:sz w:val="18"/>
          <w:szCs w:val="20"/>
          <w:rtl/>
        </w:rPr>
        <w:t>נמסרת</w:t>
      </w:r>
      <w:r w:rsidRPr="00911580">
        <w:rPr>
          <w:rFonts w:hint="cs"/>
          <w:sz w:val="18"/>
          <w:szCs w:val="20"/>
          <w:rtl/>
        </w:rPr>
        <w:t xml:space="preserve"> </w:t>
      </w:r>
      <w:r w:rsidRPr="00911580">
        <w:rPr>
          <w:rFonts w:hint="eastAsia"/>
          <w:sz w:val="18"/>
          <w:szCs w:val="20"/>
          <w:rtl/>
        </w:rPr>
        <w:t>לידי</w:t>
      </w:r>
      <w:r w:rsidRPr="00911580">
        <w:rPr>
          <w:sz w:val="18"/>
          <w:szCs w:val="20"/>
          <w:rtl/>
        </w:rPr>
        <w:t xml:space="preserve"> </w:t>
      </w:r>
      <w:r w:rsidRPr="00911580">
        <w:rPr>
          <w:rFonts w:hint="eastAsia"/>
          <w:sz w:val="18"/>
          <w:szCs w:val="20"/>
          <w:rtl/>
        </w:rPr>
        <w:t>גורמים</w:t>
      </w:r>
      <w:r w:rsidRPr="00911580">
        <w:rPr>
          <w:sz w:val="18"/>
          <w:szCs w:val="20"/>
          <w:rtl/>
        </w:rPr>
        <w:t xml:space="preserve"> </w:t>
      </w:r>
      <w:r w:rsidRPr="00911580">
        <w:rPr>
          <w:rFonts w:hint="eastAsia"/>
          <w:sz w:val="18"/>
          <w:szCs w:val="20"/>
          <w:rtl/>
        </w:rPr>
        <w:t>פרטיים</w:t>
      </w:r>
      <w:r w:rsidRPr="00911580">
        <w:rPr>
          <w:rFonts w:hint="cs"/>
          <w:sz w:val="18"/>
          <w:szCs w:val="20"/>
          <w:rtl/>
        </w:rPr>
        <w:t>,</w:t>
      </w:r>
      <w:r w:rsidRPr="00911580">
        <w:rPr>
          <w:sz w:val="18"/>
          <w:szCs w:val="20"/>
          <w:rtl/>
        </w:rPr>
        <w:t xml:space="preserve"> </w:t>
      </w:r>
      <w:r w:rsidRPr="00911580">
        <w:rPr>
          <w:rFonts w:hint="eastAsia"/>
          <w:sz w:val="18"/>
          <w:szCs w:val="20"/>
          <w:rtl/>
        </w:rPr>
        <w:t>בעוד</w:t>
      </w:r>
      <w:r w:rsidRPr="00911580">
        <w:rPr>
          <w:rFonts w:hint="cs"/>
          <w:sz w:val="18"/>
          <w:szCs w:val="20"/>
          <w:rtl/>
        </w:rPr>
        <w:t xml:space="preserve"> </w:t>
      </w:r>
      <w:r w:rsidRPr="00911580">
        <w:rPr>
          <w:rFonts w:hint="eastAsia"/>
          <w:sz w:val="18"/>
          <w:szCs w:val="20"/>
          <w:rtl/>
        </w:rPr>
        <w:t>שמימונם</w:t>
      </w:r>
      <w:r w:rsidRPr="00911580">
        <w:rPr>
          <w:rFonts w:hint="cs"/>
          <w:sz w:val="18"/>
          <w:szCs w:val="20"/>
          <w:rtl/>
        </w:rPr>
        <w:t xml:space="preserve"> </w:t>
      </w:r>
      <w:r w:rsidRPr="00911580">
        <w:rPr>
          <w:rFonts w:hint="eastAsia"/>
          <w:sz w:val="18"/>
          <w:szCs w:val="20"/>
          <w:rtl/>
        </w:rPr>
        <w:t>והפיקוח</w:t>
      </w:r>
      <w:r w:rsidRPr="00911580">
        <w:rPr>
          <w:rFonts w:hint="cs"/>
          <w:sz w:val="18"/>
          <w:szCs w:val="20"/>
          <w:rtl/>
        </w:rPr>
        <w:t xml:space="preserve"> </w:t>
      </w:r>
      <w:r w:rsidRPr="00911580">
        <w:rPr>
          <w:rFonts w:hint="eastAsia"/>
          <w:sz w:val="18"/>
          <w:szCs w:val="20"/>
          <w:rtl/>
        </w:rPr>
        <w:t>עליהם</w:t>
      </w:r>
      <w:r w:rsidRPr="00911580">
        <w:rPr>
          <w:rFonts w:hint="cs"/>
          <w:sz w:val="18"/>
          <w:szCs w:val="20"/>
          <w:rtl/>
        </w:rPr>
        <w:t xml:space="preserve"> </w:t>
      </w:r>
      <w:r w:rsidRPr="00911580">
        <w:rPr>
          <w:rFonts w:hint="eastAsia"/>
          <w:sz w:val="18"/>
          <w:szCs w:val="20"/>
          <w:rtl/>
        </w:rPr>
        <w:t>נותרים</w:t>
      </w:r>
      <w:r w:rsidRPr="00911580">
        <w:rPr>
          <w:rFonts w:hint="cs"/>
          <w:sz w:val="18"/>
          <w:szCs w:val="20"/>
          <w:rtl/>
        </w:rPr>
        <w:t xml:space="preserve"> </w:t>
      </w:r>
      <w:r w:rsidRPr="00911580">
        <w:rPr>
          <w:rFonts w:hint="eastAsia"/>
          <w:sz w:val="18"/>
          <w:szCs w:val="20"/>
          <w:rtl/>
        </w:rPr>
        <w:t>בידי</w:t>
      </w:r>
      <w:r w:rsidRPr="00911580">
        <w:rPr>
          <w:rFonts w:hint="cs"/>
          <w:sz w:val="18"/>
          <w:szCs w:val="20"/>
          <w:rtl/>
        </w:rPr>
        <w:t xml:space="preserve"> </w:t>
      </w:r>
      <w:r w:rsidRPr="00911580">
        <w:rPr>
          <w:rFonts w:hint="eastAsia"/>
          <w:sz w:val="18"/>
          <w:szCs w:val="20"/>
          <w:rtl/>
        </w:rPr>
        <w:t>הממשלה</w:t>
      </w:r>
      <w:r w:rsidRPr="00911580">
        <w:rPr>
          <w:rFonts w:hint="cs"/>
          <w:sz w:val="18"/>
          <w:szCs w:val="20"/>
          <w:rtl/>
        </w:rPr>
        <w:t xml:space="preserve">. </w:t>
      </w:r>
      <w:r w:rsidRPr="00911580">
        <w:rPr>
          <w:rFonts w:hint="eastAsia"/>
          <w:sz w:val="18"/>
          <w:szCs w:val="20"/>
          <w:rtl/>
        </w:rPr>
        <w:t>דוגמ</w:t>
      </w:r>
      <w:r w:rsidRPr="00911580">
        <w:rPr>
          <w:rFonts w:hint="cs"/>
          <w:sz w:val="18"/>
          <w:szCs w:val="20"/>
          <w:rtl/>
        </w:rPr>
        <w:t>ה</w:t>
      </w:r>
      <w:r w:rsidRPr="00911580">
        <w:rPr>
          <w:sz w:val="18"/>
          <w:szCs w:val="20"/>
          <w:rtl/>
        </w:rPr>
        <w:t xml:space="preserve">: </w:t>
      </w:r>
      <w:r w:rsidRPr="00911580">
        <w:rPr>
          <w:rFonts w:hint="cs"/>
          <w:sz w:val="18"/>
          <w:szCs w:val="20"/>
          <w:rtl/>
        </w:rPr>
        <w:t>סל ה</w:t>
      </w:r>
      <w:r w:rsidRPr="00911580">
        <w:rPr>
          <w:rFonts w:hint="eastAsia"/>
          <w:sz w:val="18"/>
          <w:szCs w:val="20"/>
          <w:rtl/>
        </w:rPr>
        <w:t>בריאות</w:t>
      </w:r>
      <w:r w:rsidRPr="00911580">
        <w:rPr>
          <w:sz w:val="18"/>
          <w:szCs w:val="20"/>
          <w:rtl/>
        </w:rPr>
        <w:t xml:space="preserve"> </w:t>
      </w:r>
      <w:r w:rsidRPr="00911580">
        <w:rPr>
          <w:rFonts w:hint="eastAsia"/>
          <w:sz w:val="18"/>
          <w:szCs w:val="20"/>
          <w:rtl/>
        </w:rPr>
        <w:t>מסופק</w:t>
      </w:r>
      <w:r w:rsidRPr="00911580">
        <w:rPr>
          <w:sz w:val="18"/>
          <w:szCs w:val="20"/>
          <w:rtl/>
        </w:rPr>
        <w:t xml:space="preserve"> </w:t>
      </w:r>
      <w:r w:rsidRPr="00911580">
        <w:rPr>
          <w:rFonts w:hint="cs"/>
          <w:sz w:val="18"/>
          <w:szCs w:val="20"/>
          <w:rtl/>
        </w:rPr>
        <w:t xml:space="preserve">לאזרחים </w:t>
      </w:r>
      <w:r w:rsidRPr="00911580">
        <w:rPr>
          <w:rFonts w:hint="eastAsia"/>
          <w:sz w:val="18"/>
          <w:szCs w:val="20"/>
          <w:rtl/>
        </w:rPr>
        <w:t>על</w:t>
      </w:r>
      <w:r w:rsidRPr="00911580">
        <w:rPr>
          <w:rFonts w:hint="cs"/>
          <w:sz w:val="18"/>
          <w:szCs w:val="20"/>
          <w:rtl/>
        </w:rPr>
        <w:t xml:space="preserve"> </w:t>
      </w:r>
      <w:r w:rsidRPr="00911580">
        <w:rPr>
          <w:rFonts w:hint="eastAsia"/>
          <w:sz w:val="18"/>
          <w:szCs w:val="20"/>
          <w:rtl/>
        </w:rPr>
        <w:t>ידי</w:t>
      </w:r>
      <w:r w:rsidRPr="00911580">
        <w:rPr>
          <w:sz w:val="18"/>
          <w:szCs w:val="20"/>
          <w:rtl/>
        </w:rPr>
        <w:t xml:space="preserve"> </w:t>
      </w:r>
      <w:r w:rsidRPr="00911580">
        <w:rPr>
          <w:rFonts w:hint="eastAsia"/>
          <w:sz w:val="18"/>
          <w:szCs w:val="20"/>
          <w:rtl/>
        </w:rPr>
        <w:t>קופות</w:t>
      </w:r>
      <w:r w:rsidRPr="00911580">
        <w:rPr>
          <w:sz w:val="18"/>
          <w:szCs w:val="20"/>
          <w:rtl/>
        </w:rPr>
        <w:t xml:space="preserve"> </w:t>
      </w:r>
      <w:r w:rsidRPr="00911580">
        <w:rPr>
          <w:rFonts w:hint="eastAsia"/>
          <w:sz w:val="18"/>
          <w:szCs w:val="20"/>
          <w:rtl/>
        </w:rPr>
        <w:t>החולים</w:t>
      </w:r>
      <w:r w:rsidRPr="00911580">
        <w:rPr>
          <w:rFonts w:hint="cs"/>
          <w:sz w:val="18"/>
          <w:szCs w:val="20"/>
          <w:rtl/>
        </w:rPr>
        <w:t>. קופות החולים הן גופים עצמאיים שאינם שייכים לממשלה, אולם פעילותן מפוקחת על ידי משרד הבריאות, והשירותים שהן מספקות ממומנים ברובם מתקציב ציבורי.</w:t>
      </w:r>
    </w:p>
    <w:p w14:paraId="2DB4D5FF" w14:textId="6A8E9BC4" w:rsidR="00B4735A" w:rsidRPr="00911580" w:rsidRDefault="00B4735A" w:rsidP="00911580">
      <w:pPr>
        <w:spacing w:after="180" w:line="280" w:lineRule="exact"/>
        <w:jc w:val="both"/>
        <w:rPr>
          <w:sz w:val="18"/>
          <w:szCs w:val="20"/>
          <w:rtl/>
        </w:rPr>
      </w:pPr>
      <w:r w:rsidRPr="00911580">
        <w:rPr>
          <w:rFonts w:hint="cs"/>
          <w:sz w:val="18"/>
          <w:szCs w:val="20"/>
          <w:rtl/>
        </w:rPr>
        <w:lastRenderedPageBreak/>
        <w:t xml:space="preserve">לאחר הסבר זה נשאלו משתתפי הסקר על מידת תמיכתם ב"הפרטה חלקית". נמצא כי יותר מ-64% תומכים או תומכים מאוד בהפרטה חלקית, ואילו כ-27% מתנגדים או מתנגדים מאוד (היתר לא הביעו עמדה). בניכוי המשיבים שלא הביעו עמדה, שיעור התומכים עלה </w:t>
      </w:r>
      <w:r w:rsidR="009C161B">
        <w:rPr>
          <w:sz w:val="18"/>
          <w:szCs w:val="20"/>
        </w:rPr>
        <w:br/>
      </w:r>
      <w:r w:rsidRPr="00911580">
        <w:rPr>
          <w:rFonts w:hint="cs"/>
          <w:sz w:val="18"/>
          <w:szCs w:val="20"/>
          <w:rtl/>
        </w:rPr>
        <w:t>ל-72% לאחר תיקנון, לעומת 28% מתנגדים. עוד עולה מהסקר כי במקרה של הפרטה חלקית, כ-35% מהנשאלים יעדיפו כי השירותים יעברו לידיהם של ארגונים ללא כוונת רווח, ואילו 13.5% יעדיפו כי יועברו לידי גופים מסחריים. כל היתר ענו כי אין הבדל בין הגופים, לא הביעו עמדה, או שסברו כי עדיף להשאיר את השירות בידי הממשלה.</w:t>
      </w:r>
    </w:p>
    <w:p w14:paraId="0D82657E"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בהמשך נשאלו משתתפי הסקר מהי, לדעתם, </w:t>
      </w:r>
      <w:r w:rsidRPr="00911580">
        <w:rPr>
          <w:sz w:val="18"/>
          <w:szCs w:val="20"/>
          <w:rtl/>
        </w:rPr>
        <w:t>המדיניות הטובה ביותר ב</w:t>
      </w:r>
      <w:r w:rsidRPr="00911580">
        <w:rPr>
          <w:rFonts w:hint="cs"/>
          <w:sz w:val="18"/>
          <w:szCs w:val="20"/>
          <w:rtl/>
        </w:rPr>
        <w:t xml:space="preserve">נוגע </w:t>
      </w:r>
      <w:r w:rsidRPr="00911580">
        <w:rPr>
          <w:sz w:val="18"/>
          <w:szCs w:val="20"/>
          <w:rtl/>
        </w:rPr>
        <w:t>לשירותים החברתיים?</w:t>
      </w:r>
      <w:r w:rsidRPr="00911580">
        <w:rPr>
          <w:rFonts w:hint="cs"/>
          <w:sz w:val="18"/>
          <w:szCs w:val="20"/>
          <w:rtl/>
        </w:rPr>
        <w:t xml:space="preserve"> בתשובה לשאלה זו סברו כ-12% כי הפרטה מלאה היא המדיניות הטובה ביותר, ואילו 38% השיבו כי הם מעדיפים מדיניות של הפרטה חלקית. קרוב ל-44% מהמשיבים תמכו בהשארת השירותים החברתיים בידי הממשלה (היתר לא הביעו עמדה).</w:t>
      </w:r>
    </w:p>
    <w:p w14:paraId="5E7C3BAF" w14:textId="77777777" w:rsidR="00B4735A" w:rsidRPr="00911580" w:rsidRDefault="00B4735A" w:rsidP="00911580">
      <w:pPr>
        <w:spacing w:after="180" w:line="280" w:lineRule="exact"/>
        <w:jc w:val="both"/>
        <w:rPr>
          <w:sz w:val="18"/>
          <w:szCs w:val="20"/>
        </w:rPr>
      </w:pPr>
      <w:r w:rsidRPr="00911580">
        <w:rPr>
          <w:rFonts w:hint="cs"/>
          <w:sz w:val="18"/>
          <w:szCs w:val="20"/>
          <w:rtl/>
        </w:rPr>
        <w:t>גם לאחר הצגת האפשרות של הפרטה חלקית של שירותים חברתיים (מסגרות לטיפול באנשים עם מוגבלויות שכליות, בתי ספר תיכוניים, מוסדות לטיפול בקשישים), רוב המשיבים עדיין צידדו בהשארתם בידי הממשלה, בשיעורים שנעו בין 51 ל-55%. 26</w:t>
      </w:r>
      <w:r w:rsidRPr="00911580">
        <w:rPr>
          <w:sz w:val="18"/>
          <w:szCs w:val="20"/>
          <w:rtl/>
        </w:rPr>
        <w:t>–</w:t>
      </w:r>
      <w:r w:rsidRPr="00911580">
        <w:rPr>
          <w:rFonts w:hint="cs"/>
          <w:sz w:val="18"/>
          <w:szCs w:val="20"/>
          <w:rtl/>
        </w:rPr>
        <w:t>32% מהמשיבים צידדו בהפרטה חלקית, ורק 12</w:t>
      </w:r>
      <w:r w:rsidRPr="00911580">
        <w:rPr>
          <w:sz w:val="18"/>
          <w:szCs w:val="20"/>
          <w:rtl/>
        </w:rPr>
        <w:t>–</w:t>
      </w:r>
      <w:r w:rsidRPr="00911580">
        <w:rPr>
          <w:rFonts w:hint="cs"/>
          <w:sz w:val="18"/>
          <w:szCs w:val="20"/>
          <w:rtl/>
        </w:rPr>
        <w:t>15.5% סברו כי הפרטה מלאה היא המדיניות הטובה ביותר. 2</w:t>
      </w:r>
      <w:r w:rsidRPr="00911580">
        <w:rPr>
          <w:sz w:val="18"/>
          <w:szCs w:val="20"/>
          <w:rtl/>
        </w:rPr>
        <w:t>–</w:t>
      </w:r>
      <w:r w:rsidRPr="00911580">
        <w:rPr>
          <w:rFonts w:hint="cs"/>
          <w:sz w:val="18"/>
          <w:szCs w:val="20"/>
          <w:rtl/>
        </w:rPr>
        <w:t>3% לא הביעו עמדה.</w:t>
      </w:r>
    </w:p>
    <w:p w14:paraId="5F0A8928"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משתתפי הסקר התבקשו לדרג בין 1 ל-10 (1 = בכלל לא מסכים; 10 = מסכים לחלוטין) את מידת הסכמתם עם כמה היגדים. קיבוץ שלוש התשובות הקיצוניות בכל צד של סולם התשובות מאפשר להשוות בין שיעוריהם של המסכימים והמתנגדים לכל אחד מההיגדים. התוצאות שהתקבלו הן אלה: </w:t>
      </w:r>
    </w:p>
    <w:p w14:paraId="323CA28B" w14:textId="035C7194" w:rsidR="00B4735A" w:rsidRPr="001B13EE" w:rsidRDefault="00B4735A" w:rsidP="00855031">
      <w:pPr>
        <w:numPr>
          <w:ilvl w:val="0"/>
          <w:numId w:val="4"/>
        </w:numPr>
        <w:spacing w:after="180" w:line="280" w:lineRule="exact"/>
        <w:ind w:left="397" w:hanging="397"/>
        <w:jc w:val="both"/>
        <w:rPr>
          <w:sz w:val="18"/>
          <w:szCs w:val="20"/>
        </w:rPr>
      </w:pPr>
      <w:r w:rsidRPr="001B13EE">
        <w:rPr>
          <w:rFonts w:hint="cs"/>
          <w:sz w:val="18"/>
          <w:szCs w:val="20"/>
          <w:rtl/>
        </w:rPr>
        <w:t>"</w:t>
      </w:r>
      <w:r w:rsidRPr="001B13EE">
        <w:rPr>
          <w:sz w:val="18"/>
          <w:szCs w:val="20"/>
          <w:rtl/>
        </w:rPr>
        <w:t>יכולת הניהול של גופים פרטיים גבוהה מזו של הממשלה</w:t>
      </w:r>
      <w:r w:rsidRPr="001B13EE">
        <w:rPr>
          <w:rFonts w:hint="cs"/>
          <w:sz w:val="18"/>
          <w:szCs w:val="20"/>
          <w:rtl/>
        </w:rPr>
        <w:t>":</w:t>
      </w:r>
      <w:r w:rsidRPr="001B13EE">
        <w:rPr>
          <w:sz w:val="18"/>
          <w:szCs w:val="20"/>
          <w:rtl/>
        </w:rPr>
        <w:t xml:space="preserve"> </w:t>
      </w:r>
      <w:r w:rsidRPr="001B13EE">
        <w:rPr>
          <w:rFonts w:hint="cs"/>
          <w:sz w:val="18"/>
          <w:szCs w:val="20"/>
          <w:rtl/>
        </w:rPr>
        <w:t>כ-</w:t>
      </w:r>
      <w:r w:rsidR="00855031">
        <w:rPr>
          <w:rFonts w:hint="cs"/>
          <w:sz w:val="18"/>
          <w:szCs w:val="20"/>
          <w:rtl/>
        </w:rPr>
        <w:t>21%</w:t>
      </w:r>
      <w:r w:rsidRPr="001B13EE">
        <w:rPr>
          <w:rFonts w:hint="cs"/>
          <w:sz w:val="18"/>
          <w:szCs w:val="20"/>
          <w:rtl/>
        </w:rPr>
        <w:t xml:space="preserve"> מהמשיבים אינם מסכימים עם הטענה כי יכולת הניהול של גופים פרטיים גבוהה מזו של הממשלה (שיעור מצרפי של תשובות 1</w:t>
      </w:r>
      <w:r w:rsidRPr="001B13EE">
        <w:rPr>
          <w:sz w:val="18"/>
          <w:szCs w:val="20"/>
          <w:rtl/>
        </w:rPr>
        <w:t>–</w:t>
      </w:r>
      <w:r w:rsidRPr="001B13EE">
        <w:rPr>
          <w:rFonts w:hint="cs"/>
          <w:sz w:val="18"/>
          <w:szCs w:val="20"/>
          <w:rtl/>
        </w:rPr>
        <w:t>3), ואילו כ-35% מסכימים עם טענה זו (תשובות 8</w:t>
      </w:r>
      <w:r w:rsidRPr="001B13EE">
        <w:rPr>
          <w:sz w:val="18"/>
          <w:szCs w:val="20"/>
          <w:rtl/>
        </w:rPr>
        <w:t>–</w:t>
      </w:r>
      <w:r w:rsidRPr="001B13EE">
        <w:rPr>
          <w:rFonts w:hint="cs"/>
          <w:sz w:val="18"/>
          <w:szCs w:val="20"/>
          <w:rtl/>
        </w:rPr>
        <w:t>10). כל היתר בחרו בתשובות שבמרכז הסקאלה.</w:t>
      </w:r>
    </w:p>
    <w:p w14:paraId="5B346E42" w14:textId="77777777" w:rsidR="00B4735A" w:rsidRPr="001B13EE" w:rsidRDefault="00B4735A" w:rsidP="00495FC4">
      <w:pPr>
        <w:numPr>
          <w:ilvl w:val="0"/>
          <w:numId w:val="4"/>
        </w:numPr>
        <w:spacing w:after="180" w:line="280" w:lineRule="exact"/>
        <w:ind w:left="397" w:hanging="397"/>
        <w:jc w:val="both"/>
        <w:rPr>
          <w:sz w:val="18"/>
          <w:szCs w:val="20"/>
        </w:rPr>
      </w:pPr>
      <w:r w:rsidRPr="001B13EE">
        <w:rPr>
          <w:rFonts w:hint="cs"/>
          <w:sz w:val="18"/>
          <w:szCs w:val="20"/>
          <w:rtl/>
        </w:rPr>
        <w:t>"אין לממשלה יכולת אמיתית לפקח על התנהלותם של גופים פרטיים": כ-25% אינם מסכימים עם הטענה כי לממשלה אין יכולת אמיתית לפקח על התנהלותם של גופים פרטיים), ואילו כ-29% מסכימים עם טענה זו.</w:t>
      </w:r>
    </w:p>
    <w:p w14:paraId="0576C9EC" w14:textId="77777777" w:rsidR="00B4735A" w:rsidRPr="001B13EE" w:rsidRDefault="00B4735A" w:rsidP="00495FC4">
      <w:pPr>
        <w:numPr>
          <w:ilvl w:val="0"/>
          <w:numId w:val="4"/>
        </w:numPr>
        <w:spacing w:after="180" w:line="280" w:lineRule="exact"/>
        <w:ind w:left="397" w:hanging="397"/>
        <w:jc w:val="both"/>
        <w:rPr>
          <w:sz w:val="18"/>
          <w:szCs w:val="20"/>
        </w:rPr>
      </w:pPr>
      <w:r w:rsidRPr="001B13EE">
        <w:rPr>
          <w:rFonts w:hint="cs"/>
          <w:sz w:val="18"/>
          <w:szCs w:val="20"/>
          <w:rtl/>
        </w:rPr>
        <w:t>"הפרטה מעודדת תחרות חופשית שמיטיבה עם הציבור": 20% אינם מסכימים עם הטענה כי הפרטה מעודדת תחרות חופשית המיטיבה עם הציבור, ואילו כ-43% מסכימים עם טענה זו.</w:t>
      </w:r>
    </w:p>
    <w:p w14:paraId="392D2472"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נראה אפוא כי הציבור בישראל נוטה לבטוח במנגנון התחרות והשוק החופשי, ומאמין בעליונות המגזר הפרטי על המגזר הציבורי. תשובותיהם של משתתפי הסקר להיגד נוסף </w:t>
      </w:r>
      <w:r w:rsidRPr="00911580">
        <w:rPr>
          <w:rFonts w:hint="cs"/>
          <w:sz w:val="18"/>
          <w:szCs w:val="20"/>
          <w:rtl/>
        </w:rPr>
        <w:lastRenderedPageBreak/>
        <w:t>שהוצג בפניהם מאששות זאת: כ-34% מהמשיבים סבורים כי השירות של חברות פרטיות עולה על זה של המגזר הציבורי. כ-37% מסכימים חלקית להיגד זה, ורק כ-25% אינם מסכימים עימו. עם זאת, נראה כי משתתפי הסקר מבחינים בין יכולות ניהול ושירות לבין אמון, שכן בניגוד לממצאים שלעיל, כאשר הוצג בפניהם ההיגד "האמון שאני נותן בחברות פרטיות גבוה מהאמון שאני נותן בשירות הציבורי", רק כ-23% מהם הסכימו עימו, 35% הסכימו חלקית, וכ-37% מהמשיבים לא הסכימו.</w:t>
      </w:r>
    </w:p>
    <w:p w14:paraId="13DC0EB8"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על אף הממצאים הללו, שיעור המשיבים הנוטים להשקפה סוציאליסטית גבוה משיעורם של אלו המגדירים עצמם כבעלי השקפה קפיטליסטית בסולם בן חמש קטגוריות, כאמור. לאחר קיבוץ התוצאות הקיצוניות מכל צד ברצף התשובות התקבלו התוצאות הללו: </w:t>
      </w:r>
      <w:r w:rsidRPr="00911580">
        <w:rPr>
          <w:sz w:val="18"/>
          <w:szCs w:val="20"/>
          <w:rtl/>
        </w:rPr>
        <w:t>כ-</w:t>
      </w:r>
      <w:r w:rsidRPr="00911580">
        <w:rPr>
          <w:rFonts w:hint="cs"/>
          <w:sz w:val="18"/>
          <w:szCs w:val="20"/>
          <w:rtl/>
        </w:rPr>
        <w:t>24</w:t>
      </w:r>
      <w:r w:rsidRPr="00911580">
        <w:rPr>
          <w:sz w:val="18"/>
          <w:szCs w:val="20"/>
          <w:rtl/>
        </w:rPr>
        <w:t>% מה</w:t>
      </w:r>
      <w:r w:rsidRPr="00911580">
        <w:rPr>
          <w:rFonts w:hint="cs"/>
          <w:sz w:val="18"/>
          <w:szCs w:val="20"/>
          <w:rtl/>
        </w:rPr>
        <w:t xml:space="preserve">משיבים </w:t>
      </w:r>
      <w:r w:rsidRPr="00911580">
        <w:rPr>
          <w:sz w:val="18"/>
          <w:szCs w:val="20"/>
          <w:rtl/>
        </w:rPr>
        <w:t xml:space="preserve">מגדירים עצמם כבעלי השקפה קפיטליסטית, </w:t>
      </w:r>
      <w:r w:rsidRPr="00911580">
        <w:rPr>
          <w:rFonts w:hint="cs"/>
          <w:sz w:val="18"/>
          <w:szCs w:val="20"/>
          <w:rtl/>
        </w:rPr>
        <w:t xml:space="preserve">ואילו </w:t>
      </w:r>
      <w:r w:rsidRPr="00911580">
        <w:rPr>
          <w:sz w:val="18"/>
          <w:szCs w:val="20"/>
          <w:rtl/>
        </w:rPr>
        <w:t>שיעור</w:t>
      </w:r>
      <w:r w:rsidRPr="00911580">
        <w:rPr>
          <w:rFonts w:hint="cs"/>
          <w:sz w:val="18"/>
          <w:szCs w:val="20"/>
          <w:rtl/>
        </w:rPr>
        <w:t xml:space="preserve">ם של </w:t>
      </w:r>
      <w:r w:rsidRPr="00911580">
        <w:rPr>
          <w:sz w:val="18"/>
          <w:szCs w:val="20"/>
          <w:rtl/>
        </w:rPr>
        <w:t>בעלי ההשקפה הסוציאליסטית מגיע ל-3</w:t>
      </w:r>
      <w:r w:rsidRPr="00911580">
        <w:rPr>
          <w:rFonts w:hint="cs"/>
          <w:sz w:val="18"/>
          <w:szCs w:val="20"/>
          <w:rtl/>
        </w:rPr>
        <w:t>8</w:t>
      </w:r>
      <w:r w:rsidRPr="00911580">
        <w:rPr>
          <w:sz w:val="18"/>
          <w:szCs w:val="20"/>
          <w:rtl/>
        </w:rPr>
        <w:t>% ומשתווה לשיעור המגדירים עצמם כבעלי עמדת מרכז.</w:t>
      </w:r>
      <w:r w:rsidRPr="00911580">
        <w:rPr>
          <w:rStyle w:val="FootnoteReference"/>
          <w:sz w:val="18"/>
          <w:szCs w:val="20"/>
          <w:rtl/>
        </w:rPr>
        <w:footnoteReference w:id="7"/>
      </w:r>
      <w:r w:rsidRPr="00911580">
        <w:rPr>
          <w:rFonts w:hint="cs"/>
          <w:sz w:val="18"/>
          <w:szCs w:val="20"/>
          <w:rtl/>
        </w:rPr>
        <w:t xml:space="preserve"> גם בחלוקה בין קבוצות אוכלוסייה נשמר יתרון להשקפה הסוציאליסטית, אם כי בקרב יהודים הפער הצטמצם (</w:t>
      </w:r>
      <w:r w:rsidRPr="00911580">
        <w:rPr>
          <w:sz w:val="18"/>
          <w:szCs w:val="20"/>
          <w:rtl/>
        </w:rPr>
        <w:t>34%</w:t>
      </w:r>
      <w:r w:rsidRPr="00911580">
        <w:rPr>
          <w:rFonts w:hint="cs"/>
          <w:sz w:val="18"/>
          <w:szCs w:val="20"/>
          <w:rtl/>
        </w:rPr>
        <w:t xml:space="preserve"> סוציאליזם; 27% קפיטליזם) ובקרב לא-יהודים הפער התרחב (48% סוציאליזם; 17% קפיטליזם).</w:t>
      </w:r>
    </w:p>
    <w:p w14:paraId="7C2D727F" w14:textId="77777777" w:rsidR="00B4735A" w:rsidRPr="00911580" w:rsidRDefault="00B4735A" w:rsidP="00911580">
      <w:pPr>
        <w:autoSpaceDE w:val="0"/>
        <w:autoSpaceDN w:val="0"/>
        <w:adjustRightInd w:val="0"/>
        <w:spacing w:after="180" w:line="280" w:lineRule="exact"/>
        <w:jc w:val="both"/>
        <w:rPr>
          <w:sz w:val="18"/>
          <w:szCs w:val="20"/>
          <w:rtl/>
        </w:rPr>
      </w:pPr>
      <w:r w:rsidRPr="00911580">
        <w:rPr>
          <w:rFonts w:hint="cs"/>
          <w:sz w:val="18"/>
          <w:szCs w:val="20"/>
          <w:rtl/>
        </w:rPr>
        <w:t>גם בחלוקה לפי מעמדות סוציו-אקונומיים נשמר יתרונה של ההשקפה הסוציאליסטית בציבור. בקרב המעמד הנמוך והבינוני התגלה פער ניכר לטובת ההשקפה הסוציאליסטית, אשר עמד על 17</w:t>
      </w:r>
      <w:r w:rsidRPr="00911580">
        <w:rPr>
          <w:sz w:val="18"/>
          <w:szCs w:val="20"/>
          <w:rtl/>
        </w:rPr>
        <w:t>–</w:t>
      </w:r>
      <w:r w:rsidRPr="00911580">
        <w:rPr>
          <w:rFonts w:hint="cs"/>
          <w:sz w:val="18"/>
          <w:szCs w:val="20"/>
          <w:rtl/>
        </w:rPr>
        <w:t>18%, לעומת פער של פחות מ-3% בקרב המעמד הגבוה. ההשקפה הסוציאליסטית רווחת יותר גם בכל רמת הדתיות, בפערים משתנים. בקרב חילונים ומסורתיים נשמר פער של 17</w:t>
      </w:r>
      <w:r w:rsidRPr="00911580">
        <w:rPr>
          <w:sz w:val="18"/>
          <w:szCs w:val="20"/>
          <w:rtl/>
        </w:rPr>
        <w:t>–</w:t>
      </w:r>
      <w:r w:rsidRPr="00911580">
        <w:rPr>
          <w:rFonts w:hint="cs"/>
          <w:sz w:val="18"/>
          <w:szCs w:val="20"/>
          <w:rtl/>
        </w:rPr>
        <w:t>20% לטובתה בינה לבין ההשקפה הקפיטליסטית. פער זה מצטמצם ל-3</w:t>
      </w:r>
      <w:r w:rsidRPr="00911580">
        <w:rPr>
          <w:sz w:val="18"/>
          <w:szCs w:val="20"/>
          <w:rtl/>
        </w:rPr>
        <w:t>–</w:t>
      </w:r>
      <w:r w:rsidRPr="00911580">
        <w:rPr>
          <w:rFonts w:hint="cs"/>
          <w:sz w:val="18"/>
          <w:szCs w:val="20"/>
          <w:rtl/>
        </w:rPr>
        <w:t>4% בלבד בקרב קבוצת הדתיים וקבוצת ה"דתיים מאוד".</w:t>
      </w:r>
    </w:p>
    <w:p w14:paraId="768E612D" w14:textId="77777777" w:rsidR="00B4735A" w:rsidRPr="00911580" w:rsidRDefault="00B4735A" w:rsidP="00911580">
      <w:pPr>
        <w:spacing w:after="180" w:line="280" w:lineRule="exact"/>
        <w:jc w:val="both"/>
        <w:rPr>
          <w:sz w:val="18"/>
          <w:szCs w:val="20"/>
          <w:rtl/>
        </w:rPr>
      </w:pPr>
      <w:r w:rsidRPr="00911580">
        <w:rPr>
          <w:rFonts w:hint="cs"/>
          <w:sz w:val="18"/>
          <w:szCs w:val="20"/>
          <w:rtl/>
        </w:rPr>
        <w:t>ממצאים אלה תואמים במידה מסוימת את הממצאים העולים מתשובותיהם של משתתפי הסקר לשאלה בדבר מידת מעורבותה הרצויה של המדינה בחיי הכלכלה:</w:t>
      </w:r>
      <w:r w:rsidRPr="00911580">
        <w:rPr>
          <w:sz w:val="18"/>
          <w:szCs w:val="20"/>
          <w:rtl/>
        </w:rPr>
        <w:t xml:space="preserve"> </w:t>
      </w:r>
      <w:r w:rsidRPr="00911580">
        <w:rPr>
          <w:rFonts w:hint="cs"/>
          <w:sz w:val="18"/>
          <w:szCs w:val="20"/>
          <w:rtl/>
        </w:rPr>
        <w:t>רק כ-10% מהמשיבים סבורים כי עדיף שהממשלה תתערב בחיי הכלכלה כמה שפחות, יותר מ-50% סבורים שעליה להתערב במקרים מסוימים, וקרוב ל-32% מעדיפים שתתערב כמה שיותר.</w:t>
      </w:r>
    </w:p>
    <w:p w14:paraId="4F33030B" w14:textId="77777777" w:rsidR="00B4735A" w:rsidRPr="00911580" w:rsidRDefault="00B4735A" w:rsidP="00911580">
      <w:pPr>
        <w:spacing w:after="180" w:line="280" w:lineRule="exact"/>
        <w:jc w:val="both"/>
        <w:rPr>
          <w:sz w:val="18"/>
          <w:szCs w:val="20"/>
          <w:rtl/>
        </w:rPr>
      </w:pPr>
      <w:r w:rsidRPr="00911580">
        <w:rPr>
          <w:rFonts w:hint="cs"/>
          <w:sz w:val="18"/>
          <w:szCs w:val="20"/>
          <w:rtl/>
        </w:rPr>
        <w:t>אף על פי כן, באשר למדיניות המיסוי של הממשלה, רוב מכריע מקרב המשתתפים סבורים כי רמת המיסוי הנוהגת כיום גבוהה מדי (כ-72%). זאת ועוד, 45% מהנשאלים תומכים בהפחתת מיסים, גם אם הדבר כרוך בצמצום שירותים חברתיים, לעומת 34% הסבורים כי יש להשאיר את המצב כמות שהוא. רק כ-8% סברו כי יש להעלות את המיסים כדי להגדיל את ההשקעה בשירותים חברתיים (היתר ענו "לא יודע").</w:t>
      </w:r>
    </w:p>
    <w:p w14:paraId="73089509" w14:textId="77777777" w:rsidR="00B4735A" w:rsidRPr="00911580" w:rsidRDefault="00B4735A" w:rsidP="00911580">
      <w:pPr>
        <w:spacing w:after="180" w:line="280" w:lineRule="exact"/>
        <w:jc w:val="both"/>
        <w:rPr>
          <w:b/>
          <w:bCs/>
          <w:sz w:val="18"/>
          <w:szCs w:val="20"/>
          <w:rtl/>
        </w:rPr>
      </w:pPr>
    </w:p>
    <w:p w14:paraId="2B4A6485" w14:textId="2026446B" w:rsidR="00B4735A" w:rsidRPr="00B4735A" w:rsidRDefault="00B4735A" w:rsidP="00B4735A">
      <w:pPr>
        <w:pStyle w:val="KOT5"/>
        <w:spacing w:after="0"/>
        <w:ind w:right="0"/>
        <w:rPr>
          <w:rFonts w:cs="Guttman Aharoni"/>
          <w:color w:val="00B0F0"/>
          <w:rtl/>
        </w:rPr>
      </w:pPr>
      <w:r w:rsidRPr="00B4735A">
        <w:rPr>
          <w:rFonts w:cs="Guttman Aharoni" w:hint="cs"/>
          <w:color w:val="00B0F0"/>
          <w:rtl/>
        </w:rPr>
        <w:lastRenderedPageBreak/>
        <w:t>עמדות כלפי הפרטה: השפעת משתנים סוציו</w:t>
      </w:r>
      <w:r w:rsidRPr="001B13EE">
        <w:rPr>
          <w:rFonts w:ascii="David" w:hAnsi="David" w:cs="David"/>
          <w:color w:val="00B0F0"/>
          <w:rtl/>
        </w:rPr>
        <w:t>-</w:t>
      </w:r>
      <w:r w:rsidRPr="00B4735A">
        <w:rPr>
          <w:rFonts w:cs="Guttman Aharoni" w:hint="cs"/>
          <w:color w:val="00B0F0"/>
          <w:rtl/>
        </w:rPr>
        <w:t>דמוגרפיים</w:t>
      </w:r>
    </w:p>
    <w:p w14:paraId="5FFF0BAB"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מהרגרסיה הלוגיסטית עולה כי למעט משתנה ההשכלה, כל שבעת המשתנים המסבירים האחרים נמצאו בעלי השפעה מובהקת סטטיסטית על המשתנה "עמדה כלפי הפרטה", בכיוון ההשפעה המתואר בהשערות המחקר. המשתנים השתייכות אתנית, רמת דתיות, השקפה כלכלית-חברתית וחברות בוועד עובדים נמצאו מובהקים ברמה של 01., והמשתנים מעמד כלכלי-חברתי, גיל ומין </w:t>
      </w:r>
      <w:r w:rsidRPr="00911580">
        <w:rPr>
          <w:sz w:val="18"/>
          <w:szCs w:val="20"/>
          <w:rtl/>
        </w:rPr>
        <w:t>–</w:t>
      </w:r>
      <w:r w:rsidRPr="00911580">
        <w:rPr>
          <w:rFonts w:hint="cs"/>
          <w:sz w:val="18"/>
          <w:szCs w:val="20"/>
          <w:rtl/>
        </w:rPr>
        <w:t xml:space="preserve"> ברמה של 05.</w:t>
      </w:r>
    </w:p>
    <w:p w14:paraId="12403056" w14:textId="39A634C1" w:rsidR="00B4735A" w:rsidRPr="00507134" w:rsidRDefault="00B4735A" w:rsidP="00507134">
      <w:pPr>
        <w:pStyle w:val="tab-name"/>
        <w:spacing w:before="300" w:line="260" w:lineRule="exact"/>
        <w:ind w:right="0"/>
        <w:rPr>
          <w:rFonts w:cs="Guttman Aharoni"/>
          <w:color w:val="auto"/>
          <w:sz w:val="20"/>
          <w:szCs w:val="20"/>
          <w:rtl/>
        </w:rPr>
      </w:pPr>
      <w:r w:rsidRPr="00507134">
        <w:rPr>
          <w:rFonts w:cs="Guttman Aharoni" w:hint="eastAsia"/>
          <w:color w:val="auto"/>
          <w:sz w:val="20"/>
          <w:szCs w:val="20"/>
          <w:rtl/>
        </w:rPr>
        <w:t>לוח</w:t>
      </w:r>
      <w:r w:rsidRPr="00507134">
        <w:rPr>
          <w:rFonts w:cs="Guttman Aharoni"/>
          <w:color w:val="auto"/>
          <w:sz w:val="20"/>
          <w:szCs w:val="20"/>
          <w:rtl/>
        </w:rPr>
        <w:t xml:space="preserve"> 2</w:t>
      </w:r>
      <w:r w:rsidR="00507134" w:rsidRPr="00507134">
        <w:rPr>
          <w:rFonts w:cs="Guttman Aharoni" w:hint="cs"/>
          <w:color w:val="auto"/>
          <w:sz w:val="20"/>
          <w:szCs w:val="20"/>
          <w:rtl/>
        </w:rPr>
        <w:t xml:space="preserve">: </w:t>
      </w:r>
      <w:r w:rsidRPr="00507134">
        <w:rPr>
          <w:rFonts w:cs="Guttman Aharoni" w:hint="cs"/>
          <w:color w:val="auto"/>
          <w:sz w:val="20"/>
          <w:szCs w:val="20"/>
          <w:rtl/>
        </w:rPr>
        <w:t>תוצאות הרגרסיה הלוגיסטית (</w:t>
      </w:r>
      <w:r w:rsidRPr="00507134">
        <w:rPr>
          <w:rFonts w:cs="Guttman Aharoni"/>
          <w:color w:val="auto"/>
          <w:sz w:val="20"/>
          <w:szCs w:val="20"/>
        </w:rPr>
        <w:t>Odds Ratio</w:t>
      </w:r>
      <w:r w:rsidRPr="00507134">
        <w:rPr>
          <w:rFonts w:cs="Guttman Aharoni" w:hint="cs"/>
          <w:color w:val="auto"/>
          <w:sz w:val="20"/>
          <w:szCs w:val="20"/>
          <w:rtl/>
        </w:rPr>
        <w:t>)</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57" w:type="dxa"/>
          <w:right w:w="57" w:type="dxa"/>
        </w:tblCellMar>
        <w:tblLook w:val="04A0" w:firstRow="1" w:lastRow="0" w:firstColumn="1" w:lastColumn="0" w:noHBand="0" w:noVBand="1"/>
      </w:tblPr>
      <w:tblGrid>
        <w:gridCol w:w="1450"/>
        <w:gridCol w:w="1212"/>
        <w:gridCol w:w="3662"/>
      </w:tblGrid>
      <w:tr w:rsidR="002C3F84" w:rsidRPr="002C3F84" w14:paraId="6E15399A" w14:textId="77777777" w:rsidTr="002C3F84">
        <w:trPr>
          <w:tblHeader/>
          <w:jc w:val="center"/>
        </w:trPr>
        <w:tc>
          <w:tcPr>
            <w:tcW w:w="0" w:type="auto"/>
            <w:gridSpan w:val="2"/>
            <w:tcBorders>
              <w:top w:val="single" w:sz="8" w:space="0" w:color="000000"/>
              <w:left w:val="single" w:sz="8" w:space="0" w:color="000000"/>
              <w:bottom w:val="single" w:sz="4" w:space="0" w:color="000000"/>
              <w:right w:val="single" w:sz="4" w:space="0" w:color="000000"/>
            </w:tcBorders>
            <w:shd w:val="clear" w:color="auto" w:fill="auto"/>
          </w:tcPr>
          <w:p w14:paraId="2884E69F" w14:textId="1792B191" w:rsidR="00507134" w:rsidRPr="002C3F84" w:rsidRDefault="00507134" w:rsidP="00E62E88">
            <w:pPr>
              <w:spacing w:before="40" w:after="40" w:line="220" w:lineRule="atLeast"/>
              <w:jc w:val="center"/>
              <w:rPr>
                <w:rFonts w:eastAsia="Calibri" w:cs="Times New Roman"/>
                <w:b/>
                <w:bCs/>
                <w:sz w:val="16"/>
                <w:szCs w:val="18"/>
                <w:rtl/>
              </w:rPr>
            </w:pPr>
            <w:r w:rsidRPr="002C3F84">
              <w:rPr>
                <w:rFonts w:eastAsia="Calibri" w:hint="cs"/>
                <w:b/>
                <w:bCs/>
                <w:sz w:val="16"/>
                <w:szCs w:val="18"/>
                <w:rtl/>
              </w:rPr>
              <w:t xml:space="preserve">עמדות כלפי הפרטה </w:t>
            </w:r>
            <w:r w:rsidRPr="002C3F84">
              <w:rPr>
                <w:rFonts w:eastAsia="Calibri"/>
                <w:b/>
                <w:bCs/>
                <w:sz w:val="16"/>
                <w:szCs w:val="18"/>
                <w:rtl/>
              </w:rPr>
              <w:t>(</w:t>
            </w:r>
            <w:r w:rsidRPr="002C3F84">
              <w:rPr>
                <w:rFonts w:eastAsia="Calibri"/>
                <w:b/>
                <w:bCs/>
                <w:sz w:val="16"/>
                <w:szCs w:val="18"/>
              </w:rPr>
              <w:t>N=840</w:t>
            </w:r>
            <w:r w:rsidRPr="002C3F84">
              <w:rPr>
                <w:rFonts w:eastAsia="Calibri"/>
                <w:b/>
                <w:bCs/>
                <w:sz w:val="16"/>
                <w:szCs w:val="18"/>
                <w:rtl/>
              </w:rPr>
              <w:t>)</w:t>
            </w:r>
          </w:p>
        </w:tc>
        <w:tc>
          <w:tcPr>
            <w:tcW w:w="0" w:type="auto"/>
            <w:vMerge w:val="restart"/>
            <w:tcBorders>
              <w:top w:val="single" w:sz="8" w:space="0" w:color="000000"/>
              <w:left w:val="single" w:sz="4" w:space="0" w:color="000000"/>
              <w:right w:val="single" w:sz="8" w:space="0" w:color="000000"/>
            </w:tcBorders>
            <w:shd w:val="clear" w:color="auto" w:fill="auto"/>
          </w:tcPr>
          <w:p w14:paraId="0D90262D" w14:textId="77777777" w:rsidR="00507134" w:rsidRPr="002C3F84" w:rsidRDefault="00507134" w:rsidP="00E62E88">
            <w:pPr>
              <w:spacing w:before="40" w:after="40" w:line="220" w:lineRule="atLeast"/>
              <w:rPr>
                <w:rFonts w:ascii="David" w:eastAsia="Calibri" w:hAnsi="David"/>
                <w:b/>
                <w:bCs/>
                <w:sz w:val="16"/>
                <w:szCs w:val="18"/>
                <w:rtl/>
              </w:rPr>
            </w:pPr>
          </w:p>
        </w:tc>
      </w:tr>
      <w:tr w:rsidR="002C3F84" w:rsidRPr="002C3F84" w14:paraId="005BE561" w14:textId="77777777" w:rsidTr="002C3F84">
        <w:trPr>
          <w:tblHeader/>
          <w:jc w:val="center"/>
        </w:trPr>
        <w:tc>
          <w:tcPr>
            <w:tcW w:w="0" w:type="auto"/>
            <w:tcBorders>
              <w:top w:val="single" w:sz="4" w:space="0" w:color="000000"/>
              <w:left w:val="single" w:sz="8" w:space="0" w:color="000000"/>
              <w:bottom w:val="single" w:sz="8" w:space="0" w:color="000000"/>
              <w:right w:val="single" w:sz="4" w:space="0" w:color="000000"/>
            </w:tcBorders>
            <w:shd w:val="clear" w:color="auto" w:fill="auto"/>
          </w:tcPr>
          <w:p w14:paraId="3F4FBE0F" w14:textId="77777777" w:rsidR="00507134" w:rsidRPr="002C3F84" w:rsidRDefault="00507134" w:rsidP="00E62E88">
            <w:pPr>
              <w:spacing w:before="40" w:after="40" w:line="220" w:lineRule="atLeast"/>
              <w:rPr>
                <w:rFonts w:eastAsia="Calibri" w:cs="Times New Roman"/>
                <w:b/>
                <w:bCs/>
                <w:sz w:val="16"/>
                <w:szCs w:val="18"/>
              </w:rPr>
            </w:pPr>
            <w:r w:rsidRPr="002C3F84">
              <w:rPr>
                <w:rFonts w:eastAsia="Calibri" w:hint="cs"/>
                <w:b/>
                <w:bCs/>
                <w:sz w:val="16"/>
                <w:szCs w:val="18"/>
                <w:rtl/>
              </w:rPr>
              <w:t>יחס הסיכויים (</w:t>
            </w:r>
            <w:r w:rsidRPr="002C3F84">
              <w:rPr>
                <w:rFonts w:eastAsia="Calibri"/>
                <w:b/>
                <w:bCs/>
                <w:sz w:val="16"/>
                <w:szCs w:val="18"/>
              </w:rPr>
              <w:t>OR</w:t>
            </w:r>
            <w:r w:rsidRPr="002C3F84">
              <w:rPr>
                <w:rFonts w:eastAsia="Calibri" w:hint="cs"/>
                <w:b/>
                <w:bCs/>
                <w:sz w:val="16"/>
                <w:szCs w:val="18"/>
                <w:rtl/>
              </w:rPr>
              <w:t>)</w:t>
            </w:r>
          </w:p>
        </w:tc>
        <w:tc>
          <w:tcPr>
            <w:tcW w:w="0" w:type="auto"/>
            <w:tcBorders>
              <w:top w:val="single" w:sz="4" w:space="0" w:color="000000"/>
              <w:left w:val="single" w:sz="4" w:space="0" w:color="000000"/>
              <w:bottom w:val="single" w:sz="8" w:space="0" w:color="000000"/>
              <w:right w:val="single" w:sz="4" w:space="0" w:color="000000"/>
            </w:tcBorders>
            <w:shd w:val="clear" w:color="auto" w:fill="auto"/>
          </w:tcPr>
          <w:p w14:paraId="713B1BB0" w14:textId="77777777" w:rsidR="00507134" w:rsidRPr="002C3F84" w:rsidRDefault="00507134" w:rsidP="00E62E88">
            <w:pPr>
              <w:spacing w:before="40" w:after="40" w:line="220" w:lineRule="atLeast"/>
              <w:rPr>
                <w:rFonts w:eastAsia="Calibri" w:cs="Times New Roman"/>
                <w:b/>
                <w:bCs/>
                <w:sz w:val="16"/>
                <w:szCs w:val="18"/>
              </w:rPr>
            </w:pPr>
            <w:r w:rsidRPr="002C3F84">
              <w:rPr>
                <w:rFonts w:eastAsia="Calibri" w:hint="cs"/>
                <w:b/>
                <w:bCs/>
                <w:sz w:val="16"/>
                <w:szCs w:val="18"/>
                <w:rtl/>
              </w:rPr>
              <w:t>שגיאת תקן (</w:t>
            </w:r>
            <w:r w:rsidRPr="002C3F84">
              <w:rPr>
                <w:rFonts w:eastAsia="Calibri"/>
                <w:b/>
                <w:bCs/>
                <w:sz w:val="16"/>
                <w:szCs w:val="18"/>
              </w:rPr>
              <w:t>SE</w:t>
            </w:r>
            <w:r w:rsidRPr="002C3F84">
              <w:rPr>
                <w:rFonts w:eastAsia="Calibri" w:hint="cs"/>
                <w:b/>
                <w:bCs/>
                <w:sz w:val="16"/>
                <w:szCs w:val="18"/>
                <w:rtl/>
              </w:rPr>
              <w:t>)</w:t>
            </w:r>
          </w:p>
        </w:tc>
        <w:tc>
          <w:tcPr>
            <w:tcW w:w="0" w:type="auto"/>
            <w:vMerge/>
            <w:tcBorders>
              <w:left w:val="single" w:sz="4" w:space="0" w:color="000000"/>
              <w:bottom w:val="single" w:sz="8" w:space="0" w:color="000000"/>
              <w:right w:val="single" w:sz="8" w:space="0" w:color="000000"/>
            </w:tcBorders>
            <w:shd w:val="clear" w:color="auto" w:fill="auto"/>
          </w:tcPr>
          <w:p w14:paraId="03A231C4" w14:textId="77777777" w:rsidR="00507134" w:rsidRPr="002C3F84" w:rsidRDefault="00507134" w:rsidP="00E62E88">
            <w:pPr>
              <w:spacing w:before="40" w:after="40" w:line="220" w:lineRule="atLeast"/>
              <w:rPr>
                <w:rFonts w:ascii="David" w:eastAsia="Calibri" w:hAnsi="David"/>
                <w:b/>
                <w:bCs/>
                <w:sz w:val="16"/>
                <w:szCs w:val="18"/>
                <w:rtl/>
              </w:rPr>
            </w:pPr>
          </w:p>
        </w:tc>
      </w:tr>
      <w:tr w:rsidR="002C3F84" w:rsidRPr="002C3F84" w14:paraId="78FCC4F6" w14:textId="77777777" w:rsidTr="002C3F84">
        <w:trPr>
          <w:jc w:val="center"/>
        </w:trPr>
        <w:tc>
          <w:tcPr>
            <w:tcW w:w="0" w:type="auto"/>
            <w:tcBorders>
              <w:top w:val="single" w:sz="8" w:space="0" w:color="000000"/>
              <w:left w:val="single" w:sz="8" w:space="0" w:color="000000"/>
              <w:bottom w:val="nil"/>
              <w:right w:val="single" w:sz="4" w:space="0" w:color="000000"/>
            </w:tcBorders>
            <w:shd w:val="clear" w:color="auto" w:fill="auto"/>
          </w:tcPr>
          <w:p w14:paraId="607B5E0D" w14:textId="57528E31" w:rsidR="00B4735A" w:rsidRPr="002C3F84" w:rsidRDefault="00B4735A" w:rsidP="00E62E88">
            <w:pPr>
              <w:spacing w:before="40" w:after="40" w:line="220" w:lineRule="atLeast"/>
              <w:rPr>
                <w:rFonts w:eastAsia="Calibri" w:cs="Times New Roman"/>
                <w:b/>
                <w:bCs/>
                <w:sz w:val="16"/>
                <w:szCs w:val="18"/>
              </w:rPr>
            </w:pPr>
            <w:r w:rsidRPr="002C3F84">
              <w:rPr>
                <w:rFonts w:eastAsia="Calibri"/>
                <w:b/>
                <w:bCs/>
                <w:sz w:val="16"/>
                <w:szCs w:val="18"/>
              </w:rPr>
              <w:t>.747</w:t>
            </w:r>
            <w:r w:rsidR="00507134" w:rsidRPr="002C3F84">
              <w:rPr>
                <w:rFonts w:eastAsia="Calibri" w:hint="cs"/>
                <w:b/>
                <w:bCs/>
                <w:sz w:val="16"/>
                <w:szCs w:val="18"/>
                <w:rtl/>
              </w:rPr>
              <w:t xml:space="preserve"> </w:t>
            </w:r>
            <w:r w:rsidRPr="002C3F84">
              <w:rPr>
                <w:rFonts w:eastAsia="Calibri"/>
                <w:b/>
                <w:bCs/>
                <w:sz w:val="16"/>
                <w:szCs w:val="18"/>
              </w:rPr>
              <w:t>*</w:t>
            </w:r>
          </w:p>
        </w:tc>
        <w:tc>
          <w:tcPr>
            <w:tcW w:w="0" w:type="auto"/>
            <w:tcBorders>
              <w:top w:val="single" w:sz="8" w:space="0" w:color="000000"/>
              <w:left w:val="single" w:sz="4" w:space="0" w:color="000000"/>
              <w:bottom w:val="nil"/>
              <w:right w:val="single" w:sz="4" w:space="0" w:color="000000"/>
            </w:tcBorders>
            <w:shd w:val="clear" w:color="auto" w:fill="auto"/>
          </w:tcPr>
          <w:p w14:paraId="77D4122E" w14:textId="77777777" w:rsidR="00B4735A" w:rsidRPr="002C3F84" w:rsidRDefault="00B4735A" w:rsidP="00E62E88">
            <w:pPr>
              <w:spacing w:before="40" w:after="40" w:line="220" w:lineRule="atLeast"/>
              <w:rPr>
                <w:rFonts w:eastAsia="Calibri" w:cs="Times New Roman"/>
                <w:sz w:val="16"/>
                <w:szCs w:val="18"/>
              </w:rPr>
            </w:pPr>
            <w:r w:rsidRPr="002C3F84">
              <w:rPr>
                <w:rFonts w:eastAsia="Calibri"/>
                <w:sz w:val="16"/>
                <w:szCs w:val="18"/>
              </w:rPr>
              <w:t>.115</w:t>
            </w:r>
          </w:p>
        </w:tc>
        <w:tc>
          <w:tcPr>
            <w:tcW w:w="0" w:type="auto"/>
            <w:tcBorders>
              <w:top w:val="single" w:sz="8" w:space="0" w:color="000000"/>
              <w:left w:val="single" w:sz="4" w:space="0" w:color="000000"/>
              <w:bottom w:val="nil"/>
              <w:right w:val="single" w:sz="8" w:space="0" w:color="000000"/>
            </w:tcBorders>
            <w:shd w:val="clear" w:color="auto" w:fill="auto"/>
          </w:tcPr>
          <w:p w14:paraId="1DCA67CC" w14:textId="0C7DFF54" w:rsidR="00B4735A" w:rsidRPr="002C3F84" w:rsidRDefault="00B4735A" w:rsidP="00E62E88">
            <w:pPr>
              <w:spacing w:before="40" w:after="40" w:line="220" w:lineRule="atLeast"/>
              <w:rPr>
                <w:rFonts w:ascii="David" w:eastAsia="Calibri" w:hAnsi="David"/>
                <w:sz w:val="16"/>
                <w:szCs w:val="18"/>
              </w:rPr>
            </w:pPr>
            <w:r w:rsidRPr="002C3F84">
              <w:rPr>
                <w:rFonts w:eastAsia="Calibri"/>
                <w:sz w:val="16"/>
                <w:szCs w:val="18"/>
                <w:rtl/>
              </w:rPr>
              <w:t>מעמד כלכלי-חברתי (</w:t>
            </w:r>
            <w:r w:rsidRPr="002C3F84">
              <w:rPr>
                <w:rFonts w:eastAsia="Calibri"/>
                <w:sz w:val="16"/>
                <w:szCs w:val="18"/>
              </w:rPr>
              <w:t>X</w:t>
            </w:r>
            <w:r w:rsidRPr="002C3F84">
              <w:rPr>
                <w:rFonts w:eastAsia="Calibri"/>
                <w:sz w:val="16"/>
                <w:szCs w:val="18"/>
                <w:vertAlign w:val="subscript"/>
              </w:rPr>
              <w:t>1</w:t>
            </w:r>
            <w:r w:rsidRPr="002C3F84">
              <w:rPr>
                <w:rFonts w:eastAsia="Calibri"/>
                <w:sz w:val="16"/>
                <w:szCs w:val="18"/>
                <w:rtl/>
              </w:rPr>
              <w:t>)</w:t>
            </w:r>
          </w:p>
        </w:tc>
      </w:tr>
      <w:tr w:rsidR="002C3F84" w:rsidRPr="002C3F84" w14:paraId="66DE7B4E" w14:textId="77777777" w:rsidTr="002C3F84">
        <w:trPr>
          <w:jc w:val="center"/>
        </w:trPr>
        <w:tc>
          <w:tcPr>
            <w:tcW w:w="0" w:type="auto"/>
            <w:tcBorders>
              <w:top w:val="nil"/>
              <w:left w:val="single" w:sz="8" w:space="0" w:color="000000"/>
              <w:bottom w:val="nil"/>
              <w:right w:val="single" w:sz="4" w:space="0" w:color="000000"/>
            </w:tcBorders>
            <w:shd w:val="clear" w:color="auto" w:fill="auto"/>
          </w:tcPr>
          <w:p w14:paraId="141D18FE" w14:textId="77777777" w:rsidR="00B4735A" w:rsidRPr="002C3F84" w:rsidRDefault="00B4735A" w:rsidP="00E62E88">
            <w:pPr>
              <w:spacing w:before="40" w:after="40" w:line="220" w:lineRule="atLeast"/>
              <w:rPr>
                <w:rFonts w:eastAsia="Calibri" w:cs="Times New Roman"/>
                <w:b/>
                <w:bCs/>
                <w:sz w:val="16"/>
                <w:szCs w:val="18"/>
              </w:rPr>
            </w:pPr>
            <w:r w:rsidRPr="002C3F84">
              <w:rPr>
                <w:rFonts w:eastAsia="Calibri"/>
                <w:b/>
                <w:bCs/>
                <w:sz w:val="16"/>
                <w:szCs w:val="18"/>
              </w:rPr>
              <w:t>1.167</w:t>
            </w:r>
          </w:p>
        </w:tc>
        <w:tc>
          <w:tcPr>
            <w:tcW w:w="0" w:type="auto"/>
            <w:tcBorders>
              <w:top w:val="nil"/>
              <w:left w:val="single" w:sz="4" w:space="0" w:color="000000"/>
              <w:bottom w:val="nil"/>
              <w:right w:val="single" w:sz="4" w:space="0" w:color="000000"/>
            </w:tcBorders>
            <w:shd w:val="clear" w:color="auto" w:fill="auto"/>
          </w:tcPr>
          <w:p w14:paraId="3B54730F" w14:textId="77777777" w:rsidR="00B4735A" w:rsidRPr="002C3F84" w:rsidRDefault="00B4735A" w:rsidP="00E62E88">
            <w:pPr>
              <w:spacing w:before="40" w:after="40" w:line="220" w:lineRule="atLeast"/>
              <w:rPr>
                <w:rFonts w:eastAsia="Calibri" w:cs="Times New Roman"/>
                <w:sz w:val="16"/>
                <w:szCs w:val="18"/>
              </w:rPr>
            </w:pPr>
            <w:r w:rsidRPr="002C3F84">
              <w:rPr>
                <w:rFonts w:eastAsia="Calibri"/>
                <w:sz w:val="16"/>
                <w:szCs w:val="18"/>
              </w:rPr>
              <w:t>.107</w:t>
            </w:r>
          </w:p>
        </w:tc>
        <w:tc>
          <w:tcPr>
            <w:tcW w:w="0" w:type="auto"/>
            <w:tcBorders>
              <w:top w:val="nil"/>
              <w:left w:val="single" w:sz="4" w:space="0" w:color="000000"/>
              <w:bottom w:val="nil"/>
              <w:right w:val="single" w:sz="8" w:space="0" w:color="000000"/>
            </w:tcBorders>
            <w:shd w:val="clear" w:color="auto" w:fill="auto"/>
          </w:tcPr>
          <w:p w14:paraId="31CED56D" w14:textId="77777777" w:rsidR="00B4735A" w:rsidRPr="002C3F84" w:rsidRDefault="00B4735A" w:rsidP="00E62E88">
            <w:pPr>
              <w:spacing w:before="40" w:after="40" w:line="220" w:lineRule="atLeast"/>
              <w:rPr>
                <w:rFonts w:ascii="David" w:eastAsia="Calibri" w:hAnsi="David"/>
                <w:sz w:val="16"/>
                <w:szCs w:val="18"/>
              </w:rPr>
            </w:pPr>
            <w:r w:rsidRPr="002C3F84">
              <w:rPr>
                <w:rFonts w:eastAsia="Calibri"/>
                <w:sz w:val="16"/>
                <w:szCs w:val="18"/>
                <w:rtl/>
              </w:rPr>
              <w:t>רמת השכלה (</w:t>
            </w:r>
            <w:r w:rsidRPr="002C3F84">
              <w:rPr>
                <w:rFonts w:eastAsia="Calibri"/>
                <w:sz w:val="16"/>
                <w:szCs w:val="18"/>
              </w:rPr>
              <w:t>X</w:t>
            </w:r>
            <w:r w:rsidRPr="002C3F84">
              <w:rPr>
                <w:rFonts w:eastAsia="Calibri"/>
                <w:sz w:val="16"/>
                <w:szCs w:val="18"/>
                <w:vertAlign w:val="subscript"/>
              </w:rPr>
              <w:t>2</w:t>
            </w:r>
            <w:r w:rsidRPr="002C3F84">
              <w:rPr>
                <w:rFonts w:eastAsia="Calibri"/>
                <w:sz w:val="16"/>
                <w:szCs w:val="18"/>
                <w:rtl/>
              </w:rPr>
              <w:t>)</w:t>
            </w:r>
          </w:p>
        </w:tc>
      </w:tr>
      <w:tr w:rsidR="002C3F84" w:rsidRPr="002C3F84" w14:paraId="691C203E" w14:textId="77777777" w:rsidTr="002C3F84">
        <w:trPr>
          <w:jc w:val="center"/>
        </w:trPr>
        <w:tc>
          <w:tcPr>
            <w:tcW w:w="0" w:type="auto"/>
            <w:tcBorders>
              <w:top w:val="nil"/>
              <w:left w:val="single" w:sz="8" w:space="0" w:color="000000"/>
              <w:bottom w:val="nil"/>
              <w:right w:val="single" w:sz="4" w:space="0" w:color="000000"/>
            </w:tcBorders>
            <w:shd w:val="clear" w:color="auto" w:fill="auto"/>
          </w:tcPr>
          <w:p w14:paraId="002D4ED5" w14:textId="1525CD7D" w:rsidR="00B4735A" w:rsidRPr="002C3F84" w:rsidRDefault="00B4735A" w:rsidP="00E62E88">
            <w:pPr>
              <w:spacing w:before="40" w:after="40" w:line="220" w:lineRule="atLeast"/>
              <w:rPr>
                <w:rFonts w:eastAsia="Calibri" w:cs="Times New Roman"/>
                <w:b/>
                <w:bCs/>
                <w:sz w:val="16"/>
                <w:szCs w:val="18"/>
              </w:rPr>
            </w:pPr>
            <w:r w:rsidRPr="002C3F84">
              <w:rPr>
                <w:rFonts w:eastAsia="Calibri"/>
                <w:b/>
                <w:bCs/>
                <w:sz w:val="16"/>
                <w:szCs w:val="18"/>
              </w:rPr>
              <w:t>1.939</w:t>
            </w:r>
            <w:r w:rsidR="00507134" w:rsidRPr="002C3F84">
              <w:rPr>
                <w:rFonts w:eastAsia="Calibri" w:hint="cs"/>
                <w:b/>
                <w:bCs/>
                <w:sz w:val="16"/>
                <w:szCs w:val="18"/>
                <w:rtl/>
              </w:rPr>
              <w:t xml:space="preserve"> </w:t>
            </w:r>
            <w:r w:rsidRPr="002C3F84">
              <w:rPr>
                <w:rFonts w:eastAsia="Calibri"/>
                <w:b/>
                <w:bCs/>
                <w:sz w:val="16"/>
                <w:szCs w:val="18"/>
              </w:rPr>
              <w:t>**</w:t>
            </w:r>
          </w:p>
        </w:tc>
        <w:tc>
          <w:tcPr>
            <w:tcW w:w="0" w:type="auto"/>
            <w:tcBorders>
              <w:top w:val="nil"/>
              <w:left w:val="single" w:sz="4" w:space="0" w:color="000000"/>
              <w:bottom w:val="nil"/>
              <w:right w:val="single" w:sz="4" w:space="0" w:color="000000"/>
            </w:tcBorders>
            <w:shd w:val="clear" w:color="auto" w:fill="auto"/>
          </w:tcPr>
          <w:p w14:paraId="6535FFA4" w14:textId="77777777" w:rsidR="00B4735A" w:rsidRPr="002C3F84" w:rsidRDefault="00B4735A" w:rsidP="00E62E88">
            <w:pPr>
              <w:spacing w:before="40" w:after="40" w:line="220" w:lineRule="atLeast"/>
              <w:rPr>
                <w:rFonts w:eastAsia="Calibri" w:cs="Times New Roman"/>
                <w:sz w:val="16"/>
                <w:szCs w:val="18"/>
              </w:rPr>
            </w:pPr>
            <w:r w:rsidRPr="002C3F84">
              <w:rPr>
                <w:rFonts w:eastAsia="Calibri"/>
                <w:sz w:val="16"/>
                <w:szCs w:val="18"/>
              </w:rPr>
              <w:t>.228</w:t>
            </w:r>
          </w:p>
        </w:tc>
        <w:tc>
          <w:tcPr>
            <w:tcW w:w="0" w:type="auto"/>
            <w:tcBorders>
              <w:top w:val="nil"/>
              <w:left w:val="single" w:sz="4" w:space="0" w:color="000000"/>
              <w:bottom w:val="nil"/>
              <w:right w:val="single" w:sz="8" w:space="0" w:color="000000"/>
            </w:tcBorders>
            <w:shd w:val="clear" w:color="auto" w:fill="auto"/>
          </w:tcPr>
          <w:p w14:paraId="20F81A78" w14:textId="0624910A" w:rsidR="00B4735A" w:rsidRPr="002C3F84" w:rsidRDefault="00B4735A" w:rsidP="00E62E88">
            <w:pPr>
              <w:spacing w:before="40" w:after="40" w:line="220" w:lineRule="atLeast"/>
              <w:rPr>
                <w:rFonts w:ascii="David" w:eastAsia="Calibri" w:hAnsi="David"/>
                <w:sz w:val="16"/>
                <w:szCs w:val="18"/>
              </w:rPr>
            </w:pPr>
            <w:r w:rsidRPr="002C3F84">
              <w:rPr>
                <w:rFonts w:eastAsia="Calibri"/>
                <w:sz w:val="16"/>
                <w:szCs w:val="18"/>
                <w:rtl/>
              </w:rPr>
              <w:t>חברות בוועד עובדים (</w:t>
            </w:r>
            <w:r w:rsidRPr="002C3F84">
              <w:rPr>
                <w:rFonts w:eastAsia="Calibri"/>
                <w:sz w:val="16"/>
                <w:szCs w:val="18"/>
              </w:rPr>
              <w:t>X</w:t>
            </w:r>
            <w:r w:rsidRPr="002C3F84">
              <w:rPr>
                <w:rFonts w:eastAsia="Calibri"/>
                <w:sz w:val="16"/>
                <w:szCs w:val="18"/>
                <w:vertAlign w:val="subscript"/>
              </w:rPr>
              <w:t>3</w:t>
            </w:r>
            <w:r w:rsidRPr="002C3F84">
              <w:rPr>
                <w:rFonts w:eastAsia="Calibri"/>
                <w:sz w:val="16"/>
                <w:szCs w:val="18"/>
                <w:rtl/>
              </w:rPr>
              <w:t>)</w:t>
            </w:r>
            <w:r w:rsidR="00507134" w:rsidRPr="002C3F84">
              <w:rPr>
                <w:rFonts w:eastAsia="Calibri" w:hint="cs"/>
                <w:sz w:val="16"/>
                <w:szCs w:val="18"/>
                <w:rtl/>
              </w:rPr>
              <w:t xml:space="preserve">: </w:t>
            </w:r>
            <w:r w:rsidRPr="002C3F84">
              <w:rPr>
                <w:rFonts w:eastAsia="Calibri"/>
                <w:sz w:val="16"/>
                <w:szCs w:val="18"/>
                <w:rtl/>
              </w:rPr>
              <w:t>אי</w:t>
            </w:r>
            <w:r w:rsidRPr="002C3F84">
              <w:rPr>
                <w:rFonts w:eastAsia="Calibri" w:hint="cs"/>
                <w:sz w:val="16"/>
                <w:szCs w:val="18"/>
                <w:rtl/>
              </w:rPr>
              <w:t>-</w:t>
            </w:r>
            <w:r w:rsidRPr="002C3F84">
              <w:rPr>
                <w:rFonts w:eastAsia="Calibri"/>
                <w:sz w:val="16"/>
                <w:szCs w:val="18"/>
                <w:rtl/>
              </w:rPr>
              <w:t>חברות</w:t>
            </w:r>
            <w:r w:rsidRPr="002C3F84">
              <w:rPr>
                <w:rFonts w:eastAsia="Calibri" w:hint="cs"/>
                <w:sz w:val="16"/>
                <w:szCs w:val="18"/>
                <w:rtl/>
              </w:rPr>
              <w:t xml:space="preserve"> </w:t>
            </w:r>
            <w:r w:rsidRPr="002C3F84">
              <w:rPr>
                <w:rFonts w:eastAsia="Calibri"/>
                <w:sz w:val="16"/>
                <w:szCs w:val="18"/>
                <w:rtl/>
              </w:rPr>
              <w:t>=</w:t>
            </w:r>
            <w:r w:rsidRPr="002C3F84">
              <w:rPr>
                <w:rFonts w:eastAsia="Calibri" w:hint="cs"/>
                <w:sz w:val="16"/>
                <w:szCs w:val="18"/>
                <w:rtl/>
              </w:rPr>
              <w:t xml:space="preserve"> </w:t>
            </w:r>
            <w:r w:rsidRPr="002C3F84">
              <w:rPr>
                <w:rFonts w:eastAsia="Calibri"/>
                <w:sz w:val="16"/>
                <w:szCs w:val="18"/>
                <w:rtl/>
              </w:rPr>
              <w:t>0; חברות</w:t>
            </w:r>
            <w:r w:rsidRPr="002C3F84">
              <w:rPr>
                <w:rFonts w:eastAsia="Calibri" w:hint="cs"/>
                <w:sz w:val="16"/>
                <w:szCs w:val="18"/>
                <w:rtl/>
              </w:rPr>
              <w:t xml:space="preserve"> </w:t>
            </w:r>
            <w:r w:rsidRPr="002C3F84">
              <w:rPr>
                <w:rFonts w:eastAsia="Calibri"/>
                <w:sz w:val="16"/>
                <w:szCs w:val="18"/>
                <w:rtl/>
              </w:rPr>
              <w:t>=</w:t>
            </w:r>
            <w:r w:rsidRPr="002C3F84">
              <w:rPr>
                <w:rFonts w:eastAsia="Calibri" w:hint="cs"/>
                <w:sz w:val="16"/>
                <w:szCs w:val="18"/>
                <w:rtl/>
              </w:rPr>
              <w:t xml:space="preserve"> </w:t>
            </w:r>
            <w:r w:rsidRPr="002C3F84">
              <w:rPr>
                <w:rFonts w:eastAsia="Calibri"/>
                <w:sz w:val="16"/>
                <w:szCs w:val="18"/>
                <w:rtl/>
              </w:rPr>
              <w:t>1</w:t>
            </w:r>
          </w:p>
        </w:tc>
      </w:tr>
      <w:tr w:rsidR="002C3F84" w:rsidRPr="002C3F84" w14:paraId="53F60B13" w14:textId="77777777" w:rsidTr="002C3F84">
        <w:trPr>
          <w:jc w:val="center"/>
        </w:trPr>
        <w:tc>
          <w:tcPr>
            <w:tcW w:w="0" w:type="auto"/>
            <w:tcBorders>
              <w:top w:val="nil"/>
              <w:left w:val="single" w:sz="8" w:space="0" w:color="000000"/>
              <w:bottom w:val="nil"/>
              <w:right w:val="single" w:sz="4" w:space="0" w:color="000000"/>
            </w:tcBorders>
            <w:shd w:val="clear" w:color="auto" w:fill="auto"/>
          </w:tcPr>
          <w:p w14:paraId="770DE2A1" w14:textId="6648E629" w:rsidR="00B4735A" w:rsidRPr="002C3F84" w:rsidRDefault="00B4735A" w:rsidP="00E62E88">
            <w:pPr>
              <w:spacing w:before="40" w:after="40" w:line="220" w:lineRule="atLeast"/>
              <w:rPr>
                <w:rFonts w:eastAsia="Calibri" w:cs="Times New Roman"/>
                <w:b/>
                <w:bCs/>
                <w:sz w:val="16"/>
                <w:szCs w:val="18"/>
              </w:rPr>
            </w:pPr>
            <w:r w:rsidRPr="002C3F84">
              <w:rPr>
                <w:rFonts w:eastAsia="Calibri"/>
                <w:b/>
                <w:bCs/>
                <w:sz w:val="16"/>
                <w:szCs w:val="18"/>
              </w:rPr>
              <w:t>1.011</w:t>
            </w:r>
            <w:r w:rsidR="00507134" w:rsidRPr="002C3F84">
              <w:rPr>
                <w:rFonts w:eastAsia="Calibri" w:hint="cs"/>
                <w:b/>
                <w:bCs/>
                <w:sz w:val="16"/>
                <w:szCs w:val="18"/>
                <w:rtl/>
              </w:rPr>
              <w:t xml:space="preserve"> </w:t>
            </w:r>
            <w:r w:rsidRPr="002C3F84">
              <w:rPr>
                <w:rFonts w:eastAsia="Calibri"/>
                <w:b/>
                <w:bCs/>
                <w:sz w:val="16"/>
                <w:szCs w:val="18"/>
              </w:rPr>
              <w:t>*</w:t>
            </w:r>
          </w:p>
        </w:tc>
        <w:tc>
          <w:tcPr>
            <w:tcW w:w="0" w:type="auto"/>
            <w:tcBorders>
              <w:top w:val="nil"/>
              <w:left w:val="single" w:sz="4" w:space="0" w:color="000000"/>
              <w:bottom w:val="nil"/>
              <w:right w:val="single" w:sz="4" w:space="0" w:color="000000"/>
            </w:tcBorders>
            <w:shd w:val="clear" w:color="auto" w:fill="auto"/>
          </w:tcPr>
          <w:p w14:paraId="6ABC4135" w14:textId="77777777" w:rsidR="00B4735A" w:rsidRPr="002C3F84" w:rsidRDefault="00B4735A" w:rsidP="00E62E88">
            <w:pPr>
              <w:spacing w:before="40" w:after="40" w:line="220" w:lineRule="atLeast"/>
              <w:rPr>
                <w:rFonts w:eastAsia="Calibri" w:cs="Times New Roman"/>
                <w:sz w:val="16"/>
                <w:szCs w:val="18"/>
              </w:rPr>
            </w:pPr>
            <w:r w:rsidRPr="002C3F84">
              <w:rPr>
                <w:rFonts w:eastAsia="Calibri"/>
                <w:sz w:val="16"/>
                <w:szCs w:val="18"/>
              </w:rPr>
              <w:t>.005</w:t>
            </w:r>
          </w:p>
        </w:tc>
        <w:tc>
          <w:tcPr>
            <w:tcW w:w="0" w:type="auto"/>
            <w:tcBorders>
              <w:top w:val="nil"/>
              <w:left w:val="single" w:sz="4" w:space="0" w:color="000000"/>
              <w:bottom w:val="nil"/>
              <w:right w:val="single" w:sz="8" w:space="0" w:color="000000"/>
            </w:tcBorders>
            <w:shd w:val="clear" w:color="auto" w:fill="auto"/>
          </w:tcPr>
          <w:p w14:paraId="531E7EDF" w14:textId="4950CAAF" w:rsidR="00B4735A" w:rsidRPr="002C3F84" w:rsidRDefault="00507134" w:rsidP="00E62E88">
            <w:pPr>
              <w:spacing w:before="40" w:after="40" w:line="220" w:lineRule="atLeast"/>
              <w:rPr>
                <w:rFonts w:ascii="David" w:eastAsia="Calibri" w:hAnsi="David"/>
                <w:sz w:val="16"/>
                <w:szCs w:val="18"/>
                <w:rtl/>
              </w:rPr>
            </w:pPr>
            <w:r w:rsidRPr="002C3F84">
              <w:rPr>
                <w:rFonts w:eastAsia="Calibri"/>
                <w:sz w:val="16"/>
                <w:szCs w:val="18"/>
                <w:rtl/>
              </w:rPr>
              <w:t>גיל</w:t>
            </w:r>
            <w:r w:rsidRPr="002C3F84">
              <w:rPr>
                <w:rFonts w:eastAsia="Calibri"/>
                <w:sz w:val="16"/>
                <w:szCs w:val="18"/>
              </w:rPr>
              <w:t xml:space="preserve"> </w:t>
            </w:r>
            <w:r w:rsidR="00B4735A" w:rsidRPr="002C3F84">
              <w:rPr>
                <w:rFonts w:eastAsia="Calibri"/>
                <w:sz w:val="16"/>
                <w:szCs w:val="18"/>
              </w:rPr>
              <w:t>(X</w:t>
            </w:r>
            <w:r w:rsidR="00B4735A" w:rsidRPr="002C3F84">
              <w:rPr>
                <w:rFonts w:eastAsia="Calibri"/>
                <w:sz w:val="16"/>
                <w:szCs w:val="18"/>
                <w:vertAlign w:val="subscript"/>
              </w:rPr>
              <w:t>4</w:t>
            </w:r>
            <w:r w:rsidR="00B4735A" w:rsidRPr="002C3F84">
              <w:rPr>
                <w:rFonts w:eastAsia="Calibri"/>
                <w:sz w:val="16"/>
                <w:szCs w:val="18"/>
              </w:rPr>
              <w:t xml:space="preserve">) </w:t>
            </w:r>
          </w:p>
        </w:tc>
      </w:tr>
      <w:tr w:rsidR="002C3F84" w:rsidRPr="002C3F84" w14:paraId="5B7AE18B" w14:textId="77777777" w:rsidTr="002C3F84">
        <w:trPr>
          <w:jc w:val="center"/>
        </w:trPr>
        <w:tc>
          <w:tcPr>
            <w:tcW w:w="0" w:type="auto"/>
            <w:tcBorders>
              <w:top w:val="nil"/>
              <w:left w:val="single" w:sz="8" w:space="0" w:color="000000"/>
              <w:bottom w:val="nil"/>
              <w:right w:val="single" w:sz="4" w:space="0" w:color="000000"/>
            </w:tcBorders>
            <w:shd w:val="clear" w:color="auto" w:fill="auto"/>
          </w:tcPr>
          <w:p w14:paraId="2113BE7B" w14:textId="15B2A41D" w:rsidR="00B4735A" w:rsidRPr="002C3F84" w:rsidRDefault="00B4735A" w:rsidP="00E62E88">
            <w:pPr>
              <w:spacing w:before="40" w:after="40" w:line="220" w:lineRule="atLeast"/>
              <w:rPr>
                <w:rFonts w:eastAsia="Calibri" w:cs="Times New Roman"/>
                <w:b/>
                <w:bCs/>
                <w:sz w:val="16"/>
                <w:szCs w:val="18"/>
              </w:rPr>
            </w:pPr>
            <w:r w:rsidRPr="002C3F84">
              <w:rPr>
                <w:rFonts w:eastAsia="Calibri"/>
                <w:b/>
                <w:bCs/>
                <w:sz w:val="16"/>
                <w:szCs w:val="18"/>
              </w:rPr>
              <w:t>1.444</w:t>
            </w:r>
            <w:r w:rsidR="00507134" w:rsidRPr="002C3F84">
              <w:rPr>
                <w:rFonts w:eastAsia="Calibri" w:hint="cs"/>
                <w:b/>
                <w:bCs/>
                <w:sz w:val="16"/>
                <w:szCs w:val="18"/>
                <w:rtl/>
              </w:rPr>
              <w:t xml:space="preserve"> </w:t>
            </w:r>
            <w:r w:rsidRPr="002C3F84">
              <w:rPr>
                <w:rFonts w:eastAsia="Calibri"/>
                <w:b/>
                <w:bCs/>
                <w:sz w:val="16"/>
                <w:szCs w:val="18"/>
              </w:rPr>
              <w:t>*</w:t>
            </w:r>
          </w:p>
        </w:tc>
        <w:tc>
          <w:tcPr>
            <w:tcW w:w="0" w:type="auto"/>
            <w:tcBorders>
              <w:top w:val="nil"/>
              <w:left w:val="single" w:sz="4" w:space="0" w:color="000000"/>
              <w:bottom w:val="nil"/>
              <w:right w:val="single" w:sz="4" w:space="0" w:color="000000"/>
            </w:tcBorders>
            <w:shd w:val="clear" w:color="auto" w:fill="auto"/>
          </w:tcPr>
          <w:p w14:paraId="0D7F41B7" w14:textId="77777777" w:rsidR="00B4735A" w:rsidRPr="002C3F84" w:rsidRDefault="00B4735A" w:rsidP="00E62E88">
            <w:pPr>
              <w:spacing w:before="40" w:after="40" w:line="220" w:lineRule="atLeast"/>
              <w:rPr>
                <w:rFonts w:eastAsia="Calibri" w:cs="Times New Roman"/>
                <w:sz w:val="16"/>
                <w:szCs w:val="18"/>
              </w:rPr>
            </w:pPr>
            <w:r w:rsidRPr="002C3F84">
              <w:rPr>
                <w:rFonts w:eastAsia="Calibri"/>
                <w:sz w:val="16"/>
                <w:szCs w:val="18"/>
              </w:rPr>
              <w:t>.151</w:t>
            </w:r>
          </w:p>
        </w:tc>
        <w:tc>
          <w:tcPr>
            <w:tcW w:w="0" w:type="auto"/>
            <w:tcBorders>
              <w:top w:val="nil"/>
              <w:left w:val="single" w:sz="4" w:space="0" w:color="000000"/>
              <w:bottom w:val="nil"/>
              <w:right w:val="single" w:sz="8" w:space="0" w:color="000000"/>
            </w:tcBorders>
            <w:shd w:val="clear" w:color="auto" w:fill="auto"/>
          </w:tcPr>
          <w:p w14:paraId="76B366C7" w14:textId="0233A7DD" w:rsidR="00B4735A" w:rsidRPr="002C3F84" w:rsidRDefault="00B4735A" w:rsidP="00E62E88">
            <w:pPr>
              <w:spacing w:before="40" w:after="40" w:line="220" w:lineRule="atLeast"/>
              <w:rPr>
                <w:rFonts w:ascii="David" w:eastAsia="Calibri" w:hAnsi="David"/>
                <w:sz w:val="16"/>
                <w:szCs w:val="18"/>
                <w:rtl/>
              </w:rPr>
            </w:pPr>
            <w:r w:rsidRPr="002C3F84">
              <w:rPr>
                <w:rFonts w:eastAsia="Calibri"/>
                <w:sz w:val="16"/>
                <w:szCs w:val="18"/>
                <w:rtl/>
              </w:rPr>
              <w:t>מגדר (</w:t>
            </w:r>
            <w:r w:rsidRPr="002C3F84">
              <w:rPr>
                <w:rFonts w:eastAsia="Calibri"/>
                <w:sz w:val="16"/>
                <w:szCs w:val="18"/>
              </w:rPr>
              <w:t>X</w:t>
            </w:r>
            <w:r w:rsidRPr="002C3F84">
              <w:rPr>
                <w:rFonts w:eastAsia="Calibri"/>
                <w:sz w:val="16"/>
                <w:szCs w:val="18"/>
                <w:vertAlign w:val="subscript"/>
              </w:rPr>
              <w:t>5</w:t>
            </w:r>
            <w:r w:rsidRPr="002C3F84">
              <w:rPr>
                <w:rFonts w:eastAsia="Calibri"/>
                <w:sz w:val="16"/>
                <w:szCs w:val="18"/>
                <w:rtl/>
              </w:rPr>
              <w:t>)</w:t>
            </w:r>
            <w:r w:rsidR="00507134" w:rsidRPr="002C3F84">
              <w:rPr>
                <w:rFonts w:eastAsia="Calibri" w:hint="cs"/>
                <w:sz w:val="16"/>
                <w:szCs w:val="18"/>
                <w:rtl/>
              </w:rPr>
              <w:t xml:space="preserve">: </w:t>
            </w:r>
            <w:r w:rsidRPr="002C3F84">
              <w:rPr>
                <w:rFonts w:eastAsia="Calibri"/>
                <w:sz w:val="16"/>
                <w:szCs w:val="18"/>
                <w:rtl/>
              </w:rPr>
              <w:t>גבר</w:t>
            </w:r>
            <w:r w:rsidRPr="002C3F84">
              <w:rPr>
                <w:rFonts w:eastAsia="Calibri" w:hint="cs"/>
                <w:sz w:val="16"/>
                <w:szCs w:val="18"/>
                <w:rtl/>
              </w:rPr>
              <w:t xml:space="preserve"> </w:t>
            </w:r>
            <w:r w:rsidRPr="002C3F84">
              <w:rPr>
                <w:rFonts w:eastAsia="Calibri"/>
                <w:sz w:val="16"/>
                <w:szCs w:val="18"/>
                <w:rtl/>
              </w:rPr>
              <w:t>=</w:t>
            </w:r>
            <w:r w:rsidRPr="002C3F84">
              <w:rPr>
                <w:rFonts w:eastAsia="Calibri" w:hint="cs"/>
                <w:sz w:val="16"/>
                <w:szCs w:val="18"/>
                <w:rtl/>
              </w:rPr>
              <w:t xml:space="preserve"> </w:t>
            </w:r>
            <w:r w:rsidRPr="002C3F84">
              <w:rPr>
                <w:rFonts w:eastAsia="Calibri"/>
                <w:sz w:val="16"/>
                <w:szCs w:val="18"/>
                <w:rtl/>
              </w:rPr>
              <w:t>0; אישה</w:t>
            </w:r>
            <w:r w:rsidRPr="002C3F84">
              <w:rPr>
                <w:rFonts w:eastAsia="Calibri" w:hint="cs"/>
                <w:sz w:val="16"/>
                <w:szCs w:val="18"/>
                <w:rtl/>
              </w:rPr>
              <w:t xml:space="preserve"> </w:t>
            </w:r>
            <w:r w:rsidRPr="002C3F84">
              <w:rPr>
                <w:rFonts w:eastAsia="Calibri"/>
                <w:sz w:val="16"/>
                <w:szCs w:val="18"/>
                <w:rtl/>
              </w:rPr>
              <w:t>=</w:t>
            </w:r>
            <w:r w:rsidRPr="002C3F84">
              <w:rPr>
                <w:rFonts w:eastAsia="Calibri" w:hint="cs"/>
                <w:sz w:val="16"/>
                <w:szCs w:val="18"/>
                <w:rtl/>
              </w:rPr>
              <w:t xml:space="preserve"> </w:t>
            </w:r>
            <w:r w:rsidRPr="002C3F84">
              <w:rPr>
                <w:rFonts w:eastAsia="Calibri"/>
                <w:sz w:val="16"/>
                <w:szCs w:val="18"/>
                <w:rtl/>
              </w:rPr>
              <w:t>1</w:t>
            </w:r>
          </w:p>
        </w:tc>
      </w:tr>
      <w:tr w:rsidR="002C3F84" w:rsidRPr="002C3F84" w14:paraId="1C858EA4" w14:textId="77777777" w:rsidTr="002C3F84">
        <w:trPr>
          <w:jc w:val="center"/>
        </w:trPr>
        <w:tc>
          <w:tcPr>
            <w:tcW w:w="0" w:type="auto"/>
            <w:tcBorders>
              <w:top w:val="nil"/>
              <w:left w:val="single" w:sz="8" w:space="0" w:color="000000"/>
              <w:bottom w:val="nil"/>
              <w:right w:val="single" w:sz="4" w:space="0" w:color="000000"/>
            </w:tcBorders>
            <w:shd w:val="clear" w:color="auto" w:fill="auto"/>
          </w:tcPr>
          <w:p w14:paraId="142B7813" w14:textId="014EB1A0" w:rsidR="00B4735A" w:rsidRPr="002C3F84" w:rsidRDefault="00B4735A" w:rsidP="00E62E88">
            <w:pPr>
              <w:spacing w:before="40" w:after="40" w:line="220" w:lineRule="atLeast"/>
              <w:rPr>
                <w:rFonts w:eastAsia="Calibri" w:cs="Times New Roman"/>
                <w:b/>
                <w:bCs/>
                <w:sz w:val="16"/>
                <w:szCs w:val="18"/>
              </w:rPr>
            </w:pPr>
            <w:r w:rsidRPr="002C3F84">
              <w:rPr>
                <w:rFonts w:eastAsia="Calibri"/>
                <w:b/>
                <w:bCs/>
                <w:sz w:val="16"/>
                <w:szCs w:val="18"/>
              </w:rPr>
              <w:t>.737</w:t>
            </w:r>
            <w:r w:rsidR="00507134" w:rsidRPr="002C3F84">
              <w:rPr>
                <w:rFonts w:eastAsia="Calibri" w:hint="cs"/>
                <w:b/>
                <w:bCs/>
                <w:sz w:val="16"/>
                <w:szCs w:val="18"/>
                <w:rtl/>
              </w:rPr>
              <w:t xml:space="preserve"> </w:t>
            </w:r>
            <w:r w:rsidRPr="002C3F84">
              <w:rPr>
                <w:rFonts w:eastAsia="Calibri"/>
                <w:b/>
                <w:bCs/>
                <w:sz w:val="16"/>
                <w:szCs w:val="18"/>
              </w:rPr>
              <w:t>**</w:t>
            </w:r>
          </w:p>
        </w:tc>
        <w:tc>
          <w:tcPr>
            <w:tcW w:w="0" w:type="auto"/>
            <w:tcBorders>
              <w:top w:val="nil"/>
              <w:left w:val="single" w:sz="4" w:space="0" w:color="000000"/>
              <w:bottom w:val="nil"/>
              <w:right w:val="single" w:sz="4" w:space="0" w:color="000000"/>
            </w:tcBorders>
            <w:shd w:val="clear" w:color="auto" w:fill="auto"/>
          </w:tcPr>
          <w:p w14:paraId="62AA3DED" w14:textId="77777777" w:rsidR="00B4735A" w:rsidRPr="002C3F84" w:rsidRDefault="00B4735A" w:rsidP="00E62E88">
            <w:pPr>
              <w:spacing w:before="40" w:after="40" w:line="220" w:lineRule="atLeast"/>
              <w:rPr>
                <w:rFonts w:eastAsia="Calibri" w:cs="Times New Roman"/>
                <w:sz w:val="16"/>
                <w:szCs w:val="18"/>
              </w:rPr>
            </w:pPr>
            <w:r w:rsidRPr="002C3F84">
              <w:rPr>
                <w:rFonts w:eastAsia="Calibri"/>
                <w:sz w:val="16"/>
                <w:szCs w:val="18"/>
              </w:rPr>
              <w:t>.060</w:t>
            </w:r>
          </w:p>
        </w:tc>
        <w:tc>
          <w:tcPr>
            <w:tcW w:w="0" w:type="auto"/>
            <w:tcBorders>
              <w:top w:val="nil"/>
              <w:left w:val="single" w:sz="4" w:space="0" w:color="000000"/>
              <w:bottom w:val="nil"/>
              <w:right w:val="single" w:sz="8" w:space="0" w:color="000000"/>
            </w:tcBorders>
            <w:shd w:val="clear" w:color="auto" w:fill="auto"/>
          </w:tcPr>
          <w:p w14:paraId="5770C6C0" w14:textId="6E04CFF0" w:rsidR="00B4735A" w:rsidRPr="002C3F84" w:rsidRDefault="00B4735A" w:rsidP="00E62E88">
            <w:pPr>
              <w:spacing w:before="40" w:after="40" w:line="220" w:lineRule="atLeast"/>
              <w:rPr>
                <w:rFonts w:ascii="David" w:eastAsia="Calibri" w:hAnsi="David"/>
                <w:sz w:val="16"/>
                <w:szCs w:val="18"/>
                <w:rtl/>
              </w:rPr>
            </w:pPr>
            <w:r w:rsidRPr="002C3F84">
              <w:rPr>
                <w:rFonts w:eastAsia="Calibri"/>
                <w:sz w:val="16"/>
                <w:szCs w:val="18"/>
                <w:rtl/>
              </w:rPr>
              <w:t xml:space="preserve">השקפה כלכלית-חברתית </w:t>
            </w:r>
            <w:r w:rsidR="00507134" w:rsidRPr="002C3F84">
              <w:rPr>
                <w:rFonts w:eastAsia="Calibri" w:hint="cs"/>
                <w:sz w:val="16"/>
                <w:szCs w:val="18"/>
                <w:rtl/>
              </w:rPr>
              <w:t>(</w:t>
            </w:r>
            <w:r w:rsidR="00507134" w:rsidRPr="002C3F84">
              <w:rPr>
                <w:rFonts w:eastAsia="Calibri"/>
                <w:sz w:val="16"/>
                <w:szCs w:val="18"/>
              </w:rPr>
              <w:t>X</w:t>
            </w:r>
            <w:r w:rsidR="00507134" w:rsidRPr="002C3F84">
              <w:rPr>
                <w:rFonts w:eastAsia="Calibri"/>
                <w:sz w:val="16"/>
                <w:szCs w:val="18"/>
                <w:vertAlign w:val="subscript"/>
              </w:rPr>
              <w:t>6</w:t>
            </w:r>
            <w:r w:rsidR="00507134" w:rsidRPr="002C3F84">
              <w:rPr>
                <w:rFonts w:eastAsia="Calibri" w:hint="cs"/>
                <w:sz w:val="16"/>
                <w:szCs w:val="18"/>
                <w:rtl/>
              </w:rPr>
              <w:t xml:space="preserve">): </w:t>
            </w:r>
            <w:r w:rsidRPr="002C3F84">
              <w:rPr>
                <w:rFonts w:eastAsia="Calibri"/>
                <w:sz w:val="16"/>
                <w:szCs w:val="18"/>
                <w:rtl/>
              </w:rPr>
              <w:t>סוציאליסט–קפיטליסט</w:t>
            </w:r>
          </w:p>
        </w:tc>
      </w:tr>
      <w:tr w:rsidR="002C3F84" w:rsidRPr="002C3F84" w14:paraId="623A563A" w14:textId="77777777" w:rsidTr="002C3F84">
        <w:trPr>
          <w:jc w:val="center"/>
        </w:trPr>
        <w:tc>
          <w:tcPr>
            <w:tcW w:w="0" w:type="auto"/>
            <w:tcBorders>
              <w:top w:val="nil"/>
              <w:left w:val="single" w:sz="8" w:space="0" w:color="000000"/>
              <w:bottom w:val="nil"/>
              <w:right w:val="single" w:sz="4" w:space="0" w:color="000000"/>
            </w:tcBorders>
            <w:shd w:val="clear" w:color="auto" w:fill="auto"/>
          </w:tcPr>
          <w:p w14:paraId="4ABDE9B7" w14:textId="4300E65F" w:rsidR="00B4735A" w:rsidRPr="002C3F84" w:rsidRDefault="00B4735A" w:rsidP="00E62E88">
            <w:pPr>
              <w:spacing w:before="40" w:after="40" w:line="220" w:lineRule="atLeast"/>
              <w:rPr>
                <w:rFonts w:eastAsia="Calibri" w:cs="Times New Roman"/>
                <w:b/>
                <w:bCs/>
                <w:sz w:val="16"/>
                <w:szCs w:val="18"/>
                <w:vertAlign w:val="superscript"/>
              </w:rPr>
            </w:pPr>
            <w:r w:rsidRPr="002C3F84">
              <w:rPr>
                <w:rFonts w:eastAsia="Calibri"/>
                <w:b/>
                <w:bCs/>
                <w:sz w:val="16"/>
                <w:szCs w:val="18"/>
              </w:rPr>
              <w:t>2.080</w:t>
            </w:r>
            <w:r w:rsidR="00507134" w:rsidRPr="002C3F84">
              <w:rPr>
                <w:rFonts w:eastAsia="Calibri" w:hint="cs"/>
                <w:b/>
                <w:bCs/>
                <w:sz w:val="16"/>
                <w:szCs w:val="18"/>
                <w:rtl/>
              </w:rPr>
              <w:t xml:space="preserve"> </w:t>
            </w:r>
            <w:r w:rsidRPr="002C3F84">
              <w:rPr>
                <w:rFonts w:eastAsia="Calibri"/>
                <w:b/>
                <w:bCs/>
                <w:sz w:val="16"/>
                <w:szCs w:val="18"/>
              </w:rPr>
              <w:t>**</w:t>
            </w:r>
          </w:p>
        </w:tc>
        <w:tc>
          <w:tcPr>
            <w:tcW w:w="0" w:type="auto"/>
            <w:tcBorders>
              <w:top w:val="nil"/>
              <w:left w:val="single" w:sz="4" w:space="0" w:color="000000"/>
              <w:bottom w:val="nil"/>
              <w:right w:val="single" w:sz="4" w:space="0" w:color="000000"/>
            </w:tcBorders>
            <w:shd w:val="clear" w:color="auto" w:fill="auto"/>
          </w:tcPr>
          <w:p w14:paraId="72BBFDE6" w14:textId="77777777" w:rsidR="00B4735A" w:rsidRPr="002C3F84" w:rsidRDefault="00B4735A" w:rsidP="00E62E88">
            <w:pPr>
              <w:spacing w:before="40" w:after="40" w:line="220" w:lineRule="atLeast"/>
              <w:rPr>
                <w:rFonts w:eastAsia="Calibri" w:cs="Times New Roman"/>
                <w:sz w:val="16"/>
                <w:szCs w:val="18"/>
              </w:rPr>
            </w:pPr>
            <w:r w:rsidRPr="002C3F84">
              <w:rPr>
                <w:rFonts w:eastAsia="Calibri"/>
                <w:sz w:val="16"/>
                <w:szCs w:val="18"/>
              </w:rPr>
              <w:t>.172</w:t>
            </w:r>
          </w:p>
        </w:tc>
        <w:tc>
          <w:tcPr>
            <w:tcW w:w="0" w:type="auto"/>
            <w:tcBorders>
              <w:top w:val="nil"/>
              <w:left w:val="single" w:sz="4" w:space="0" w:color="000000"/>
              <w:bottom w:val="nil"/>
              <w:right w:val="single" w:sz="8" w:space="0" w:color="000000"/>
            </w:tcBorders>
            <w:shd w:val="clear" w:color="auto" w:fill="auto"/>
          </w:tcPr>
          <w:p w14:paraId="28806F4B" w14:textId="5284F758" w:rsidR="00B4735A" w:rsidRPr="002C3F84" w:rsidRDefault="00B4735A" w:rsidP="00E62E88">
            <w:pPr>
              <w:spacing w:before="40" w:after="40" w:line="220" w:lineRule="atLeast"/>
              <w:rPr>
                <w:rFonts w:ascii="David" w:eastAsia="Calibri" w:hAnsi="David"/>
                <w:sz w:val="16"/>
                <w:szCs w:val="18"/>
              </w:rPr>
            </w:pPr>
            <w:r w:rsidRPr="002C3F84">
              <w:rPr>
                <w:rFonts w:eastAsia="Calibri"/>
                <w:sz w:val="16"/>
                <w:szCs w:val="18"/>
                <w:rtl/>
              </w:rPr>
              <w:t>שיוך אתני (</w:t>
            </w:r>
            <w:r w:rsidRPr="002C3F84">
              <w:rPr>
                <w:rFonts w:eastAsia="Calibri"/>
                <w:sz w:val="16"/>
                <w:szCs w:val="18"/>
              </w:rPr>
              <w:t>X</w:t>
            </w:r>
            <w:r w:rsidRPr="002C3F84">
              <w:rPr>
                <w:rFonts w:eastAsia="Calibri"/>
                <w:sz w:val="16"/>
                <w:szCs w:val="18"/>
                <w:vertAlign w:val="subscript"/>
              </w:rPr>
              <w:t>7</w:t>
            </w:r>
            <w:r w:rsidRPr="002C3F84">
              <w:rPr>
                <w:rFonts w:eastAsia="Calibri"/>
                <w:sz w:val="16"/>
                <w:szCs w:val="18"/>
                <w:rtl/>
              </w:rPr>
              <w:t>)</w:t>
            </w:r>
            <w:r w:rsidR="00507134" w:rsidRPr="002C3F84">
              <w:rPr>
                <w:rFonts w:eastAsia="Calibri" w:hint="cs"/>
                <w:sz w:val="16"/>
                <w:szCs w:val="18"/>
                <w:rtl/>
              </w:rPr>
              <w:t xml:space="preserve">: </w:t>
            </w:r>
            <w:r w:rsidRPr="002C3F84">
              <w:rPr>
                <w:rFonts w:eastAsia="Calibri"/>
                <w:sz w:val="16"/>
                <w:szCs w:val="18"/>
                <w:rtl/>
              </w:rPr>
              <w:t>יהודים</w:t>
            </w:r>
            <w:r w:rsidRPr="002C3F84">
              <w:rPr>
                <w:rFonts w:eastAsia="Calibri" w:hint="cs"/>
                <w:sz w:val="16"/>
                <w:szCs w:val="18"/>
                <w:rtl/>
              </w:rPr>
              <w:t xml:space="preserve"> </w:t>
            </w:r>
            <w:r w:rsidRPr="002C3F84">
              <w:rPr>
                <w:rFonts w:eastAsia="Calibri"/>
                <w:sz w:val="16"/>
                <w:szCs w:val="18"/>
                <w:rtl/>
              </w:rPr>
              <w:t>=0; לא-יהודים</w:t>
            </w:r>
            <w:r w:rsidRPr="002C3F84">
              <w:rPr>
                <w:rFonts w:eastAsia="Calibri" w:hint="cs"/>
                <w:sz w:val="16"/>
                <w:szCs w:val="18"/>
                <w:rtl/>
              </w:rPr>
              <w:t xml:space="preserve"> </w:t>
            </w:r>
            <w:r w:rsidRPr="002C3F84">
              <w:rPr>
                <w:rFonts w:eastAsia="Calibri"/>
                <w:sz w:val="16"/>
                <w:szCs w:val="18"/>
                <w:rtl/>
              </w:rPr>
              <w:t>=</w:t>
            </w:r>
            <w:r w:rsidRPr="002C3F84">
              <w:rPr>
                <w:rFonts w:eastAsia="Calibri" w:hint="cs"/>
                <w:sz w:val="16"/>
                <w:szCs w:val="18"/>
                <w:rtl/>
              </w:rPr>
              <w:t xml:space="preserve"> </w:t>
            </w:r>
            <w:r w:rsidRPr="002C3F84">
              <w:rPr>
                <w:rFonts w:eastAsia="Calibri"/>
                <w:sz w:val="16"/>
                <w:szCs w:val="18"/>
                <w:rtl/>
              </w:rPr>
              <w:t>1</w:t>
            </w:r>
          </w:p>
        </w:tc>
      </w:tr>
      <w:tr w:rsidR="002C3F84" w:rsidRPr="002C3F84" w14:paraId="53F4D3E0" w14:textId="77777777" w:rsidTr="002C3F84">
        <w:trPr>
          <w:jc w:val="center"/>
        </w:trPr>
        <w:tc>
          <w:tcPr>
            <w:tcW w:w="0" w:type="auto"/>
            <w:tcBorders>
              <w:top w:val="nil"/>
              <w:left w:val="single" w:sz="8" w:space="0" w:color="000000"/>
              <w:bottom w:val="single" w:sz="8" w:space="0" w:color="000000"/>
              <w:right w:val="single" w:sz="4" w:space="0" w:color="000000"/>
            </w:tcBorders>
            <w:shd w:val="clear" w:color="auto" w:fill="auto"/>
          </w:tcPr>
          <w:p w14:paraId="730AE1EF" w14:textId="14929A8A" w:rsidR="00B4735A" w:rsidRPr="002C3F84" w:rsidRDefault="00B4735A" w:rsidP="00E62E88">
            <w:pPr>
              <w:spacing w:before="40" w:after="40" w:line="220" w:lineRule="atLeast"/>
              <w:rPr>
                <w:rFonts w:eastAsia="Calibri" w:cs="Times New Roman"/>
                <w:b/>
                <w:bCs/>
                <w:sz w:val="16"/>
                <w:szCs w:val="18"/>
              </w:rPr>
            </w:pPr>
            <w:r w:rsidRPr="002C3F84">
              <w:rPr>
                <w:rFonts w:eastAsia="Calibri"/>
                <w:b/>
                <w:bCs/>
                <w:sz w:val="16"/>
                <w:szCs w:val="18"/>
              </w:rPr>
              <w:t>.733</w:t>
            </w:r>
            <w:r w:rsidR="00507134" w:rsidRPr="002C3F84">
              <w:rPr>
                <w:rFonts w:eastAsia="Calibri" w:hint="cs"/>
                <w:b/>
                <w:bCs/>
                <w:sz w:val="16"/>
                <w:szCs w:val="18"/>
                <w:rtl/>
              </w:rPr>
              <w:t xml:space="preserve"> </w:t>
            </w:r>
            <w:r w:rsidRPr="002C3F84">
              <w:rPr>
                <w:rFonts w:eastAsia="Calibri"/>
                <w:b/>
                <w:bCs/>
                <w:sz w:val="16"/>
                <w:szCs w:val="18"/>
              </w:rPr>
              <w:t>**</w:t>
            </w:r>
          </w:p>
        </w:tc>
        <w:tc>
          <w:tcPr>
            <w:tcW w:w="0" w:type="auto"/>
            <w:tcBorders>
              <w:top w:val="nil"/>
              <w:left w:val="single" w:sz="4" w:space="0" w:color="000000"/>
              <w:bottom w:val="single" w:sz="8" w:space="0" w:color="000000"/>
              <w:right w:val="single" w:sz="4" w:space="0" w:color="000000"/>
            </w:tcBorders>
            <w:shd w:val="clear" w:color="auto" w:fill="auto"/>
          </w:tcPr>
          <w:p w14:paraId="038A7920" w14:textId="77777777" w:rsidR="00B4735A" w:rsidRPr="002C3F84" w:rsidRDefault="00B4735A" w:rsidP="00E62E88">
            <w:pPr>
              <w:spacing w:before="40" w:after="40" w:line="220" w:lineRule="atLeast"/>
              <w:rPr>
                <w:rFonts w:eastAsia="Calibri" w:cs="Times New Roman"/>
                <w:sz w:val="16"/>
                <w:szCs w:val="18"/>
              </w:rPr>
            </w:pPr>
            <w:r w:rsidRPr="002C3F84">
              <w:rPr>
                <w:rFonts w:eastAsia="Calibri"/>
                <w:sz w:val="16"/>
                <w:szCs w:val="18"/>
              </w:rPr>
              <w:t>.079</w:t>
            </w:r>
          </w:p>
        </w:tc>
        <w:tc>
          <w:tcPr>
            <w:tcW w:w="0" w:type="auto"/>
            <w:tcBorders>
              <w:top w:val="nil"/>
              <w:left w:val="single" w:sz="4" w:space="0" w:color="000000"/>
              <w:bottom w:val="single" w:sz="8" w:space="0" w:color="000000"/>
              <w:right w:val="single" w:sz="8" w:space="0" w:color="000000"/>
            </w:tcBorders>
            <w:shd w:val="clear" w:color="auto" w:fill="auto"/>
          </w:tcPr>
          <w:p w14:paraId="7255784B" w14:textId="69C1144C" w:rsidR="00B4735A" w:rsidRPr="002C3F84" w:rsidRDefault="00B4735A" w:rsidP="00E62E88">
            <w:pPr>
              <w:spacing w:before="40" w:after="40" w:line="220" w:lineRule="atLeast"/>
              <w:rPr>
                <w:rFonts w:eastAsia="Calibri"/>
                <w:sz w:val="16"/>
                <w:szCs w:val="18"/>
              </w:rPr>
            </w:pPr>
            <w:r w:rsidRPr="002C3F84">
              <w:rPr>
                <w:rFonts w:eastAsia="Calibri"/>
                <w:sz w:val="16"/>
                <w:szCs w:val="18"/>
                <w:rtl/>
              </w:rPr>
              <w:t>רמת דתיות (</w:t>
            </w:r>
            <w:r w:rsidRPr="002C3F84">
              <w:rPr>
                <w:rFonts w:eastAsia="Calibri"/>
                <w:sz w:val="16"/>
                <w:szCs w:val="18"/>
              </w:rPr>
              <w:t>X</w:t>
            </w:r>
            <w:r w:rsidRPr="002C3F84">
              <w:rPr>
                <w:rFonts w:eastAsia="Calibri"/>
                <w:sz w:val="16"/>
                <w:szCs w:val="18"/>
                <w:vertAlign w:val="subscript"/>
              </w:rPr>
              <w:t>8</w:t>
            </w:r>
            <w:r w:rsidRPr="002C3F84">
              <w:rPr>
                <w:rFonts w:eastAsia="Calibri"/>
                <w:sz w:val="16"/>
                <w:szCs w:val="18"/>
                <w:rtl/>
              </w:rPr>
              <w:t>)</w:t>
            </w:r>
          </w:p>
        </w:tc>
      </w:tr>
    </w:tbl>
    <w:p w14:paraId="3285E141" w14:textId="77777777" w:rsidR="001B13EE" w:rsidRPr="00B407F3" w:rsidRDefault="001B13EE" w:rsidP="001B13EE">
      <w:pPr>
        <w:spacing w:before="120" w:line="200" w:lineRule="exact"/>
        <w:ind w:left="397" w:hanging="397"/>
        <w:jc w:val="both"/>
        <w:rPr>
          <w:sz w:val="16"/>
          <w:szCs w:val="18"/>
          <w:rtl/>
        </w:rPr>
      </w:pPr>
      <w:r w:rsidRPr="00B407F3">
        <w:rPr>
          <w:rFonts w:hint="cs"/>
          <w:sz w:val="16"/>
          <w:szCs w:val="18"/>
          <w:rtl/>
        </w:rPr>
        <w:t>*</w:t>
      </w:r>
      <w:r w:rsidRPr="00B407F3">
        <w:rPr>
          <w:rFonts w:hint="cs"/>
          <w:sz w:val="16"/>
          <w:szCs w:val="18"/>
          <w:rtl/>
        </w:rPr>
        <w:tab/>
      </w:r>
      <w:r w:rsidRPr="00B407F3">
        <w:rPr>
          <w:sz w:val="16"/>
          <w:szCs w:val="18"/>
        </w:rPr>
        <w:t>p&lt;.05</w:t>
      </w:r>
    </w:p>
    <w:p w14:paraId="551F49F6" w14:textId="77777777" w:rsidR="001B13EE" w:rsidRPr="00B407F3" w:rsidRDefault="001B13EE" w:rsidP="001B13EE">
      <w:pPr>
        <w:spacing w:after="240" w:line="200" w:lineRule="exact"/>
        <w:ind w:left="397" w:hanging="397"/>
        <w:jc w:val="both"/>
        <w:rPr>
          <w:sz w:val="16"/>
          <w:szCs w:val="18"/>
          <w:rtl/>
        </w:rPr>
      </w:pPr>
      <w:r w:rsidRPr="00B407F3">
        <w:rPr>
          <w:rFonts w:hint="cs"/>
          <w:sz w:val="16"/>
          <w:szCs w:val="18"/>
          <w:rtl/>
        </w:rPr>
        <w:t>**</w:t>
      </w:r>
      <w:r w:rsidRPr="00B407F3">
        <w:rPr>
          <w:rFonts w:hint="cs"/>
          <w:sz w:val="16"/>
          <w:szCs w:val="18"/>
          <w:rtl/>
        </w:rPr>
        <w:tab/>
      </w:r>
      <w:r w:rsidRPr="00B407F3">
        <w:rPr>
          <w:sz w:val="16"/>
          <w:szCs w:val="18"/>
        </w:rPr>
        <w:t>p&lt;.01</w:t>
      </w:r>
    </w:p>
    <w:p w14:paraId="29CA7E85" w14:textId="4A90B0A0" w:rsidR="00B4735A" w:rsidRPr="00911580" w:rsidRDefault="00B4735A" w:rsidP="00855031">
      <w:pPr>
        <w:spacing w:after="180" w:line="280" w:lineRule="exact"/>
        <w:jc w:val="both"/>
        <w:rPr>
          <w:sz w:val="18"/>
          <w:szCs w:val="20"/>
          <w:rtl/>
        </w:rPr>
      </w:pPr>
      <w:r w:rsidRPr="00911580">
        <w:rPr>
          <w:rFonts w:hint="cs"/>
          <w:sz w:val="18"/>
          <w:szCs w:val="20"/>
          <w:rtl/>
        </w:rPr>
        <w:t xml:space="preserve">בהתאם להשערות המחקר, </w:t>
      </w:r>
      <w:r w:rsidR="00855031">
        <w:rPr>
          <w:rFonts w:hint="cs"/>
          <w:sz w:val="18"/>
          <w:szCs w:val="20"/>
          <w:rtl/>
        </w:rPr>
        <w:t xml:space="preserve">נמצא כי </w:t>
      </w:r>
      <w:r w:rsidRPr="00911580">
        <w:rPr>
          <w:rFonts w:hint="cs"/>
          <w:sz w:val="18"/>
          <w:szCs w:val="20"/>
          <w:rtl/>
        </w:rPr>
        <w:t xml:space="preserve">הסיכוי של לא-יהודים להתנגד להפרטה </w:t>
      </w:r>
      <w:r w:rsidR="00855031">
        <w:rPr>
          <w:rFonts w:hint="cs"/>
          <w:sz w:val="18"/>
          <w:szCs w:val="20"/>
          <w:rtl/>
        </w:rPr>
        <w:t xml:space="preserve">הוא </w:t>
      </w:r>
      <w:r w:rsidRPr="00911580">
        <w:rPr>
          <w:rFonts w:hint="cs"/>
          <w:sz w:val="18"/>
          <w:szCs w:val="20"/>
          <w:rtl/>
        </w:rPr>
        <w:t>כפול מזה של יהודים, בדומה להשפעת המשתנה חברות בוועד עובדים לעומת אי-חברות בוועד. כמו כן, הסיכוי שהפרט יתנגד להפרטה יורד בכ-30% עם העלייה ברמת דתיותו. ירידה דומה בהתנגדות להפרטה מתרחשת גם ככל שהפרט נוטה להשקפה קפיטליסטית. עוד נ</w:t>
      </w:r>
      <w:r w:rsidRPr="00911580">
        <w:rPr>
          <w:sz w:val="18"/>
          <w:szCs w:val="20"/>
          <w:rtl/>
        </w:rPr>
        <w:t xml:space="preserve">מצא קשר בין מעמד כלכלי-חברתי לעמדה כלפי הפרטה, </w:t>
      </w:r>
      <w:r w:rsidRPr="00911580">
        <w:rPr>
          <w:rFonts w:hint="cs"/>
          <w:sz w:val="18"/>
          <w:szCs w:val="20"/>
          <w:rtl/>
        </w:rPr>
        <w:t>ו</w:t>
      </w:r>
      <w:r w:rsidRPr="00911580">
        <w:rPr>
          <w:sz w:val="18"/>
          <w:szCs w:val="20"/>
          <w:rtl/>
        </w:rPr>
        <w:t>הסיכוי להתנגד להפרטה יורד בכ-25% עם העלייה במעמד הכלכלי-חברתי.</w:t>
      </w:r>
      <w:r w:rsidRPr="00911580">
        <w:rPr>
          <w:rFonts w:hint="cs"/>
          <w:sz w:val="18"/>
          <w:szCs w:val="20"/>
          <w:rtl/>
        </w:rPr>
        <w:t xml:space="preserve"> נוסף על כך, הסיכוי להתנגד להפרטה עולה, כמשוער, עם הגיל, ונשים נוטות להתנגד להפרטה יותר מגברים. בניגוד להשערות המחקר, </w:t>
      </w:r>
      <w:r w:rsidR="00855031">
        <w:rPr>
          <w:rFonts w:hint="cs"/>
          <w:sz w:val="18"/>
          <w:szCs w:val="20"/>
          <w:rtl/>
        </w:rPr>
        <w:t xml:space="preserve">נמצא כי </w:t>
      </w:r>
      <w:r w:rsidRPr="00911580">
        <w:rPr>
          <w:rFonts w:hint="cs"/>
          <w:sz w:val="18"/>
          <w:szCs w:val="20"/>
          <w:rtl/>
        </w:rPr>
        <w:t xml:space="preserve">השפעתה של רמת ההשכלה על העמדה כלפי הפרטה </w:t>
      </w:r>
      <w:r w:rsidR="00855031">
        <w:rPr>
          <w:rFonts w:hint="cs"/>
          <w:sz w:val="18"/>
          <w:szCs w:val="20"/>
          <w:rtl/>
        </w:rPr>
        <w:t xml:space="preserve">אינה </w:t>
      </w:r>
      <w:r w:rsidRPr="00911580">
        <w:rPr>
          <w:rFonts w:hint="cs"/>
          <w:sz w:val="18"/>
          <w:szCs w:val="20"/>
          <w:rtl/>
        </w:rPr>
        <w:t xml:space="preserve">מובהקת סטטיסטית. </w:t>
      </w:r>
    </w:p>
    <w:p w14:paraId="58648C0E"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ניתוח נוסף של המעמד הכלכלי-חברתי, הפעם על בסיס הדיווח על הכנסות ברוטו, העלה כי לא נמצא קשר מובהק בין מעמד כלכלי-חברתי לעמדה כלפי הפרטה, אלא בקידוד מסוים של משתנה זה, המבחין בין המעמד הגבוה/בינוני גבוה ליתר המעמדות. דהיינו, לא נמצאו הבדלים מובהקים בעמדות הפרטים לפי רמות הכנסה, זולת אלו שהכנסתם גבוהה מ-20,000 שקלים ברוטו </w:t>
      </w:r>
      <w:r w:rsidRPr="00911580">
        <w:rPr>
          <w:sz w:val="18"/>
          <w:szCs w:val="20"/>
          <w:rtl/>
        </w:rPr>
        <w:t>–</w:t>
      </w:r>
      <w:r w:rsidRPr="00911580">
        <w:rPr>
          <w:rFonts w:hint="cs"/>
          <w:sz w:val="18"/>
          <w:szCs w:val="20"/>
          <w:rtl/>
        </w:rPr>
        <w:t xml:space="preserve"> או אז צולל שיעור המתנגדים להפרטה ל-22%, לעומת כ-50% ברמות ההכנסה האחרות.</w:t>
      </w:r>
    </w:p>
    <w:p w14:paraId="245DE9D4" w14:textId="77777777" w:rsidR="00B4735A" w:rsidRPr="00911580" w:rsidRDefault="00B4735A" w:rsidP="00911580">
      <w:pPr>
        <w:spacing w:after="180" w:line="280" w:lineRule="exact"/>
        <w:jc w:val="both"/>
        <w:rPr>
          <w:sz w:val="18"/>
          <w:szCs w:val="20"/>
          <w:rtl/>
        </w:rPr>
      </w:pPr>
      <w:r w:rsidRPr="00911580">
        <w:rPr>
          <w:rFonts w:hint="cs"/>
          <w:sz w:val="18"/>
          <w:szCs w:val="20"/>
          <w:rtl/>
        </w:rPr>
        <w:lastRenderedPageBreak/>
        <w:t xml:space="preserve">ניתוח אחר הראה כי ההבדלים על בסיס אתני היו גדולים במיוחד בנוגע לתשתיות: 71% </w:t>
      </w:r>
      <w:proofErr w:type="spellStart"/>
      <w:r w:rsidRPr="00911580">
        <w:rPr>
          <w:rFonts w:hint="cs"/>
          <w:sz w:val="18"/>
          <w:szCs w:val="20"/>
          <w:rtl/>
        </w:rPr>
        <w:t>מהלא</w:t>
      </w:r>
      <w:proofErr w:type="spellEnd"/>
      <w:r w:rsidRPr="00911580">
        <w:rPr>
          <w:rFonts w:hint="cs"/>
          <w:sz w:val="18"/>
          <w:szCs w:val="20"/>
          <w:rtl/>
        </w:rPr>
        <w:t xml:space="preserve">-יהודים התנגדו </w:t>
      </w:r>
      <w:proofErr w:type="spellStart"/>
      <w:r w:rsidRPr="00911580">
        <w:rPr>
          <w:rFonts w:hint="cs"/>
          <w:sz w:val="18"/>
          <w:szCs w:val="20"/>
          <w:rtl/>
        </w:rPr>
        <w:t>להפרטתן</w:t>
      </w:r>
      <w:proofErr w:type="spellEnd"/>
      <w:r w:rsidRPr="00911580">
        <w:rPr>
          <w:rFonts w:hint="cs"/>
          <w:sz w:val="18"/>
          <w:szCs w:val="20"/>
          <w:rtl/>
        </w:rPr>
        <w:t xml:space="preserve">, לעומת 38% בלבד מהיהודים. לעומת זאת, ההבדלים בין הקבוצות האתניות בנוגע להפרטת שירותים חברתיים היו קטנים יותר: 69% </w:t>
      </w:r>
      <w:proofErr w:type="spellStart"/>
      <w:r w:rsidRPr="00911580">
        <w:rPr>
          <w:rFonts w:hint="cs"/>
          <w:sz w:val="18"/>
          <w:szCs w:val="20"/>
          <w:rtl/>
        </w:rPr>
        <w:t>מהלא</w:t>
      </w:r>
      <w:proofErr w:type="spellEnd"/>
      <w:r w:rsidRPr="00911580">
        <w:rPr>
          <w:rFonts w:hint="cs"/>
          <w:sz w:val="18"/>
          <w:szCs w:val="20"/>
          <w:rtl/>
        </w:rPr>
        <w:t xml:space="preserve">-יהודים התנגדו </w:t>
      </w:r>
      <w:proofErr w:type="spellStart"/>
      <w:r w:rsidRPr="00911580">
        <w:rPr>
          <w:rFonts w:hint="cs"/>
          <w:sz w:val="18"/>
          <w:szCs w:val="20"/>
          <w:rtl/>
        </w:rPr>
        <w:t>להפרטתם</w:t>
      </w:r>
      <w:proofErr w:type="spellEnd"/>
      <w:r w:rsidRPr="00911580">
        <w:rPr>
          <w:rFonts w:hint="cs"/>
          <w:sz w:val="18"/>
          <w:szCs w:val="20"/>
          <w:rtl/>
        </w:rPr>
        <w:t>, לעומת 65% מהיהודים.</w:t>
      </w:r>
    </w:p>
    <w:p w14:paraId="41E01D57"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אשר להיבט המגדרי, ניתוח הבדלים בין קבוצות (מבחן </w:t>
      </w:r>
      <w:r w:rsidRPr="00911580">
        <w:rPr>
          <w:sz w:val="18"/>
          <w:szCs w:val="20"/>
        </w:rPr>
        <w:t>t</w:t>
      </w:r>
      <w:r w:rsidRPr="00911580">
        <w:rPr>
          <w:rFonts w:hint="cs"/>
          <w:sz w:val="18"/>
          <w:szCs w:val="20"/>
          <w:rtl/>
        </w:rPr>
        <w:t>) הראה כי כאשר מתמקדים בשירותים חברתיים, ההבדלים בין נשים לגברים נעלמים כמעט לחלוטין: ציון ממוצע של 5.1 בשתי הקבוצות בסולם 1</w:t>
      </w:r>
      <w:r w:rsidRPr="00911580">
        <w:rPr>
          <w:sz w:val="18"/>
          <w:szCs w:val="20"/>
          <w:rtl/>
        </w:rPr>
        <w:t>–</w:t>
      </w:r>
      <w:r w:rsidRPr="00911580">
        <w:rPr>
          <w:rFonts w:hint="cs"/>
          <w:sz w:val="18"/>
          <w:szCs w:val="20"/>
          <w:rtl/>
        </w:rPr>
        <w:t>7.</w:t>
      </w:r>
      <w:r w:rsidRPr="00911580">
        <w:rPr>
          <w:rStyle w:val="FootnoteReference"/>
          <w:sz w:val="18"/>
          <w:szCs w:val="20"/>
          <w:rtl/>
        </w:rPr>
        <w:footnoteReference w:id="8"/>
      </w:r>
      <w:r w:rsidRPr="00911580">
        <w:rPr>
          <w:rFonts w:hint="cs"/>
          <w:sz w:val="18"/>
          <w:szCs w:val="20"/>
          <w:rtl/>
        </w:rPr>
        <w:t xml:space="preserve"> בשאלת הפרטת התשתיות, לעומת זאת, נמצא הבדל מובהק בין שני המינים, וגברים תמכו בכך יותר מנשים (</w:t>
      </w:r>
      <w:r w:rsidRPr="00911580">
        <w:rPr>
          <w:i/>
          <w:iCs/>
          <w:sz w:val="18"/>
          <w:szCs w:val="20"/>
        </w:rPr>
        <w:t>p</w:t>
      </w:r>
      <w:r w:rsidRPr="00911580">
        <w:rPr>
          <w:sz w:val="18"/>
          <w:szCs w:val="20"/>
        </w:rPr>
        <w:t>&lt;.05</w:t>
      </w:r>
      <w:r w:rsidRPr="00911580">
        <w:rPr>
          <w:rFonts w:hint="cs"/>
          <w:sz w:val="18"/>
          <w:szCs w:val="20"/>
          <w:rtl/>
        </w:rPr>
        <w:t>).</w:t>
      </w:r>
    </w:p>
    <w:p w14:paraId="4DD27CB4" w14:textId="77777777" w:rsidR="00B4735A" w:rsidRPr="00911580" w:rsidRDefault="00B4735A" w:rsidP="00911580">
      <w:pPr>
        <w:spacing w:after="180" w:line="280" w:lineRule="exact"/>
        <w:jc w:val="both"/>
        <w:rPr>
          <w:sz w:val="18"/>
          <w:szCs w:val="20"/>
          <w:rtl/>
        </w:rPr>
      </w:pPr>
      <w:proofErr w:type="spellStart"/>
      <w:r w:rsidRPr="00911580">
        <w:rPr>
          <w:rFonts w:hint="eastAsia"/>
          <w:sz w:val="18"/>
          <w:szCs w:val="20"/>
          <w:rtl/>
        </w:rPr>
        <w:t>צלווח</w:t>
      </w:r>
      <w:proofErr w:type="spellEnd"/>
      <w:r w:rsidRPr="00911580">
        <w:rPr>
          <w:rFonts w:hint="cs"/>
          <w:sz w:val="18"/>
          <w:szCs w:val="20"/>
          <w:rtl/>
        </w:rPr>
        <w:t xml:space="preserve"> נתונים של רמת דתיות תוך הפרדה בין קבוצות אתניות הראה כי הן בקרב יהודים הן בקרב לא-יהודים יש רמות גבוהות יותר של תמיכה בהפרטה כללית בקרב אלה המגדירים עצמם דתיים או דתיים מאוד. עם</w:t>
      </w:r>
      <w:r w:rsidRPr="00911580">
        <w:rPr>
          <w:sz w:val="18"/>
          <w:szCs w:val="20"/>
          <w:rtl/>
        </w:rPr>
        <w:t xml:space="preserve"> זאת, כאשר מדובר בהפרטת שירותים חברתיים, רוב הנשאלים</w:t>
      </w:r>
      <w:r w:rsidRPr="00911580">
        <w:rPr>
          <w:rFonts w:hint="cs"/>
          <w:sz w:val="18"/>
          <w:szCs w:val="20"/>
          <w:rtl/>
        </w:rPr>
        <w:t xml:space="preserve"> </w:t>
      </w:r>
      <w:r w:rsidRPr="00911580">
        <w:rPr>
          <w:sz w:val="18"/>
          <w:szCs w:val="20"/>
          <w:rtl/>
        </w:rPr>
        <w:t>– בכל תתי</w:t>
      </w:r>
      <w:r w:rsidRPr="00911580">
        <w:rPr>
          <w:rFonts w:hint="cs"/>
          <w:sz w:val="18"/>
          <w:szCs w:val="20"/>
          <w:rtl/>
        </w:rPr>
        <w:t>-</w:t>
      </w:r>
      <w:r w:rsidRPr="00911580">
        <w:rPr>
          <w:sz w:val="18"/>
          <w:szCs w:val="20"/>
          <w:rtl/>
        </w:rPr>
        <w:t>הקבוצות</w:t>
      </w:r>
      <w:r w:rsidRPr="00911580">
        <w:rPr>
          <w:rFonts w:hint="cs"/>
          <w:sz w:val="18"/>
          <w:szCs w:val="20"/>
          <w:rtl/>
        </w:rPr>
        <w:t>,</w:t>
      </w:r>
      <w:r w:rsidRPr="00911580">
        <w:rPr>
          <w:sz w:val="18"/>
          <w:szCs w:val="20"/>
          <w:rtl/>
        </w:rPr>
        <w:t xml:space="preserve"> כלומר בכל רמות הדתיות בשתי הקבוצות האתניות –</w:t>
      </w:r>
      <w:r w:rsidRPr="00911580">
        <w:rPr>
          <w:rFonts w:hint="cs"/>
          <w:sz w:val="18"/>
          <w:szCs w:val="20"/>
          <w:rtl/>
        </w:rPr>
        <w:t xml:space="preserve"> </w:t>
      </w:r>
      <w:r w:rsidRPr="00911580">
        <w:rPr>
          <w:sz w:val="18"/>
          <w:szCs w:val="20"/>
          <w:rtl/>
        </w:rPr>
        <w:t>התנגדו ל</w:t>
      </w:r>
      <w:r w:rsidRPr="00911580">
        <w:rPr>
          <w:rFonts w:hint="cs"/>
          <w:sz w:val="18"/>
          <w:szCs w:val="20"/>
          <w:rtl/>
        </w:rPr>
        <w:t>כך</w:t>
      </w:r>
      <w:r w:rsidRPr="00911580">
        <w:rPr>
          <w:sz w:val="18"/>
          <w:szCs w:val="20"/>
          <w:rtl/>
        </w:rPr>
        <w:t xml:space="preserve">, זולת תת-קבוצה אחת: יהודים דתיים מאוד. בקבוצה זו נמצא רוב של 64% לעמדה התומכת בהפרטת שירותים חברתיים. עוד עולה </w:t>
      </w:r>
      <w:proofErr w:type="spellStart"/>
      <w:r w:rsidRPr="00911580">
        <w:rPr>
          <w:sz w:val="18"/>
          <w:szCs w:val="20"/>
          <w:rtl/>
        </w:rPr>
        <w:t>מ</w:t>
      </w:r>
      <w:r w:rsidRPr="00911580">
        <w:rPr>
          <w:rFonts w:hint="eastAsia"/>
          <w:sz w:val="18"/>
          <w:szCs w:val="20"/>
          <w:rtl/>
        </w:rPr>
        <w:t>צלווח</w:t>
      </w:r>
      <w:proofErr w:type="spellEnd"/>
      <w:r w:rsidRPr="00911580">
        <w:rPr>
          <w:sz w:val="18"/>
          <w:szCs w:val="20"/>
          <w:rtl/>
        </w:rPr>
        <w:t xml:space="preserve"> הנתונים כי</w:t>
      </w:r>
      <w:r w:rsidRPr="00911580">
        <w:rPr>
          <w:rFonts w:hint="cs"/>
          <w:sz w:val="18"/>
          <w:szCs w:val="20"/>
          <w:rtl/>
        </w:rPr>
        <w:t xml:space="preserve"> התמיכה בהפרטת שירותים חברתיים זוכה לרוב בקרב תת-הקבוצה "יהודים דתיים מאוד" (</w:t>
      </w:r>
      <w:r w:rsidRPr="00911580">
        <w:rPr>
          <w:i/>
          <w:iCs/>
          <w:sz w:val="18"/>
          <w:szCs w:val="20"/>
        </w:rPr>
        <w:t>n</w:t>
      </w:r>
      <w:r w:rsidRPr="00911580">
        <w:rPr>
          <w:sz w:val="18"/>
          <w:szCs w:val="20"/>
        </w:rPr>
        <w:t>=109</w:t>
      </w:r>
      <w:r w:rsidRPr="00911580">
        <w:rPr>
          <w:rFonts w:hint="cs"/>
          <w:sz w:val="18"/>
          <w:szCs w:val="20"/>
          <w:rtl/>
        </w:rPr>
        <w:t>) בכל מעמד כלכלי-חברתי, ללא הבדל מובהק. אין הבדל מובהק בין מעמדות גם בתוך האוכלוסייה הלא-יהודית (</w:t>
      </w:r>
      <w:r w:rsidRPr="00911580">
        <w:rPr>
          <w:i/>
          <w:iCs/>
          <w:sz w:val="18"/>
          <w:szCs w:val="20"/>
        </w:rPr>
        <w:t>n</w:t>
      </w:r>
      <w:r w:rsidRPr="00911580">
        <w:rPr>
          <w:sz w:val="18"/>
          <w:szCs w:val="20"/>
        </w:rPr>
        <w:t>=288</w:t>
      </w:r>
      <w:r w:rsidRPr="00911580">
        <w:rPr>
          <w:rFonts w:hint="cs"/>
          <w:sz w:val="18"/>
          <w:szCs w:val="20"/>
          <w:rtl/>
        </w:rPr>
        <w:t>), ובה רוב של 52</w:t>
      </w:r>
      <w:r w:rsidRPr="00911580">
        <w:rPr>
          <w:sz w:val="18"/>
          <w:szCs w:val="20"/>
          <w:rtl/>
        </w:rPr>
        <w:t>–</w:t>
      </w:r>
      <w:r w:rsidRPr="00911580">
        <w:rPr>
          <w:rFonts w:hint="cs"/>
          <w:sz w:val="18"/>
          <w:szCs w:val="20"/>
          <w:rtl/>
        </w:rPr>
        <w:t xml:space="preserve">60% מהנשאלים, בכל שלושת המעמדות (נמוך, בינוני, גבוה), מתנגדים להפרטה. </w:t>
      </w:r>
    </w:p>
    <w:p w14:paraId="1F06E706" w14:textId="4E3E2779" w:rsidR="00B4735A" w:rsidRPr="00911580" w:rsidRDefault="00B4735A" w:rsidP="00911580">
      <w:pPr>
        <w:spacing w:after="180" w:line="280" w:lineRule="exact"/>
        <w:jc w:val="both"/>
        <w:rPr>
          <w:sz w:val="18"/>
          <w:szCs w:val="20"/>
          <w:rtl/>
        </w:rPr>
      </w:pPr>
      <w:r w:rsidRPr="009C161B">
        <w:rPr>
          <w:rFonts w:hint="cs"/>
          <w:sz w:val="18"/>
          <w:szCs w:val="20"/>
          <w:rtl/>
        </w:rPr>
        <w:t xml:space="preserve">ממצא מעניין נוסף נוגע לקשר שבין השקפה כלכלית-חברתית להפרטת שירותים חברתיים. כצפוי, רוב גדול מקרב בעלי העמדה הקפיטליסטית (כ-70%) תומכים בהפרטה, לעומת </w:t>
      </w:r>
      <w:r w:rsidR="009C161B" w:rsidRPr="009C161B">
        <w:rPr>
          <w:sz w:val="18"/>
          <w:szCs w:val="20"/>
        </w:rPr>
        <w:br/>
      </w:r>
      <w:r w:rsidRPr="009C161B">
        <w:rPr>
          <w:rFonts w:hint="cs"/>
          <w:sz w:val="18"/>
          <w:szCs w:val="20"/>
          <w:rtl/>
        </w:rPr>
        <w:t>כ-38% בלבד מקרב בעלי העמדה הסוציאליסטית. אולם כאשר</w:t>
      </w:r>
      <w:r w:rsidRPr="009C161B">
        <w:rPr>
          <w:sz w:val="18"/>
          <w:szCs w:val="20"/>
          <w:rtl/>
        </w:rPr>
        <w:t xml:space="preserve"> השאלה התמקדה בהפרטת שירותים חברתיים חל מהפך בקבוצת ה"קפיטליסטים"</w:t>
      </w:r>
      <w:r w:rsidRPr="009C161B">
        <w:rPr>
          <w:rFonts w:hint="cs"/>
          <w:sz w:val="18"/>
          <w:szCs w:val="20"/>
          <w:rtl/>
        </w:rPr>
        <w:t>, ונמצא בה ר</w:t>
      </w:r>
      <w:r w:rsidRPr="009C161B">
        <w:rPr>
          <w:sz w:val="18"/>
          <w:szCs w:val="20"/>
          <w:rtl/>
        </w:rPr>
        <w:t>וב למתנגדי ההפרטה (</w:t>
      </w:r>
      <w:r w:rsidRPr="009C161B">
        <w:rPr>
          <w:rFonts w:hint="cs"/>
          <w:sz w:val="18"/>
          <w:szCs w:val="20"/>
          <w:rtl/>
        </w:rPr>
        <w:t>כ</w:t>
      </w:r>
      <w:r w:rsidRPr="009C161B">
        <w:rPr>
          <w:sz w:val="18"/>
          <w:szCs w:val="20"/>
          <w:rtl/>
        </w:rPr>
        <w:t>-60%)</w:t>
      </w:r>
      <w:r w:rsidRPr="009C161B">
        <w:rPr>
          <w:rFonts w:hint="cs"/>
          <w:sz w:val="18"/>
          <w:szCs w:val="20"/>
          <w:rtl/>
        </w:rPr>
        <w:t xml:space="preserve"> </w:t>
      </w:r>
      <w:r w:rsidRPr="009C161B">
        <w:rPr>
          <w:sz w:val="18"/>
          <w:szCs w:val="20"/>
          <w:rtl/>
        </w:rPr>
        <w:t>–</w:t>
      </w:r>
      <w:r w:rsidRPr="009C161B">
        <w:rPr>
          <w:rFonts w:hint="cs"/>
          <w:sz w:val="18"/>
          <w:szCs w:val="20"/>
          <w:rtl/>
        </w:rPr>
        <w:t xml:space="preserve"> בדומה לקבוצת "המרכז"</w:t>
      </w:r>
      <w:r w:rsidRPr="009C161B">
        <w:rPr>
          <w:sz w:val="18"/>
          <w:szCs w:val="20"/>
          <w:rtl/>
        </w:rPr>
        <w:t>. כצפוי, בקרב קבוצת ה"סוציאליסטים", רוב גדול יותר, המתקרב ל-80%, התנגד להפרטת השירותים החברתיים.</w:t>
      </w:r>
      <w:r w:rsidRPr="00911580">
        <w:rPr>
          <w:rFonts w:hint="cs"/>
          <w:sz w:val="18"/>
          <w:szCs w:val="20"/>
          <w:rtl/>
        </w:rPr>
        <w:t xml:space="preserve"> </w:t>
      </w:r>
    </w:p>
    <w:p w14:paraId="66D99EA7" w14:textId="36313A46" w:rsidR="00B4735A" w:rsidRDefault="00B4735A" w:rsidP="00911580">
      <w:pPr>
        <w:spacing w:after="180" w:line="280" w:lineRule="exact"/>
        <w:jc w:val="both"/>
        <w:rPr>
          <w:sz w:val="18"/>
          <w:szCs w:val="20"/>
          <w:rtl/>
        </w:rPr>
      </w:pPr>
    </w:p>
    <w:p w14:paraId="19954FB9" w14:textId="77777777" w:rsidR="00E62E88" w:rsidRPr="00911580" w:rsidRDefault="00E62E88" w:rsidP="00911580">
      <w:pPr>
        <w:spacing w:after="180" w:line="280" w:lineRule="exact"/>
        <w:jc w:val="both"/>
        <w:rPr>
          <w:sz w:val="18"/>
          <w:szCs w:val="20"/>
          <w:rtl/>
        </w:rPr>
      </w:pPr>
    </w:p>
    <w:p w14:paraId="45A865D4" w14:textId="188C7E57" w:rsidR="00B4735A" w:rsidRPr="00B4735A" w:rsidRDefault="00B4735A" w:rsidP="00B4735A">
      <w:pPr>
        <w:pStyle w:val="KOT4"/>
        <w:spacing w:after="0"/>
        <w:ind w:left="397" w:right="0" w:hanging="397"/>
        <w:rPr>
          <w:rFonts w:cs="Guttman Aharoni"/>
          <w:color w:val="00B0F0"/>
          <w:sz w:val="32"/>
          <w:szCs w:val="32"/>
          <w:rtl/>
        </w:rPr>
      </w:pPr>
      <w:r w:rsidRPr="00B4735A">
        <w:rPr>
          <w:rFonts w:cs="Guttman Aharoni" w:hint="cs"/>
          <w:color w:val="00B0F0"/>
          <w:sz w:val="32"/>
          <w:szCs w:val="32"/>
          <w:rtl/>
        </w:rPr>
        <w:t>7. דיון ומסקנות</w:t>
      </w:r>
    </w:p>
    <w:p w14:paraId="685744D7" w14:textId="77777777" w:rsidR="00B4735A" w:rsidRPr="00911580" w:rsidRDefault="00B4735A" w:rsidP="00911580">
      <w:pPr>
        <w:spacing w:after="180" w:line="280" w:lineRule="exact"/>
        <w:jc w:val="both"/>
        <w:rPr>
          <w:sz w:val="18"/>
          <w:szCs w:val="20"/>
          <w:rtl/>
        </w:rPr>
      </w:pPr>
      <w:r w:rsidRPr="00911580">
        <w:rPr>
          <w:sz w:val="18"/>
          <w:szCs w:val="20"/>
          <w:rtl/>
        </w:rPr>
        <w:t xml:space="preserve">ממצאי הסקר מעלים תמונה מעניינת ומורכבת באשר לדעת הציבור על הפרטה ועל סוגיות כלכליות-חברתיות </w:t>
      </w:r>
      <w:r w:rsidRPr="00911580">
        <w:rPr>
          <w:rFonts w:hint="cs"/>
          <w:sz w:val="18"/>
          <w:szCs w:val="20"/>
          <w:rtl/>
        </w:rPr>
        <w:t>ה</w:t>
      </w:r>
      <w:r w:rsidRPr="00911580">
        <w:rPr>
          <w:sz w:val="18"/>
          <w:szCs w:val="20"/>
          <w:rtl/>
        </w:rPr>
        <w:t>נלוות</w:t>
      </w:r>
      <w:r w:rsidRPr="00911580">
        <w:rPr>
          <w:rFonts w:hint="cs"/>
          <w:sz w:val="18"/>
          <w:szCs w:val="20"/>
          <w:rtl/>
        </w:rPr>
        <w:t xml:space="preserve"> לה</w:t>
      </w:r>
      <w:r w:rsidRPr="00911580">
        <w:rPr>
          <w:sz w:val="18"/>
          <w:szCs w:val="20"/>
          <w:rtl/>
        </w:rPr>
        <w:t xml:space="preserve">. </w:t>
      </w:r>
      <w:r w:rsidRPr="00911580">
        <w:rPr>
          <w:rFonts w:hint="cs"/>
          <w:sz w:val="18"/>
          <w:szCs w:val="20"/>
          <w:rtl/>
        </w:rPr>
        <w:t xml:space="preserve">ראשית, יש הבדלים גדולים בתשובות המתקבלות בהתאם לתחום ההפרטה. ככל שמדובר בשאלה כללית יש רוב מסוים לתומכים בהפרטה, והוא גדל </w:t>
      </w:r>
      <w:r w:rsidRPr="00911580">
        <w:rPr>
          <w:rFonts w:hint="cs"/>
          <w:sz w:val="18"/>
          <w:szCs w:val="20"/>
          <w:rtl/>
        </w:rPr>
        <w:lastRenderedPageBreak/>
        <w:t xml:space="preserve">בדרך כלל גדל כאשר השאלה מתמקדת בהפרטת תשתיות. ואולם התמונה משתנה כאשר הזרקור מופנה אל שירותים חברתיים דוגמת בריאות, חינוך וסיוע לאוכלוסיות חלשות: כמעט בכל רובדי האוכלוסייה ומגזריה מרבית הציבור מגלה התנגדות להפרטת השירותים הללו. ממצאים אלה מראים כי הציבור בישראל נוטה לתמוך באופן עקרוני במדינת הרווחה, מצדד במעורבות המדינה באספקת שירותים חברתיים, ומתנגד </w:t>
      </w:r>
      <w:proofErr w:type="spellStart"/>
      <w:r w:rsidRPr="00911580">
        <w:rPr>
          <w:rFonts w:hint="cs"/>
          <w:sz w:val="18"/>
          <w:szCs w:val="20"/>
          <w:rtl/>
        </w:rPr>
        <w:t>להפרטתם</w:t>
      </w:r>
      <w:proofErr w:type="spellEnd"/>
      <w:r w:rsidRPr="00911580">
        <w:rPr>
          <w:rFonts w:hint="cs"/>
          <w:sz w:val="18"/>
          <w:szCs w:val="20"/>
          <w:rtl/>
        </w:rPr>
        <w:t>. בהתאם לכך, רק מיעוט מהציבור מגדיר עצמו כמי שדוגל בשיטה הקפיטליסטית. הפרטה של תשתיות, לעומת זאת, נתפסת בצורה רחבה כמדיניות ראויה, ועבור רבים אף אינה עומדת בסתירה עם השקפת עולמם הסוציאליסטית. לדוגמה, 41% מהמגדירים עצמם סוציאליסטים תומכים בתפעול פרטי של נמלי ים.</w:t>
      </w:r>
    </w:p>
    <w:p w14:paraId="76F8C93D"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ממצאים אלה מתיישבים עם ממצאי מדד הדמוקרטיה לשנת 2014 של המכון הישראלי לדמוקרטיה, ולפיהם רק כ-19% מהציבור מגדירים עצמם כבעלי השקפה קפיטליסטית, לעומת כ-35% המצדדים בהשקפה סוציאל-דמוקרטית (הרמן, </w:t>
      </w:r>
      <w:r w:rsidRPr="00911580">
        <w:rPr>
          <w:sz w:val="18"/>
          <w:szCs w:val="20"/>
          <w:rtl/>
        </w:rPr>
        <w:t>הלר, כהן, בארי ולבל</w:t>
      </w:r>
      <w:r w:rsidRPr="00911580">
        <w:rPr>
          <w:rFonts w:hint="cs"/>
          <w:sz w:val="18"/>
          <w:szCs w:val="20"/>
          <w:rtl/>
        </w:rPr>
        <w:t xml:space="preserve">, 2015). באופן כללי, מאז שנות ה-90 נרשמת בקרב הציבור היהודי בישראל מגמת תמיכה בעמדות סוציאליסטיות (וולטר, 2011, עמ' 3). נראה כי ממצאי סקר זה תומכים בנתונים אלה בכל הנוגע לשירותים החברתיים. </w:t>
      </w:r>
    </w:p>
    <w:p w14:paraId="414D20E5"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עם זאת, ההתנגדות הציבורית הגורפת להפרטת השירותים החברתיים אינה עולה בקנה אחד עם אמונת הציבור בערכי התחרות הכלכלית ובעליונות השוק הפרטי על המגזר הציבורי כפי שהיא משתקפת בסקר זה, וגם לא עם נכונותו לצמצם את השירותים החברתיים תמורת הפחתת נטל המס. ייתכן כי ממצאים אלו מעידים על בלבול או </w:t>
      </w:r>
      <w:r w:rsidRPr="00911580">
        <w:rPr>
          <w:sz w:val="18"/>
          <w:szCs w:val="20"/>
          <w:rtl/>
        </w:rPr>
        <w:t xml:space="preserve">חוסר בהירות מושגית </w:t>
      </w:r>
      <w:r w:rsidRPr="00911580">
        <w:rPr>
          <w:rFonts w:hint="cs"/>
          <w:sz w:val="18"/>
          <w:szCs w:val="20"/>
          <w:rtl/>
        </w:rPr>
        <w:t>בנוגע ל</w:t>
      </w:r>
      <w:r w:rsidRPr="00911580">
        <w:rPr>
          <w:sz w:val="18"/>
          <w:szCs w:val="20"/>
          <w:rtl/>
        </w:rPr>
        <w:t>שאלות כלכליות וחברתיות</w:t>
      </w:r>
      <w:r w:rsidRPr="00911580">
        <w:rPr>
          <w:rFonts w:hint="cs"/>
          <w:sz w:val="18"/>
          <w:szCs w:val="20"/>
          <w:rtl/>
        </w:rPr>
        <w:t xml:space="preserve">, וכן על </w:t>
      </w:r>
      <w:r w:rsidRPr="00911580">
        <w:rPr>
          <w:sz w:val="18"/>
          <w:szCs w:val="20"/>
          <w:rtl/>
        </w:rPr>
        <w:t>חוסר עקביות מסוים בדעת הציבור – תופעה שזוהתה גם במחקרים קודמים.</w:t>
      </w:r>
      <w:r w:rsidRPr="00911580">
        <w:rPr>
          <w:rFonts w:hint="cs"/>
          <w:sz w:val="18"/>
          <w:szCs w:val="20"/>
          <w:rtl/>
        </w:rPr>
        <w:t xml:space="preserve"> זאת ועוד, ייתכן כי הם מעידים על פער </w:t>
      </w:r>
      <w:r w:rsidRPr="00911580">
        <w:rPr>
          <w:sz w:val="18"/>
          <w:szCs w:val="20"/>
          <w:rtl/>
        </w:rPr>
        <w:t>בין תמיכה ברמה ההצהרתית לתמיכה בפועל</w:t>
      </w:r>
      <w:r w:rsidRPr="00911580">
        <w:rPr>
          <w:rFonts w:hint="cs"/>
          <w:sz w:val="18"/>
          <w:szCs w:val="20"/>
          <w:rtl/>
        </w:rPr>
        <w:t xml:space="preserve"> במדינת הרווחה</w:t>
      </w:r>
      <w:r w:rsidRPr="00911580">
        <w:rPr>
          <w:sz w:val="18"/>
          <w:szCs w:val="20"/>
          <w:rtl/>
        </w:rPr>
        <w:t xml:space="preserve"> ברמה החומרית</w:t>
      </w:r>
      <w:r w:rsidRPr="00911580">
        <w:rPr>
          <w:rFonts w:hint="cs"/>
          <w:sz w:val="18"/>
          <w:szCs w:val="20"/>
          <w:rtl/>
        </w:rPr>
        <w:t xml:space="preserve"> </w:t>
      </w:r>
      <w:r w:rsidRPr="00911580">
        <w:rPr>
          <w:sz w:val="18"/>
          <w:szCs w:val="20"/>
          <w:rtl/>
        </w:rPr>
        <w:t>–</w:t>
      </w:r>
      <w:r w:rsidRPr="00911580">
        <w:rPr>
          <w:rFonts w:hint="cs"/>
          <w:sz w:val="18"/>
          <w:szCs w:val="20"/>
          <w:rtl/>
        </w:rPr>
        <w:t xml:space="preserve"> ממצא שעלה אף הוא בעבודות קודמות. </w:t>
      </w:r>
    </w:p>
    <w:p w14:paraId="46F3D538"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חרף העליונות שהוא מייחס לשוק הפרטי על פני המגזר הציבורי, אמון הציבור במגזר הפרטי אינו גבוה יותר </w:t>
      </w:r>
      <w:r w:rsidRPr="00911580">
        <w:rPr>
          <w:sz w:val="18"/>
          <w:szCs w:val="20"/>
          <w:rtl/>
        </w:rPr>
        <w:t>–</w:t>
      </w:r>
      <w:r w:rsidRPr="00911580">
        <w:rPr>
          <w:rFonts w:hint="cs"/>
          <w:sz w:val="18"/>
          <w:szCs w:val="20"/>
          <w:rtl/>
        </w:rPr>
        <w:t xml:space="preserve"> ואולי אף נמוך יותר </w:t>
      </w:r>
      <w:r w:rsidRPr="00911580">
        <w:rPr>
          <w:sz w:val="18"/>
          <w:szCs w:val="20"/>
          <w:rtl/>
        </w:rPr>
        <w:t>–</w:t>
      </w:r>
      <w:r w:rsidRPr="00911580">
        <w:rPr>
          <w:rFonts w:hint="cs"/>
          <w:sz w:val="18"/>
          <w:szCs w:val="20"/>
          <w:rtl/>
        </w:rPr>
        <w:t xml:space="preserve"> מהאמון שהוא רוחש כלפי המגזר הציבורי, הגם שאמון הציבור ושביעות הרצון שלו מהמגזר הציבורי גם הם אינם גבוהים במיוחד, על פי רוב (הלשכה המרכזית לסטטיסטיקה, 2015; הרמן ועמיתים, 2019). ייתכן כי יש בממצאים אלה כדי להסביר את ההפרדה שהציבור עושה בין שירותים חברתיים לבין תשתיות ממשלתיות: בכל הנוגע לשירותים חברתיים, שבהם האמון האישי ב</w:t>
      </w:r>
      <w:r w:rsidRPr="00911580">
        <w:rPr>
          <w:sz w:val="18"/>
          <w:szCs w:val="20"/>
          <w:rtl/>
        </w:rPr>
        <w:t>סַפָּק</w:t>
      </w:r>
      <w:r w:rsidRPr="00911580" w:rsidDel="00884D14">
        <w:rPr>
          <w:rFonts w:hint="cs"/>
          <w:sz w:val="18"/>
          <w:szCs w:val="20"/>
          <w:rtl/>
        </w:rPr>
        <w:t xml:space="preserve"> </w:t>
      </w:r>
      <w:r w:rsidRPr="00911580">
        <w:rPr>
          <w:rFonts w:hint="cs"/>
          <w:sz w:val="18"/>
          <w:szCs w:val="20"/>
          <w:rtl/>
        </w:rPr>
        <w:t xml:space="preserve">השירות (למשל, ברופא או בעובד הסוציאלי) הוא קריטי, הציבור מעדיף את הממשלה. בכל הנוגע לתשתיות, ערכים של יעילות ושירות עשויים למלא תפקיד חשוב יותר, ומטים על פי רוב את הכף לטובת המגזר הפרטי. </w:t>
      </w:r>
    </w:p>
    <w:p w14:paraId="1347B1FE" w14:textId="77777777" w:rsidR="00B4735A" w:rsidRPr="00911580" w:rsidRDefault="00B4735A" w:rsidP="00911580">
      <w:pPr>
        <w:spacing w:after="180" w:line="280" w:lineRule="exact"/>
        <w:jc w:val="both"/>
        <w:rPr>
          <w:sz w:val="18"/>
          <w:szCs w:val="20"/>
          <w:rtl/>
        </w:rPr>
      </w:pPr>
      <w:r w:rsidRPr="00911580">
        <w:rPr>
          <w:rFonts w:hint="cs"/>
          <w:sz w:val="18"/>
          <w:szCs w:val="20"/>
          <w:rtl/>
        </w:rPr>
        <w:t>סוגיית הגדרת המושגים והבהרתם נוגעת לא רק לתחום המדיניות הנחקר, אלא גם לאופן שבו מהלך ההפרטה נתפס בציבור</w:t>
      </w:r>
      <w:r w:rsidRPr="00911580" w:rsidDel="00884D14">
        <w:rPr>
          <w:rFonts w:hint="cs"/>
          <w:sz w:val="18"/>
          <w:szCs w:val="20"/>
          <w:rtl/>
        </w:rPr>
        <w:t xml:space="preserve"> </w:t>
      </w:r>
      <w:r w:rsidRPr="00911580">
        <w:rPr>
          <w:rFonts w:hint="cs"/>
          <w:sz w:val="18"/>
          <w:szCs w:val="20"/>
          <w:rtl/>
        </w:rPr>
        <w:t xml:space="preserve">ולאופן שבו הוא מבוצע. על כן בדקנו את תגובת הציבור גם למושג "הפרטה חלקית". במקרים רבים מושג זה מתאר את מדיניות הממשלה טוב יותר מהמונח הכללי "הפרטה", אשר עשוי להעלות תמונה של העברה טוטאלית של שירותים </w:t>
      </w:r>
      <w:r w:rsidRPr="00911580">
        <w:rPr>
          <w:rFonts w:hint="cs"/>
          <w:sz w:val="18"/>
          <w:szCs w:val="20"/>
          <w:rtl/>
        </w:rPr>
        <w:lastRenderedPageBreak/>
        <w:t>ותשתיות מהמדינה אל השוק הפרטי. תמונה כזאת עלולה להיות מלווה באסוציאציות שליליות של הפקרה, הזנחה, התנערות מאחריות או התרפסות בפני בעלי ממון. "הפרטה חלקית" זכתה בקרב הציבור לתמיכה רבה יותר מ"הפרטה", אם כי בנוגע לשירותים חברתיים עדיין הועדפה על פניה האופציה של השארתם בידי הממשלה.</w:t>
      </w:r>
    </w:p>
    <w:p w14:paraId="40841F49"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בפרספקטיבה בין-לאומית, ראינו כי מצד אחד ההתנגדות הנרחבת בציבור להפרטת שירותים חברתיים איננה תופעה ייחודית לישראל. למעשה, היא תואמת את התמונה העולה מסקירת דעת הקהל העולמית. מן הצד האחר, גם התמיכה הרחבה יחסית בהפרטת תשתיות איננה יוצאת מגדר הרגיל, אם כי נראה כי בנושא זה הציבור בישראל מגלה פתיחות רבה יותר ממקביליו ברוב מדינות העולם. ייתכן כי הדבר נובע מתחושת המיאוס המשתקפת בתקשורת הישראלית ממה שמתואר כהתנהגות כוחנית, אינטרסנטית ולעיתים חסרת מעצורים של ועדי עובדים גדולים ורבי עוצמה הנמצאים "עם היד על </w:t>
      </w:r>
      <w:proofErr w:type="spellStart"/>
      <w:r w:rsidRPr="00911580">
        <w:rPr>
          <w:rFonts w:hint="cs"/>
          <w:sz w:val="18"/>
          <w:szCs w:val="20"/>
          <w:rtl/>
        </w:rPr>
        <w:t>השאלטר</w:t>
      </w:r>
      <w:proofErr w:type="spellEnd"/>
      <w:r w:rsidRPr="00911580">
        <w:rPr>
          <w:rFonts w:hint="cs"/>
          <w:sz w:val="18"/>
          <w:szCs w:val="20"/>
          <w:rtl/>
        </w:rPr>
        <w:t>" (</w:t>
      </w:r>
      <w:r w:rsidRPr="00911580">
        <w:rPr>
          <w:sz w:val="18"/>
          <w:szCs w:val="20"/>
          <w:rtl/>
        </w:rPr>
        <w:t>גוטמן</w:t>
      </w:r>
      <w:r w:rsidRPr="00911580">
        <w:rPr>
          <w:rFonts w:hint="cs"/>
          <w:sz w:val="18"/>
          <w:szCs w:val="20"/>
          <w:rtl/>
        </w:rPr>
        <w:t>,</w:t>
      </w:r>
      <w:r w:rsidRPr="00911580">
        <w:rPr>
          <w:sz w:val="18"/>
          <w:szCs w:val="20"/>
          <w:rtl/>
        </w:rPr>
        <w:t xml:space="preserve"> 2013</w:t>
      </w:r>
      <w:r w:rsidRPr="00911580">
        <w:rPr>
          <w:rFonts w:hint="cs"/>
          <w:sz w:val="18"/>
          <w:szCs w:val="20"/>
          <w:rtl/>
        </w:rPr>
        <w:t xml:space="preserve">; שפורר, 2011). עוד ייתכן כי כמו במדינות אחרות, הציבור הישראלי שואף לאמץ רכיבים של שוק תחרותי בלי לוותר לחלוטין על המעורבות הממשלתית בחיי הכלכלה, כפי שמרמזת נכונותו לאמץ במידה מסוימת מודל של הפרטה חלקית כלפי שירותים ציבוריים. </w:t>
      </w:r>
    </w:p>
    <w:p w14:paraId="27B10E56"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על אף האמור לעיל, </w:t>
      </w:r>
      <w:r w:rsidRPr="00911580">
        <w:rPr>
          <w:sz w:val="18"/>
          <w:szCs w:val="20"/>
          <w:rtl/>
        </w:rPr>
        <w:t xml:space="preserve">ישראל </w:t>
      </w:r>
      <w:r w:rsidRPr="00911580">
        <w:rPr>
          <w:rFonts w:hint="cs"/>
          <w:sz w:val="18"/>
          <w:szCs w:val="20"/>
          <w:rtl/>
        </w:rPr>
        <w:t>שונה מ</w:t>
      </w:r>
      <w:r w:rsidRPr="00911580">
        <w:rPr>
          <w:sz w:val="18"/>
          <w:szCs w:val="20"/>
          <w:rtl/>
        </w:rPr>
        <w:t>מדינות אחרות בכך שה</w:t>
      </w:r>
      <w:r w:rsidRPr="00911580">
        <w:rPr>
          <w:rFonts w:hint="cs"/>
          <w:sz w:val="18"/>
          <w:szCs w:val="20"/>
          <w:rtl/>
        </w:rPr>
        <w:t>ציר הכלכלי-חברתי אינו ממלא מקום משמעותי ב</w:t>
      </w:r>
      <w:r w:rsidRPr="00911580">
        <w:rPr>
          <w:sz w:val="18"/>
          <w:szCs w:val="20"/>
          <w:rtl/>
        </w:rPr>
        <w:t>פוליטיקה שלה. זו</w:t>
      </w:r>
      <w:r w:rsidRPr="00911580">
        <w:rPr>
          <w:rFonts w:hint="cs"/>
          <w:sz w:val="18"/>
          <w:szCs w:val="20"/>
          <w:rtl/>
        </w:rPr>
        <w:t>,</w:t>
      </w:r>
      <w:r w:rsidRPr="00911580">
        <w:rPr>
          <w:sz w:val="18"/>
          <w:szCs w:val="20"/>
          <w:rtl/>
        </w:rPr>
        <w:t xml:space="preserve"> ככל הנראה, אחת הסיבות ה</w:t>
      </w:r>
      <w:r w:rsidRPr="00911580">
        <w:rPr>
          <w:rFonts w:hint="cs"/>
          <w:sz w:val="18"/>
          <w:szCs w:val="20"/>
          <w:rtl/>
        </w:rPr>
        <w:t>עיקריות ל</w:t>
      </w:r>
      <w:r w:rsidRPr="00911580">
        <w:rPr>
          <w:sz w:val="18"/>
          <w:szCs w:val="20"/>
          <w:rtl/>
        </w:rPr>
        <w:t xml:space="preserve">כך שרמת ההכנסה, </w:t>
      </w:r>
      <w:r w:rsidRPr="00911580">
        <w:rPr>
          <w:rFonts w:hint="cs"/>
          <w:sz w:val="18"/>
          <w:szCs w:val="20"/>
          <w:rtl/>
        </w:rPr>
        <w:t>אף ש</w:t>
      </w:r>
      <w:r w:rsidRPr="00911580">
        <w:rPr>
          <w:sz w:val="18"/>
          <w:szCs w:val="20"/>
          <w:rtl/>
        </w:rPr>
        <w:t xml:space="preserve">השפעתה נמצאה מובהקת במודל הרגרסיה, איננה כה משמעותית </w:t>
      </w:r>
      <w:r w:rsidRPr="00911580">
        <w:rPr>
          <w:rFonts w:hint="cs"/>
          <w:sz w:val="18"/>
          <w:szCs w:val="20"/>
          <w:rtl/>
        </w:rPr>
        <w:t>בהשוואה ל</w:t>
      </w:r>
      <w:r w:rsidRPr="00911580">
        <w:rPr>
          <w:sz w:val="18"/>
          <w:szCs w:val="20"/>
          <w:rtl/>
        </w:rPr>
        <w:t>גורמים שאינם מטריאליסטיים במהותם</w:t>
      </w:r>
      <w:r w:rsidRPr="00911580">
        <w:rPr>
          <w:rFonts w:hint="cs"/>
          <w:sz w:val="18"/>
          <w:szCs w:val="20"/>
          <w:rtl/>
        </w:rPr>
        <w:t>:</w:t>
      </w:r>
      <w:r w:rsidRPr="00911580">
        <w:rPr>
          <w:sz w:val="18"/>
          <w:szCs w:val="20"/>
          <w:rtl/>
        </w:rPr>
        <w:t xml:space="preserve"> השקפ</w:t>
      </w:r>
      <w:r w:rsidRPr="00911580">
        <w:rPr>
          <w:rFonts w:hint="cs"/>
          <w:sz w:val="18"/>
          <w:szCs w:val="20"/>
          <w:rtl/>
        </w:rPr>
        <w:t>ה כלכלית-חברתי</w:t>
      </w:r>
      <w:r w:rsidRPr="00911580">
        <w:rPr>
          <w:sz w:val="18"/>
          <w:szCs w:val="20"/>
          <w:rtl/>
        </w:rPr>
        <w:t xml:space="preserve">ת, השתייכות אתנית ורמת דתיות. אף על פי כן, אין בכך </w:t>
      </w:r>
      <w:r w:rsidRPr="00911580">
        <w:rPr>
          <w:rFonts w:hint="cs"/>
          <w:sz w:val="18"/>
          <w:szCs w:val="20"/>
          <w:rtl/>
        </w:rPr>
        <w:t xml:space="preserve">כדי </w:t>
      </w:r>
      <w:r w:rsidRPr="00911580">
        <w:rPr>
          <w:sz w:val="18"/>
          <w:szCs w:val="20"/>
          <w:rtl/>
        </w:rPr>
        <w:t xml:space="preserve">לשלול הסברים הנשענים על רציונל של מקסום </w:t>
      </w:r>
      <w:r w:rsidRPr="00911580">
        <w:rPr>
          <w:rFonts w:hint="cs"/>
          <w:sz w:val="18"/>
          <w:szCs w:val="20"/>
          <w:rtl/>
        </w:rPr>
        <w:t>ה</w:t>
      </w:r>
      <w:r w:rsidRPr="00911580">
        <w:rPr>
          <w:sz w:val="18"/>
          <w:szCs w:val="20"/>
          <w:rtl/>
        </w:rPr>
        <w:t xml:space="preserve">תועלות </w:t>
      </w:r>
      <w:r w:rsidRPr="00911580">
        <w:rPr>
          <w:rFonts w:hint="cs"/>
          <w:sz w:val="18"/>
          <w:szCs w:val="20"/>
          <w:rtl/>
        </w:rPr>
        <w:t>ה</w:t>
      </w:r>
      <w:r w:rsidRPr="00911580">
        <w:rPr>
          <w:sz w:val="18"/>
          <w:szCs w:val="20"/>
          <w:rtl/>
        </w:rPr>
        <w:t xml:space="preserve">אישיות, שכן </w:t>
      </w:r>
      <w:r w:rsidRPr="00911580">
        <w:rPr>
          <w:rFonts w:hint="cs"/>
          <w:sz w:val="18"/>
          <w:szCs w:val="20"/>
          <w:rtl/>
        </w:rPr>
        <w:t>נמצא כי ל</w:t>
      </w:r>
      <w:r w:rsidRPr="00911580">
        <w:rPr>
          <w:sz w:val="18"/>
          <w:szCs w:val="20"/>
          <w:rtl/>
        </w:rPr>
        <w:t>השתייכות לוועד עובדים</w:t>
      </w:r>
      <w:r w:rsidRPr="00911580">
        <w:rPr>
          <w:rFonts w:hint="cs"/>
          <w:sz w:val="18"/>
          <w:szCs w:val="20"/>
          <w:rtl/>
        </w:rPr>
        <w:t>,</w:t>
      </w:r>
      <w:r w:rsidRPr="00911580">
        <w:rPr>
          <w:sz w:val="18"/>
          <w:szCs w:val="20"/>
          <w:rtl/>
        </w:rPr>
        <w:t xml:space="preserve"> למשל, </w:t>
      </w:r>
      <w:r w:rsidRPr="00911580">
        <w:rPr>
          <w:rFonts w:hint="cs"/>
          <w:sz w:val="18"/>
          <w:szCs w:val="20"/>
          <w:rtl/>
        </w:rPr>
        <w:t>יש קשר מובהק</w:t>
      </w:r>
      <w:r w:rsidRPr="00911580">
        <w:rPr>
          <w:sz w:val="18"/>
          <w:szCs w:val="20"/>
          <w:rtl/>
        </w:rPr>
        <w:t xml:space="preserve"> לעמדה כלפי הפרטה.</w:t>
      </w:r>
    </w:p>
    <w:p w14:paraId="4E7FB269" w14:textId="77777777" w:rsidR="00B4735A" w:rsidRPr="00911580" w:rsidRDefault="00B4735A" w:rsidP="00911580">
      <w:pPr>
        <w:spacing w:after="180" w:line="280" w:lineRule="exact"/>
        <w:jc w:val="both"/>
        <w:rPr>
          <w:sz w:val="18"/>
          <w:szCs w:val="20"/>
          <w:rtl/>
        </w:rPr>
      </w:pPr>
      <w:r w:rsidRPr="009C161B">
        <w:rPr>
          <w:rFonts w:hint="cs"/>
          <w:sz w:val="18"/>
          <w:szCs w:val="20"/>
          <w:rtl/>
        </w:rPr>
        <w:t xml:space="preserve">תמיכתם הבולטת של יהודים בהפרטה באופן כללי ובהפרטת תשתיות, בהשוואה ללא-יהודים, תואמת את ממצאיהם של כהן ועמיתים (2010), וכן את הממצאים במחקרים בין-לאומיים העוסקים בשסעים אתניים ובמדינת הרווחה. גם בנושא המגדרי אפשר לומר כי ממצאי מחקר זה הולכים בעקבות מחקרים קודמים, ולפיהם נשים נוטות לתמוך במדינת הרווחה יותר מגברים, אם כי לא באופן עקבי וחד-משמעי. ממצא בולט נוסף העולה ממחקר זה הוא תמיכתם של "דתיים מאוד" במדיניות ההפרטה, גם של שירותים חברתיים, זאת אף שכמו המגזרים האחרים, גם מי שמגדירים עצמם דתיים מאוד תומכים בהתערבות המדינה בחיי הכלכלה. בנקודה זו ממצאי המחקר אינם עולים בקנה אחד עם ממצאיהם של כהן ועמיתים (2010), אשר הראו כי דתיים וחרדים תומכים יותר ממסורתיים וחילונים בהגדלת מעורבותה של המדינה בכלכלה ובחיי הפרט. ייתכן שההבדלים נובעים מהמיקוד השונה של כל אחד מהמחקרים. כהן ועמיתים דנו בעמדות כלפי מדינת הרווחה באופן כללי יותר, ואילו מחקר זה מתמקד בשאלת ההפרטה. מכאן ייתכן כי יותר ממגזרים אחרים, פרטים המשתייכים לקהילות דתיות מאוד מבדילים בין מימון שירותים לאספקת שירותים, </w:t>
      </w:r>
      <w:r w:rsidRPr="009C161B">
        <w:rPr>
          <w:rFonts w:hint="cs"/>
          <w:sz w:val="18"/>
          <w:szCs w:val="20"/>
          <w:rtl/>
        </w:rPr>
        <w:lastRenderedPageBreak/>
        <w:t xml:space="preserve">ובהתאם לממצאיהם של מחקרים קודמים </w:t>
      </w:r>
      <w:r w:rsidRPr="009C161B">
        <w:rPr>
          <w:sz w:val="18"/>
          <w:szCs w:val="20"/>
          <w:rtl/>
        </w:rPr>
        <w:t>–</w:t>
      </w:r>
      <w:r w:rsidRPr="009C161B">
        <w:rPr>
          <w:rFonts w:hint="cs"/>
          <w:sz w:val="18"/>
          <w:szCs w:val="20"/>
          <w:rtl/>
        </w:rPr>
        <w:t xml:space="preserve"> תומכים בחלוקה מחדש של המשאבים בידי המדינה, אך בה בעת מעדיפים לשמור את אספקתם בידי ארגונים קהילתיים.</w:t>
      </w:r>
      <w:r w:rsidRPr="009C161B">
        <w:rPr>
          <w:rStyle w:val="FootnoteReference"/>
          <w:sz w:val="18"/>
          <w:szCs w:val="20"/>
          <w:rtl/>
        </w:rPr>
        <w:footnoteReference w:id="9"/>
      </w:r>
    </w:p>
    <w:p w14:paraId="13EC56B1"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משתנה מעניין נוסף הוא הגיל. אף על פי שממצאי הסקר תואמים את השערת המחקר שלפיה ההתנגדות להפרטה תגבר עם הגיל, ייתכן כי בכל זאת יש בממצאים אלה משום הפתעה מסוימת. זאת משום שלאור המחאה החברתית של קיץ 2011 </w:t>
      </w:r>
      <w:r w:rsidRPr="00911580">
        <w:rPr>
          <w:sz w:val="18"/>
          <w:szCs w:val="20"/>
          <w:rtl/>
        </w:rPr>
        <w:t>–</w:t>
      </w:r>
      <w:r w:rsidRPr="00911580">
        <w:rPr>
          <w:rFonts w:hint="cs"/>
          <w:sz w:val="18"/>
          <w:szCs w:val="20"/>
          <w:rtl/>
        </w:rPr>
        <w:t xml:space="preserve"> והשיח שנוצר בעקבותיה </w:t>
      </w:r>
      <w:r w:rsidRPr="00911580">
        <w:rPr>
          <w:sz w:val="18"/>
          <w:szCs w:val="20"/>
          <w:rtl/>
        </w:rPr>
        <w:t>–</w:t>
      </w:r>
      <w:r w:rsidRPr="00911580">
        <w:rPr>
          <w:rFonts w:hint="cs"/>
          <w:sz w:val="18"/>
          <w:szCs w:val="20"/>
          <w:rtl/>
        </w:rPr>
        <w:t xml:space="preserve"> השתררה התחושה כי הדור הצעיר פונה לעבר עמדות סוציאליסטיות יותר בהשוואה לקודמיו. עם זאת, לא מן הנמנע כי אכזבתם של הצעירים מתוצאותיה המיידיות של המחאה היא שהביאה אותם לפנות דווקא לכיוון ההפוך. </w:t>
      </w:r>
    </w:p>
    <w:p w14:paraId="6CC67108" w14:textId="77777777" w:rsidR="00B4735A" w:rsidRPr="00911580" w:rsidRDefault="00B4735A" w:rsidP="00911580">
      <w:pPr>
        <w:spacing w:after="180" w:line="280" w:lineRule="exact"/>
        <w:jc w:val="both"/>
        <w:rPr>
          <w:sz w:val="18"/>
          <w:szCs w:val="20"/>
          <w:rtl/>
        </w:rPr>
      </w:pPr>
      <w:r w:rsidRPr="00911580">
        <w:rPr>
          <w:rFonts w:hint="cs"/>
          <w:sz w:val="18"/>
          <w:szCs w:val="20"/>
          <w:rtl/>
        </w:rPr>
        <w:t>לבסוף, ממצאי המחקר מפנים זרקור אל סוגיות יסוד רחבות ועמוקות יותר, המשתרעות מעבר לגבולות הדיון בהפרטה ובמדינת הרווחה. הללו נוגעות בשאלות של אמון הציבור במוסדות השלטון ובקיטוב חברתי בין קבוצות האוכלוסייה המגוונות המרכיבות את הפסיפס הישראלי. מגפת הקורונה העמיקה, כך נדמה, את חוסר האמון הציבורי במוסדות השלטון, והבליטה את המחלוקות והשסעים הקיימים ממילא בין מגזרי החברה הישראלית. בה בעת היא ה</w:t>
      </w:r>
      <w:r w:rsidRPr="00911580">
        <w:rPr>
          <w:sz w:val="18"/>
          <w:szCs w:val="20"/>
          <w:rtl/>
        </w:rPr>
        <w:t>ציבה בקדמת הבמה את העיסוק בשאלות כלכליות-חברתיות מובהקות הנוגעות לליבתה של מדינת הרווחה, כגון תשתיות מערכת הבריאות הציבורית, מצבם של מוסדות לטיפול בקשישים</w:t>
      </w:r>
      <w:r w:rsidRPr="00911580">
        <w:rPr>
          <w:rFonts w:hint="cs"/>
          <w:sz w:val="18"/>
          <w:szCs w:val="20"/>
          <w:rtl/>
        </w:rPr>
        <w:t xml:space="preserve"> ו</w:t>
      </w:r>
      <w:r w:rsidRPr="00911580">
        <w:rPr>
          <w:sz w:val="18"/>
          <w:szCs w:val="20"/>
          <w:rtl/>
        </w:rPr>
        <w:t>הצורך בתשלומי העברה ממשלתיים.</w:t>
      </w:r>
      <w:r w:rsidRPr="00911580">
        <w:rPr>
          <w:rFonts w:hint="cs"/>
          <w:sz w:val="18"/>
          <w:szCs w:val="20"/>
          <w:rtl/>
        </w:rPr>
        <w:t xml:space="preserve"> על כן, במיוחד בימים אלה עלינו להקשיב ברוב קשב לרחשי הלב של הציבור, להבין את רצונותיו ולברר דעותיו באותם נושאים המשפיעים במישרין על חיי היום-יום שלו, ולהביאם לידיעת מקבלי ההחלטות, כדי שישמשו חלק בלתי נפרד ממערך שיקוליהם.</w:t>
      </w:r>
    </w:p>
    <w:p w14:paraId="13EB2A9B" w14:textId="67ABF6C9" w:rsidR="00B4735A" w:rsidRDefault="00B4735A" w:rsidP="00911580">
      <w:pPr>
        <w:spacing w:after="180" w:line="280" w:lineRule="exact"/>
        <w:jc w:val="both"/>
        <w:rPr>
          <w:rFonts w:eastAsia="Calibri"/>
          <w:b/>
          <w:bCs/>
          <w:sz w:val="18"/>
          <w:szCs w:val="20"/>
          <w:rtl/>
        </w:rPr>
      </w:pPr>
    </w:p>
    <w:p w14:paraId="4B276B50" w14:textId="77777777" w:rsidR="00E62E88" w:rsidRPr="00911580" w:rsidRDefault="00E62E88" w:rsidP="00911580">
      <w:pPr>
        <w:spacing w:after="180" w:line="280" w:lineRule="exact"/>
        <w:jc w:val="both"/>
        <w:rPr>
          <w:rFonts w:eastAsia="Calibri"/>
          <w:b/>
          <w:bCs/>
          <w:sz w:val="18"/>
          <w:szCs w:val="20"/>
          <w:rtl/>
        </w:rPr>
      </w:pPr>
    </w:p>
    <w:p w14:paraId="3FCE48F6" w14:textId="60D79849" w:rsidR="00B4735A" w:rsidRPr="00B4735A" w:rsidRDefault="00B4735A" w:rsidP="00B4735A">
      <w:pPr>
        <w:pStyle w:val="KOT4"/>
        <w:spacing w:after="0"/>
        <w:ind w:left="397" w:right="0" w:hanging="397"/>
        <w:rPr>
          <w:rFonts w:cs="Guttman Aharoni"/>
          <w:color w:val="00B0F0"/>
          <w:sz w:val="32"/>
          <w:szCs w:val="32"/>
          <w:rtl/>
        </w:rPr>
      </w:pPr>
      <w:r w:rsidRPr="00B4735A">
        <w:rPr>
          <w:rFonts w:cs="Guttman Aharoni" w:hint="cs"/>
          <w:color w:val="00B0F0"/>
          <w:sz w:val="32"/>
          <w:szCs w:val="32"/>
          <w:rtl/>
        </w:rPr>
        <w:t xml:space="preserve">8. סיכום </w:t>
      </w:r>
    </w:p>
    <w:p w14:paraId="67D1D83C"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עמדות הציבור כלפי הפרטה משתנות בצורה ניכרת בהתאם לתחום ההפרטה. הציבור נוטה ברובו להתנגד להפרטת שירותים חברתיים, ולתמוך בהפרטת תשתיות ממשלתיות. נטייתו של הציבור להתנגד להפרטת שירותים חברתיים בולטת על רקע השתרשותה של התפיסה הניאו-ליברלית כפרדיגמה הכלכלית השלטת בעשורים האחרונים בישראל, כמו במדינות אחרות בעולם, בקרב האליטה הכלכלית, הפוליטית והאינטלקטואלית. עם זאת, קיים מתח בין התנגדות הציבור להפרטת שירותים חברתיים להסתייגותו ממימונם באמצעות תשלום </w:t>
      </w:r>
      <w:r w:rsidRPr="00911580">
        <w:rPr>
          <w:rFonts w:hint="cs"/>
          <w:sz w:val="18"/>
          <w:szCs w:val="20"/>
          <w:rtl/>
        </w:rPr>
        <w:lastRenderedPageBreak/>
        <w:t>מיסים. יש בכך כדי ללמד על פער בין צידוד במדינת הרווחה ברמה ההצהרתית לתמיכה בה בפועל. כמו כן הציבור מגלה עמדה מרוככת יותר כלפי מה שהוגדר כ"הפרטה חלקית", המתבססת למעשה על מיקור חוץ של אספקת השירותים בד בבד עם המשך המימון והפיקוח הממשלתי. ממצאים אלה מצביעים על כך כי למושג "הפרטה" עשויות להיות משמעויות שונות, ומלמדים על העמימות האופפת מושג זה לעיתים קרובות.</w:t>
      </w:r>
      <w:r w:rsidRPr="00911580">
        <w:rPr>
          <w:rStyle w:val="FootnoteReference"/>
          <w:sz w:val="18"/>
          <w:szCs w:val="20"/>
          <w:rtl/>
        </w:rPr>
        <w:footnoteReference w:id="10"/>
      </w:r>
      <w:r w:rsidRPr="00911580">
        <w:rPr>
          <w:rFonts w:hint="cs"/>
          <w:sz w:val="18"/>
          <w:szCs w:val="20"/>
          <w:rtl/>
        </w:rPr>
        <w:t xml:space="preserve"> </w:t>
      </w:r>
    </w:p>
    <w:p w14:paraId="786171F3" w14:textId="77777777" w:rsidR="00B4735A" w:rsidRPr="00911580" w:rsidRDefault="00B4735A" w:rsidP="00911580">
      <w:pPr>
        <w:spacing w:after="180" w:line="280" w:lineRule="exact"/>
        <w:jc w:val="both"/>
        <w:rPr>
          <w:sz w:val="18"/>
          <w:szCs w:val="20"/>
          <w:rtl/>
        </w:rPr>
      </w:pPr>
      <w:r w:rsidRPr="00911580">
        <w:rPr>
          <w:rFonts w:hint="cs"/>
          <w:sz w:val="18"/>
          <w:szCs w:val="20"/>
          <w:rtl/>
        </w:rPr>
        <w:t>אף כי ניתן למצוא במחקר זה אישוש להסברים הנשענים על מקסום תועלות אישיות, נראה כי עמדות הפרטים כלפי סוגיית ההפרטה מעוצבות במידה רבה על ידי משתנים לא-חומריים הנוגעים לזהות קולקטיבית, לאמונות ולתפיסות ערכיות. ברמה התיאורטית יש בכך כדי ללמד כיצד משתנים שאינם נמצאים, בדרך כלל, בליבת המחקר הכלכלי, עשויים למלא תפקיד חשוב בהסבר תופעות בעלות גוון כלכלי מובהק.</w:t>
      </w:r>
    </w:p>
    <w:p w14:paraId="4D5D76A8" w14:textId="2BD4C10B" w:rsidR="00B4735A" w:rsidRPr="00911580" w:rsidRDefault="00B4735A" w:rsidP="00911580">
      <w:pPr>
        <w:spacing w:after="180" w:line="280" w:lineRule="exact"/>
        <w:jc w:val="both"/>
        <w:rPr>
          <w:sz w:val="18"/>
          <w:szCs w:val="20"/>
          <w:rtl/>
        </w:rPr>
      </w:pPr>
      <w:r w:rsidRPr="00911580">
        <w:rPr>
          <w:rFonts w:hint="cs"/>
          <w:sz w:val="18"/>
          <w:szCs w:val="20"/>
          <w:rtl/>
        </w:rPr>
        <w:t xml:space="preserve">הסקר נערך, כאמור, לפני הזעזועים הפוליטיים שחוותה מדינת ישראל בעקבות שרשרת מערכות הבחירות בשנים האחרונות וטרם פרוץ מגפת הקורונה. אירועים משמעותיים אלה עשויים היו להשפיע על השקפות האזרחים בכיוונים שונים, ועל כן מחקר עתידי על עמדות כלכליות וחברתיות של האזרחים עשוי להצביע על תוצאות שונות. עם זאת, ראוי לציין כי אחד הממצאים הבולטים במחקר זה הוא קיומה של התנגדות רחבת היקף כמעט בקרב כל קבוצות האוכלוסייה להפרטת שירותים חברתיים. התנגדות זו חוצה כמעט כל מגזר, מעמד ומגדר </w:t>
      </w:r>
      <w:r w:rsidRPr="00911580">
        <w:rPr>
          <w:sz w:val="18"/>
          <w:szCs w:val="20"/>
          <w:rtl/>
        </w:rPr>
        <w:t>–</w:t>
      </w:r>
      <w:r w:rsidRPr="00911580">
        <w:rPr>
          <w:rFonts w:hint="cs"/>
          <w:sz w:val="18"/>
          <w:szCs w:val="20"/>
          <w:rtl/>
        </w:rPr>
        <w:t xml:space="preserve"> או שמא מאחדת ביניהם. כך, </w:t>
      </w:r>
      <w:r w:rsidRPr="00911580">
        <w:rPr>
          <w:sz w:val="18"/>
          <w:szCs w:val="20"/>
          <w:rtl/>
        </w:rPr>
        <w:t xml:space="preserve">עם התעצמותם של מתחים חברתיים על רקע מגפת הקורונה, </w:t>
      </w:r>
      <w:r w:rsidRPr="00911580">
        <w:rPr>
          <w:rFonts w:hint="cs"/>
          <w:sz w:val="18"/>
          <w:szCs w:val="20"/>
          <w:rtl/>
        </w:rPr>
        <w:t xml:space="preserve">התהוותם של איומים כלכליים והתמשכותו של </w:t>
      </w:r>
      <w:r w:rsidRPr="00911580">
        <w:rPr>
          <w:sz w:val="18"/>
          <w:szCs w:val="20"/>
          <w:rtl/>
        </w:rPr>
        <w:t>משבר פוליטי</w:t>
      </w:r>
      <w:r w:rsidRPr="00911580">
        <w:rPr>
          <w:rFonts w:hint="cs"/>
          <w:sz w:val="18"/>
          <w:szCs w:val="20"/>
          <w:rtl/>
        </w:rPr>
        <w:t xml:space="preserve"> חריף, ראוי לבחון את חשיבותה של מדינת הרווחה לא רק כמנגנון ביטוח או כמכשיר להקצאה מחדש של טובין ציבוריים, אלא כ"דבק חברתי" רב-עוצמה, אשר בכוחו לסייע באיחוי שסעיה העמוקים של חברה מפולגת, המיטלטלת ממשבר למשבר.</w:t>
      </w:r>
    </w:p>
    <w:p w14:paraId="159DDCC8" w14:textId="77777777" w:rsidR="00B4735A" w:rsidRPr="00911580" w:rsidRDefault="00B4735A" w:rsidP="00911580">
      <w:pPr>
        <w:spacing w:after="180" w:line="280" w:lineRule="exact"/>
        <w:jc w:val="both"/>
        <w:rPr>
          <w:sz w:val="18"/>
          <w:szCs w:val="20"/>
          <w:rtl/>
        </w:rPr>
      </w:pPr>
      <w:r w:rsidRPr="00911580">
        <w:rPr>
          <w:rFonts w:hint="cs"/>
          <w:sz w:val="18"/>
          <w:szCs w:val="20"/>
          <w:rtl/>
        </w:rPr>
        <w:t xml:space="preserve">לסיום, יש לזכור כי עמדות הציבור ונטיות ליבו אינן בהכרח ערובה למדיניות נכונה ורצויה, קל וחומר בנושא מורכב כמו הפרטה. אף על פי כן, אין חולק כי במדינה דמוקרטית, על הדרגים המקצועיים והפוליטיים להיות מודעים להעדפותיה הכלכליות, החברתיות והנורמטיביות של האוכלוסייה שהם משרתים. סקרי דעת קהל כגון זה מאפשרים למקבלי ההחלטות להתוודע לדעות הרווחות בציבור, על מגזריו ורבדיו השונים. כך אפשר לזהות פערים בין דעת הקהל לבין העמדות המושמעות בתוך מעגל קבלת ההחלטות המקצועי והפוליטי, ולנסות ולגשר עליהם למען קידומו של שיח ציבורי פורה ומושכל יותר. </w:t>
      </w:r>
    </w:p>
    <w:p w14:paraId="787236C5" w14:textId="49FA09B4" w:rsidR="00B4735A" w:rsidRPr="00B4735A" w:rsidRDefault="00B4735A" w:rsidP="00B4735A">
      <w:pPr>
        <w:pStyle w:val="KOT4"/>
        <w:spacing w:after="0"/>
        <w:ind w:left="397" w:right="0" w:hanging="397"/>
        <w:rPr>
          <w:rFonts w:cs="Guttman Aharoni"/>
          <w:color w:val="00B0F0"/>
          <w:sz w:val="32"/>
          <w:szCs w:val="32"/>
          <w:rtl/>
        </w:rPr>
      </w:pPr>
      <w:r w:rsidRPr="00B4735A">
        <w:rPr>
          <w:rFonts w:cs="Guttman Aharoni" w:hint="cs"/>
          <w:color w:val="00B0F0"/>
          <w:sz w:val="32"/>
          <w:szCs w:val="32"/>
          <w:rtl/>
        </w:rPr>
        <w:lastRenderedPageBreak/>
        <w:t>מקורות</w:t>
      </w:r>
    </w:p>
    <w:p w14:paraId="50AC160E" w14:textId="77777777" w:rsidR="00B4735A" w:rsidRPr="00911580" w:rsidRDefault="00B4735A" w:rsidP="00911580">
      <w:pPr>
        <w:spacing w:after="180" w:line="280" w:lineRule="exact"/>
        <w:ind w:left="284" w:hanging="284"/>
        <w:jc w:val="both"/>
        <w:rPr>
          <w:sz w:val="18"/>
          <w:szCs w:val="20"/>
        </w:rPr>
      </w:pPr>
      <w:proofErr w:type="spellStart"/>
      <w:r w:rsidRPr="00911580">
        <w:rPr>
          <w:rFonts w:hint="cs"/>
          <w:sz w:val="18"/>
          <w:szCs w:val="20"/>
          <w:rtl/>
        </w:rPr>
        <w:t>אטמור</w:t>
      </w:r>
      <w:proofErr w:type="spellEnd"/>
      <w:r w:rsidRPr="00911580">
        <w:rPr>
          <w:rFonts w:hint="cs"/>
          <w:sz w:val="18"/>
          <w:szCs w:val="20"/>
          <w:rtl/>
        </w:rPr>
        <w:t xml:space="preserve">, נ', </w:t>
      </w:r>
      <w:proofErr w:type="spellStart"/>
      <w:r w:rsidRPr="00911580">
        <w:rPr>
          <w:rFonts w:hint="cs"/>
          <w:sz w:val="18"/>
          <w:szCs w:val="20"/>
          <w:rtl/>
        </w:rPr>
        <w:t>אריאן</w:t>
      </w:r>
      <w:proofErr w:type="spellEnd"/>
      <w:r w:rsidRPr="00911580">
        <w:rPr>
          <w:rFonts w:hint="cs"/>
          <w:sz w:val="18"/>
          <w:szCs w:val="20"/>
          <w:rtl/>
        </w:rPr>
        <w:t xml:space="preserve">, א', הדר, י', הרמן, ת', לבל, י' וצבן, ה' (2008). </w:t>
      </w:r>
      <w:r w:rsidRPr="00911580">
        <w:rPr>
          <w:rFonts w:hint="cs"/>
          <w:b/>
          <w:bCs/>
          <w:sz w:val="18"/>
          <w:szCs w:val="20"/>
          <w:rtl/>
        </w:rPr>
        <w:t>מדד הדמוקרטיה הישראלית 2008: בין המדינה לבין החברה האזרחית</w:t>
      </w:r>
      <w:r w:rsidRPr="00911580">
        <w:rPr>
          <w:rFonts w:hint="cs"/>
          <w:sz w:val="18"/>
          <w:szCs w:val="20"/>
          <w:rtl/>
        </w:rPr>
        <w:t>. ירושלים: המכון הישראלי לדמוקרטיה.</w:t>
      </w:r>
    </w:p>
    <w:p w14:paraId="74D705E7" w14:textId="77777777" w:rsidR="00B4735A" w:rsidRPr="00117E41" w:rsidRDefault="00B4735A" w:rsidP="00911580">
      <w:pPr>
        <w:spacing w:after="180" w:line="280" w:lineRule="exact"/>
        <w:ind w:left="284" w:hanging="284"/>
        <w:jc w:val="both"/>
        <w:rPr>
          <w:color w:val="000000"/>
          <w:sz w:val="18"/>
          <w:szCs w:val="20"/>
          <w:rtl/>
        </w:rPr>
      </w:pPr>
      <w:proofErr w:type="spellStart"/>
      <w:r w:rsidRPr="00117E41">
        <w:rPr>
          <w:rFonts w:hint="cs"/>
          <w:color w:val="000000"/>
          <w:sz w:val="18"/>
          <w:szCs w:val="20"/>
          <w:rtl/>
        </w:rPr>
        <w:t>בניש</w:t>
      </w:r>
      <w:proofErr w:type="spellEnd"/>
      <w:r w:rsidRPr="00117E41">
        <w:rPr>
          <w:rFonts w:hint="cs"/>
          <w:color w:val="000000"/>
          <w:sz w:val="18"/>
          <w:szCs w:val="20"/>
          <w:rtl/>
        </w:rPr>
        <w:t xml:space="preserve">, א' (2012). שירותי רווחה במאה ה-21: מגמות ואתגרים. </w:t>
      </w:r>
      <w:r w:rsidRPr="00117E41">
        <w:rPr>
          <w:rFonts w:hint="eastAsia"/>
          <w:b/>
          <w:bCs/>
          <w:color w:val="000000"/>
          <w:sz w:val="18"/>
          <w:szCs w:val="20"/>
          <w:rtl/>
        </w:rPr>
        <w:t>ביטחון</w:t>
      </w:r>
      <w:r w:rsidRPr="00117E41">
        <w:rPr>
          <w:b/>
          <w:bCs/>
          <w:color w:val="000000"/>
          <w:sz w:val="18"/>
          <w:szCs w:val="20"/>
          <w:rtl/>
        </w:rPr>
        <w:t xml:space="preserve"> </w:t>
      </w:r>
      <w:r w:rsidRPr="00117E41">
        <w:rPr>
          <w:rFonts w:hint="eastAsia"/>
          <w:b/>
          <w:bCs/>
          <w:color w:val="000000"/>
          <w:sz w:val="18"/>
          <w:szCs w:val="20"/>
          <w:rtl/>
        </w:rPr>
        <w:t>סוציאלי</w:t>
      </w:r>
      <w:r w:rsidRPr="0032315D">
        <w:rPr>
          <w:color w:val="000000"/>
          <w:sz w:val="18"/>
          <w:szCs w:val="20"/>
          <w:rtl/>
        </w:rPr>
        <w:t>,</w:t>
      </w:r>
      <w:r w:rsidRPr="00117E41">
        <w:rPr>
          <w:b/>
          <w:bCs/>
          <w:color w:val="000000"/>
          <w:sz w:val="18"/>
          <w:szCs w:val="20"/>
          <w:rtl/>
        </w:rPr>
        <w:t xml:space="preserve"> 90</w:t>
      </w:r>
      <w:r w:rsidRPr="00117E41">
        <w:rPr>
          <w:rFonts w:hint="cs"/>
          <w:color w:val="000000"/>
          <w:sz w:val="18"/>
          <w:szCs w:val="20"/>
          <w:rtl/>
        </w:rPr>
        <w:t>, 5</w:t>
      </w:r>
      <w:r w:rsidRPr="00117E41">
        <w:rPr>
          <w:color w:val="000000"/>
          <w:sz w:val="18"/>
          <w:szCs w:val="20"/>
          <w:rtl/>
        </w:rPr>
        <w:t>–</w:t>
      </w:r>
      <w:r w:rsidRPr="00117E41">
        <w:rPr>
          <w:rFonts w:hint="cs"/>
          <w:color w:val="000000"/>
          <w:sz w:val="18"/>
          <w:szCs w:val="20"/>
          <w:rtl/>
        </w:rPr>
        <w:t>13.</w:t>
      </w:r>
    </w:p>
    <w:p w14:paraId="22BA6591" w14:textId="23BFDCF6" w:rsidR="0032315D" w:rsidRPr="00117E41" w:rsidRDefault="0032315D" w:rsidP="0032315D">
      <w:pPr>
        <w:spacing w:after="180" w:line="280" w:lineRule="exact"/>
        <w:ind w:left="284" w:hanging="284"/>
        <w:jc w:val="both"/>
        <w:rPr>
          <w:color w:val="000000"/>
          <w:sz w:val="18"/>
          <w:szCs w:val="20"/>
          <w:rtl/>
        </w:rPr>
      </w:pPr>
      <w:r w:rsidRPr="00117E41">
        <w:rPr>
          <w:rFonts w:hint="cs"/>
          <w:color w:val="000000"/>
          <w:sz w:val="18"/>
          <w:szCs w:val="20"/>
          <w:rtl/>
        </w:rPr>
        <w:t xml:space="preserve">ברנד, ג' (2016). מגמות בצמיחת המשק. בתוך א' וייס (עורך), </w:t>
      </w:r>
      <w:r w:rsidRPr="00117E41">
        <w:rPr>
          <w:rFonts w:hint="eastAsia"/>
          <w:b/>
          <w:bCs/>
          <w:color w:val="000000"/>
          <w:sz w:val="18"/>
          <w:szCs w:val="20"/>
          <w:rtl/>
        </w:rPr>
        <w:t>דוח</w:t>
      </w:r>
      <w:r w:rsidRPr="00117E41">
        <w:rPr>
          <w:b/>
          <w:bCs/>
          <w:color w:val="000000"/>
          <w:sz w:val="18"/>
          <w:szCs w:val="20"/>
          <w:rtl/>
        </w:rPr>
        <w:t xml:space="preserve"> </w:t>
      </w:r>
      <w:r w:rsidRPr="00117E41">
        <w:rPr>
          <w:rFonts w:hint="eastAsia"/>
          <w:b/>
          <w:bCs/>
          <w:color w:val="000000"/>
          <w:sz w:val="18"/>
          <w:szCs w:val="20"/>
          <w:rtl/>
        </w:rPr>
        <w:t>מצב</w:t>
      </w:r>
      <w:r w:rsidRPr="00117E41">
        <w:rPr>
          <w:b/>
          <w:bCs/>
          <w:color w:val="000000"/>
          <w:sz w:val="18"/>
          <w:szCs w:val="20"/>
          <w:rtl/>
        </w:rPr>
        <w:t xml:space="preserve"> </w:t>
      </w:r>
      <w:r w:rsidRPr="00117E41">
        <w:rPr>
          <w:rFonts w:hint="eastAsia"/>
          <w:b/>
          <w:bCs/>
          <w:color w:val="000000"/>
          <w:sz w:val="18"/>
          <w:szCs w:val="20"/>
          <w:rtl/>
        </w:rPr>
        <w:t>המדינה</w:t>
      </w:r>
      <w:r w:rsidRPr="00117E41">
        <w:rPr>
          <w:b/>
          <w:bCs/>
          <w:color w:val="000000"/>
          <w:sz w:val="18"/>
          <w:szCs w:val="20"/>
          <w:rtl/>
        </w:rPr>
        <w:t xml:space="preserve">: </w:t>
      </w:r>
      <w:r w:rsidRPr="00117E41">
        <w:rPr>
          <w:rFonts w:hint="eastAsia"/>
          <w:b/>
          <w:bCs/>
          <w:color w:val="000000"/>
          <w:sz w:val="18"/>
          <w:szCs w:val="20"/>
          <w:rtl/>
        </w:rPr>
        <w:t>חברה</w:t>
      </w:r>
      <w:r w:rsidRPr="00117E41">
        <w:rPr>
          <w:b/>
          <w:bCs/>
          <w:color w:val="000000"/>
          <w:sz w:val="18"/>
          <w:szCs w:val="20"/>
          <w:rtl/>
        </w:rPr>
        <w:t xml:space="preserve">, </w:t>
      </w:r>
      <w:r w:rsidRPr="00117E41">
        <w:rPr>
          <w:rFonts w:hint="eastAsia"/>
          <w:b/>
          <w:bCs/>
          <w:color w:val="000000"/>
          <w:sz w:val="18"/>
          <w:szCs w:val="20"/>
          <w:rtl/>
        </w:rPr>
        <w:t>כלכלה</w:t>
      </w:r>
      <w:r w:rsidRPr="00117E41">
        <w:rPr>
          <w:b/>
          <w:bCs/>
          <w:color w:val="000000"/>
          <w:sz w:val="18"/>
          <w:szCs w:val="20"/>
          <w:rtl/>
        </w:rPr>
        <w:t xml:space="preserve"> </w:t>
      </w:r>
      <w:r w:rsidRPr="00117E41">
        <w:rPr>
          <w:rFonts w:hint="eastAsia"/>
          <w:b/>
          <w:bCs/>
          <w:color w:val="000000"/>
          <w:sz w:val="18"/>
          <w:szCs w:val="20"/>
          <w:rtl/>
        </w:rPr>
        <w:t>ומדיניות</w:t>
      </w:r>
      <w:r w:rsidRPr="00117E41">
        <w:rPr>
          <w:b/>
          <w:bCs/>
          <w:color w:val="000000"/>
          <w:sz w:val="18"/>
          <w:szCs w:val="20"/>
          <w:rtl/>
        </w:rPr>
        <w:t xml:space="preserve"> 2016</w:t>
      </w:r>
      <w:r w:rsidRPr="00117E41">
        <w:rPr>
          <w:rFonts w:hint="cs"/>
          <w:color w:val="000000"/>
          <w:sz w:val="18"/>
          <w:szCs w:val="20"/>
          <w:rtl/>
        </w:rPr>
        <w:t xml:space="preserve"> (עמ' 27</w:t>
      </w:r>
      <w:r w:rsidRPr="0032315D">
        <w:rPr>
          <w:rFonts w:ascii="David" w:hAnsi="David"/>
          <w:color w:val="000000"/>
          <w:sz w:val="18"/>
          <w:szCs w:val="20"/>
          <w:rtl/>
        </w:rPr>
        <w:t>–</w:t>
      </w:r>
      <w:r w:rsidRPr="00117E41">
        <w:rPr>
          <w:rFonts w:hint="cs"/>
          <w:color w:val="000000"/>
          <w:sz w:val="18"/>
          <w:szCs w:val="20"/>
          <w:rtl/>
        </w:rPr>
        <w:t xml:space="preserve">56). ירושלים: </w:t>
      </w:r>
      <w:r w:rsidRPr="00117E41">
        <w:rPr>
          <w:color w:val="000000"/>
          <w:sz w:val="18"/>
          <w:szCs w:val="20"/>
          <w:rtl/>
        </w:rPr>
        <w:t xml:space="preserve">מרכז </w:t>
      </w:r>
      <w:proofErr w:type="spellStart"/>
      <w:r w:rsidRPr="00117E41">
        <w:rPr>
          <w:color w:val="000000"/>
          <w:sz w:val="18"/>
          <w:szCs w:val="20"/>
          <w:rtl/>
        </w:rPr>
        <w:t>טאוב</w:t>
      </w:r>
      <w:proofErr w:type="spellEnd"/>
      <w:r w:rsidRPr="00117E41">
        <w:rPr>
          <w:color w:val="000000"/>
          <w:sz w:val="18"/>
          <w:szCs w:val="20"/>
          <w:rtl/>
        </w:rPr>
        <w:t xml:space="preserve"> לחקר המדיניות החברתית בישראל</w:t>
      </w:r>
      <w:r w:rsidRPr="00117E41">
        <w:rPr>
          <w:rFonts w:hint="cs"/>
          <w:color w:val="000000"/>
          <w:sz w:val="18"/>
          <w:szCs w:val="20"/>
          <w:rtl/>
        </w:rPr>
        <w:t>.</w:t>
      </w:r>
    </w:p>
    <w:p w14:paraId="780A618E" w14:textId="77777777" w:rsidR="00B4735A" w:rsidRPr="00117E41" w:rsidRDefault="00B4735A" w:rsidP="00911580">
      <w:pPr>
        <w:spacing w:after="180" w:line="280" w:lineRule="exact"/>
        <w:ind w:left="284" w:hanging="284"/>
        <w:jc w:val="both"/>
        <w:rPr>
          <w:color w:val="000000"/>
          <w:sz w:val="18"/>
          <w:szCs w:val="20"/>
          <w:rtl/>
        </w:rPr>
      </w:pPr>
      <w:r w:rsidRPr="00117E41">
        <w:rPr>
          <w:rFonts w:hint="cs"/>
          <w:color w:val="000000"/>
          <w:sz w:val="18"/>
          <w:szCs w:val="20"/>
          <w:rtl/>
        </w:rPr>
        <w:t xml:space="preserve">גוטמן, ל' (2013, 4 ביוני). </w:t>
      </w:r>
      <w:r w:rsidRPr="00117E41">
        <w:rPr>
          <w:color w:val="000000"/>
          <w:sz w:val="18"/>
          <w:szCs w:val="20"/>
          <w:rtl/>
        </w:rPr>
        <w:t>ועד חברת החשמל מעכב בניית תחנת כוח פרטית של חברת דליה</w:t>
      </w:r>
      <w:r w:rsidRPr="00117E41">
        <w:rPr>
          <w:rFonts w:hint="cs"/>
          <w:color w:val="000000"/>
          <w:sz w:val="18"/>
          <w:szCs w:val="20"/>
          <w:rtl/>
        </w:rPr>
        <w:t xml:space="preserve">. </w:t>
      </w:r>
      <w:proofErr w:type="spellStart"/>
      <w:r w:rsidRPr="00117E41">
        <w:rPr>
          <w:rFonts w:hint="eastAsia"/>
          <w:b/>
          <w:bCs/>
          <w:color w:val="000000"/>
          <w:sz w:val="18"/>
          <w:szCs w:val="20"/>
          <w:rtl/>
        </w:rPr>
        <w:t>כלכליסט</w:t>
      </w:r>
      <w:proofErr w:type="spellEnd"/>
      <w:r w:rsidRPr="00117E41">
        <w:rPr>
          <w:rFonts w:hint="cs"/>
          <w:color w:val="000000"/>
          <w:sz w:val="18"/>
          <w:szCs w:val="20"/>
          <w:rtl/>
        </w:rPr>
        <w:t xml:space="preserve">. </w:t>
      </w:r>
      <w:hyperlink r:id="rId9" w:history="1">
        <w:r w:rsidRPr="00117E41">
          <w:rPr>
            <w:rStyle w:val="Hyperlink"/>
            <w:color w:val="000000"/>
            <w:sz w:val="18"/>
            <w:szCs w:val="20"/>
            <w:u w:val="none"/>
          </w:rPr>
          <w:t>https://www.calcalist.co.il/local/articles/0,7340,L-3604167,00.html</w:t>
        </w:r>
      </w:hyperlink>
      <w:r w:rsidRPr="00117E41">
        <w:rPr>
          <w:color w:val="000000"/>
          <w:sz w:val="18"/>
          <w:szCs w:val="20"/>
          <w:rtl/>
        </w:rPr>
        <w:t xml:space="preserve"> </w:t>
      </w:r>
    </w:p>
    <w:p w14:paraId="414D817E" w14:textId="77777777" w:rsidR="00B4735A" w:rsidRPr="00117E41" w:rsidRDefault="00B4735A" w:rsidP="00911580">
      <w:pPr>
        <w:spacing w:after="180" w:line="280" w:lineRule="exact"/>
        <w:ind w:left="284" w:hanging="284"/>
        <w:jc w:val="both"/>
        <w:rPr>
          <w:color w:val="000000"/>
          <w:sz w:val="18"/>
          <w:szCs w:val="20"/>
          <w:rtl/>
        </w:rPr>
      </w:pPr>
      <w:r w:rsidRPr="00117E41">
        <w:rPr>
          <w:rFonts w:hint="cs"/>
          <w:color w:val="000000"/>
          <w:sz w:val="18"/>
          <w:szCs w:val="20"/>
          <w:rtl/>
        </w:rPr>
        <w:t xml:space="preserve">גל-נור, י' ופז-פוקס, א' (2015). סיכום: שינויים נחוצים במדיניות ההפרטה בישראל. בתוך י' גל-נור, א' פוקס ו-נ' ציון (עורכים), </w:t>
      </w:r>
      <w:r w:rsidRPr="00117E41">
        <w:rPr>
          <w:rFonts w:hint="cs"/>
          <w:b/>
          <w:bCs/>
          <w:color w:val="000000"/>
          <w:sz w:val="18"/>
          <w:szCs w:val="20"/>
          <w:rtl/>
        </w:rPr>
        <w:t>מדיניות ההפרטה בישראל: אחריות המדינה והגבולות בין הציבורי לפרטי</w:t>
      </w:r>
      <w:r w:rsidRPr="00117E41">
        <w:rPr>
          <w:rFonts w:hint="cs"/>
          <w:color w:val="000000"/>
          <w:sz w:val="18"/>
          <w:szCs w:val="20"/>
          <w:rtl/>
        </w:rPr>
        <w:t xml:space="preserve"> (עמ' 480</w:t>
      </w:r>
      <w:r w:rsidRPr="00117E41">
        <w:rPr>
          <w:color w:val="000000"/>
          <w:sz w:val="18"/>
          <w:szCs w:val="20"/>
          <w:rtl/>
        </w:rPr>
        <w:t>–</w:t>
      </w:r>
      <w:r w:rsidRPr="00117E41">
        <w:rPr>
          <w:rFonts w:hint="cs"/>
          <w:color w:val="000000"/>
          <w:sz w:val="18"/>
          <w:szCs w:val="20"/>
          <w:rtl/>
        </w:rPr>
        <w:t xml:space="preserve">505). ירושלים: מכון </w:t>
      </w:r>
      <w:proofErr w:type="spellStart"/>
      <w:r w:rsidRPr="00117E41">
        <w:rPr>
          <w:rFonts w:hint="cs"/>
          <w:color w:val="000000"/>
          <w:sz w:val="18"/>
          <w:szCs w:val="20"/>
          <w:rtl/>
        </w:rPr>
        <w:t>ון</w:t>
      </w:r>
      <w:proofErr w:type="spellEnd"/>
      <w:r w:rsidRPr="00117E41">
        <w:rPr>
          <w:rFonts w:hint="cs"/>
          <w:color w:val="000000"/>
          <w:sz w:val="18"/>
          <w:szCs w:val="20"/>
          <w:rtl/>
        </w:rPr>
        <w:t xml:space="preserve"> ליר; בני ברק: הוצאת הקיבוץ המאוחד.</w:t>
      </w:r>
    </w:p>
    <w:p w14:paraId="556D90D2" w14:textId="77777777" w:rsidR="00B4735A" w:rsidRPr="00117E41" w:rsidRDefault="00B4735A" w:rsidP="00911580">
      <w:pPr>
        <w:spacing w:after="180" w:line="280" w:lineRule="exact"/>
        <w:ind w:left="284" w:hanging="284"/>
        <w:jc w:val="both"/>
        <w:rPr>
          <w:color w:val="000000"/>
          <w:sz w:val="18"/>
          <w:szCs w:val="20"/>
          <w:rtl/>
        </w:rPr>
      </w:pPr>
      <w:proofErr w:type="spellStart"/>
      <w:r w:rsidRPr="00117E41">
        <w:rPr>
          <w:rFonts w:hint="cs"/>
          <w:color w:val="000000"/>
          <w:sz w:val="18"/>
          <w:szCs w:val="20"/>
          <w:rtl/>
        </w:rPr>
        <w:t>הארווי</w:t>
      </w:r>
      <w:proofErr w:type="spellEnd"/>
      <w:r w:rsidRPr="00117E41">
        <w:rPr>
          <w:rFonts w:hint="cs"/>
          <w:color w:val="000000"/>
          <w:sz w:val="18"/>
          <w:szCs w:val="20"/>
          <w:rtl/>
        </w:rPr>
        <w:t xml:space="preserve">, ד' (2015). קיצור תולדות הניאו-ליברליזם. ירושלים: מולד </w:t>
      </w:r>
      <w:r w:rsidRPr="00117E41">
        <w:rPr>
          <w:color w:val="000000"/>
          <w:sz w:val="18"/>
          <w:szCs w:val="20"/>
          <w:rtl/>
        </w:rPr>
        <w:t>–</w:t>
      </w:r>
      <w:r w:rsidRPr="00117E41">
        <w:rPr>
          <w:rFonts w:hint="cs"/>
          <w:color w:val="000000"/>
          <w:sz w:val="18"/>
          <w:szCs w:val="20"/>
          <w:rtl/>
        </w:rPr>
        <w:t xml:space="preserve"> המרכז להתחדשות הדמוקרטיה.</w:t>
      </w:r>
    </w:p>
    <w:p w14:paraId="67599E28" w14:textId="77777777" w:rsidR="00B4735A" w:rsidRPr="00117E41" w:rsidRDefault="00B4735A" w:rsidP="00911580">
      <w:pPr>
        <w:spacing w:after="180" w:line="280" w:lineRule="exact"/>
        <w:ind w:left="284" w:hanging="284"/>
        <w:jc w:val="both"/>
        <w:rPr>
          <w:color w:val="000000"/>
          <w:sz w:val="18"/>
          <w:szCs w:val="20"/>
          <w:rtl/>
        </w:rPr>
      </w:pPr>
      <w:r w:rsidRPr="00117E41">
        <w:rPr>
          <w:rFonts w:hint="cs"/>
          <w:color w:val="000000"/>
          <w:sz w:val="18"/>
          <w:szCs w:val="20"/>
          <w:rtl/>
        </w:rPr>
        <w:t xml:space="preserve">הרמן, ת', הלר, א', כהן, ח', בארי, ג' ולבל, י' (2015). </w:t>
      </w:r>
      <w:r w:rsidRPr="00117E41">
        <w:rPr>
          <w:rFonts w:hint="cs"/>
          <w:b/>
          <w:bCs/>
          <w:color w:val="000000"/>
          <w:sz w:val="18"/>
          <w:szCs w:val="20"/>
          <w:rtl/>
        </w:rPr>
        <w:t>מדד הדמוקרטיה הישראלית 2014</w:t>
      </w:r>
      <w:r w:rsidRPr="00117E41">
        <w:rPr>
          <w:rFonts w:hint="cs"/>
          <w:color w:val="000000"/>
          <w:sz w:val="18"/>
          <w:szCs w:val="20"/>
          <w:rtl/>
        </w:rPr>
        <w:t>. ירושלים: המכון הישראלי לדמוקרטיה.</w:t>
      </w:r>
    </w:p>
    <w:p w14:paraId="74154483" w14:textId="77777777" w:rsidR="00B4735A" w:rsidRPr="00117E41" w:rsidRDefault="00B4735A" w:rsidP="00911580">
      <w:pPr>
        <w:spacing w:after="180" w:line="280" w:lineRule="exact"/>
        <w:ind w:left="284" w:hanging="284"/>
        <w:jc w:val="both"/>
        <w:rPr>
          <w:color w:val="000000"/>
          <w:sz w:val="18"/>
          <w:szCs w:val="20"/>
          <w:rtl/>
        </w:rPr>
      </w:pPr>
      <w:r w:rsidRPr="00117E41">
        <w:rPr>
          <w:rFonts w:hint="cs"/>
          <w:color w:val="000000"/>
          <w:sz w:val="18"/>
          <w:szCs w:val="20"/>
          <w:rtl/>
        </w:rPr>
        <w:t xml:space="preserve">הרמן, ת', ענבי, א', </w:t>
      </w:r>
      <w:proofErr w:type="spellStart"/>
      <w:r w:rsidRPr="00117E41">
        <w:rPr>
          <w:rFonts w:hint="cs"/>
          <w:color w:val="000000"/>
          <w:sz w:val="18"/>
          <w:szCs w:val="20"/>
          <w:rtl/>
        </w:rPr>
        <w:t>קביסון</w:t>
      </w:r>
      <w:proofErr w:type="spellEnd"/>
      <w:r w:rsidRPr="00117E41">
        <w:rPr>
          <w:rFonts w:hint="cs"/>
          <w:color w:val="000000"/>
          <w:sz w:val="18"/>
          <w:szCs w:val="20"/>
          <w:rtl/>
        </w:rPr>
        <w:t xml:space="preserve">, ו' והלר, א' (2019). </w:t>
      </w:r>
      <w:r w:rsidRPr="00117E41">
        <w:rPr>
          <w:rFonts w:hint="cs"/>
          <w:b/>
          <w:bCs/>
          <w:color w:val="000000"/>
          <w:sz w:val="18"/>
          <w:szCs w:val="20"/>
          <w:rtl/>
        </w:rPr>
        <w:t>מדד הדמוקרטיה הישראלית 2019</w:t>
      </w:r>
      <w:r w:rsidRPr="00117E41">
        <w:rPr>
          <w:rFonts w:hint="cs"/>
          <w:color w:val="000000"/>
          <w:sz w:val="18"/>
          <w:szCs w:val="20"/>
          <w:rtl/>
        </w:rPr>
        <w:t>. ירושלים: המכון הישראלי לדמוקרטיה.</w:t>
      </w:r>
    </w:p>
    <w:p w14:paraId="6EF24994" w14:textId="77777777" w:rsidR="00B4735A" w:rsidRPr="00117E41" w:rsidRDefault="00B4735A" w:rsidP="00911580">
      <w:pPr>
        <w:spacing w:after="180" w:line="280" w:lineRule="exact"/>
        <w:ind w:left="284" w:hanging="284"/>
        <w:jc w:val="both"/>
        <w:rPr>
          <w:color w:val="000000"/>
          <w:sz w:val="18"/>
          <w:szCs w:val="20"/>
          <w:rtl/>
        </w:rPr>
      </w:pPr>
      <w:r w:rsidRPr="00117E41">
        <w:rPr>
          <w:rFonts w:hint="cs"/>
          <w:color w:val="000000"/>
          <w:sz w:val="18"/>
          <w:szCs w:val="20"/>
          <w:rtl/>
        </w:rPr>
        <w:t xml:space="preserve">הרשקוביץ, ש' (2014). </w:t>
      </w:r>
      <w:r w:rsidRPr="00117E41">
        <w:rPr>
          <w:rFonts w:hint="eastAsia"/>
          <w:b/>
          <w:bCs/>
          <w:color w:val="000000"/>
          <w:sz w:val="18"/>
          <w:szCs w:val="20"/>
          <w:rtl/>
        </w:rPr>
        <w:t>הלוויתן</w:t>
      </w:r>
      <w:r w:rsidRPr="00117E41">
        <w:rPr>
          <w:b/>
          <w:bCs/>
          <w:color w:val="000000"/>
          <w:sz w:val="18"/>
          <w:szCs w:val="20"/>
          <w:rtl/>
        </w:rPr>
        <w:t xml:space="preserve"> </w:t>
      </w:r>
      <w:r w:rsidRPr="00117E41">
        <w:rPr>
          <w:rFonts w:hint="eastAsia"/>
          <w:b/>
          <w:bCs/>
          <w:color w:val="000000"/>
          <w:sz w:val="18"/>
          <w:szCs w:val="20"/>
          <w:rtl/>
        </w:rPr>
        <w:t>או</w:t>
      </w:r>
      <w:r w:rsidRPr="00117E41">
        <w:rPr>
          <w:b/>
          <w:bCs/>
          <w:color w:val="000000"/>
          <w:sz w:val="18"/>
          <w:szCs w:val="20"/>
          <w:rtl/>
        </w:rPr>
        <w:t xml:space="preserve"> </w:t>
      </w:r>
      <w:r w:rsidRPr="00117E41">
        <w:rPr>
          <w:rFonts w:hint="eastAsia"/>
          <w:b/>
          <w:bCs/>
          <w:color w:val="000000"/>
          <w:sz w:val="18"/>
          <w:szCs w:val="20"/>
          <w:rtl/>
        </w:rPr>
        <w:t>הכריש</w:t>
      </w:r>
      <w:r w:rsidRPr="00117E41">
        <w:rPr>
          <w:b/>
          <w:bCs/>
          <w:color w:val="000000"/>
          <w:sz w:val="18"/>
          <w:szCs w:val="20"/>
          <w:rtl/>
        </w:rPr>
        <w:t xml:space="preserve">: </w:t>
      </w:r>
      <w:r w:rsidRPr="00117E41">
        <w:rPr>
          <w:rFonts w:hint="eastAsia"/>
          <w:b/>
          <w:bCs/>
          <w:color w:val="000000"/>
          <w:sz w:val="18"/>
          <w:szCs w:val="20"/>
          <w:rtl/>
        </w:rPr>
        <w:t>עמדות</w:t>
      </w:r>
      <w:r w:rsidRPr="00117E41">
        <w:rPr>
          <w:b/>
          <w:bCs/>
          <w:color w:val="000000"/>
          <w:sz w:val="18"/>
          <w:szCs w:val="20"/>
          <w:rtl/>
        </w:rPr>
        <w:t xml:space="preserve"> </w:t>
      </w:r>
      <w:r w:rsidRPr="00117E41">
        <w:rPr>
          <w:rFonts w:hint="eastAsia"/>
          <w:b/>
          <w:bCs/>
          <w:color w:val="000000"/>
          <w:sz w:val="18"/>
          <w:szCs w:val="20"/>
          <w:rtl/>
        </w:rPr>
        <w:t>הציבור</w:t>
      </w:r>
      <w:r w:rsidRPr="00117E41">
        <w:rPr>
          <w:b/>
          <w:bCs/>
          <w:color w:val="000000"/>
          <w:sz w:val="18"/>
          <w:szCs w:val="20"/>
          <w:rtl/>
        </w:rPr>
        <w:t xml:space="preserve"> </w:t>
      </w:r>
      <w:r w:rsidRPr="00117E41">
        <w:rPr>
          <w:rFonts w:hint="eastAsia"/>
          <w:b/>
          <w:bCs/>
          <w:color w:val="000000"/>
          <w:sz w:val="18"/>
          <w:szCs w:val="20"/>
          <w:rtl/>
        </w:rPr>
        <w:t>כלפי</w:t>
      </w:r>
      <w:r w:rsidRPr="00117E41">
        <w:rPr>
          <w:b/>
          <w:bCs/>
          <w:color w:val="000000"/>
          <w:sz w:val="18"/>
          <w:szCs w:val="20"/>
          <w:rtl/>
        </w:rPr>
        <w:t xml:space="preserve"> </w:t>
      </w:r>
      <w:r w:rsidRPr="00117E41">
        <w:rPr>
          <w:rFonts w:hint="eastAsia"/>
          <w:b/>
          <w:bCs/>
          <w:color w:val="000000"/>
          <w:sz w:val="18"/>
          <w:szCs w:val="20"/>
          <w:rtl/>
        </w:rPr>
        <w:t>תהליכי</w:t>
      </w:r>
      <w:r w:rsidRPr="00117E41">
        <w:rPr>
          <w:b/>
          <w:bCs/>
          <w:color w:val="000000"/>
          <w:sz w:val="18"/>
          <w:szCs w:val="20"/>
          <w:rtl/>
        </w:rPr>
        <w:t xml:space="preserve"> </w:t>
      </w:r>
      <w:r w:rsidRPr="00117E41">
        <w:rPr>
          <w:rFonts w:hint="eastAsia"/>
          <w:b/>
          <w:bCs/>
          <w:color w:val="000000"/>
          <w:sz w:val="18"/>
          <w:szCs w:val="20"/>
          <w:rtl/>
        </w:rPr>
        <w:t>הפרטה</w:t>
      </w:r>
      <w:r w:rsidRPr="00117E41">
        <w:rPr>
          <w:rFonts w:hint="cs"/>
          <w:color w:val="000000"/>
          <w:sz w:val="18"/>
          <w:szCs w:val="20"/>
          <w:rtl/>
        </w:rPr>
        <w:t xml:space="preserve">. </w:t>
      </w:r>
      <w:r w:rsidRPr="00117E41">
        <w:rPr>
          <w:color w:val="000000"/>
          <w:sz w:val="18"/>
          <w:szCs w:val="20"/>
          <w:rtl/>
        </w:rPr>
        <w:t>המחקר נכתב לבקשת משרד הכלכלה</w:t>
      </w:r>
      <w:r w:rsidRPr="00117E41">
        <w:rPr>
          <w:rFonts w:hint="cs"/>
          <w:color w:val="000000"/>
          <w:sz w:val="18"/>
          <w:szCs w:val="20"/>
          <w:rtl/>
        </w:rPr>
        <w:t xml:space="preserve"> על ידי חברת </w:t>
      </w:r>
      <w:r w:rsidRPr="00117E41">
        <w:rPr>
          <w:color w:val="000000"/>
          <w:sz w:val="18"/>
          <w:szCs w:val="20"/>
        </w:rPr>
        <w:t>LINX</w:t>
      </w:r>
      <w:r w:rsidRPr="00117E41">
        <w:rPr>
          <w:rFonts w:hint="cs"/>
          <w:color w:val="000000"/>
          <w:sz w:val="18"/>
          <w:szCs w:val="20"/>
          <w:rtl/>
        </w:rPr>
        <w:t xml:space="preserve"> </w:t>
      </w:r>
      <w:r w:rsidRPr="00117E41">
        <w:rPr>
          <w:color w:val="000000"/>
          <w:sz w:val="18"/>
          <w:szCs w:val="20"/>
          <w:rtl/>
        </w:rPr>
        <w:t>–</w:t>
      </w:r>
      <w:r w:rsidRPr="00117E41">
        <w:rPr>
          <w:rFonts w:hint="cs"/>
          <w:color w:val="000000"/>
          <w:sz w:val="18"/>
          <w:szCs w:val="20"/>
          <w:rtl/>
        </w:rPr>
        <w:t xml:space="preserve"> פיתוח תובנות אסטרטגיות.</w:t>
      </w:r>
    </w:p>
    <w:p w14:paraId="5FFD937F" w14:textId="77777777" w:rsidR="00B4735A" w:rsidRPr="00117E41" w:rsidRDefault="00B4735A" w:rsidP="00911580">
      <w:pPr>
        <w:spacing w:after="180" w:line="280" w:lineRule="exact"/>
        <w:ind w:left="284" w:hanging="284"/>
        <w:jc w:val="both"/>
        <w:rPr>
          <w:color w:val="000000"/>
          <w:sz w:val="18"/>
          <w:szCs w:val="20"/>
          <w:rtl/>
        </w:rPr>
      </w:pPr>
      <w:r w:rsidRPr="00117E41">
        <w:rPr>
          <w:rFonts w:hint="cs"/>
          <w:color w:val="000000"/>
          <w:sz w:val="18"/>
          <w:szCs w:val="20"/>
          <w:rtl/>
        </w:rPr>
        <w:t xml:space="preserve">וולטר, ד' (2011). </w:t>
      </w:r>
      <w:r w:rsidRPr="00117E41">
        <w:rPr>
          <w:rFonts w:hint="cs"/>
          <w:b/>
          <w:bCs/>
          <w:color w:val="000000"/>
          <w:sz w:val="18"/>
          <w:szCs w:val="20"/>
          <w:rtl/>
        </w:rPr>
        <w:t>מדינה או שוק? על (אי)-המשמעות של עמדות הציבור הישראלי-יהודי כלפי קפיטליזם וסוציאליזם כשיטה הכלכלית המועדפת</w:t>
      </w:r>
      <w:r w:rsidRPr="00117E41">
        <w:rPr>
          <w:rFonts w:hint="cs"/>
          <w:color w:val="000000"/>
          <w:sz w:val="18"/>
          <w:szCs w:val="20"/>
          <w:rtl/>
        </w:rPr>
        <w:t>. ירושלים: המכון הישראלי לדמוקרטיה.</w:t>
      </w:r>
    </w:p>
    <w:p w14:paraId="74AC4F62" w14:textId="77777777" w:rsidR="00B4735A" w:rsidRPr="00117E41" w:rsidRDefault="00B4735A" w:rsidP="00911580">
      <w:pPr>
        <w:spacing w:after="180" w:line="280" w:lineRule="exact"/>
        <w:ind w:left="284" w:hanging="284"/>
        <w:jc w:val="both"/>
        <w:rPr>
          <w:color w:val="000000"/>
          <w:sz w:val="18"/>
          <w:szCs w:val="20"/>
          <w:rtl/>
        </w:rPr>
      </w:pPr>
      <w:proofErr w:type="spellStart"/>
      <w:r w:rsidRPr="00117E41">
        <w:rPr>
          <w:rFonts w:hint="cs"/>
          <w:color w:val="000000"/>
          <w:sz w:val="18"/>
          <w:szCs w:val="20"/>
          <w:rtl/>
        </w:rPr>
        <w:t>טליאס</w:t>
      </w:r>
      <w:proofErr w:type="spellEnd"/>
      <w:r w:rsidRPr="00117E41">
        <w:rPr>
          <w:rFonts w:hint="cs"/>
          <w:color w:val="000000"/>
          <w:sz w:val="18"/>
          <w:szCs w:val="20"/>
          <w:rtl/>
        </w:rPr>
        <w:t xml:space="preserve">, מ' (2012). </w:t>
      </w:r>
      <w:r w:rsidRPr="00117E41">
        <w:rPr>
          <w:rFonts w:hint="cs"/>
          <w:b/>
          <w:bCs/>
          <w:color w:val="000000"/>
          <w:sz w:val="18"/>
          <w:szCs w:val="20"/>
          <w:rtl/>
        </w:rPr>
        <w:t>הפרטה משנית במחלקות לשירותים חברתיים</w:t>
      </w:r>
      <w:r w:rsidRPr="00117E41">
        <w:rPr>
          <w:rFonts w:hint="cs"/>
          <w:color w:val="000000"/>
          <w:sz w:val="18"/>
          <w:szCs w:val="20"/>
          <w:rtl/>
        </w:rPr>
        <w:t>. מדינת ישראל: משרד הרווחה והשירותים החברתיים.</w:t>
      </w:r>
    </w:p>
    <w:p w14:paraId="116E4F2D" w14:textId="77777777" w:rsidR="00B4735A" w:rsidRPr="00117E41" w:rsidRDefault="00B4735A" w:rsidP="00911580">
      <w:pPr>
        <w:spacing w:after="180" w:line="280" w:lineRule="exact"/>
        <w:ind w:left="284" w:hanging="284"/>
        <w:jc w:val="both"/>
        <w:rPr>
          <w:color w:val="000000"/>
          <w:sz w:val="18"/>
          <w:szCs w:val="20"/>
          <w:rtl/>
        </w:rPr>
      </w:pPr>
      <w:r w:rsidRPr="00117E41">
        <w:rPr>
          <w:rFonts w:hint="cs"/>
          <w:color w:val="000000"/>
          <w:sz w:val="18"/>
          <w:szCs w:val="20"/>
          <w:rtl/>
        </w:rPr>
        <w:t xml:space="preserve">כהן, נ', מזרחי, ש' ויובל, פ' (2010). מדינת הרווחה, מדיניות ציבורית ודעת הקהל: ישראל 2008. </w:t>
      </w:r>
      <w:r w:rsidRPr="00117E41">
        <w:rPr>
          <w:rFonts w:hint="cs"/>
          <w:b/>
          <w:bCs/>
          <w:color w:val="000000"/>
          <w:sz w:val="18"/>
          <w:szCs w:val="20"/>
          <w:rtl/>
        </w:rPr>
        <w:t>ביטחון סוציאלי</w:t>
      </w:r>
      <w:r w:rsidRPr="00117E41">
        <w:rPr>
          <w:rFonts w:hint="cs"/>
          <w:color w:val="000000"/>
          <w:sz w:val="18"/>
          <w:szCs w:val="20"/>
          <w:rtl/>
        </w:rPr>
        <w:t xml:space="preserve">, </w:t>
      </w:r>
      <w:r w:rsidRPr="00117E41">
        <w:rPr>
          <w:rFonts w:hint="cs"/>
          <w:b/>
          <w:bCs/>
          <w:color w:val="000000"/>
          <w:sz w:val="18"/>
          <w:szCs w:val="20"/>
          <w:rtl/>
        </w:rPr>
        <w:t>82</w:t>
      </w:r>
      <w:r w:rsidRPr="00117E41">
        <w:rPr>
          <w:rFonts w:hint="cs"/>
          <w:color w:val="000000"/>
          <w:sz w:val="18"/>
          <w:szCs w:val="20"/>
          <w:rtl/>
        </w:rPr>
        <w:t>, 47</w:t>
      </w:r>
      <w:r w:rsidRPr="00117E41">
        <w:rPr>
          <w:color w:val="000000"/>
          <w:sz w:val="18"/>
          <w:szCs w:val="20"/>
          <w:rtl/>
        </w:rPr>
        <w:t>–</w:t>
      </w:r>
      <w:r w:rsidRPr="00117E41">
        <w:rPr>
          <w:rFonts w:hint="cs"/>
          <w:color w:val="000000"/>
          <w:sz w:val="18"/>
          <w:szCs w:val="20"/>
          <w:rtl/>
        </w:rPr>
        <w:t>77.</w:t>
      </w:r>
    </w:p>
    <w:p w14:paraId="4FE02C77" w14:textId="77777777" w:rsidR="00B4735A" w:rsidRPr="00117E41" w:rsidRDefault="00B4735A" w:rsidP="00911580">
      <w:pPr>
        <w:spacing w:after="180" w:line="280" w:lineRule="exact"/>
        <w:ind w:left="284" w:hanging="284"/>
        <w:jc w:val="both"/>
        <w:rPr>
          <w:color w:val="000000"/>
          <w:sz w:val="18"/>
          <w:szCs w:val="20"/>
          <w:rtl/>
        </w:rPr>
      </w:pPr>
      <w:r w:rsidRPr="00117E41">
        <w:rPr>
          <w:rFonts w:hint="cs"/>
          <w:color w:val="000000"/>
          <w:sz w:val="18"/>
          <w:szCs w:val="20"/>
          <w:rtl/>
        </w:rPr>
        <w:lastRenderedPageBreak/>
        <w:t xml:space="preserve">הלשכה המרכזית לסטטיסטיקה. </w:t>
      </w:r>
      <w:r w:rsidRPr="00117E41">
        <w:rPr>
          <w:rFonts w:hint="cs"/>
          <w:b/>
          <w:bCs/>
          <w:color w:val="000000"/>
          <w:sz w:val="18"/>
          <w:szCs w:val="20"/>
          <w:rtl/>
        </w:rPr>
        <w:t>הסקר החברתי 2015</w:t>
      </w:r>
      <w:r w:rsidRPr="00117E41">
        <w:rPr>
          <w:rFonts w:hint="cs"/>
          <w:color w:val="000000"/>
          <w:sz w:val="18"/>
          <w:szCs w:val="20"/>
          <w:rtl/>
        </w:rPr>
        <w:t>.</w:t>
      </w:r>
    </w:p>
    <w:p w14:paraId="6616B722" w14:textId="77777777" w:rsidR="00B4735A" w:rsidRPr="00117E41" w:rsidRDefault="00B4735A" w:rsidP="00911580">
      <w:pPr>
        <w:spacing w:after="180" w:line="280" w:lineRule="exact"/>
        <w:ind w:left="284" w:hanging="284"/>
        <w:jc w:val="both"/>
        <w:rPr>
          <w:b/>
          <w:bCs/>
          <w:color w:val="000000"/>
          <w:sz w:val="18"/>
          <w:szCs w:val="20"/>
          <w:rtl/>
        </w:rPr>
      </w:pPr>
      <w:r w:rsidRPr="00117E41">
        <w:rPr>
          <w:rFonts w:hint="cs"/>
          <w:color w:val="000000"/>
          <w:sz w:val="18"/>
          <w:szCs w:val="20"/>
          <w:rtl/>
        </w:rPr>
        <w:t xml:space="preserve">מאגר מוחות: מכון מחקר וייעוץ (2007). </w:t>
      </w:r>
      <w:r w:rsidRPr="00117E41">
        <w:rPr>
          <w:rFonts w:hint="cs"/>
          <w:b/>
          <w:bCs/>
          <w:color w:val="000000"/>
          <w:sz w:val="18"/>
          <w:szCs w:val="20"/>
          <w:rtl/>
        </w:rPr>
        <w:t>סקר בקרב הציבור הרחב בנושא הפרטת בתי הסוהר</w:t>
      </w:r>
      <w:r w:rsidRPr="00117E41">
        <w:rPr>
          <w:rFonts w:hint="cs"/>
          <w:color w:val="000000"/>
          <w:sz w:val="18"/>
          <w:szCs w:val="20"/>
          <w:rtl/>
        </w:rPr>
        <w:t>.</w:t>
      </w:r>
    </w:p>
    <w:p w14:paraId="107C6E65" w14:textId="77777777" w:rsidR="00B4735A" w:rsidRPr="00117E41" w:rsidRDefault="00B4735A" w:rsidP="00911580">
      <w:pPr>
        <w:spacing w:after="180" w:line="280" w:lineRule="exact"/>
        <w:ind w:left="284" w:hanging="284"/>
        <w:jc w:val="both"/>
        <w:rPr>
          <w:color w:val="000000"/>
          <w:sz w:val="18"/>
          <w:szCs w:val="20"/>
          <w:rtl/>
        </w:rPr>
      </w:pPr>
      <w:proofErr w:type="spellStart"/>
      <w:r w:rsidRPr="00117E41">
        <w:rPr>
          <w:rFonts w:hint="cs"/>
          <w:color w:val="000000"/>
          <w:sz w:val="18"/>
          <w:szCs w:val="20"/>
          <w:rtl/>
        </w:rPr>
        <w:t>מנדלקרן</w:t>
      </w:r>
      <w:proofErr w:type="spellEnd"/>
      <w:r w:rsidRPr="00117E41">
        <w:rPr>
          <w:rFonts w:hint="cs"/>
          <w:color w:val="000000"/>
          <w:sz w:val="18"/>
          <w:szCs w:val="20"/>
          <w:rtl/>
        </w:rPr>
        <w:t xml:space="preserve">, ר' (2012). הפוליטיקה של הפרטה חלקית של שירותים חברתיים בישראל: המקרה של מעונות לאנשים עם פיגור שכלי. </w:t>
      </w:r>
      <w:r w:rsidRPr="00117E41">
        <w:rPr>
          <w:rFonts w:hint="eastAsia"/>
          <w:b/>
          <w:bCs/>
          <w:color w:val="000000"/>
          <w:sz w:val="18"/>
          <w:szCs w:val="20"/>
          <w:rtl/>
        </w:rPr>
        <w:t>ביטחון</w:t>
      </w:r>
      <w:r w:rsidRPr="00117E41">
        <w:rPr>
          <w:b/>
          <w:bCs/>
          <w:color w:val="000000"/>
          <w:sz w:val="18"/>
          <w:szCs w:val="20"/>
          <w:rtl/>
        </w:rPr>
        <w:t xml:space="preserve"> </w:t>
      </w:r>
      <w:r w:rsidRPr="00117E41">
        <w:rPr>
          <w:rFonts w:hint="eastAsia"/>
          <w:b/>
          <w:bCs/>
          <w:color w:val="000000"/>
          <w:sz w:val="18"/>
          <w:szCs w:val="20"/>
          <w:rtl/>
        </w:rPr>
        <w:t>סוציאלי</w:t>
      </w:r>
      <w:r w:rsidRPr="00117E41">
        <w:rPr>
          <w:rFonts w:hint="cs"/>
          <w:color w:val="000000"/>
          <w:sz w:val="18"/>
          <w:szCs w:val="20"/>
          <w:rtl/>
        </w:rPr>
        <w:t>,</w:t>
      </w:r>
      <w:r w:rsidRPr="00117E41">
        <w:rPr>
          <w:rFonts w:hint="cs"/>
          <w:b/>
          <w:bCs/>
          <w:color w:val="000000"/>
          <w:sz w:val="18"/>
          <w:szCs w:val="20"/>
          <w:rtl/>
        </w:rPr>
        <w:t xml:space="preserve"> 90</w:t>
      </w:r>
      <w:r w:rsidRPr="00117E41">
        <w:rPr>
          <w:rFonts w:hint="cs"/>
          <w:color w:val="000000"/>
          <w:sz w:val="18"/>
          <w:szCs w:val="20"/>
          <w:rtl/>
        </w:rPr>
        <w:t>, 121</w:t>
      </w:r>
      <w:r w:rsidRPr="00117E41">
        <w:rPr>
          <w:color w:val="000000"/>
          <w:sz w:val="18"/>
          <w:szCs w:val="20"/>
          <w:rtl/>
        </w:rPr>
        <w:t>–</w:t>
      </w:r>
      <w:r w:rsidRPr="00117E41">
        <w:rPr>
          <w:rFonts w:hint="cs"/>
          <w:color w:val="000000"/>
          <w:sz w:val="18"/>
          <w:szCs w:val="20"/>
          <w:rtl/>
        </w:rPr>
        <w:t>153.</w:t>
      </w:r>
    </w:p>
    <w:p w14:paraId="10A3C068" w14:textId="77777777" w:rsidR="00B4735A" w:rsidRPr="00117E41" w:rsidRDefault="00B4735A" w:rsidP="00911580">
      <w:pPr>
        <w:spacing w:after="180" w:line="280" w:lineRule="exact"/>
        <w:ind w:left="284" w:hanging="284"/>
        <w:jc w:val="both"/>
        <w:rPr>
          <w:color w:val="000000"/>
          <w:sz w:val="18"/>
          <w:szCs w:val="20"/>
          <w:rtl/>
        </w:rPr>
      </w:pPr>
      <w:r w:rsidRPr="00117E41">
        <w:rPr>
          <w:rFonts w:hint="cs"/>
          <w:color w:val="000000"/>
          <w:sz w:val="18"/>
          <w:szCs w:val="20"/>
          <w:rtl/>
        </w:rPr>
        <w:t xml:space="preserve">מרון, א' (2013). </w:t>
      </w:r>
      <w:r w:rsidRPr="00117E41">
        <w:rPr>
          <w:rFonts w:hint="cs"/>
          <w:b/>
          <w:bCs/>
          <w:color w:val="000000"/>
          <w:sz w:val="18"/>
          <w:szCs w:val="20"/>
          <w:rtl/>
        </w:rPr>
        <w:t>שיח ה(אנטי)-הפרטה: המדינה או ארגונים חוץ-ממשלתיים?</w:t>
      </w:r>
      <w:r w:rsidRPr="00117E41">
        <w:rPr>
          <w:rFonts w:hint="cs"/>
          <w:color w:val="000000"/>
          <w:sz w:val="18"/>
          <w:szCs w:val="20"/>
          <w:rtl/>
        </w:rPr>
        <w:t xml:space="preserve"> ירושלים: המכון הישראלי לדמוקרטיה.</w:t>
      </w:r>
    </w:p>
    <w:p w14:paraId="75191398" w14:textId="128C9354" w:rsidR="00B4735A" w:rsidRPr="00117E41" w:rsidRDefault="00B4735A" w:rsidP="0032315D">
      <w:pPr>
        <w:spacing w:after="180" w:line="280" w:lineRule="exact"/>
        <w:ind w:left="284" w:hanging="284"/>
        <w:jc w:val="both"/>
        <w:rPr>
          <w:color w:val="000000"/>
          <w:sz w:val="18"/>
          <w:szCs w:val="20"/>
          <w:rtl/>
        </w:rPr>
      </w:pPr>
      <w:r w:rsidRPr="00117E41">
        <w:rPr>
          <w:color w:val="000000"/>
          <w:sz w:val="18"/>
          <w:szCs w:val="20"/>
          <w:rtl/>
        </w:rPr>
        <w:t>מרון, א</w:t>
      </w:r>
      <w:r w:rsidRPr="00117E41">
        <w:rPr>
          <w:rFonts w:hint="cs"/>
          <w:color w:val="000000"/>
          <w:sz w:val="18"/>
          <w:szCs w:val="20"/>
          <w:rtl/>
        </w:rPr>
        <w:t>' (2015)</w:t>
      </w:r>
      <w:r w:rsidRPr="00117E41">
        <w:rPr>
          <w:color w:val="000000"/>
          <w:sz w:val="18"/>
          <w:szCs w:val="20"/>
          <w:rtl/>
        </w:rPr>
        <w:t>.</w:t>
      </w:r>
      <w:r w:rsidRPr="00117E41">
        <w:rPr>
          <w:rFonts w:hint="cs"/>
          <w:color w:val="000000"/>
          <w:sz w:val="18"/>
          <w:szCs w:val="20"/>
          <w:rtl/>
        </w:rPr>
        <w:t xml:space="preserve"> </w:t>
      </w:r>
      <w:r w:rsidRPr="00117E41">
        <w:rPr>
          <w:color w:val="000000"/>
          <w:sz w:val="18"/>
          <w:szCs w:val="20"/>
          <w:rtl/>
        </w:rPr>
        <w:t>מגמות ותהליכי הפרטה בשירותים החברתיים בישראל</w:t>
      </w:r>
      <w:r w:rsidRPr="00117E41">
        <w:rPr>
          <w:rFonts w:hint="cs"/>
          <w:color w:val="000000"/>
          <w:sz w:val="18"/>
          <w:szCs w:val="20"/>
          <w:rtl/>
        </w:rPr>
        <w:t>.</w:t>
      </w:r>
      <w:r w:rsidRPr="00117E41">
        <w:rPr>
          <w:color w:val="000000"/>
          <w:sz w:val="18"/>
          <w:szCs w:val="20"/>
          <w:rtl/>
        </w:rPr>
        <w:t xml:space="preserve"> בתוך י' גל-נור, א' פוקס ו-נ' ציון (עורכים)</w:t>
      </w:r>
      <w:r w:rsidRPr="00117E41">
        <w:rPr>
          <w:rFonts w:hint="cs"/>
          <w:color w:val="000000"/>
          <w:sz w:val="18"/>
          <w:szCs w:val="20"/>
          <w:rtl/>
        </w:rPr>
        <w:t>,</w:t>
      </w:r>
      <w:r w:rsidRPr="00117E41">
        <w:rPr>
          <w:color w:val="000000"/>
          <w:sz w:val="18"/>
          <w:szCs w:val="20"/>
          <w:rtl/>
        </w:rPr>
        <w:t xml:space="preserve"> </w:t>
      </w:r>
      <w:r w:rsidRPr="00117E41">
        <w:rPr>
          <w:b/>
          <w:bCs/>
          <w:color w:val="000000"/>
          <w:sz w:val="18"/>
          <w:szCs w:val="20"/>
          <w:rtl/>
        </w:rPr>
        <w:t>מדיניות ההפרטה בישראל: אחריות המדינה והגבולות בין הציבורי לפרטי</w:t>
      </w:r>
      <w:r w:rsidRPr="00117E41">
        <w:rPr>
          <w:rFonts w:hint="cs"/>
          <w:color w:val="000000"/>
          <w:sz w:val="18"/>
          <w:szCs w:val="20"/>
          <w:rtl/>
        </w:rPr>
        <w:t xml:space="preserve"> (עמ' </w:t>
      </w:r>
      <w:r w:rsidRPr="00117E41">
        <w:rPr>
          <w:color w:val="000000"/>
          <w:sz w:val="18"/>
          <w:szCs w:val="20"/>
          <w:rtl/>
        </w:rPr>
        <w:t>87–137</w:t>
      </w:r>
      <w:r w:rsidRPr="00117E41">
        <w:rPr>
          <w:rFonts w:hint="cs"/>
          <w:color w:val="000000"/>
          <w:sz w:val="18"/>
          <w:szCs w:val="20"/>
          <w:rtl/>
        </w:rPr>
        <w:t>).</w:t>
      </w:r>
      <w:r w:rsidRPr="00117E41">
        <w:rPr>
          <w:color w:val="000000"/>
          <w:sz w:val="18"/>
          <w:szCs w:val="20"/>
          <w:rtl/>
        </w:rPr>
        <w:t xml:space="preserve"> ירושלים</w:t>
      </w:r>
      <w:r w:rsidRPr="00117E41">
        <w:rPr>
          <w:rFonts w:hint="cs"/>
          <w:color w:val="000000"/>
          <w:sz w:val="18"/>
          <w:szCs w:val="20"/>
          <w:rtl/>
        </w:rPr>
        <w:t>:</w:t>
      </w:r>
      <w:r w:rsidRPr="00117E41">
        <w:rPr>
          <w:color w:val="000000"/>
          <w:sz w:val="18"/>
          <w:szCs w:val="20"/>
          <w:rtl/>
        </w:rPr>
        <w:t xml:space="preserve"> מכון </w:t>
      </w:r>
      <w:proofErr w:type="spellStart"/>
      <w:r w:rsidRPr="00117E41">
        <w:rPr>
          <w:color w:val="000000"/>
          <w:sz w:val="18"/>
          <w:szCs w:val="20"/>
          <w:rtl/>
        </w:rPr>
        <w:t>ון</w:t>
      </w:r>
      <w:proofErr w:type="spellEnd"/>
      <w:r w:rsidRPr="00117E41">
        <w:rPr>
          <w:color w:val="000000"/>
          <w:sz w:val="18"/>
          <w:szCs w:val="20"/>
          <w:rtl/>
        </w:rPr>
        <w:t xml:space="preserve"> ליר</w:t>
      </w:r>
      <w:r w:rsidRPr="00117E41">
        <w:rPr>
          <w:rFonts w:hint="cs"/>
          <w:color w:val="000000"/>
          <w:sz w:val="18"/>
          <w:szCs w:val="20"/>
          <w:rtl/>
        </w:rPr>
        <w:t xml:space="preserve">; בני ברק: </w:t>
      </w:r>
      <w:r w:rsidRPr="00117E41">
        <w:rPr>
          <w:color w:val="000000"/>
          <w:sz w:val="18"/>
          <w:szCs w:val="20"/>
          <w:rtl/>
        </w:rPr>
        <w:t>הקיבוץ המאוחד.</w:t>
      </w:r>
    </w:p>
    <w:p w14:paraId="5E11A8CD" w14:textId="77777777" w:rsidR="00B4735A" w:rsidRPr="00117E41" w:rsidRDefault="00B4735A" w:rsidP="00911580">
      <w:pPr>
        <w:spacing w:after="180" w:line="280" w:lineRule="exact"/>
        <w:ind w:left="284" w:hanging="284"/>
        <w:jc w:val="both"/>
        <w:rPr>
          <w:color w:val="000000"/>
          <w:sz w:val="18"/>
          <w:szCs w:val="20"/>
          <w:rtl/>
        </w:rPr>
      </w:pPr>
      <w:r w:rsidRPr="00117E41">
        <w:rPr>
          <w:color w:val="000000"/>
          <w:sz w:val="18"/>
          <w:szCs w:val="20"/>
          <w:rtl/>
        </w:rPr>
        <w:t>פרידמן, מ</w:t>
      </w:r>
      <w:r w:rsidRPr="00117E41">
        <w:rPr>
          <w:rFonts w:hint="cs"/>
          <w:color w:val="000000"/>
          <w:sz w:val="18"/>
          <w:szCs w:val="20"/>
          <w:rtl/>
        </w:rPr>
        <w:t>' (2002)</w:t>
      </w:r>
      <w:r w:rsidRPr="00117E41">
        <w:rPr>
          <w:color w:val="000000"/>
          <w:sz w:val="18"/>
          <w:szCs w:val="20"/>
          <w:rtl/>
        </w:rPr>
        <w:t xml:space="preserve">. </w:t>
      </w:r>
      <w:r w:rsidRPr="00117E41">
        <w:rPr>
          <w:b/>
          <w:bCs/>
          <w:color w:val="000000"/>
          <w:sz w:val="18"/>
          <w:szCs w:val="20"/>
          <w:rtl/>
        </w:rPr>
        <w:t>קפיטליזם וחירות</w:t>
      </w:r>
      <w:r w:rsidRPr="00117E41">
        <w:rPr>
          <w:rFonts w:hint="cs"/>
          <w:b/>
          <w:bCs/>
          <w:color w:val="000000"/>
          <w:sz w:val="18"/>
          <w:szCs w:val="20"/>
          <w:rtl/>
        </w:rPr>
        <w:t xml:space="preserve"> </w:t>
      </w:r>
      <w:r w:rsidRPr="00117E41">
        <w:rPr>
          <w:rFonts w:hint="cs"/>
          <w:color w:val="000000"/>
          <w:sz w:val="18"/>
          <w:szCs w:val="20"/>
          <w:rtl/>
        </w:rPr>
        <w:t>(תרגום: מ' כהן-</w:t>
      </w:r>
      <w:proofErr w:type="spellStart"/>
      <w:r w:rsidRPr="00117E41">
        <w:rPr>
          <w:rFonts w:hint="cs"/>
          <w:color w:val="000000"/>
          <w:sz w:val="18"/>
          <w:szCs w:val="20"/>
          <w:rtl/>
        </w:rPr>
        <w:t>וידנפלד</w:t>
      </w:r>
      <w:proofErr w:type="spellEnd"/>
      <w:r w:rsidRPr="00117E41">
        <w:rPr>
          <w:rFonts w:hint="cs"/>
          <w:color w:val="000000"/>
          <w:sz w:val="18"/>
          <w:szCs w:val="20"/>
          <w:rtl/>
        </w:rPr>
        <w:t>)</w:t>
      </w:r>
      <w:r w:rsidRPr="00117E41">
        <w:rPr>
          <w:color w:val="000000"/>
          <w:sz w:val="18"/>
          <w:szCs w:val="20"/>
          <w:rtl/>
        </w:rPr>
        <w:t>. ירושלים: הוצאת שלם.</w:t>
      </w:r>
    </w:p>
    <w:p w14:paraId="6685A09B" w14:textId="77777777" w:rsidR="00B4735A" w:rsidRPr="00117E41" w:rsidRDefault="00B4735A" w:rsidP="00911580">
      <w:pPr>
        <w:spacing w:after="180" w:line="280" w:lineRule="exact"/>
        <w:ind w:left="284" w:hanging="284"/>
        <w:jc w:val="both"/>
        <w:rPr>
          <w:color w:val="000000"/>
          <w:sz w:val="18"/>
          <w:szCs w:val="20"/>
          <w:rtl/>
        </w:rPr>
      </w:pPr>
      <w:r w:rsidRPr="00117E41">
        <w:rPr>
          <w:color w:val="000000"/>
          <w:sz w:val="18"/>
          <w:szCs w:val="20"/>
          <w:rtl/>
        </w:rPr>
        <w:t>שמיר, מ</w:t>
      </w:r>
      <w:r w:rsidRPr="00117E41">
        <w:rPr>
          <w:rFonts w:hint="cs"/>
          <w:color w:val="000000"/>
          <w:sz w:val="18"/>
          <w:szCs w:val="20"/>
          <w:rtl/>
        </w:rPr>
        <w:t>' ו</w:t>
      </w:r>
      <w:r w:rsidRPr="00117E41">
        <w:rPr>
          <w:color w:val="000000"/>
          <w:sz w:val="18"/>
          <w:szCs w:val="20"/>
          <w:rtl/>
        </w:rPr>
        <w:t>גדליה-לביא</w:t>
      </w:r>
      <w:r w:rsidRPr="00117E41">
        <w:rPr>
          <w:rFonts w:hint="cs"/>
          <w:color w:val="000000"/>
          <w:sz w:val="18"/>
          <w:szCs w:val="20"/>
          <w:rtl/>
        </w:rPr>
        <w:t xml:space="preserve"> ע' (2015)</w:t>
      </w:r>
      <w:r w:rsidRPr="00117E41">
        <w:rPr>
          <w:color w:val="000000"/>
          <w:sz w:val="18"/>
          <w:szCs w:val="20"/>
          <w:rtl/>
        </w:rPr>
        <w:t>.</w:t>
      </w:r>
      <w:r w:rsidRPr="00117E41">
        <w:rPr>
          <w:rFonts w:hint="cs"/>
          <w:color w:val="000000"/>
          <w:sz w:val="18"/>
          <w:szCs w:val="20"/>
          <w:rtl/>
        </w:rPr>
        <w:t xml:space="preserve"> </w:t>
      </w:r>
      <w:r w:rsidRPr="00117E41">
        <w:rPr>
          <w:color w:val="000000"/>
          <w:sz w:val="18"/>
          <w:szCs w:val="20"/>
          <w:rtl/>
        </w:rPr>
        <w:t>פער מגדרי בהצבעה</w:t>
      </w:r>
      <w:r w:rsidRPr="00117E41">
        <w:rPr>
          <w:rFonts w:hint="cs"/>
          <w:color w:val="000000"/>
          <w:sz w:val="18"/>
          <w:szCs w:val="20"/>
          <w:rtl/>
        </w:rPr>
        <w:t>:</w:t>
      </w:r>
      <w:r w:rsidRPr="00117E41">
        <w:rPr>
          <w:color w:val="000000"/>
          <w:sz w:val="18"/>
          <w:szCs w:val="20"/>
          <w:rtl/>
        </w:rPr>
        <w:t xml:space="preserve"> היה או לא היה? נשים וגברים בבחירות 2013</w:t>
      </w:r>
      <w:r w:rsidRPr="00117E41">
        <w:rPr>
          <w:rFonts w:hint="cs"/>
          <w:color w:val="000000"/>
          <w:sz w:val="18"/>
          <w:szCs w:val="20"/>
          <w:rtl/>
        </w:rPr>
        <w:t xml:space="preserve">. בתוך: מ' שמיר (עורכת), </w:t>
      </w:r>
      <w:r w:rsidRPr="00117E41">
        <w:rPr>
          <w:b/>
          <w:bCs/>
          <w:color w:val="000000"/>
          <w:sz w:val="18"/>
          <w:szCs w:val="20"/>
          <w:rtl/>
        </w:rPr>
        <w:t>הבחירות בישראל –</w:t>
      </w:r>
      <w:r w:rsidRPr="00117E41">
        <w:rPr>
          <w:rFonts w:hint="cs"/>
          <w:b/>
          <w:bCs/>
          <w:color w:val="000000"/>
          <w:sz w:val="18"/>
          <w:szCs w:val="20"/>
          <w:rtl/>
        </w:rPr>
        <w:t xml:space="preserve"> 2013</w:t>
      </w:r>
      <w:r w:rsidRPr="00117E41">
        <w:rPr>
          <w:rFonts w:hint="cs"/>
          <w:color w:val="000000"/>
          <w:sz w:val="18"/>
          <w:szCs w:val="20"/>
          <w:rtl/>
        </w:rPr>
        <w:t xml:space="preserve"> (עמ' </w:t>
      </w:r>
      <w:r w:rsidRPr="00117E41">
        <w:rPr>
          <w:color w:val="000000"/>
          <w:sz w:val="18"/>
          <w:szCs w:val="20"/>
          <w:rtl/>
        </w:rPr>
        <w:t>2</w:t>
      </w:r>
      <w:r w:rsidRPr="00117E41">
        <w:rPr>
          <w:rFonts w:hint="cs"/>
          <w:color w:val="000000"/>
          <w:sz w:val="18"/>
          <w:szCs w:val="20"/>
          <w:rtl/>
        </w:rPr>
        <w:t>82</w:t>
      </w:r>
      <w:r w:rsidRPr="00117E41">
        <w:rPr>
          <w:color w:val="000000"/>
          <w:sz w:val="18"/>
          <w:szCs w:val="20"/>
          <w:rtl/>
        </w:rPr>
        <w:t>–3</w:t>
      </w:r>
      <w:r w:rsidRPr="00117E41">
        <w:rPr>
          <w:rFonts w:hint="cs"/>
          <w:color w:val="000000"/>
          <w:sz w:val="18"/>
          <w:szCs w:val="20"/>
          <w:rtl/>
        </w:rPr>
        <w:t xml:space="preserve">11). </w:t>
      </w:r>
      <w:r w:rsidRPr="00117E41">
        <w:rPr>
          <w:color w:val="000000"/>
          <w:sz w:val="18"/>
          <w:szCs w:val="20"/>
          <w:rtl/>
        </w:rPr>
        <w:t>ירושלים: המכון הישראלי לדמוקרטיה</w:t>
      </w:r>
      <w:r w:rsidRPr="00117E41">
        <w:rPr>
          <w:rFonts w:hint="cs"/>
          <w:color w:val="000000"/>
          <w:sz w:val="18"/>
          <w:szCs w:val="20"/>
          <w:rtl/>
        </w:rPr>
        <w:t>.</w:t>
      </w:r>
    </w:p>
    <w:p w14:paraId="4BAD8C8B" w14:textId="77777777" w:rsidR="009E3988" w:rsidRDefault="00B4735A" w:rsidP="009E3988">
      <w:pPr>
        <w:spacing w:line="280" w:lineRule="exact"/>
        <w:ind w:left="284" w:hanging="284"/>
        <w:jc w:val="both"/>
        <w:rPr>
          <w:color w:val="000000"/>
          <w:sz w:val="18"/>
          <w:szCs w:val="20"/>
          <w:rtl/>
        </w:rPr>
      </w:pPr>
      <w:r w:rsidRPr="00117E41">
        <w:rPr>
          <w:rFonts w:hint="cs"/>
          <w:color w:val="000000"/>
          <w:sz w:val="18"/>
          <w:szCs w:val="20"/>
          <w:rtl/>
        </w:rPr>
        <w:t xml:space="preserve">שפורר, ש' (2011, 27 באוקטובר). </w:t>
      </w:r>
      <w:r w:rsidRPr="00117E41">
        <w:rPr>
          <w:color w:val="000000"/>
          <w:sz w:val="18"/>
          <w:szCs w:val="20"/>
          <w:rtl/>
        </w:rPr>
        <w:t>המלך חסן: ראש הוועד שמחזיק מדינה בכיס הקטן</w:t>
      </w:r>
      <w:r w:rsidRPr="00117E41">
        <w:rPr>
          <w:rFonts w:hint="cs"/>
          <w:color w:val="000000"/>
          <w:sz w:val="18"/>
          <w:szCs w:val="20"/>
          <w:rtl/>
        </w:rPr>
        <w:t xml:space="preserve">. </w:t>
      </w:r>
      <w:r w:rsidRPr="00117E41">
        <w:rPr>
          <w:rFonts w:hint="cs"/>
          <w:b/>
          <w:bCs/>
          <w:color w:val="000000"/>
          <w:sz w:val="18"/>
          <w:szCs w:val="20"/>
          <w:rtl/>
        </w:rPr>
        <w:t>הארץ</w:t>
      </w:r>
      <w:r w:rsidRPr="00117E41">
        <w:rPr>
          <w:rFonts w:hint="cs"/>
          <w:color w:val="000000"/>
          <w:sz w:val="18"/>
          <w:szCs w:val="20"/>
          <w:rtl/>
        </w:rPr>
        <w:t>.</w:t>
      </w:r>
      <w:r w:rsidRPr="00117E41">
        <w:rPr>
          <w:color w:val="000000"/>
          <w:sz w:val="18"/>
          <w:szCs w:val="20"/>
          <w:rtl/>
        </w:rPr>
        <w:t xml:space="preserve"> </w:t>
      </w:r>
    </w:p>
    <w:p w14:paraId="2F6F35DF" w14:textId="181F3B4C" w:rsidR="00B4735A" w:rsidRPr="009E3988" w:rsidRDefault="007364A2" w:rsidP="009E3988">
      <w:pPr>
        <w:bidi w:val="0"/>
        <w:spacing w:after="180" w:line="280" w:lineRule="exact"/>
        <w:jc w:val="both"/>
        <w:rPr>
          <w:sz w:val="16"/>
          <w:szCs w:val="16"/>
          <w:rtl/>
        </w:rPr>
      </w:pPr>
      <w:hyperlink r:id="rId10" w:history="1">
        <w:r w:rsidR="009E3988" w:rsidRPr="009E3988">
          <w:rPr>
            <w:rStyle w:val="Hyperlink"/>
            <w:color w:val="auto"/>
            <w:sz w:val="16"/>
            <w:szCs w:val="16"/>
            <w:u w:val="none"/>
          </w:rPr>
          <w:t>https://www.haaretz.co.il/news/investigations/1.1532078</w:t>
        </w:r>
      </w:hyperlink>
      <w:r w:rsidR="00B4735A" w:rsidRPr="009E3988">
        <w:rPr>
          <w:sz w:val="16"/>
          <w:szCs w:val="16"/>
          <w:rtl/>
        </w:rPr>
        <w:t xml:space="preserve"> </w:t>
      </w:r>
    </w:p>
    <w:p w14:paraId="58728480" w14:textId="77777777" w:rsidR="00B4735A" w:rsidRPr="00117E41" w:rsidRDefault="00B4735A" w:rsidP="00911580">
      <w:pPr>
        <w:spacing w:after="180" w:line="280" w:lineRule="exact"/>
        <w:ind w:left="284" w:hanging="284"/>
        <w:jc w:val="both"/>
        <w:rPr>
          <w:color w:val="000000"/>
          <w:sz w:val="18"/>
          <w:szCs w:val="20"/>
          <w:rtl/>
        </w:rPr>
      </w:pPr>
      <w:r w:rsidRPr="00117E41">
        <w:rPr>
          <w:rFonts w:hint="cs"/>
          <w:color w:val="000000"/>
          <w:sz w:val="18"/>
          <w:szCs w:val="20"/>
          <w:rtl/>
        </w:rPr>
        <w:t xml:space="preserve">שפירא, א' (2010). </w:t>
      </w:r>
      <w:r w:rsidRPr="00117E41">
        <w:rPr>
          <w:color w:val="000000"/>
          <w:sz w:val="18"/>
          <w:szCs w:val="20"/>
          <w:rtl/>
        </w:rPr>
        <w:t>הפרטה – סקירה תאורטית והיסטורית</w:t>
      </w:r>
      <w:r w:rsidRPr="00117E41">
        <w:rPr>
          <w:rFonts w:hint="cs"/>
          <w:color w:val="000000"/>
          <w:sz w:val="18"/>
          <w:szCs w:val="20"/>
          <w:rtl/>
        </w:rPr>
        <w:t xml:space="preserve">. </w:t>
      </w:r>
      <w:r w:rsidRPr="00117E41">
        <w:rPr>
          <w:rFonts w:hint="cs"/>
          <w:b/>
          <w:bCs/>
          <w:color w:val="000000"/>
          <w:sz w:val="18"/>
          <w:szCs w:val="20"/>
          <w:rtl/>
        </w:rPr>
        <w:t>פרלמנט</w:t>
      </w:r>
      <w:r w:rsidRPr="00117E41">
        <w:rPr>
          <w:rFonts w:hint="cs"/>
          <w:color w:val="000000"/>
          <w:sz w:val="18"/>
          <w:szCs w:val="20"/>
          <w:rtl/>
        </w:rPr>
        <w:t>,</w:t>
      </w:r>
      <w:r w:rsidRPr="00117E41">
        <w:rPr>
          <w:rFonts w:hint="cs"/>
          <w:b/>
          <w:bCs/>
          <w:color w:val="000000"/>
          <w:sz w:val="18"/>
          <w:szCs w:val="20"/>
          <w:rtl/>
        </w:rPr>
        <w:t xml:space="preserve"> 64</w:t>
      </w:r>
      <w:r w:rsidRPr="00117E41">
        <w:rPr>
          <w:rFonts w:hint="cs"/>
          <w:color w:val="000000"/>
          <w:sz w:val="18"/>
          <w:szCs w:val="20"/>
          <w:rtl/>
        </w:rPr>
        <w:t>. המכון הישראלי לדמוקרטיה.</w:t>
      </w:r>
      <w:r w:rsidRPr="00117E41">
        <w:rPr>
          <w:color w:val="000000"/>
          <w:sz w:val="18"/>
          <w:szCs w:val="20"/>
          <w:rtl/>
        </w:rPr>
        <w:t xml:space="preserve"> </w:t>
      </w:r>
      <w:hyperlink r:id="rId11" w:history="1">
        <w:r w:rsidRPr="00117E41">
          <w:rPr>
            <w:color w:val="000000"/>
            <w:sz w:val="18"/>
            <w:szCs w:val="20"/>
            <w:lang w:val="fr-FR"/>
          </w:rPr>
          <w:t>https://www.idi.org.il/parliaments/11097/11145</w:t>
        </w:r>
      </w:hyperlink>
    </w:p>
    <w:p w14:paraId="33442502" w14:textId="77777777" w:rsidR="00B4735A" w:rsidRPr="00117E41" w:rsidRDefault="00B4735A" w:rsidP="00911580">
      <w:pPr>
        <w:bidi w:val="0"/>
        <w:spacing w:after="180" w:line="280" w:lineRule="exact"/>
        <w:ind w:left="284" w:hanging="284"/>
        <w:jc w:val="both"/>
        <w:rPr>
          <w:color w:val="000000"/>
          <w:sz w:val="18"/>
          <w:szCs w:val="20"/>
        </w:rPr>
      </w:pPr>
      <w:proofErr w:type="spellStart"/>
      <w:r w:rsidRPr="00117E41">
        <w:rPr>
          <w:color w:val="000000"/>
          <w:sz w:val="18"/>
          <w:szCs w:val="20"/>
          <w:lang w:val="fr-FR"/>
        </w:rPr>
        <w:t>Alesina</w:t>
      </w:r>
      <w:proofErr w:type="spellEnd"/>
      <w:r w:rsidRPr="00117E41">
        <w:rPr>
          <w:color w:val="000000"/>
          <w:sz w:val="18"/>
          <w:szCs w:val="20"/>
          <w:lang w:val="fr-FR"/>
        </w:rPr>
        <w:t xml:space="preserve">, A., </w:t>
      </w:r>
      <w:proofErr w:type="spellStart"/>
      <w:r w:rsidRPr="00117E41">
        <w:rPr>
          <w:color w:val="000000"/>
          <w:sz w:val="18"/>
          <w:szCs w:val="20"/>
          <w:lang w:val="fr-FR"/>
        </w:rPr>
        <w:t>Glaeser</w:t>
      </w:r>
      <w:proofErr w:type="spellEnd"/>
      <w:r w:rsidRPr="00117E41">
        <w:rPr>
          <w:color w:val="000000"/>
          <w:sz w:val="18"/>
          <w:szCs w:val="20"/>
          <w:lang w:val="fr-FR"/>
        </w:rPr>
        <w:t>, E.</w:t>
      </w:r>
      <w:r w:rsidRPr="00117E41">
        <w:rPr>
          <w:color w:val="000000"/>
          <w:sz w:val="18"/>
          <w:szCs w:val="20"/>
        </w:rPr>
        <w:t>,</w:t>
      </w:r>
      <w:r w:rsidRPr="00117E41">
        <w:rPr>
          <w:color w:val="000000"/>
          <w:sz w:val="18"/>
          <w:szCs w:val="20"/>
          <w:lang w:val="fr-FR"/>
        </w:rPr>
        <w:t xml:space="preserve"> &amp; Sacerdote, B. (2001). </w:t>
      </w:r>
      <w:r w:rsidRPr="00117E41">
        <w:rPr>
          <w:i/>
          <w:iCs/>
          <w:color w:val="000000"/>
          <w:sz w:val="18"/>
          <w:szCs w:val="20"/>
        </w:rPr>
        <w:t>Why doesn’t the U.S. have a European-style welfare system?</w:t>
      </w:r>
      <w:r w:rsidRPr="00117E41">
        <w:rPr>
          <w:color w:val="000000"/>
          <w:sz w:val="18"/>
          <w:szCs w:val="20"/>
        </w:rPr>
        <w:t xml:space="preserve"> </w:t>
      </w:r>
      <w:r w:rsidRPr="00117E41">
        <w:rPr>
          <w:i/>
          <w:iCs/>
          <w:color w:val="000000"/>
          <w:sz w:val="18"/>
          <w:szCs w:val="20"/>
        </w:rPr>
        <w:t>Brookings Papers on Economic Activity</w:t>
      </w:r>
      <w:r w:rsidRPr="00117E41">
        <w:rPr>
          <w:color w:val="000000"/>
          <w:sz w:val="18"/>
          <w:szCs w:val="20"/>
        </w:rPr>
        <w:t xml:space="preserve">, </w:t>
      </w:r>
      <w:r w:rsidRPr="00117E41">
        <w:rPr>
          <w:i/>
          <w:iCs/>
          <w:color w:val="000000"/>
          <w:sz w:val="18"/>
          <w:szCs w:val="20"/>
        </w:rPr>
        <w:t>Fall 2001</w:t>
      </w:r>
      <w:r w:rsidRPr="00117E41">
        <w:rPr>
          <w:color w:val="000000"/>
          <w:sz w:val="18"/>
          <w:szCs w:val="20"/>
        </w:rPr>
        <w:t>(2), 187–278.</w:t>
      </w:r>
    </w:p>
    <w:p w14:paraId="584C8535" w14:textId="77777777" w:rsidR="00B4735A" w:rsidRPr="00117E41" w:rsidRDefault="00B4735A" w:rsidP="00911580">
      <w:pPr>
        <w:bidi w:val="0"/>
        <w:spacing w:after="180" w:line="280" w:lineRule="exact"/>
        <w:ind w:left="284" w:hanging="284"/>
        <w:jc w:val="both"/>
        <w:rPr>
          <w:color w:val="000000"/>
          <w:sz w:val="18"/>
          <w:szCs w:val="20"/>
        </w:rPr>
      </w:pPr>
      <w:proofErr w:type="spellStart"/>
      <w:r w:rsidRPr="00117E41">
        <w:rPr>
          <w:color w:val="000000"/>
          <w:sz w:val="18"/>
          <w:szCs w:val="20"/>
        </w:rPr>
        <w:t>Allsop</w:t>
      </w:r>
      <w:proofErr w:type="spellEnd"/>
      <w:r w:rsidRPr="00117E41">
        <w:rPr>
          <w:color w:val="000000"/>
          <w:sz w:val="18"/>
          <w:szCs w:val="20"/>
        </w:rPr>
        <w:t xml:space="preserve">, B., Briggs, J., &amp; </w:t>
      </w:r>
      <w:proofErr w:type="spellStart"/>
      <w:r w:rsidRPr="00117E41">
        <w:rPr>
          <w:color w:val="000000"/>
          <w:sz w:val="18"/>
          <w:szCs w:val="20"/>
        </w:rPr>
        <w:t>Kisby</w:t>
      </w:r>
      <w:proofErr w:type="spellEnd"/>
      <w:r w:rsidRPr="00117E41">
        <w:rPr>
          <w:color w:val="000000"/>
          <w:sz w:val="18"/>
          <w:szCs w:val="20"/>
        </w:rPr>
        <w:t xml:space="preserve">, B. (2018). Market values and youth political engagement in the UK: Towards an agenda for exploring the psychological impacts of neo-liberalism. </w:t>
      </w:r>
      <w:r w:rsidRPr="00117E41">
        <w:rPr>
          <w:i/>
          <w:iCs/>
          <w:color w:val="000000"/>
          <w:sz w:val="18"/>
          <w:szCs w:val="20"/>
        </w:rPr>
        <w:t>Societies</w:t>
      </w:r>
      <w:r w:rsidRPr="00117E41">
        <w:rPr>
          <w:color w:val="000000"/>
          <w:sz w:val="18"/>
          <w:szCs w:val="20"/>
        </w:rPr>
        <w:t xml:space="preserve">, </w:t>
      </w:r>
      <w:r w:rsidRPr="00117E41">
        <w:rPr>
          <w:i/>
          <w:iCs/>
          <w:color w:val="000000"/>
          <w:sz w:val="18"/>
          <w:szCs w:val="20"/>
        </w:rPr>
        <w:t>8</w:t>
      </w:r>
      <w:r w:rsidRPr="00117E41">
        <w:rPr>
          <w:color w:val="000000"/>
          <w:sz w:val="18"/>
          <w:szCs w:val="20"/>
        </w:rPr>
        <w:t xml:space="preserve">, 95. </w:t>
      </w:r>
    </w:p>
    <w:p w14:paraId="0A9F2709" w14:textId="35FCAC59" w:rsidR="00B4735A" w:rsidRPr="00117E41" w:rsidRDefault="00B4735A" w:rsidP="0032315D">
      <w:pPr>
        <w:bidi w:val="0"/>
        <w:spacing w:after="180" w:line="280" w:lineRule="exact"/>
        <w:ind w:left="284" w:hanging="284"/>
        <w:jc w:val="both"/>
        <w:rPr>
          <w:color w:val="000000"/>
          <w:sz w:val="18"/>
          <w:szCs w:val="20"/>
        </w:rPr>
      </w:pPr>
      <w:proofErr w:type="spellStart"/>
      <w:r w:rsidRPr="00117E41">
        <w:rPr>
          <w:color w:val="000000"/>
          <w:sz w:val="18"/>
          <w:szCs w:val="20"/>
        </w:rPr>
        <w:t>Battaglio</w:t>
      </w:r>
      <w:proofErr w:type="spellEnd"/>
      <w:r w:rsidRPr="00117E41">
        <w:rPr>
          <w:color w:val="000000"/>
          <w:sz w:val="18"/>
          <w:szCs w:val="20"/>
        </w:rPr>
        <w:t xml:space="preserve">, R. P., &amp; </w:t>
      </w:r>
      <w:proofErr w:type="spellStart"/>
      <w:r w:rsidRPr="00117E41">
        <w:rPr>
          <w:color w:val="000000"/>
          <w:sz w:val="18"/>
          <w:szCs w:val="20"/>
        </w:rPr>
        <w:t>Legge</w:t>
      </w:r>
      <w:proofErr w:type="spellEnd"/>
      <w:r w:rsidRPr="00117E41">
        <w:rPr>
          <w:color w:val="000000"/>
          <w:sz w:val="18"/>
          <w:szCs w:val="20"/>
        </w:rPr>
        <w:t>, J. S. (2009). Self-</w:t>
      </w:r>
      <w:r w:rsidR="0032315D">
        <w:rPr>
          <w:color w:val="000000"/>
          <w:sz w:val="18"/>
          <w:szCs w:val="20"/>
        </w:rPr>
        <w:t>i</w:t>
      </w:r>
      <w:r w:rsidR="0032315D" w:rsidRPr="00117E41">
        <w:rPr>
          <w:color w:val="000000"/>
          <w:sz w:val="18"/>
          <w:szCs w:val="20"/>
        </w:rPr>
        <w:t>nterest</w:t>
      </w:r>
      <w:r w:rsidRPr="00117E41">
        <w:rPr>
          <w:color w:val="000000"/>
          <w:sz w:val="18"/>
          <w:szCs w:val="20"/>
        </w:rPr>
        <w:t xml:space="preserve">, ideological/symbolic politics, and citizen characteristics: A cross-national analysis of support for privatization. </w:t>
      </w:r>
      <w:r w:rsidRPr="00117E41">
        <w:rPr>
          <w:i/>
          <w:iCs/>
          <w:color w:val="000000"/>
          <w:sz w:val="18"/>
          <w:szCs w:val="20"/>
        </w:rPr>
        <w:t>Public Administration Review</w:t>
      </w:r>
      <w:r w:rsidRPr="00117E41">
        <w:rPr>
          <w:color w:val="000000"/>
          <w:sz w:val="18"/>
          <w:szCs w:val="20"/>
        </w:rPr>
        <w:t>,</w:t>
      </w:r>
      <w:r w:rsidRPr="00117E41">
        <w:rPr>
          <w:i/>
          <w:iCs/>
          <w:color w:val="000000"/>
          <w:sz w:val="18"/>
          <w:szCs w:val="20"/>
        </w:rPr>
        <w:t xml:space="preserve"> 69</w:t>
      </w:r>
      <w:r w:rsidRPr="00117E41">
        <w:rPr>
          <w:color w:val="000000"/>
          <w:sz w:val="18"/>
          <w:szCs w:val="20"/>
        </w:rPr>
        <w:t>(4), 697–709.</w:t>
      </w:r>
    </w:p>
    <w:p w14:paraId="16A94383" w14:textId="77777777" w:rsidR="00B4735A" w:rsidRPr="00117E41" w:rsidRDefault="00B4735A" w:rsidP="00911580">
      <w:pPr>
        <w:bidi w:val="0"/>
        <w:spacing w:after="180" w:line="280" w:lineRule="exact"/>
        <w:ind w:left="284" w:hanging="284"/>
        <w:jc w:val="both"/>
        <w:rPr>
          <w:color w:val="000000"/>
          <w:sz w:val="18"/>
          <w:szCs w:val="20"/>
        </w:rPr>
      </w:pPr>
      <w:r w:rsidRPr="00117E41">
        <w:rPr>
          <w:color w:val="000000"/>
          <w:sz w:val="18"/>
          <w:szCs w:val="20"/>
        </w:rPr>
        <w:t xml:space="preserve">Boyer, E. J., &amp; Van Slyke, D. M. (2019). Citizen attitudes towards public–private partnerships. </w:t>
      </w:r>
      <w:r w:rsidRPr="00117E41">
        <w:rPr>
          <w:i/>
          <w:iCs/>
          <w:color w:val="000000"/>
          <w:sz w:val="18"/>
          <w:szCs w:val="20"/>
        </w:rPr>
        <w:t>American Review of Public Administration</w:t>
      </w:r>
      <w:r w:rsidRPr="00117E41">
        <w:rPr>
          <w:color w:val="000000"/>
          <w:sz w:val="18"/>
          <w:szCs w:val="20"/>
        </w:rPr>
        <w:t xml:space="preserve">, </w:t>
      </w:r>
      <w:r w:rsidRPr="00117E41">
        <w:rPr>
          <w:i/>
          <w:iCs/>
          <w:color w:val="000000"/>
          <w:sz w:val="18"/>
          <w:szCs w:val="20"/>
        </w:rPr>
        <w:t>49</w:t>
      </w:r>
      <w:r w:rsidRPr="00117E41">
        <w:rPr>
          <w:color w:val="000000"/>
          <w:sz w:val="18"/>
          <w:szCs w:val="20"/>
        </w:rPr>
        <w:t>(3), 259–274.</w:t>
      </w:r>
    </w:p>
    <w:p w14:paraId="768FB7C0" w14:textId="77777777" w:rsidR="00B4735A" w:rsidRPr="00117E41" w:rsidRDefault="00B4735A" w:rsidP="00911580">
      <w:pPr>
        <w:bidi w:val="0"/>
        <w:spacing w:after="180" w:line="280" w:lineRule="exact"/>
        <w:ind w:left="284" w:hanging="284"/>
        <w:jc w:val="both"/>
        <w:rPr>
          <w:color w:val="000000"/>
          <w:sz w:val="18"/>
          <w:szCs w:val="20"/>
        </w:rPr>
      </w:pPr>
      <w:r w:rsidRPr="00117E41">
        <w:rPr>
          <w:color w:val="000000"/>
          <w:sz w:val="18"/>
          <w:szCs w:val="20"/>
        </w:rPr>
        <w:lastRenderedPageBreak/>
        <w:t xml:space="preserve">Clark, A. E., &amp; </w:t>
      </w:r>
      <w:proofErr w:type="spellStart"/>
      <w:r w:rsidRPr="00117E41">
        <w:rPr>
          <w:color w:val="000000"/>
          <w:sz w:val="18"/>
          <w:szCs w:val="20"/>
        </w:rPr>
        <w:t>Lelkes</w:t>
      </w:r>
      <w:proofErr w:type="spellEnd"/>
      <w:r w:rsidRPr="00117E41">
        <w:rPr>
          <w:color w:val="000000"/>
          <w:sz w:val="18"/>
          <w:szCs w:val="20"/>
        </w:rPr>
        <w:t xml:space="preserve">, O. (2005). </w:t>
      </w:r>
      <w:r w:rsidRPr="00117E41">
        <w:rPr>
          <w:i/>
          <w:iCs/>
          <w:color w:val="000000"/>
          <w:sz w:val="18"/>
          <w:szCs w:val="20"/>
        </w:rPr>
        <w:t>Deliver us from evil: Religion as insurance</w:t>
      </w:r>
      <w:r w:rsidRPr="00117E41">
        <w:rPr>
          <w:color w:val="000000"/>
          <w:sz w:val="18"/>
          <w:szCs w:val="20"/>
        </w:rPr>
        <w:t>. PSE Working Papers no. 2005–43.</w:t>
      </w:r>
    </w:p>
    <w:p w14:paraId="028945AD" w14:textId="77777777" w:rsidR="00B4735A" w:rsidRPr="00117E41" w:rsidRDefault="00B4735A" w:rsidP="00911580">
      <w:pPr>
        <w:bidi w:val="0"/>
        <w:spacing w:after="180" w:line="280" w:lineRule="exact"/>
        <w:ind w:left="284" w:hanging="284"/>
        <w:jc w:val="both"/>
        <w:rPr>
          <w:color w:val="000000"/>
          <w:sz w:val="18"/>
          <w:szCs w:val="20"/>
        </w:rPr>
      </w:pPr>
      <w:r w:rsidRPr="00117E41">
        <w:rPr>
          <w:color w:val="000000"/>
          <w:sz w:val="18"/>
          <w:szCs w:val="20"/>
        </w:rPr>
        <w:t xml:space="preserve">Cohen, N., Mizrahi, S., &amp; Yuval, F. (2011). Public attitudes towards the welfare state and public policy: The Israeli experience. </w:t>
      </w:r>
      <w:r w:rsidRPr="00117E41">
        <w:rPr>
          <w:i/>
          <w:iCs/>
          <w:color w:val="000000"/>
          <w:sz w:val="18"/>
          <w:szCs w:val="20"/>
        </w:rPr>
        <w:t>Israel Affairs</w:t>
      </w:r>
      <w:r w:rsidRPr="00117E41">
        <w:rPr>
          <w:color w:val="000000"/>
          <w:sz w:val="18"/>
          <w:szCs w:val="20"/>
        </w:rPr>
        <w:t xml:space="preserve">, </w:t>
      </w:r>
      <w:r w:rsidRPr="00117E41">
        <w:rPr>
          <w:i/>
          <w:iCs/>
          <w:color w:val="000000"/>
          <w:sz w:val="18"/>
          <w:szCs w:val="20"/>
        </w:rPr>
        <w:t>17</w:t>
      </w:r>
      <w:r w:rsidRPr="00117E41">
        <w:rPr>
          <w:color w:val="000000"/>
          <w:sz w:val="18"/>
          <w:szCs w:val="20"/>
        </w:rPr>
        <w:t>(4), 621–643.</w:t>
      </w:r>
    </w:p>
    <w:p w14:paraId="6742BA50" w14:textId="77777777" w:rsidR="00B4735A" w:rsidRPr="00117E41" w:rsidRDefault="00B4735A" w:rsidP="00911580">
      <w:pPr>
        <w:bidi w:val="0"/>
        <w:spacing w:after="180" w:line="280" w:lineRule="exact"/>
        <w:ind w:left="284" w:hanging="284"/>
        <w:jc w:val="both"/>
        <w:rPr>
          <w:color w:val="000000"/>
          <w:sz w:val="18"/>
          <w:szCs w:val="20"/>
        </w:rPr>
      </w:pPr>
      <w:proofErr w:type="spellStart"/>
      <w:r w:rsidRPr="00117E41">
        <w:rPr>
          <w:color w:val="000000"/>
          <w:sz w:val="18"/>
          <w:szCs w:val="20"/>
        </w:rPr>
        <w:t>deLeon</w:t>
      </w:r>
      <w:proofErr w:type="spellEnd"/>
      <w:r w:rsidRPr="00117E41">
        <w:rPr>
          <w:color w:val="000000"/>
          <w:sz w:val="18"/>
          <w:szCs w:val="20"/>
        </w:rPr>
        <w:t xml:space="preserve">, L., &amp; Denhardt, R. B. (2000). The political theory of reinvention. </w:t>
      </w:r>
      <w:r w:rsidRPr="00117E41">
        <w:rPr>
          <w:i/>
          <w:iCs/>
          <w:color w:val="000000"/>
          <w:sz w:val="18"/>
          <w:szCs w:val="20"/>
        </w:rPr>
        <w:t>Public Administration Review</w:t>
      </w:r>
      <w:r w:rsidRPr="00117E41">
        <w:rPr>
          <w:color w:val="000000"/>
          <w:sz w:val="18"/>
          <w:szCs w:val="20"/>
        </w:rPr>
        <w:t>,</w:t>
      </w:r>
      <w:r w:rsidRPr="00117E41">
        <w:rPr>
          <w:i/>
          <w:iCs/>
          <w:color w:val="000000"/>
          <w:sz w:val="18"/>
          <w:szCs w:val="20"/>
        </w:rPr>
        <w:t xml:space="preserve"> 60</w:t>
      </w:r>
      <w:r w:rsidRPr="00117E41">
        <w:rPr>
          <w:color w:val="000000"/>
          <w:sz w:val="18"/>
          <w:szCs w:val="20"/>
        </w:rPr>
        <w:t>(2), 89–97.</w:t>
      </w:r>
    </w:p>
    <w:p w14:paraId="05F27F50" w14:textId="77777777" w:rsidR="00B4735A" w:rsidRPr="00117E41" w:rsidRDefault="00B4735A" w:rsidP="00911580">
      <w:pPr>
        <w:bidi w:val="0"/>
        <w:spacing w:after="180" w:line="280" w:lineRule="exact"/>
        <w:ind w:left="284" w:hanging="284"/>
        <w:jc w:val="both"/>
        <w:rPr>
          <w:color w:val="000000"/>
          <w:sz w:val="18"/>
          <w:szCs w:val="20"/>
        </w:rPr>
      </w:pPr>
      <w:proofErr w:type="spellStart"/>
      <w:r w:rsidRPr="00117E41">
        <w:rPr>
          <w:color w:val="000000"/>
          <w:sz w:val="18"/>
          <w:szCs w:val="20"/>
        </w:rPr>
        <w:t>Denisova</w:t>
      </w:r>
      <w:proofErr w:type="spellEnd"/>
      <w:r w:rsidRPr="00117E41">
        <w:rPr>
          <w:color w:val="000000"/>
          <w:sz w:val="18"/>
          <w:szCs w:val="20"/>
        </w:rPr>
        <w:t xml:space="preserve">, I., Eller, M., Frye, T., &amp; </w:t>
      </w:r>
      <w:proofErr w:type="spellStart"/>
      <w:r w:rsidRPr="00117E41">
        <w:rPr>
          <w:color w:val="000000"/>
          <w:sz w:val="18"/>
          <w:szCs w:val="20"/>
        </w:rPr>
        <w:t>Zhuravskaya</w:t>
      </w:r>
      <w:proofErr w:type="spellEnd"/>
      <w:r w:rsidRPr="00117E41">
        <w:rPr>
          <w:color w:val="000000"/>
          <w:sz w:val="18"/>
          <w:szCs w:val="20"/>
        </w:rPr>
        <w:t xml:space="preserve">, E. (2012). Everyone hates privatization, but why? Survey evidence from 28 post-communist countries. </w:t>
      </w:r>
      <w:r w:rsidRPr="00117E41">
        <w:rPr>
          <w:i/>
          <w:iCs/>
          <w:color w:val="000000"/>
          <w:sz w:val="18"/>
          <w:szCs w:val="20"/>
        </w:rPr>
        <w:t>Journal of Comparative Economics</w:t>
      </w:r>
      <w:r w:rsidRPr="00117E41">
        <w:rPr>
          <w:color w:val="000000"/>
          <w:sz w:val="18"/>
          <w:szCs w:val="20"/>
        </w:rPr>
        <w:t xml:space="preserve">, </w:t>
      </w:r>
      <w:r w:rsidRPr="00117E41">
        <w:rPr>
          <w:i/>
          <w:iCs/>
          <w:color w:val="000000"/>
          <w:sz w:val="18"/>
          <w:szCs w:val="20"/>
        </w:rPr>
        <w:t>40</w:t>
      </w:r>
      <w:r w:rsidRPr="00117E41">
        <w:rPr>
          <w:color w:val="000000"/>
          <w:sz w:val="18"/>
          <w:szCs w:val="20"/>
        </w:rPr>
        <w:t>(1), 44–61.</w:t>
      </w:r>
    </w:p>
    <w:p w14:paraId="430AC7ED" w14:textId="77777777" w:rsidR="00B4735A" w:rsidRPr="00117E41" w:rsidRDefault="00B4735A" w:rsidP="00911580">
      <w:pPr>
        <w:bidi w:val="0"/>
        <w:spacing w:after="180" w:line="280" w:lineRule="exact"/>
        <w:ind w:left="284" w:hanging="284"/>
        <w:jc w:val="both"/>
        <w:rPr>
          <w:color w:val="000000"/>
          <w:sz w:val="18"/>
          <w:szCs w:val="20"/>
        </w:rPr>
      </w:pPr>
      <w:proofErr w:type="spellStart"/>
      <w:r w:rsidRPr="00117E41">
        <w:rPr>
          <w:color w:val="000000"/>
          <w:sz w:val="18"/>
          <w:szCs w:val="20"/>
        </w:rPr>
        <w:t>Devroye</w:t>
      </w:r>
      <w:proofErr w:type="spellEnd"/>
      <w:r w:rsidRPr="00117E41">
        <w:rPr>
          <w:color w:val="000000"/>
          <w:sz w:val="18"/>
          <w:szCs w:val="20"/>
        </w:rPr>
        <w:t xml:space="preserve">, D. (2003). Who wants to privatize social security? Understanding why the poor are wary of private accounts. </w:t>
      </w:r>
      <w:r w:rsidRPr="00117E41">
        <w:rPr>
          <w:i/>
          <w:iCs/>
          <w:color w:val="000000"/>
          <w:sz w:val="18"/>
          <w:szCs w:val="20"/>
        </w:rPr>
        <w:t>Public Administration Review</w:t>
      </w:r>
      <w:r w:rsidRPr="00117E41">
        <w:rPr>
          <w:color w:val="000000"/>
          <w:sz w:val="18"/>
          <w:szCs w:val="20"/>
        </w:rPr>
        <w:t xml:space="preserve">, </w:t>
      </w:r>
      <w:r w:rsidRPr="00117E41">
        <w:rPr>
          <w:i/>
          <w:iCs/>
          <w:color w:val="000000"/>
          <w:sz w:val="18"/>
          <w:szCs w:val="20"/>
        </w:rPr>
        <w:t>63</w:t>
      </w:r>
      <w:r w:rsidRPr="00117E41">
        <w:rPr>
          <w:color w:val="000000"/>
          <w:sz w:val="18"/>
          <w:szCs w:val="20"/>
        </w:rPr>
        <w:t>(3), 316–328.</w:t>
      </w:r>
    </w:p>
    <w:p w14:paraId="0FA49ADA" w14:textId="77777777" w:rsidR="00B4735A" w:rsidRPr="00117E41" w:rsidRDefault="00B4735A" w:rsidP="00911580">
      <w:pPr>
        <w:bidi w:val="0"/>
        <w:spacing w:after="180" w:line="280" w:lineRule="exact"/>
        <w:ind w:left="284" w:hanging="284"/>
        <w:jc w:val="both"/>
        <w:rPr>
          <w:color w:val="000000"/>
          <w:sz w:val="18"/>
          <w:szCs w:val="20"/>
        </w:rPr>
      </w:pPr>
      <w:r w:rsidRPr="00117E41">
        <w:rPr>
          <w:color w:val="000000"/>
          <w:sz w:val="18"/>
          <w:szCs w:val="20"/>
        </w:rPr>
        <w:t xml:space="preserve">Durant, R. F., &amp; </w:t>
      </w:r>
      <w:proofErr w:type="spellStart"/>
      <w:r w:rsidRPr="00117E41">
        <w:rPr>
          <w:color w:val="000000"/>
          <w:sz w:val="18"/>
          <w:szCs w:val="20"/>
        </w:rPr>
        <w:t>Legge</w:t>
      </w:r>
      <w:proofErr w:type="spellEnd"/>
      <w:r w:rsidRPr="00117E41">
        <w:rPr>
          <w:color w:val="000000"/>
          <w:sz w:val="18"/>
          <w:szCs w:val="20"/>
        </w:rPr>
        <w:t xml:space="preserve">, J. S. Jr. (2001). Politics, public opinion and privatization: A test of competing theories in Great Britain. </w:t>
      </w:r>
      <w:r w:rsidRPr="00117E41">
        <w:rPr>
          <w:i/>
          <w:iCs/>
          <w:color w:val="000000"/>
          <w:sz w:val="18"/>
          <w:szCs w:val="20"/>
        </w:rPr>
        <w:t>Public Organization Review: A global Journal</w:t>
      </w:r>
      <w:r w:rsidRPr="00117E41">
        <w:rPr>
          <w:color w:val="000000"/>
          <w:sz w:val="18"/>
          <w:szCs w:val="20"/>
        </w:rPr>
        <w:t xml:space="preserve">, </w:t>
      </w:r>
      <w:r w:rsidRPr="00117E41">
        <w:rPr>
          <w:i/>
          <w:iCs/>
          <w:color w:val="000000"/>
          <w:sz w:val="18"/>
          <w:szCs w:val="20"/>
        </w:rPr>
        <w:t>1</w:t>
      </w:r>
      <w:r w:rsidRPr="00117E41">
        <w:rPr>
          <w:color w:val="000000"/>
          <w:sz w:val="18"/>
          <w:szCs w:val="20"/>
        </w:rPr>
        <w:t>, 75–95.</w:t>
      </w:r>
    </w:p>
    <w:p w14:paraId="38D5692C" w14:textId="396C99F7" w:rsidR="00B4735A" w:rsidRPr="00117E41" w:rsidRDefault="00B4735A" w:rsidP="00911580">
      <w:pPr>
        <w:bidi w:val="0"/>
        <w:spacing w:after="180" w:line="280" w:lineRule="exact"/>
        <w:ind w:left="284" w:hanging="284"/>
        <w:jc w:val="both"/>
        <w:rPr>
          <w:color w:val="000000"/>
          <w:sz w:val="18"/>
          <w:szCs w:val="20"/>
        </w:rPr>
      </w:pPr>
      <w:proofErr w:type="spellStart"/>
      <w:r w:rsidRPr="00117E41">
        <w:rPr>
          <w:color w:val="000000"/>
          <w:sz w:val="18"/>
          <w:szCs w:val="20"/>
        </w:rPr>
        <w:t>Flecker</w:t>
      </w:r>
      <w:proofErr w:type="spellEnd"/>
      <w:r w:rsidRPr="00117E41">
        <w:rPr>
          <w:color w:val="000000"/>
          <w:sz w:val="18"/>
          <w:szCs w:val="20"/>
        </w:rPr>
        <w:t xml:space="preserve">, J., &amp; Hermann, C. (2009). </w:t>
      </w:r>
      <w:r w:rsidRPr="00117E41">
        <w:rPr>
          <w:i/>
          <w:iCs/>
          <w:color w:val="000000"/>
          <w:sz w:val="18"/>
          <w:szCs w:val="20"/>
        </w:rPr>
        <w:t>Privatization of public services and the impact on quality, employment and productivity</w:t>
      </w:r>
      <w:r w:rsidRPr="00117E41">
        <w:rPr>
          <w:color w:val="000000"/>
          <w:sz w:val="18"/>
          <w:szCs w:val="20"/>
        </w:rPr>
        <w:t xml:space="preserve"> </w:t>
      </w:r>
      <w:r w:rsidRPr="00117E41">
        <w:rPr>
          <w:i/>
          <w:iCs/>
          <w:color w:val="000000"/>
          <w:sz w:val="18"/>
          <w:szCs w:val="20"/>
        </w:rPr>
        <w:t>(PIQUE).</w:t>
      </w:r>
      <w:r w:rsidRPr="00117E41">
        <w:rPr>
          <w:color w:val="000000"/>
          <w:sz w:val="18"/>
          <w:szCs w:val="20"/>
        </w:rPr>
        <w:t xml:space="preserve"> Summary report of the project, funded by the European Commission’s 6</w:t>
      </w:r>
      <w:r w:rsidRPr="00084CF0">
        <w:rPr>
          <w:color w:val="000000"/>
          <w:sz w:val="18"/>
          <w:szCs w:val="20"/>
          <w:vertAlign w:val="superscript"/>
        </w:rPr>
        <w:t>th</w:t>
      </w:r>
      <w:r w:rsidRPr="00117E41">
        <w:rPr>
          <w:color w:val="000000"/>
          <w:sz w:val="18"/>
          <w:szCs w:val="20"/>
        </w:rPr>
        <w:t xml:space="preserve"> Framework </w:t>
      </w:r>
      <w:proofErr w:type="spellStart"/>
      <w:r w:rsidR="00084CF0">
        <w:rPr>
          <w:color w:val="000000"/>
          <w:sz w:val="18"/>
          <w:szCs w:val="20"/>
        </w:rPr>
        <w:t>P</w:t>
      </w:r>
      <w:r w:rsidRPr="00117E41">
        <w:rPr>
          <w:color w:val="000000"/>
          <w:sz w:val="18"/>
          <w:szCs w:val="20"/>
        </w:rPr>
        <w:t>rogramme</w:t>
      </w:r>
      <w:proofErr w:type="spellEnd"/>
      <w:r w:rsidRPr="00117E41">
        <w:rPr>
          <w:color w:val="000000"/>
          <w:sz w:val="18"/>
          <w:szCs w:val="20"/>
        </w:rPr>
        <w:t>.</w:t>
      </w:r>
    </w:p>
    <w:p w14:paraId="6E309DDD" w14:textId="77777777" w:rsidR="00B4735A" w:rsidRPr="00117E41" w:rsidRDefault="00B4735A" w:rsidP="00911580">
      <w:pPr>
        <w:bidi w:val="0"/>
        <w:spacing w:after="180" w:line="280" w:lineRule="exact"/>
        <w:ind w:left="284" w:hanging="284"/>
        <w:jc w:val="both"/>
        <w:rPr>
          <w:color w:val="000000"/>
          <w:sz w:val="18"/>
          <w:szCs w:val="20"/>
        </w:rPr>
      </w:pPr>
      <w:r w:rsidRPr="00117E41">
        <w:rPr>
          <w:color w:val="000000"/>
          <w:sz w:val="18"/>
          <w:szCs w:val="20"/>
        </w:rPr>
        <w:t xml:space="preserve">Ford, R. (2016). Who should we help? An experimental test of discrimination in the British welfare state. </w:t>
      </w:r>
      <w:r w:rsidRPr="00117E41">
        <w:rPr>
          <w:i/>
          <w:iCs/>
          <w:color w:val="000000"/>
          <w:sz w:val="18"/>
          <w:szCs w:val="20"/>
        </w:rPr>
        <w:t>Political Studies</w:t>
      </w:r>
      <w:r w:rsidRPr="00117E41">
        <w:rPr>
          <w:color w:val="000000"/>
          <w:sz w:val="18"/>
          <w:szCs w:val="20"/>
        </w:rPr>
        <w:t xml:space="preserve">, </w:t>
      </w:r>
      <w:r w:rsidRPr="00117E41">
        <w:rPr>
          <w:i/>
          <w:iCs/>
          <w:color w:val="000000"/>
          <w:sz w:val="18"/>
          <w:szCs w:val="20"/>
        </w:rPr>
        <w:t>64</w:t>
      </w:r>
      <w:r w:rsidRPr="00117E41">
        <w:rPr>
          <w:color w:val="000000"/>
          <w:sz w:val="18"/>
          <w:szCs w:val="20"/>
        </w:rPr>
        <w:t>(3), 630–650.</w:t>
      </w:r>
    </w:p>
    <w:p w14:paraId="5A25222B" w14:textId="77777777" w:rsidR="00B4735A" w:rsidRPr="00117E41" w:rsidRDefault="00B4735A" w:rsidP="00911580">
      <w:pPr>
        <w:bidi w:val="0"/>
        <w:spacing w:after="180" w:line="280" w:lineRule="exact"/>
        <w:ind w:left="284" w:hanging="284"/>
        <w:jc w:val="both"/>
        <w:rPr>
          <w:color w:val="000000"/>
          <w:sz w:val="18"/>
          <w:szCs w:val="20"/>
          <w:rtl/>
        </w:rPr>
      </w:pPr>
      <w:r w:rsidRPr="00117E41">
        <w:rPr>
          <w:color w:val="000000"/>
          <w:sz w:val="18"/>
          <w:szCs w:val="20"/>
        </w:rPr>
        <w:t xml:space="preserve">Gamble, A. (1994). </w:t>
      </w:r>
      <w:r w:rsidRPr="00117E41">
        <w:rPr>
          <w:i/>
          <w:iCs/>
          <w:color w:val="000000"/>
          <w:sz w:val="18"/>
          <w:szCs w:val="20"/>
        </w:rPr>
        <w:t>The free economy and the strong state 2</w:t>
      </w:r>
      <w:r w:rsidRPr="00117E41">
        <w:rPr>
          <w:i/>
          <w:iCs/>
          <w:color w:val="000000"/>
          <w:sz w:val="18"/>
          <w:szCs w:val="20"/>
          <w:vertAlign w:val="superscript"/>
        </w:rPr>
        <w:t>ed</w:t>
      </w:r>
      <w:r w:rsidRPr="00117E41">
        <w:rPr>
          <w:color w:val="000000"/>
          <w:sz w:val="18"/>
          <w:szCs w:val="20"/>
        </w:rPr>
        <w:t>. Hampshire and London: Macmillan.</w:t>
      </w:r>
    </w:p>
    <w:p w14:paraId="5D9CA143" w14:textId="77777777" w:rsidR="00B4735A" w:rsidRPr="00117E41" w:rsidRDefault="00B4735A" w:rsidP="00911580">
      <w:pPr>
        <w:bidi w:val="0"/>
        <w:spacing w:after="180" w:line="280" w:lineRule="exact"/>
        <w:ind w:left="284" w:hanging="284"/>
        <w:jc w:val="both"/>
        <w:rPr>
          <w:color w:val="000000"/>
          <w:sz w:val="18"/>
          <w:szCs w:val="20"/>
        </w:rPr>
      </w:pPr>
      <w:r w:rsidRPr="00117E41">
        <w:rPr>
          <w:color w:val="000000"/>
          <w:sz w:val="18"/>
          <w:szCs w:val="20"/>
        </w:rPr>
        <w:t xml:space="preserve">Heath, Y., &amp; Gifford, R. (2006). Free-market ideology and environmental degradation: The case of belief in global climate change. </w:t>
      </w:r>
      <w:r w:rsidRPr="00117E41">
        <w:rPr>
          <w:i/>
          <w:iCs/>
          <w:color w:val="000000"/>
          <w:sz w:val="18"/>
          <w:szCs w:val="20"/>
        </w:rPr>
        <w:t>Environment and Behavior</w:t>
      </w:r>
      <w:r w:rsidRPr="00117E41">
        <w:rPr>
          <w:color w:val="000000"/>
          <w:sz w:val="18"/>
          <w:szCs w:val="20"/>
        </w:rPr>
        <w:t xml:space="preserve">, </w:t>
      </w:r>
      <w:r w:rsidRPr="00117E41">
        <w:rPr>
          <w:i/>
          <w:iCs/>
          <w:color w:val="000000"/>
          <w:sz w:val="18"/>
          <w:szCs w:val="20"/>
        </w:rPr>
        <w:t>38</w:t>
      </w:r>
      <w:r w:rsidRPr="00117E41">
        <w:rPr>
          <w:color w:val="000000"/>
          <w:sz w:val="18"/>
          <w:szCs w:val="20"/>
        </w:rPr>
        <w:t>(1), 48–71.</w:t>
      </w:r>
    </w:p>
    <w:p w14:paraId="5CE378C8" w14:textId="77777777" w:rsidR="00B4735A" w:rsidRPr="00117E41" w:rsidRDefault="00B4735A" w:rsidP="00911580">
      <w:pPr>
        <w:bidi w:val="0"/>
        <w:spacing w:after="180" w:line="280" w:lineRule="exact"/>
        <w:ind w:left="284" w:hanging="284"/>
        <w:jc w:val="both"/>
        <w:rPr>
          <w:color w:val="000000"/>
          <w:sz w:val="18"/>
          <w:szCs w:val="20"/>
        </w:rPr>
      </w:pPr>
      <w:proofErr w:type="spellStart"/>
      <w:r w:rsidRPr="00117E41">
        <w:rPr>
          <w:color w:val="000000"/>
          <w:sz w:val="18"/>
          <w:szCs w:val="20"/>
        </w:rPr>
        <w:t>Humpage</w:t>
      </w:r>
      <w:proofErr w:type="spellEnd"/>
      <w:r w:rsidRPr="00117E41">
        <w:rPr>
          <w:color w:val="000000"/>
          <w:sz w:val="18"/>
          <w:szCs w:val="20"/>
        </w:rPr>
        <w:t xml:space="preserve">, L. (2016). "A common sense of the times"? Neo-liberalism and changing public opinion in New Zealand and the UK. </w:t>
      </w:r>
      <w:r w:rsidRPr="00117E41">
        <w:rPr>
          <w:i/>
          <w:iCs/>
          <w:color w:val="000000"/>
          <w:sz w:val="18"/>
          <w:szCs w:val="20"/>
        </w:rPr>
        <w:t>Social Policy &amp; Administration</w:t>
      </w:r>
      <w:r w:rsidRPr="00117E41">
        <w:rPr>
          <w:color w:val="000000"/>
          <w:sz w:val="18"/>
          <w:szCs w:val="20"/>
        </w:rPr>
        <w:t xml:space="preserve">, </w:t>
      </w:r>
      <w:r w:rsidRPr="00117E41">
        <w:rPr>
          <w:i/>
          <w:iCs/>
          <w:color w:val="000000"/>
          <w:sz w:val="18"/>
          <w:szCs w:val="20"/>
        </w:rPr>
        <w:t>50</w:t>
      </w:r>
      <w:r w:rsidRPr="00117E41">
        <w:rPr>
          <w:color w:val="000000"/>
          <w:sz w:val="18"/>
          <w:szCs w:val="20"/>
        </w:rPr>
        <w:t xml:space="preserve">(1), 79–98. </w:t>
      </w:r>
    </w:p>
    <w:p w14:paraId="1D9D6AA6" w14:textId="77777777" w:rsidR="00B4735A" w:rsidRPr="00117E41" w:rsidRDefault="00B4735A" w:rsidP="00911580">
      <w:pPr>
        <w:bidi w:val="0"/>
        <w:spacing w:after="180" w:line="280" w:lineRule="exact"/>
        <w:ind w:left="284" w:hanging="284"/>
        <w:jc w:val="both"/>
        <w:rPr>
          <w:color w:val="000000"/>
          <w:sz w:val="18"/>
          <w:szCs w:val="20"/>
        </w:rPr>
      </w:pPr>
      <w:proofErr w:type="spellStart"/>
      <w:r w:rsidRPr="00117E41">
        <w:rPr>
          <w:color w:val="000000"/>
          <w:sz w:val="18"/>
          <w:szCs w:val="20"/>
        </w:rPr>
        <w:t>Kikeri</w:t>
      </w:r>
      <w:proofErr w:type="spellEnd"/>
      <w:r w:rsidRPr="00117E41">
        <w:rPr>
          <w:color w:val="000000"/>
          <w:sz w:val="18"/>
          <w:szCs w:val="20"/>
        </w:rPr>
        <w:t xml:space="preserve">, S., &amp; </w:t>
      </w:r>
      <w:proofErr w:type="spellStart"/>
      <w:r w:rsidRPr="00117E41">
        <w:rPr>
          <w:color w:val="000000"/>
          <w:sz w:val="18"/>
          <w:szCs w:val="20"/>
        </w:rPr>
        <w:t>Kolo</w:t>
      </w:r>
      <w:proofErr w:type="spellEnd"/>
      <w:r w:rsidRPr="00117E41">
        <w:rPr>
          <w:color w:val="000000"/>
          <w:sz w:val="18"/>
          <w:szCs w:val="20"/>
        </w:rPr>
        <w:t xml:space="preserve">, A. F. (2005). </w:t>
      </w:r>
      <w:r w:rsidRPr="00117E41">
        <w:rPr>
          <w:i/>
          <w:iCs/>
          <w:color w:val="000000"/>
          <w:sz w:val="18"/>
          <w:szCs w:val="20"/>
        </w:rPr>
        <w:t xml:space="preserve">Privatization: Trends and recent developments. </w:t>
      </w:r>
      <w:r w:rsidRPr="00117E41">
        <w:rPr>
          <w:color w:val="000000"/>
          <w:sz w:val="18"/>
          <w:szCs w:val="20"/>
        </w:rPr>
        <w:t>World Bank Policy Research Working Paper 3765. The World Bank.</w:t>
      </w:r>
    </w:p>
    <w:p w14:paraId="3B111B8D" w14:textId="77777777" w:rsidR="00B4735A" w:rsidRPr="00117E41" w:rsidRDefault="00B4735A" w:rsidP="00911580">
      <w:pPr>
        <w:bidi w:val="0"/>
        <w:spacing w:after="180" w:line="280" w:lineRule="exact"/>
        <w:ind w:left="284" w:hanging="284"/>
        <w:jc w:val="both"/>
        <w:rPr>
          <w:color w:val="000000"/>
          <w:sz w:val="18"/>
          <w:szCs w:val="20"/>
        </w:rPr>
      </w:pPr>
      <w:r w:rsidRPr="00117E41">
        <w:rPr>
          <w:color w:val="000000"/>
          <w:sz w:val="18"/>
          <w:szCs w:val="20"/>
        </w:rPr>
        <w:t xml:space="preserve">Kim, S. E., &amp; Margalit, Y. (2017). Informed preferences? The impact of unions on workers’ policy views. </w:t>
      </w:r>
      <w:r w:rsidRPr="00117E41">
        <w:rPr>
          <w:i/>
          <w:iCs/>
          <w:color w:val="000000"/>
          <w:sz w:val="18"/>
          <w:szCs w:val="20"/>
        </w:rPr>
        <w:t>American Journal of Political Science</w:t>
      </w:r>
      <w:r w:rsidRPr="00117E41">
        <w:rPr>
          <w:color w:val="000000"/>
          <w:sz w:val="18"/>
          <w:szCs w:val="20"/>
        </w:rPr>
        <w:t xml:space="preserve">, </w:t>
      </w:r>
      <w:r w:rsidRPr="00117E41">
        <w:rPr>
          <w:i/>
          <w:iCs/>
          <w:color w:val="000000"/>
          <w:sz w:val="18"/>
          <w:szCs w:val="20"/>
        </w:rPr>
        <w:t>61</w:t>
      </w:r>
      <w:r w:rsidRPr="00117E41">
        <w:rPr>
          <w:color w:val="000000"/>
          <w:sz w:val="18"/>
          <w:szCs w:val="20"/>
        </w:rPr>
        <w:t>(3), 728–743.</w:t>
      </w:r>
    </w:p>
    <w:p w14:paraId="1A5AC15F" w14:textId="77777777" w:rsidR="00B4735A" w:rsidRPr="00117E41" w:rsidRDefault="00B4735A" w:rsidP="00911580">
      <w:pPr>
        <w:bidi w:val="0"/>
        <w:spacing w:after="180" w:line="280" w:lineRule="exact"/>
        <w:ind w:left="284" w:hanging="284"/>
        <w:jc w:val="both"/>
        <w:rPr>
          <w:color w:val="000000"/>
          <w:sz w:val="18"/>
          <w:szCs w:val="20"/>
        </w:rPr>
      </w:pPr>
      <w:proofErr w:type="spellStart"/>
      <w:r w:rsidRPr="00117E41">
        <w:rPr>
          <w:color w:val="000000"/>
          <w:sz w:val="18"/>
          <w:szCs w:val="20"/>
        </w:rPr>
        <w:lastRenderedPageBreak/>
        <w:t>Legge</w:t>
      </w:r>
      <w:proofErr w:type="spellEnd"/>
      <w:r w:rsidRPr="00117E41">
        <w:rPr>
          <w:color w:val="000000"/>
          <w:sz w:val="18"/>
          <w:szCs w:val="20"/>
        </w:rPr>
        <w:t xml:space="preserve">, J. S. Jr., &amp; Rainey, H. G. (2003). Privatization and public opinion in Germany. </w:t>
      </w:r>
      <w:r w:rsidRPr="00117E41">
        <w:rPr>
          <w:i/>
          <w:iCs/>
          <w:color w:val="000000"/>
          <w:sz w:val="18"/>
          <w:szCs w:val="20"/>
        </w:rPr>
        <w:t>Public Organization Review: A Global Journal</w:t>
      </w:r>
      <w:r w:rsidRPr="00117E41">
        <w:rPr>
          <w:color w:val="000000"/>
          <w:sz w:val="18"/>
          <w:szCs w:val="20"/>
        </w:rPr>
        <w:t xml:space="preserve">, </w:t>
      </w:r>
      <w:r w:rsidRPr="00117E41">
        <w:rPr>
          <w:i/>
          <w:iCs/>
          <w:color w:val="000000"/>
          <w:sz w:val="18"/>
          <w:szCs w:val="20"/>
        </w:rPr>
        <w:t>3</w:t>
      </w:r>
      <w:r w:rsidRPr="00117E41">
        <w:rPr>
          <w:color w:val="000000"/>
          <w:sz w:val="18"/>
          <w:szCs w:val="20"/>
        </w:rPr>
        <w:t>, 127–149.</w:t>
      </w:r>
    </w:p>
    <w:p w14:paraId="26B9287D" w14:textId="7BFA97C6" w:rsidR="00B4735A" w:rsidRPr="00117E41" w:rsidRDefault="00B4735A" w:rsidP="00911580">
      <w:pPr>
        <w:bidi w:val="0"/>
        <w:spacing w:after="180" w:line="280" w:lineRule="exact"/>
        <w:ind w:left="284" w:hanging="284"/>
        <w:jc w:val="both"/>
        <w:rPr>
          <w:color w:val="000000"/>
          <w:sz w:val="18"/>
          <w:szCs w:val="20"/>
        </w:rPr>
      </w:pPr>
      <w:proofErr w:type="spellStart"/>
      <w:r w:rsidRPr="00117E41">
        <w:rPr>
          <w:color w:val="000000"/>
          <w:sz w:val="18"/>
          <w:szCs w:val="20"/>
        </w:rPr>
        <w:t>Lifshitz</w:t>
      </w:r>
      <w:proofErr w:type="spellEnd"/>
      <w:r w:rsidRPr="00117E41">
        <w:rPr>
          <w:color w:val="000000"/>
          <w:sz w:val="18"/>
          <w:szCs w:val="20"/>
        </w:rPr>
        <w:t xml:space="preserve">, J. I. (2007). Welfare, property, and charity in Jewish thought. </w:t>
      </w:r>
      <w:r w:rsidRPr="00117E41">
        <w:rPr>
          <w:i/>
          <w:iCs/>
          <w:color w:val="000000"/>
          <w:sz w:val="18"/>
          <w:szCs w:val="20"/>
        </w:rPr>
        <w:t>Society</w:t>
      </w:r>
      <w:r w:rsidRPr="00117E41">
        <w:rPr>
          <w:color w:val="000000"/>
          <w:sz w:val="18"/>
          <w:szCs w:val="20"/>
        </w:rPr>
        <w:t xml:space="preserve">, </w:t>
      </w:r>
      <w:r w:rsidRPr="00117E41">
        <w:rPr>
          <w:i/>
          <w:iCs/>
          <w:color w:val="000000"/>
          <w:sz w:val="18"/>
          <w:szCs w:val="20"/>
        </w:rPr>
        <w:t>44</w:t>
      </w:r>
      <w:r w:rsidRPr="00117E41">
        <w:rPr>
          <w:color w:val="000000"/>
          <w:sz w:val="18"/>
          <w:szCs w:val="20"/>
        </w:rPr>
        <w:t xml:space="preserve">(2), </w:t>
      </w:r>
      <w:r w:rsidR="009C161B">
        <w:rPr>
          <w:color w:val="000000"/>
          <w:sz w:val="18"/>
          <w:szCs w:val="20"/>
        </w:rPr>
        <w:br/>
      </w:r>
      <w:r w:rsidRPr="00117E41">
        <w:rPr>
          <w:color w:val="000000"/>
          <w:sz w:val="18"/>
          <w:szCs w:val="20"/>
        </w:rPr>
        <w:t>71–78.</w:t>
      </w:r>
    </w:p>
    <w:p w14:paraId="2853081F" w14:textId="77777777" w:rsidR="00B4735A" w:rsidRPr="00117E41" w:rsidRDefault="00B4735A" w:rsidP="00911580">
      <w:pPr>
        <w:bidi w:val="0"/>
        <w:spacing w:after="180" w:line="280" w:lineRule="exact"/>
        <w:ind w:left="284" w:hanging="284"/>
        <w:jc w:val="both"/>
        <w:rPr>
          <w:color w:val="000000"/>
          <w:sz w:val="18"/>
          <w:szCs w:val="20"/>
        </w:rPr>
      </w:pPr>
      <w:r w:rsidRPr="00117E41">
        <w:rPr>
          <w:color w:val="000000"/>
          <w:sz w:val="18"/>
          <w:szCs w:val="20"/>
        </w:rPr>
        <w:t xml:space="preserve">Lind, J. T. (2007). Fractionalization and the size of government. </w:t>
      </w:r>
      <w:r w:rsidRPr="00117E41">
        <w:rPr>
          <w:i/>
          <w:iCs/>
          <w:color w:val="000000"/>
          <w:sz w:val="18"/>
          <w:szCs w:val="20"/>
        </w:rPr>
        <w:t>Journal of Public Economics</w:t>
      </w:r>
      <w:r w:rsidRPr="00117E41">
        <w:rPr>
          <w:color w:val="000000"/>
          <w:sz w:val="18"/>
          <w:szCs w:val="20"/>
        </w:rPr>
        <w:t xml:space="preserve">, </w:t>
      </w:r>
      <w:r w:rsidRPr="00117E41">
        <w:rPr>
          <w:i/>
          <w:iCs/>
          <w:color w:val="000000"/>
          <w:sz w:val="18"/>
          <w:szCs w:val="20"/>
        </w:rPr>
        <w:t>91</w:t>
      </w:r>
      <w:r w:rsidRPr="00117E41">
        <w:rPr>
          <w:color w:val="000000"/>
          <w:sz w:val="18"/>
          <w:szCs w:val="20"/>
        </w:rPr>
        <w:t>, 51–76.</w:t>
      </w:r>
    </w:p>
    <w:p w14:paraId="146B5665" w14:textId="165B6516" w:rsidR="00B4735A" w:rsidRPr="00117E41" w:rsidRDefault="00B4735A" w:rsidP="000B24FA">
      <w:pPr>
        <w:bidi w:val="0"/>
        <w:spacing w:after="180" w:line="280" w:lineRule="exact"/>
        <w:ind w:left="284" w:hanging="284"/>
        <w:jc w:val="both"/>
        <w:rPr>
          <w:color w:val="000000"/>
          <w:sz w:val="18"/>
          <w:szCs w:val="20"/>
        </w:rPr>
      </w:pPr>
      <w:r w:rsidRPr="00117E41">
        <w:rPr>
          <w:color w:val="000000"/>
          <w:sz w:val="18"/>
          <w:szCs w:val="20"/>
        </w:rPr>
        <w:t>Lindh, A. (2015). Public opinion against markets? Attitudes towards market distribution of social services</w:t>
      </w:r>
      <w:r w:rsidR="000B24FA">
        <w:rPr>
          <w:color w:val="000000"/>
          <w:sz w:val="18"/>
          <w:szCs w:val="20"/>
        </w:rPr>
        <w:t>: A</w:t>
      </w:r>
      <w:r w:rsidRPr="00117E41">
        <w:rPr>
          <w:color w:val="000000"/>
          <w:sz w:val="18"/>
          <w:szCs w:val="20"/>
        </w:rPr>
        <w:t xml:space="preserve"> comparison of 17 countries. </w:t>
      </w:r>
      <w:r w:rsidRPr="00117E41">
        <w:rPr>
          <w:i/>
          <w:iCs/>
          <w:color w:val="000000"/>
          <w:sz w:val="18"/>
          <w:szCs w:val="20"/>
        </w:rPr>
        <w:t>Social Policy &amp; Administration</w:t>
      </w:r>
      <w:r w:rsidRPr="00117E41">
        <w:rPr>
          <w:color w:val="000000"/>
          <w:sz w:val="18"/>
          <w:szCs w:val="20"/>
        </w:rPr>
        <w:t xml:space="preserve">, </w:t>
      </w:r>
      <w:r w:rsidRPr="00117E41">
        <w:rPr>
          <w:i/>
          <w:iCs/>
          <w:color w:val="000000"/>
          <w:sz w:val="18"/>
          <w:szCs w:val="20"/>
        </w:rPr>
        <w:t>49</w:t>
      </w:r>
      <w:r w:rsidRPr="00117E41">
        <w:rPr>
          <w:color w:val="000000"/>
          <w:sz w:val="18"/>
          <w:szCs w:val="20"/>
        </w:rPr>
        <w:t>(7), 887–910.</w:t>
      </w:r>
    </w:p>
    <w:p w14:paraId="74DE1EF4" w14:textId="77777777" w:rsidR="00B4735A" w:rsidRPr="00117E41" w:rsidRDefault="00B4735A" w:rsidP="00911580">
      <w:pPr>
        <w:bidi w:val="0"/>
        <w:spacing w:after="180" w:line="280" w:lineRule="exact"/>
        <w:ind w:left="284" w:hanging="284"/>
        <w:jc w:val="both"/>
        <w:rPr>
          <w:color w:val="000000"/>
          <w:sz w:val="18"/>
          <w:szCs w:val="20"/>
        </w:rPr>
      </w:pPr>
      <w:proofErr w:type="spellStart"/>
      <w:r w:rsidRPr="00117E41">
        <w:rPr>
          <w:color w:val="000000"/>
          <w:sz w:val="18"/>
          <w:szCs w:val="20"/>
        </w:rPr>
        <w:t>Luttmer</w:t>
      </w:r>
      <w:proofErr w:type="spellEnd"/>
      <w:r w:rsidRPr="00117E41">
        <w:rPr>
          <w:color w:val="000000"/>
          <w:sz w:val="18"/>
          <w:szCs w:val="20"/>
        </w:rPr>
        <w:t xml:space="preserve">, E. F. P. (2001). Group loyalty and the taste for redistribution. </w:t>
      </w:r>
      <w:r w:rsidRPr="00117E41">
        <w:rPr>
          <w:i/>
          <w:iCs/>
          <w:color w:val="000000"/>
          <w:sz w:val="18"/>
          <w:szCs w:val="20"/>
        </w:rPr>
        <w:t>Journal of Political Economy</w:t>
      </w:r>
      <w:r w:rsidRPr="00117E41">
        <w:rPr>
          <w:color w:val="000000"/>
          <w:sz w:val="18"/>
          <w:szCs w:val="20"/>
        </w:rPr>
        <w:t xml:space="preserve">, </w:t>
      </w:r>
      <w:r w:rsidRPr="00117E41">
        <w:rPr>
          <w:i/>
          <w:iCs/>
          <w:color w:val="000000"/>
          <w:sz w:val="18"/>
          <w:szCs w:val="20"/>
        </w:rPr>
        <w:t>109</w:t>
      </w:r>
      <w:r w:rsidRPr="00117E41">
        <w:rPr>
          <w:color w:val="000000"/>
          <w:sz w:val="18"/>
          <w:szCs w:val="20"/>
        </w:rPr>
        <w:t>(3), 500–528.</w:t>
      </w:r>
    </w:p>
    <w:p w14:paraId="085674AC" w14:textId="77777777" w:rsidR="00B4735A" w:rsidRPr="00117E41" w:rsidRDefault="00B4735A" w:rsidP="00911580">
      <w:pPr>
        <w:bidi w:val="0"/>
        <w:spacing w:after="180" w:line="280" w:lineRule="exact"/>
        <w:ind w:left="284" w:hanging="284"/>
        <w:jc w:val="both"/>
        <w:rPr>
          <w:color w:val="000000"/>
          <w:sz w:val="18"/>
          <w:szCs w:val="20"/>
        </w:rPr>
      </w:pPr>
      <w:r w:rsidRPr="00117E41">
        <w:rPr>
          <w:color w:val="000000"/>
          <w:sz w:val="18"/>
          <w:szCs w:val="20"/>
        </w:rPr>
        <w:t xml:space="preserve">Mizrahi, S., Yuval, F., &amp; Cohen, N. (2014). Alternative politics and attitudes toward the welfare state: Theory and empirical findings from Israel. </w:t>
      </w:r>
      <w:r w:rsidRPr="00117E41">
        <w:rPr>
          <w:i/>
          <w:iCs/>
          <w:color w:val="000000"/>
          <w:sz w:val="18"/>
          <w:szCs w:val="20"/>
        </w:rPr>
        <w:t>Politics &amp; Policy</w:t>
      </w:r>
      <w:r w:rsidRPr="00117E41">
        <w:rPr>
          <w:color w:val="000000"/>
          <w:sz w:val="18"/>
          <w:szCs w:val="20"/>
        </w:rPr>
        <w:t xml:space="preserve">, </w:t>
      </w:r>
      <w:r w:rsidRPr="00117E41">
        <w:rPr>
          <w:i/>
          <w:iCs/>
          <w:color w:val="000000"/>
          <w:sz w:val="18"/>
          <w:szCs w:val="20"/>
        </w:rPr>
        <w:t>42</w:t>
      </w:r>
      <w:r w:rsidRPr="00117E41">
        <w:rPr>
          <w:color w:val="000000"/>
          <w:sz w:val="18"/>
          <w:szCs w:val="20"/>
        </w:rPr>
        <w:t xml:space="preserve">(6), 850–880. </w:t>
      </w:r>
      <w:hyperlink r:id="rId12" w:history="1">
        <w:r w:rsidRPr="00117E41">
          <w:rPr>
            <w:color w:val="000000"/>
            <w:sz w:val="18"/>
            <w:szCs w:val="20"/>
          </w:rPr>
          <w:t>https://doi.org/10.1111/polp.12099</w:t>
        </w:r>
      </w:hyperlink>
    </w:p>
    <w:p w14:paraId="77C6B20A" w14:textId="4B41B3FD" w:rsidR="00B4735A" w:rsidRPr="00573058" w:rsidRDefault="00B4735A" w:rsidP="00573058">
      <w:pPr>
        <w:bidi w:val="0"/>
        <w:spacing w:after="180" w:line="280" w:lineRule="exact"/>
        <w:ind w:left="284" w:hanging="284"/>
        <w:jc w:val="both"/>
        <w:rPr>
          <w:i/>
          <w:iCs/>
          <w:color w:val="000000"/>
          <w:sz w:val="18"/>
          <w:szCs w:val="20"/>
        </w:rPr>
      </w:pPr>
      <w:r w:rsidRPr="00911580">
        <w:rPr>
          <w:sz w:val="18"/>
          <w:szCs w:val="20"/>
        </w:rPr>
        <w:t xml:space="preserve">Mohammed, F. M. (1992). Privatization: A solution to problems of public enterprises. </w:t>
      </w:r>
      <w:r w:rsidR="00573058" w:rsidRPr="00573058">
        <w:rPr>
          <w:i/>
          <w:iCs/>
          <w:sz w:val="18"/>
          <w:szCs w:val="20"/>
        </w:rPr>
        <w:t xml:space="preserve">Journal of King </w:t>
      </w:r>
      <w:proofErr w:type="spellStart"/>
      <w:r w:rsidR="00573058" w:rsidRPr="00573058">
        <w:rPr>
          <w:i/>
          <w:iCs/>
          <w:sz w:val="18"/>
          <w:szCs w:val="20"/>
        </w:rPr>
        <w:t>Abdulaziz</w:t>
      </w:r>
      <w:proofErr w:type="spellEnd"/>
      <w:r w:rsidR="00573058" w:rsidRPr="00573058">
        <w:rPr>
          <w:i/>
          <w:iCs/>
          <w:sz w:val="18"/>
          <w:szCs w:val="20"/>
        </w:rPr>
        <w:t xml:space="preserve"> University:</w:t>
      </w:r>
      <w:r w:rsidR="00573058" w:rsidRPr="00573058">
        <w:rPr>
          <w:i/>
          <w:iCs/>
          <w:color w:val="000000"/>
          <w:sz w:val="18"/>
          <w:szCs w:val="20"/>
        </w:rPr>
        <w:t> </w:t>
      </w:r>
      <w:r w:rsidR="00573058" w:rsidRPr="00573058">
        <w:rPr>
          <w:i/>
          <w:iCs/>
          <w:sz w:val="18"/>
          <w:szCs w:val="20"/>
        </w:rPr>
        <w:t>Economics and Administration</w:t>
      </w:r>
      <w:r w:rsidRPr="00573058">
        <w:rPr>
          <w:color w:val="000000"/>
          <w:sz w:val="18"/>
          <w:szCs w:val="20"/>
        </w:rPr>
        <w:t>,</w:t>
      </w:r>
      <w:r w:rsidRPr="00573058">
        <w:rPr>
          <w:i/>
          <w:iCs/>
          <w:color w:val="000000"/>
          <w:sz w:val="18"/>
          <w:szCs w:val="20"/>
        </w:rPr>
        <w:t xml:space="preserve"> 5</w:t>
      </w:r>
      <w:r w:rsidRPr="00573058">
        <w:rPr>
          <w:color w:val="000000"/>
          <w:sz w:val="18"/>
          <w:szCs w:val="20"/>
        </w:rPr>
        <w:t>,</w:t>
      </w:r>
      <w:r w:rsidRPr="00573058">
        <w:rPr>
          <w:i/>
          <w:iCs/>
          <w:color w:val="000000"/>
          <w:sz w:val="18"/>
          <w:szCs w:val="20"/>
        </w:rPr>
        <w:t xml:space="preserve"> 33–49.</w:t>
      </w:r>
    </w:p>
    <w:p w14:paraId="1CA91562" w14:textId="77777777" w:rsidR="00B4735A" w:rsidRPr="00911580" w:rsidRDefault="00B4735A" w:rsidP="00911580">
      <w:pPr>
        <w:bidi w:val="0"/>
        <w:spacing w:after="180" w:line="280" w:lineRule="exact"/>
        <w:ind w:left="284" w:hanging="284"/>
        <w:jc w:val="both"/>
        <w:rPr>
          <w:sz w:val="18"/>
          <w:szCs w:val="20"/>
        </w:rPr>
      </w:pPr>
      <w:proofErr w:type="spellStart"/>
      <w:r w:rsidRPr="00911580">
        <w:rPr>
          <w:sz w:val="18"/>
          <w:szCs w:val="20"/>
        </w:rPr>
        <w:t>Nafstad</w:t>
      </w:r>
      <w:proofErr w:type="spellEnd"/>
      <w:r w:rsidRPr="00911580">
        <w:rPr>
          <w:sz w:val="18"/>
          <w:szCs w:val="20"/>
        </w:rPr>
        <w:t xml:space="preserve">, H. E., </w:t>
      </w:r>
      <w:proofErr w:type="spellStart"/>
      <w:r w:rsidRPr="00911580">
        <w:rPr>
          <w:sz w:val="18"/>
          <w:szCs w:val="20"/>
        </w:rPr>
        <w:t>Blakar</w:t>
      </w:r>
      <w:proofErr w:type="spellEnd"/>
      <w:r w:rsidRPr="00911580">
        <w:rPr>
          <w:sz w:val="18"/>
          <w:szCs w:val="20"/>
        </w:rPr>
        <w:t xml:space="preserve">, R. M., </w:t>
      </w:r>
      <w:proofErr w:type="spellStart"/>
      <w:r w:rsidRPr="00911580">
        <w:rPr>
          <w:sz w:val="18"/>
          <w:szCs w:val="20"/>
        </w:rPr>
        <w:t>Carlquist</w:t>
      </w:r>
      <w:proofErr w:type="spellEnd"/>
      <w:r w:rsidRPr="00911580">
        <w:rPr>
          <w:sz w:val="18"/>
          <w:szCs w:val="20"/>
        </w:rPr>
        <w:t xml:space="preserve">, E., Phelps, J. M., &amp; Rand-Hendriksen, K. (2007). Ideology and power: The influence of current neo-liberalism in society. </w:t>
      </w:r>
      <w:r w:rsidRPr="00911580">
        <w:rPr>
          <w:i/>
          <w:iCs/>
          <w:sz w:val="18"/>
          <w:szCs w:val="20"/>
        </w:rPr>
        <w:t>Journal of Community and Applied Social Psychology</w:t>
      </w:r>
      <w:r w:rsidRPr="00911580">
        <w:rPr>
          <w:sz w:val="18"/>
          <w:szCs w:val="20"/>
        </w:rPr>
        <w:t xml:space="preserve">, </w:t>
      </w:r>
      <w:r w:rsidRPr="00911580">
        <w:rPr>
          <w:i/>
          <w:iCs/>
          <w:sz w:val="18"/>
          <w:szCs w:val="20"/>
        </w:rPr>
        <w:t>17</w:t>
      </w:r>
      <w:r w:rsidRPr="00911580">
        <w:rPr>
          <w:sz w:val="18"/>
          <w:szCs w:val="20"/>
        </w:rPr>
        <w:t>(4), 313–327.</w:t>
      </w:r>
    </w:p>
    <w:p w14:paraId="1DA60BDF" w14:textId="77777777" w:rsidR="00B4735A" w:rsidRPr="00911580" w:rsidRDefault="00B4735A" w:rsidP="00911580">
      <w:pPr>
        <w:bidi w:val="0"/>
        <w:spacing w:after="180" w:line="280" w:lineRule="exact"/>
        <w:ind w:left="284" w:hanging="284"/>
        <w:jc w:val="both"/>
        <w:rPr>
          <w:sz w:val="18"/>
          <w:szCs w:val="20"/>
        </w:rPr>
      </w:pPr>
      <w:r w:rsidRPr="00911580">
        <w:rPr>
          <w:sz w:val="18"/>
          <w:szCs w:val="20"/>
        </w:rPr>
        <w:t xml:space="preserve">Pierson, P. (1995). </w:t>
      </w:r>
      <w:r w:rsidRPr="00911580">
        <w:rPr>
          <w:i/>
          <w:iCs/>
          <w:sz w:val="18"/>
          <w:szCs w:val="20"/>
        </w:rPr>
        <w:t>Dismantling the welfare state?</w:t>
      </w:r>
      <w:r w:rsidRPr="00911580">
        <w:rPr>
          <w:sz w:val="18"/>
          <w:szCs w:val="20"/>
        </w:rPr>
        <w:t xml:space="preserve"> Cambridge: Cambridge University Press.</w:t>
      </w:r>
    </w:p>
    <w:p w14:paraId="0622377E" w14:textId="77777777" w:rsidR="00B4735A" w:rsidRPr="00911580" w:rsidRDefault="00B4735A" w:rsidP="00911580">
      <w:pPr>
        <w:bidi w:val="0"/>
        <w:spacing w:after="180" w:line="280" w:lineRule="exact"/>
        <w:ind w:left="284" w:hanging="284"/>
        <w:jc w:val="both"/>
        <w:rPr>
          <w:sz w:val="18"/>
          <w:szCs w:val="20"/>
        </w:rPr>
      </w:pPr>
      <w:r w:rsidRPr="00911580">
        <w:rPr>
          <w:sz w:val="18"/>
          <w:szCs w:val="20"/>
        </w:rPr>
        <w:t xml:space="preserve">Rawls, J. (1971). </w:t>
      </w:r>
      <w:r w:rsidRPr="00911580">
        <w:rPr>
          <w:i/>
          <w:iCs/>
          <w:sz w:val="18"/>
          <w:szCs w:val="20"/>
        </w:rPr>
        <w:t>A theory of justice</w:t>
      </w:r>
      <w:r w:rsidRPr="00911580">
        <w:rPr>
          <w:sz w:val="18"/>
          <w:szCs w:val="20"/>
        </w:rPr>
        <w:t>. Cambridge, MA: Belknap Press of Harvard University Press.</w:t>
      </w:r>
    </w:p>
    <w:p w14:paraId="69B78934" w14:textId="77777777" w:rsidR="00B4735A" w:rsidRPr="00911580" w:rsidRDefault="00B4735A" w:rsidP="00911580">
      <w:pPr>
        <w:bidi w:val="0"/>
        <w:spacing w:after="180" w:line="280" w:lineRule="exact"/>
        <w:ind w:left="284" w:hanging="284"/>
        <w:jc w:val="both"/>
        <w:rPr>
          <w:sz w:val="18"/>
          <w:szCs w:val="20"/>
        </w:rPr>
      </w:pPr>
      <w:proofErr w:type="spellStart"/>
      <w:r w:rsidRPr="00911580">
        <w:rPr>
          <w:sz w:val="18"/>
          <w:szCs w:val="20"/>
        </w:rPr>
        <w:t>Redet</w:t>
      </w:r>
      <w:proofErr w:type="spellEnd"/>
      <w:r w:rsidRPr="00911580">
        <w:rPr>
          <w:sz w:val="18"/>
          <w:szCs w:val="20"/>
        </w:rPr>
        <w:t xml:space="preserve"> Opinion Poll Report (2002). </w:t>
      </w:r>
      <w:proofErr w:type="spellStart"/>
      <w:r w:rsidRPr="00911580">
        <w:rPr>
          <w:i/>
          <w:iCs/>
          <w:sz w:val="18"/>
          <w:szCs w:val="20"/>
        </w:rPr>
        <w:t>Privatizaion</w:t>
      </w:r>
      <w:proofErr w:type="spellEnd"/>
      <w:r w:rsidRPr="00911580">
        <w:rPr>
          <w:i/>
          <w:iCs/>
          <w:sz w:val="18"/>
          <w:szCs w:val="20"/>
        </w:rPr>
        <w:t xml:space="preserve"> and public perception of economic management. Report number 6</w:t>
      </w:r>
      <w:r w:rsidRPr="00911580">
        <w:rPr>
          <w:sz w:val="18"/>
          <w:szCs w:val="20"/>
        </w:rPr>
        <w:t>. University of Dar Es Salaam, Research and education for democracy in Tanzania.</w:t>
      </w:r>
    </w:p>
    <w:p w14:paraId="41178514" w14:textId="77777777" w:rsidR="00B4735A" w:rsidRPr="00911580" w:rsidRDefault="00B4735A" w:rsidP="00911580">
      <w:pPr>
        <w:bidi w:val="0"/>
        <w:spacing w:after="180" w:line="280" w:lineRule="exact"/>
        <w:ind w:left="284" w:hanging="284"/>
        <w:jc w:val="both"/>
        <w:rPr>
          <w:sz w:val="18"/>
          <w:szCs w:val="20"/>
        </w:rPr>
      </w:pPr>
      <w:proofErr w:type="spellStart"/>
      <w:r w:rsidRPr="00911580">
        <w:rPr>
          <w:sz w:val="18"/>
          <w:szCs w:val="20"/>
        </w:rPr>
        <w:t>Roosma</w:t>
      </w:r>
      <w:proofErr w:type="spellEnd"/>
      <w:r w:rsidRPr="00911580">
        <w:rPr>
          <w:sz w:val="18"/>
          <w:szCs w:val="20"/>
        </w:rPr>
        <w:t xml:space="preserve">, F., van Oorschot, W., &amp; </w:t>
      </w:r>
      <w:proofErr w:type="spellStart"/>
      <w:r w:rsidRPr="00911580">
        <w:rPr>
          <w:sz w:val="18"/>
          <w:szCs w:val="20"/>
        </w:rPr>
        <w:t>Gelissen</w:t>
      </w:r>
      <w:proofErr w:type="spellEnd"/>
      <w:r w:rsidRPr="00911580">
        <w:rPr>
          <w:sz w:val="18"/>
          <w:szCs w:val="20"/>
        </w:rPr>
        <w:t xml:space="preserve">, J. (2014). The preferred role and perceived performance of the welfare state: European welfare attitudes from a multidimensional perspective. </w:t>
      </w:r>
      <w:r w:rsidRPr="00911580">
        <w:rPr>
          <w:i/>
          <w:iCs/>
          <w:sz w:val="18"/>
          <w:szCs w:val="20"/>
        </w:rPr>
        <w:t>Social Science Research</w:t>
      </w:r>
      <w:r w:rsidRPr="00911580">
        <w:rPr>
          <w:sz w:val="18"/>
          <w:szCs w:val="20"/>
        </w:rPr>
        <w:t xml:space="preserve">, </w:t>
      </w:r>
      <w:r w:rsidRPr="00911580">
        <w:rPr>
          <w:i/>
          <w:iCs/>
          <w:sz w:val="18"/>
          <w:szCs w:val="20"/>
        </w:rPr>
        <w:t>44</w:t>
      </w:r>
      <w:r w:rsidRPr="00911580">
        <w:rPr>
          <w:sz w:val="18"/>
          <w:szCs w:val="20"/>
        </w:rPr>
        <w:t>, 200</w:t>
      </w:r>
      <w:r w:rsidRPr="00911580">
        <w:rPr>
          <w:rFonts w:hint="cs"/>
          <w:sz w:val="18"/>
          <w:szCs w:val="20"/>
        </w:rPr>
        <w:t>–</w:t>
      </w:r>
      <w:r w:rsidRPr="00911580">
        <w:rPr>
          <w:sz w:val="18"/>
          <w:szCs w:val="20"/>
        </w:rPr>
        <w:t>210.</w:t>
      </w:r>
    </w:p>
    <w:p w14:paraId="3E592D67" w14:textId="77777777" w:rsidR="00B4735A" w:rsidRPr="00911580" w:rsidRDefault="00B4735A" w:rsidP="00911580">
      <w:pPr>
        <w:bidi w:val="0"/>
        <w:spacing w:after="180" w:line="280" w:lineRule="exact"/>
        <w:ind w:left="284" w:hanging="284"/>
        <w:jc w:val="both"/>
        <w:rPr>
          <w:sz w:val="18"/>
          <w:szCs w:val="20"/>
        </w:rPr>
      </w:pPr>
      <w:proofErr w:type="spellStart"/>
      <w:r w:rsidRPr="00911580">
        <w:rPr>
          <w:sz w:val="18"/>
          <w:szCs w:val="20"/>
        </w:rPr>
        <w:lastRenderedPageBreak/>
        <w:t>Scheve</w:t>
      </w:r>
      <w:proofErr w:type="spellEnd"/>
      <w:r w:rsidRPr="00911580">
        <w:rPr>
          <w:sz w:val="18"/>
          <w:szCs w:val="20"/>
        </w:rPr>
        <w:t xml:space="preserve">, K., &amp; </w:t>
      </w:r>
      <w:proofErr w:type="spellStart"/>
      <w:r w:rsidRPr="00911580">
        <w:rPr>
          <w:sz w:val="18"/>
          <w:szCs w:val="20"/>
        </w:rPr>
        <w:t>Stasavage</w:t>
      </w:r>
      <w:proofErr w:type="spellEnd"/>
      <w:r w:rsidRPr="00911580">
        <w:rPr>
          <w:sz w:val="18"/>
          <w:szCs w:val="20"/>
        </w:rPr>
        <w:t xml:space="preserve">, D. (2006). Religion and preferences for social insurance. </w:t>
      </w:r>
      <w:r w:rsidRPr="00911580">
        <w:rPr>
          <w:i/>
          <w:iCs/>
          <w:sz w:val="18"/>
          <w:szCs w:val="20"/>
        </w:rPr>
        <w:t>Quarterly Journal of Political Science</w:t>
      </w:r>
      <w:r w:rsidRPr="00911580">
        <w:rPr>
          <w:sz w:val="18"/>
          <w:szCs w:val="20"/>
        </w:rPr>
        <w:t xml:space="preserve">, </w:t>
      </w:r>
      <w:r w:rsidRPr="00911580">
        <w:rPr>
          <w:i/>
          <w:iCs/>
          <w:sz w:val="18"/>
          <w:szCs w:val="20"/>
        </w:rPr>
        <w:t>1</w:t>
      </w:r>
      <w:r w:rsidRPr="00911580">
        <w:rPr>
          <w:sz w:val="18"/>
          <w:szCs w:val="20"/>
        </w:rPr>
        <w:t>, 255–286.</w:t>
      </w:r>
    </w:p>
    <w:p w14:paraId="7E2F99C9" w14:textId="77777777" w:rsidR="00B4735A" w:rsidRPr="00911580" w:rsidRDefault="00B4735A" w:rsidP="00911580">
      <w:pPr>
        <w:bidi w:val="0"/>
        <w:spacing w:after="180" w:line="280" w:lineRule="exact"/>
        <w:ind w:left="284" w:hanging="284"/>
        <w:jc w:val="both"/>
        <w:rPr>
          <w:sz w:val="18"/>
          <w:szCs w:val="20"/>
        </w:rPr>
      </w:pPr>
      <w:r w:rsidRPr="00911580">
        <w:rPr>
          <w:sz w:val="18"/>
          <w:szCs w:val="20"/>
        </w:rPr>
        <w:t xml:space="preserve">Steen, J. A., &amp; Duran, L. (2010). Attitudes towards privatization policy within the human services arena. </w:t>
      </w:r>
      <w:r w:rsidRPr="00911580">
        <w:rPr>
          <w:i/>
          <w:iCs/>
          <w:sz w:val="18"/>
          <w:szCs w:val="20"/>
        </w:rPr>
        <w:t>Journal of Policy Practice</w:t>
      </w:r>
      <w:r w:rsidRPr="00911580">
        <w:rPr>
          <w:sz w:val="18"/>
          <w:szCs w:val="20"/>
        </w:rPr>
        <w:t xml:space="preserve">, </w:t>
      </w:r>
      <w:r w:rsidRPr="00911580">
        <w:rPr>
          <w:i/>
          <w:iCs/>
          <w:sz w:val="18"/>
          <w:szCs w:val="20"/>
        </w:rPr>
        <w:t>10</w:t>
      </w:r>
      <w:r w:rsidRPr="00911580">
        <w:rPr>
          <w:sz w:val="18"/>
          <w:szCs w:val="20"/>
        </w:rPr>
        <w:t>(1), 51–64.</w:t>
      </w:r>
    </w:p>
    <w:p w14:paraId="032BBE44" w14:textId="77777777" w:rsidR="00B4735A" w:rsidRPr="00911580" w:rsidRDefault="00B4735A" w:rsidP="00911580">
      <w:pPr>
        <w:bidi w:val="0"/>
        <w:spacing w:after="180" w:line="280" w:lineRule="exact"/>
        <w:ind w:left="284" w:hanging="284"/>
        <w:jc w:val="both"/>
        <w:rPr>
          <w:sz w:val="18"/>
          <w:szCs w:val="20"/>
        </w:rPr>
      </w:pPr>
      <w:r w:rsidRPr="00911580">
        <w:rPr>
          <w:sz w:val="18"/>
          <w:szCs w:val="20"/>
        </w:rPr>
        <w:t xml:space="preserve">van </w:t>
      </w:r>
      <w:proofErr w:type="spellStart"/>
      <w:r w:rsidRPr="00911580">
        <w:rPr>
          <w:sz w:val="18"/>
          <w:szCs w:val="20"/>
        </w:rPr>
        <w:t>Kersbergen</w:t>
      </w:r>
      <w:proofErr w:type="spellEnd"/>
      <w:r w:rsidRPr="00911580">
        <w:rPr>
          <w:sz w:val="18"/>
          <w:szCs w:val="20"/>
        </w:rPr>
        <w:t xml:space="preserve">, K. (1995). </w:t>
      </w:r>
      <w:r w:rsidRPr="00911580">
        <w:rPr>
          <w:i/>
          <w:iCs/>
          <w:sz w:val="18"/>
          <w:szCs w:val="20"/>
        </w:rPr>
        <w:t>Social capitalism: A study of Christian democracy and the welfare state</w:t>
      </w:r>
      <w:r w:rsidRPr="00911580">
        <w:rPr>
          <w:sz w:val="18"/>
          <w:szCs w:val="20"/>
        </w:rPr>
        <w:t xml:space="preserve">. London: Routledge. </w:t>
      </w:r>
    </w:p>
    <w:p w14:paraId="402EEF20" w14:textId="77777777" w:rsidR="00B4735A" w:rsidRPr="00911580" w:rsidRDefault="00B4735A" w:rsidP="00911580">
      <w:pPr>
        <w:bidi w:val="0"/>
        <w:spacing w:after="180" w:line="280" w:lineRule="exact"/>
        <w:ind w:left="284" w:hanging="284"/>
        <w:jc w:val="both"/>
        <w:rPr>
          <w:sz w:val="18"/>
          <w:szCs w:val="20"/>
        </w:rPr>
      </w:pPr>
      <w:r w:rsidRPr="00911580">
        <w:rPr>
          <w:sz w:val="18"/>
          <w:szCs w:val="20"/>
        </w:rPr>
        <w:t xml:space="preserve">Williams, O. F. (1993). Catholic social teaching: A communitarian democratic capitalism for the new world order. </w:t>
      </w:r>
      <w:r w:rsidRPr="00911580">
        <w:rPr>
          <w:i/>
          <w:iCs/>
          <w:sz w:val="18"/>
          <w:szCs w:val="20"/>
        </w:rPr>
        <w:t>Journal of Business Ethics</w:t>
      </w:r>
      <w:r w:rsidRPr="00911580">
        <w:rPr>
          <w:sz w:val="18"/>
          <w:szCs w:val="20"/>
        </w:rPr>
        <w:t xml:space="preserve">, </w:t>
      </w:r>
      <w:r w:rsidRPr="00911580">
        <w:rPr>
          <w:i/>
          <w:iCs/>
          <w:sz w:val="18"/>
          <w:szCs w:val="20"/>
        </w:rPr>
        <w:t>12</w:t>
      </w:r>
      <w:r w:rsidRPr="00911580">
        <w:rPr>
          <w:sz w:val="18"/>
          <w:szCs w:val="20"/>
        </w:rPr>
        <w:t>(12), 919–932.</w:t>
      </w:r>
    </w:p>
    <w:p w14:paraId="18D7C8F2" w14:textId="77777777" w:rsidR="00B4735A" w:rsidRPr="00911580" w:rsidRDefault="00B4735A" w:rsidP="00911580">
      <w:pPr>
        <w:spacing w:after="180" w:line="280" w:lineRule="exact"/>
        <w:jc w:val="both"/>
        <w:rPr>
          <w:sz w:val="18"/>
          <w:szCs w:val="20"/>
          <w:rtl/>
        </w:rPr>
      </w:pPr>
    </w:p>
    <w:sectPr w:rsidR="00B4735A" w:rsidRPr="00911580" w:rsidSect="00A85BDD">
      <w:headerReference w:type="even" r:id="rId13"/>
      <w:headerReference w:type="default" r:id="rId14"/>
      <w:headerReference w:type="first" r:id="rId15"/>
      <w:footerReference w:type="first" r:id="rId16"/>
      <w:pgSz w:w="11906" w:h="16838" w:code="9"/>
      <w:pgMar w:top="3515" w:right="2722" w:bottom="2948" w:left="2722" w:header="2665" w:footer="2665" w:gutter="0"/>
      <w:pgNumType w:start="15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3F101" w14:textId="77777777" w:rsidR="007364A2" w:rsidRDefault="007364A2">
      <w:pPr>
        <w:spacing w:line="240" w:lineRule="auto"/>
      </w:pPr>
      <w:r>
        <w:separator/>
      </w:r>
    </w:p>
  </w:endnote>
  <w:endnote w:type="continuationSeparator" w:id="0">
    <w:p w14:paraId="6C0254EE" w14:textId="77777777" w:rsidR="007364A2" w:rsidRDefault="007364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altName w:val="Malgun Gothic Semilight"/>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altName w:val="Times New Roman"/>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Guttman Aharon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07D42F57" w:rsidR="003C255E" w:rsidRDefault="003C255E" w:rsidP="00336EF9">
    <w:pPr>
      <w:pStyle w:val="Header"/>
      <w:tabs>
        <w:tab w:val="clear" w:pos="4153"/>
        <w:tab w:val="clear" w:pos="8306"/>
        <w:tab w:val="right" w:pos="6462"/>
      </w:tabs>
      <w:spacing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w:t>
    </w:r>
    <w:r w:rsidR="00AC3F0C">
      <w:rPr>
        <w:rFonts w:hint="cs"/>
        <w:sz w:val="16"/>
        <w:szCs w:val="16"/>
        <w:rtl/>
      </w:rPr>
      <w:t>4</w:t>
    </w:r>
    <w:r w:rsidRPr="0090645A">
      <w:rPr>
        <w:rFonts w:hint="cs"/>
        <w:sz w:val="16"/>
        <w:szCs w:val="16"/>
        <w:rtl/>
      </w:rPr>
      <w:t xml:space="preserve">, </w:t>
    </w:r>
    <w:r w:rsidR="00AC3F0C">
      <w:rPr>
        <w:rFonts w:hint="cs"/>
        <w:sz w:val="16"/>
        <w:szCs w:val="16"/>
        <w:rtl/>
      </w:rPr>
      <w:t>ספטמבר</w:t>
    </w:r>
    <w:r>
      <w:rPr>
        <w:rFonts w:hint="cs"/>
        <w:sz w:val="16"/>
        <w:szCs w:val="16"/>
        <w:rtl/>
      </w:rPr>
      <w:t xml:space="preserve"> </w:t>
    </w:r>
    <w:r w:rsidRPr="0090645A">
      <w:rPr>
        <w:rFonts w:hint="cs"/>
        <w:sz w:val="16"/>
        <w:szCs w:val="16"/>
        <w:rtl/>
      </w:rPr>
      <w:t>20</w:t>
    </w:r>
    <w:r>
      <w:rPr>
        <w:rFonts w:hint="cs"/>
        <w:sz w:val="16"/>
        <w:szCs w:val="16"/>
        <w:rtl/>
      </w:rPr>
      <w:t>2</w:t>
    </w:r>
    <w:r w:rsidR="00336EF9">
      <w:rPr>
        <w:rFonts w:hint="cs"/>
        <w:sz w:val="16"/>
        <w:szCs w:val="16"/>
        <w:rtl/>
      </w:rPr>
      <w:t>1</w:t>
    </w:r>
    <w:r w:rsidR="003A7DFE">
      <w:rPr>
        <w:rFonts w:hint="cs"/>
        <w:sz w:val="16"/>
        <w:szCs w:val="16"/>
        <w:rtl/>
      </w:rPr>
      <w:t xml:space="preserve">: </w:t>
    </w:r>
    <w:r w:rsidR="00A85BDD">
      <w:rPr>
        <w:rFonts w:hint="cs"/>
        <w:sz w:val="16"/>
        <w:szCs w:val="16"/>
        <w:rtl/>
      </w:rPr>
      <w:t>182-153</w:t>
    </w:r>
    <w:r>
      <w:rPr>
        <w:sz w:val="16"/>
        <w:szCs w:val="16"/>
      </w:rPr>
      <w:tab/>
    </w:r>
    <w:r w:rsidRPr="00A17DA2">
      <w:rPr>
        <w:rFonts w:hint="eastAsia"/>
        <w:sz w:val="16"/>
        <w:szCs w:val="16"/>
        <w:rtl/>
      </w:rPr>
      <w:t>נשלח</w:t>
    </w:r>
    <w:r w:rsidRPr="00A17DA2">
      <w:rPr>
        <w:rFonts w:hint="cs"/>
        <w:sz w:val="16"/>
        <w:szCs w:val="16"/>
        <w:rtl/>
      </w:rPr>
      <w:t xml:space="preserve"> </w:t>
    </w:r>
    <w:r w:rsidRPr="00A17DA2">
      <w:rPr>
        <w:rFonts w:hint="eastAsia"/>
        <w:sz w:val="16"/>
        <w:szCs w:val="16"/>
        <w:rtl/>
      </w:rPr>
      <w:t>לפרסום</w:t>
    </w:r>
    <w:r w:rsidRPr="00A17DA2">
      <w:rPr>
        <w:rFonts w:hint="cs"/>
        <w:sz w:val="16"/>
        <w:szCs w:val="16"/>
        <w:rtl/>
      </w:rPr>
      <w:t xml:space="preserve"> </w:t>
    </w:r>
    <w:r w:rsidRPr="00A17DA2">
      <w:rPr>
        <w:rFonts w:hint="eastAsia"/>
        <w:sz w:val="16"/>
        <w:szCs w:val="16"/>
        <w:rtl/>
      </w:rPr>
      <w:t>ב</w:t>
    </w:r>
    <w:r w:rsidRPr="00A17DA2">
      <w:rPr>
        <w:rFonts w:hint="cs"/>
        <w:sz w:val="16"/>
        <w:szCs w:val="16"/>
        <w:rtl/>
      </w:rPr>
      <w:t>-</w:t>
    </w:r>
    <w:r w:rsidR="003B6A94" w:rsidRPr="003B6A94">
      <w:rPr>
        <w:sz w:val="16"/>
        <w:szCs w:val="16"/>
        <w:rtl/>
      </w:rPr>
      <w:t>23.7.20</w:t>
    </w:r>
    <w:r w:rsidRPr="00A17DA2">
      <w:rPr>
        <w:sz w:val="16"/>
        <w:szCs w:val="16"/>
        <w:rtl/>
      </w:rPr>
      <w:t xml:space="preserve">, </w:t>
    </w:r>
    <w:r w:rsidRPr="00A17DA2">
      <w:rPr>
        <w:rFonts w:hint="eastAsia"/>
        <w:sz w:val="16"/>
        <w:szCs w:val="16"/>
        <w:rtl/>
      </w:rPr>
      <w:t>התקבל</w:t>
    </w:r>
    <w:r w:rsidRPr="00A17DA2">
      <w:rPr>
        <w:rFonts w:hint="cs"/>
        <w:sz w:val="16"/>
        <w:szCs w:val="16"/>
        <w:rtl/>
      </w:rPr>
      <w:t xml:space="preserve"> </w:t>
    </w:r>
    <w:r w:rsidRPr="00A17DA2">
      <w:rPr>
        <w:rFonts w:hint="eastAsia"/>
        <w:sz w:val="16"/>
        <w:szCs w:val="16"/>
        <w:rtl/>
      </w:rPr>
      <w:t>ב</w:t>
    </w:r>
    <w:r w:rsidRPr="00A17DA2">
      <w:rPr>
        <w:sz w:val="16"/>
        <w:szCs w:val="16"/>
        <w:rtl/>
      </w:rPr>
      <w:t>-</w:t>
    </w:r>
    <w:r w:rsidR="003B6A94" w:rsidRPr="00076041">
      <w:rPr>
        <w:sz w:val="16"/>
        <w:szCs w:val="16"/>
        <w:rtl/>
      </w:rPr>
      <w:t>14.9.20</w:t>
    </w:r>
  </w:p>
  <w:p w14:paraId="151CA913" w14:textId="77777777" w:rsidR="00042A45" w:rsidRPr="003C255E" w:rsidRDefault="00042A45" w:rsidP="0090645A">
    <w:pPr>
      <w:pStyle w:val="Header"/>
      <w:tabs>
        <w:tab w:val="clear" w:pos="4153"/>
        <w:tab w:val="clear" w:pos="8306"/>
        <w:tab w:val="center" w:pos="3345"/>
        <w:tab w:val="right" w:pos="6691"/>
      </w:tabs>
      <w:spacing w:line="200" w:lineRule="exact"/>
      <w:rPr>
        <w:sz w:val="16"/>
        <w:szCs w:val="16"/>
      </w:rPr>
    </w:pP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614B5" w14:textId="77777777" w:rsidR="007364A2" w:rsidRDefault="007364A2" w:rsidP="00A04D35">
      <w:pPr>
        <w:spacing w:before="120" w:after="80"/>
        <w:rPr>
          <w:rFonts w:cs="FrankRuehl"/>
          <w:sz w:val="18"/>
          <w:szCs w:val="18"/>
        </w:rPr>
      </w:pPr>
      <w:r>
        <w:rPr>
          <w:rFonts w:cs="FrankRuehl" w:hint="cs"/>
          <w:sz w:val="18"/>
          <w:szCs w:val="18"/>
          <w:rtl/>
        </w:rPr>
        <w:t>_____________</w:t>
      </w:r>
    </w:p>
  </w:footnote>
  <w:footnote w:type="continuationSeparator" w:id="0">
    <w:p w14:paraId="5794B79A" w14:textId="77777777" w:rsidR="007364A2" w:rsidRDefault="007364A2">
      <w:r>
        <w:continuationSeparator/>
      </w:r>
    </w:p>
  </w:footnote>
  <w:footnote w:type="continuationNotice" w:id="1">
    <w:p w14:paraId="6378A1DF" w14:textId="77777777" w:rsidR="007364A2" w:rsidRDefault="007364A2">
      <w:pPr>
        <w:rPr>
          <w:rtl/>
        </w:rPr>
      </w:pPr>
    </w:p>
  </w:footnote>
  <w:footnote w:id="2">
    <w:p w14:paraId="542E22ED" w14:textId="08FEC68D" w:rsidR="001B13EE" w:rsidRDefault="001B13EE" w:rsidP="001B13EE">
      <w:pPr>
        <w:pStyle w:val="FootnoteText"/>
        <w:keepLines/>
        <w:spacing w:line="200" w:lineRule="exact"/>
        <w:jc w:val="both"/>
        <w:rPr>
          <w:rStyle w:val="FootnoteReference"/>
          <w:rFonts w:cs="David"/>
          <w:sz w:val="14"/>
          <w:szCs w:val="16"/>
          <w:vertAlign w:val="baseline"/>
          <w:rtl/>
        </w:rPr>
      </w:pPr>
      <w:r w:rsidRPr="00B4735A">
        <w:rPr>
          <w:rStyle w:val="FootnoteReference"/>
          <w:rFonts w:cs="David" w:hint="eastAsia"/>
          <w:sz w:val="14"/>
          <w:szCs w:val="16"/>
          <w:vertAlign w:val="baseline"/>
          <w:rtl/>
        </w:rPr>
        <w:t>ברצוננו</w:t>
      </w:r>
      <w:r w:rsidRPr="00B4735A">
        <w:rPr>
          <w:rStyle w:val="FootnoteReference"/>
          <w:rFonts w:cs="David"/>
          <w:sz w:val="14"/>
          <w:szCs w:val="16"/>
          <w:vertAlign w:val="baseline"/>
          <w:rtl/>
        </w:rPr>
        <w:t xml:space="preserve"> להודות למר בני </w:t>
      </w:r>
      <w:proofErr w:type="spellStart"/>
      <w:r w:rsidRPr="00B4735A">
        <w:rPr>
          <w:rStyle w:val="FootnoteReference"/>
          <w:rFonts w:cs="David"/>
          <w:sz w:val="14"/>
          <w:szCs w:val="16"/>
          <w:vertAlign w:val="baseline"/>
          <w:rtl/>
        </w:rPr>
        <w:t>פפרמן</w:t>
      </w:r>
      <w:proofErr w:type="spellEnd"/>
      <w:r w:rsidRPr="00B4735A">
        <w:rPr>
          <w:rStyle w:val="FootnoteReference"/>
          <w:rFonts w:cs="David"/>
          <w:sz w:val="14"/>
          <w:szCs w:val="16"/>
          <w:vertAlign w:val="baseline"/>
          <w:rtl/>
        </w:rPr>
        <w:t xml:space="preserve">, ראש </w:t>
      </w:r>
      <w:proofErr w:type="spellStart"/>
      <w:r w:rsidRPr="00B4735A">
        <w:rPr>
          <w:rStyle w:val="FootnoteReference"/>
          <w:rFonts w:cs="David"/>
          <w:sz w:val="14"/>
          <w:szCs w:val="16"/>
          <w:vertAlign w:val="baseline"/>
          <w:rtl/>
        </w:rPr>
        <w:t>מ</w:t>
      </w:r>
      <w:r w:rsidRPr="00B4735A">
        <w:rPr>
          <w:rStyle w:val="FootnoteReference"/>
          <w:rFonts w:cs="David" w:hint="eastAsia"/>
          <w:sz w:val="14"/>
          <w:szCs w:val="16"/>
          <w:vertAlign w:val="baseline"/>
          <w:rtl/>
        </w:rPr>
        <w:t>י</w:t>
      </w:r>
      <w:r w:rsidRPr="00B4735A">
        <w:rPr>
          <w:rStyle w:val="FootnoteReference"/>
          <w:rFonts w:cs="David"/>
          <w:sz w:val="14"/>
          <w:szCs w:val="16"/>
          <w:vertAlign w:val="baseline"/>
          <w:rtl/>
        </w:rPr>
        <w:t>נהל</w:t>
      </w:r>
      <w:proofErr w:type="spellEnd"/>
      <w:r w:rsidRPr="00B4735A">
        <w:rPr>
          <w:rStyle w:val="FootnoteReference"/>
          <w:rFonts w:cs="David"/>
          <w:sz w:val="14"/>
          <w:szCs w:val="16"/>
          <w:vertAlign w:val="baseline"/>
          <w:rtl/>
        </w:rPr>
        <w:t xml:space="preserve"> מחקר וכלכלה </w:t>
      </w:r>
      <w:r w:rsidRPr="00B4735A">
        <w:rPr>
          <w:rStyle w:val="FootnoteReference"/>
          <w:rFonts w:cs="David" w:hint="cs"/>
          <w:sz w:val="14"/>
          <w:szCs w:val="16"/>
          <w:vertAlign w:val="baseline"/>
          <w:rtl/>
        </w:rPr>
        <w:t xml:space="preserve">לשעבר </w:t>
      </w:r>
      <w:r w:rsidRPr="00B4735A">
        <w:rPr>
          <w:rStyle w:val="FootnoteReference"/>
          <w:rFonts w:cs="David" w:hint="eastAsia"/>
          <w:sz w:val="14"/>
          <w:szCs w:val="16"/>
          <w:vertAlign w:val="baseline"/>
          <w:rtl/>
        </w:rPr>
        <w:t>ב</w:t>
      </w:r>
      <w:r w:rsidRPr="00B4735A">
        <w:rPr>
          <w:rStyle w:val="FootnoteReference"/>
          <w:rFonts w:cs="David"/>
          <w:sz w:val="14"/>
          <w:szCs w:val="16"/>
          <w:vertAlign w:val="baseline"/>
          <w:rtl/>
        </w:rPr>
        <w:t xml:space="preserve">משרד הכלכלה </w:t>
      </w:r>
      <w:r w:rsidRPr="00B4735A">
        <w:rPr>
          <w:rStyle w:val="FootnoteReference"/>
          <w:rFonts w:cs="David" w:hint="cs"/>
          <w:sz w:val="14"/>
          <w:szCs w:val="16"/>
          <w:vertAlign w:val="baseline"/>
          <w:rtl/>
        </w:rPr>
        <w:t>והתעשייה</w:t>
      </w:r>
      <w:r w:rsidRPr="00B4735A">
        <w:rPr>
          <w:rStyle w:val="FootnoteReference"/>
          <w:rFonts w:cs="David"/>
          <w:sz w:val="14"/>
          <w:szCs w:val="16"/>
          <w:vertAlign w:val="baseline"/>
          <w:rtl/>
        </w:rPr>
        <w:t>, על שיזם את המחקר,</w:t>
      </w:r>
      <w:r w:rsidRPr="00B4735A">
        <w:rPr>
          <w:rStyle w:val="FootnoteReference"/>
          <w:rFonts w:cs="David" w:hint="cs"/>
          <w:sz w:val="14"/>
          <w:szCs w:val="16"/>
          <w:vertAlign w:val="baseline"/>
          <w:rtl/>
        </w:rPr>
        <w:t xml:space="preserve"> וניצח על </w:t>
      </w:r>
      <w:r w:rsidRPr="00B4735A">
        <w:rPr>
          <w:rStyle w:val="FootnoteReference"/>
          <w:rFonts w:cs="David" w:hint="eastAsia"/>
          <w:sz w:val="14"/>
          <w:szCs w:val="16"/>
          <w:vertAlign w:val="baseline"/>
          <w:rtl/>
        </w:rPr>
        <w:t>תכנון</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הסקר</w:t>
      </w:r>
      <w:r w:rsidRPr="00B4735A">
        <w:rPr>
          <w:rStyle w:val="FootnoteReference"/>
          <w:rFonts w:cs="David" w:hint="cs"/>
          <w:sz w:val="14"/>
          <w:szCs w:val="16"/>
          <w:vertAlign w:val="baseline"/>
          <w:rtl/>
        </w:rPr>
        <w:t xml:space="preserve"> ועל הוצאתו אל הפועל</w:t>
      </w:r>
      <w:r w:rsidRPr="00B4735A">
        <w:rPr>
          <w:rStyle w:val="FootnoteReference"/>
          <w:rFonts w:cs="David"/>
          <w:sz w:val="14"/>
          <w:szCs w:val="16"/>
          <w:vertAlign w:val="baseline"/>
          <w:rtl/>
        </w:rPr>
        <w:t>.</w:t>
      </w:r>
      <w:r w:rsidRPr="00B4735A">
        <w:rPr>
          <w:rStyle w:val="FootnoteReference"/>
          <w:rFonts w:cs="David" w:hint="cs"/>
          <w:sz w:val="14"/>
          <w:szCs w:val="16"/>
          <w:vertAlign w:val="baseline"/>
          <w:rtl/>
        </w:rPr>
        <w:t xml:space="preserve"> תודתנו נתונה גם לשופטי המאמר על הערותיהם הנבונות והמועילות.</w:t>
      </w:r>
    </w:p>
    <w:p w14:paraId="0782830B" w14:textId="546ADD61" w:rsidR="00B4735A" w:rsidRPr="00B4735A" w:rsidRDefault="00B4735A" w:rsidP="00BC0E4B">
      <w:pPr>
        <w:pStyle w:val="FootnoteText"/>
        <w:keepLines/>
        <w:spacing w:line="200" w:lineRule="exact"/>
        <w:ind w:left="397" w:hanging="397"/>
        <w:jc w:val="both"/>
        <w:rPr>
          <w:rStyle w:val="FootnoteReference"/>
          <w:rFonts w:cs="David"/>
          <w:sz w:val="14"/>
          <w:szCs w:val="16"/>
          <w:vertAlign w:val="baseline"/>
        </w:rPr>
      </w:pPr>
      <w:r w:rsidRPr="00B4735A">
        <w:rPr>
          <w:rStyle w:val="FootnoteReference"/>
          <w:rFonts w:cs="David"/>
          <w:sz w:val="14"/>
          <w:szCs w:val="16"/>
          <w:vertAlign w:val="baseline"/>
        </w:rPr>
        <w:footnoteRef/>
      </w:r>
      <w:r w:rsidRPr="00B4735A">
        <w:rPr>
          <w:rStyle w:val="FootnoteReference"/>
          <w:rFonts w:cs="David"/>
          <w:sz w:val="14"/>
          <w:szCs w:val="16"/>
          <w:vertAlign w:val="baseline"/>
          <w:rtl/>
        </w:rPr>
        <w:t xml:space="preserve"> </w:t>
      </w:r>
      <w:r w:rsidRPr="00B4735A">
        <w:rPr>
          <w:rStyle w:val="FootnoteReference"/>
          <w:rFonts w:cs="David"/>
          <w:sz w:val="14"/>
          <w:szCs w:val="16"/>
          <w:vertAlign w:val="baseline"/>
        </w:rPr>
        <w:tab/>
      </w:r>
      <w:r w:rsidR="00BC0E4B" w:rsidRPr="00BC0E4B">
        <w:rPr>
          <w:rStyle w:val="FootnoteReference"/>
          <w:rFonts w:cs="David"/>
          <w:sz w:val="14"/>
          <w:szCs w:val="16"/>
          <w:vertAlign w:val="baseline"/>
          <w:rtl/>
        </w:rPr>
        <w:t>דוקטור, עמית הוראה, המחלקה לניהול מערכות בריאות, אוניברסיטת בן גוריון בנגב</w:t>
      </w:r>
    </w:p>
  </w:footnote>
  <w:footnote w:id="3">
    <w:p w14:paraId="0ECF1738" w14:textId="64D37527" w:rsidR="00B4735A" w:rsidRDefault="00B4735A" w:rsidP="00BC0E4B">
      <w:pPr>
        <w:pStyle w:val="FootnoteText"/>
        <w:keepLines/>
        <w:spacing w:line="200" w:lineRule="exact"/>
        <w:ind w:left="397" w:hanging="397"/>
        <w:jc w:val="both"/>
        <w:rPr>
          <w:rFonts w:cs="David"/>
          <w:sz w:val="14"/>
          <w:szCs w:val="16"/>
          <w:rtl/>
        </w:rPr>
      </w:pPr>
      <w:r w:rsidRPr="00B4735A">
        <w:rPr>
          <w:rStyle w:val="FootnoteReference"/>
          <w:rFonts w:cs="David"/>
          <w:sz w:val="14"/>
          <w:szCs w:val="16"/>
          <w:vertAlign w:val="baseline"/>
        </w:rPr>
        <w:footnoteRef/>
      </w:r>
      <w:r w:rsidRPr="00B4735A">
        <w:rPr>
          <w:rStyle w:val="FootnoteReference"/>
          <w:rFonts w:cs="David"/>
          <w:sz w:val="14"/>
          <w:szCs w:val="16"/>
          <w:vertAlign w:val="baseline"/>
          <w:rtl/>
        </w:rPr>
        <w:t xml:space="preserve"> </w:t>
      </w:r>
      <w:r w:rsidRPr="00B4735A">
        <w:rPr>
          <w:rStyle w:val="FootnoteReference"/>
          <w:rFonts w:cs="David"/>
          <w:sz w:val="14"/>
          <w:szCs w:val="16"/>
          <w:vertAlign w:val="baseline"/>
        </w:rPr>
        <w:tab/>
      </w:r>
      <w:r w:rsidR="00BC0E4B" w:rsidRPr="00BC0E4B">
        <w:rPr>
          <w:rStyle w:val="FootnoteReference"/>
          <w:rFonts w:cs="David"/>
          <w:sz w:val="14"/>
          <w:szCs w:val="16"/>
          <w:vertAlign w:val="baseline"/>
          <w:rtl/>
        </w:rPr>
        <w:t>דוקטור, מרצה בכיר, החוג למדיניות ציבורית והחוג למדע המדינה, אוניברסיטת תל אביב</w:t>
      </w:r>
    </w:p>
    <w:p w14:paraId="6BBECE6B" w14:textId="77777777" w:rsidR="00CE7CFE" w:rsidRPr="00B4735A" w:rsidRDefault="00CE7CFE" w:rsidP="00BC0E4B">
      <w:pPr>
        <w:pStyle w:val="FootnoteText"/>
        <w:keepLines/>
        <w:spacing w:line="200" w:lineRule="exact"/>
        <w:ind w:left="397" w:hanging="397"/>
        <w:jc w:val="both"/>
        <w:rPr>
          <w:rStyle w:val="FootnoteReference"/>
          <w:rFonts w:cs="David"/>
          <w:sz w:val="14"/>
          <w:szCs w:val="16"/>
          <w:vertAlign w:val="baseline"/>
          <w:rtl/>
        </w:rPr>
      </w:pPr>
    </w:p>
  </w:footnote>
  <w:footnote w:id="4">
    <w:p w14:paraId="39BA6662" w14:textId="4476DC65" w:rsidR="00B4735A" w:rsidRPr="00B4735A" w:rsidRDefault="00B4735A" w:rsidP="00B4735A">
      <w:pPr>
        <w:pStyle w:val="FootnoteText"/>
        <w:keepLines/>
        <w:spacing w:line="200" w:lineRule="exact"/>
        <w:ind w:left="397" w:hanging="397"/>
        <w:jc w:val="both"/>
        <w:rPr>
          <w:rStyle w:val="FootnoteReference"/>
          <w:rFonts w:cs="David"/>
          <w:sz w:val="14"/>
          <w:szCs w:val="16"/>
          <w:vertAlign w:val="baseline"/>
          <w:rtl/>
        </w:rPr>
      </w:pPr>
      <w:r w:rsidRPr="00B4735A">
        <w:rPr>
          <w:rStyle w:val="FootnoteReference"/>
          <w:rFonts w:cs="David"/>
          <w:sz w:val="14"/>
          <w:szCs w:val="16"/>
          <w:vertAlign w:val="baseline"/>
        </w:rPr>
        <w:footnoteRef/>
      </w:r>
      <w:r w:rsidRPr="00B4735A">
        <w:rPr>
          <w:rStyle w:val="FootnoteReference"/>
          <w:rFonts w:cs="David"/>
          <w:sz w:val="14"/>
          <w:szCs w:val="16"/>
          <w:vertAlign w:val="baseline"/>
          <w:rtl/>
        </w:rPr>
        <w:t xml:space="preserve"> </w:t>
      </w:r>
      <w:r w:rsidRPr="00B4735A">
        <w:rPr>
          <w:rStyle w:val="FootnoteReference"/>
          <w:rFonts w:cs="David"/>
          <w:sz w:val="14"/>
          <w:szCs w:val="16"/>
          <w:vertAlign w:val="baseline"/>
        </w:rPr>
        <w:tab/>
      </w:r>
      <w:r w:rsidRPr="00B4735A">
        <w:rPr>
          <w:rStyle w:val="FootnoteReference"/>
          <w:rFonts w:cs="David"/>
          <w:sz w:val="14"/>
          <w:szCs w:val="16"/>
          <w:vertAlign w:val="baseline"/>
          <w:rtl/>
        </w:rPr>
        <w:t>דיון זה מתקשר למושגים "חירות שלילית" ו"חירות חיובית".</w:t>
      </w:r>
      <w:r>
        <w:rPr>
          <w:rStyle w:val="FootnoteReference"/>
          <w:rFonts w:cs="David"/>
          <w:sz w:val="14"/>
          <w:szCs w:val="16"/>
          <w:vertAlign w:val="baseline"/>
          <w:rtl/>
        </w:rPr>
        <w:t xml:space="preserve"> </w:t>
      </w:r>
    </w:p>
  </w:footnote>
  <w:footnote w:id="5">
    <w:p w14:paraId="5EB4C534" w14:textId="7B1ABCB3" w:rsidR="003D0537" w:rsidRPr="009E3988" w:rsidRDefault="003D0537" w:rsidP="009E3988">
      <w:pPr>
        <w:pStyle w:val="FootnoteText"/>
        <w:keepLines/>
        <w:spacing w:line="200" w:lineRule="exact"/>
        <w:ind w:left="397" w:hanging="397"/>
        <w:jc w:val="both"/>
        <w:rPr>
          <w:rStyle w:val="FootnoteReference"/>
          <w:rFonts w:cs="David"/>
          <w:sz w:val="14"/>
          <w:szCs w:val="16"/>
          <w:vertAlign w:val="baseline"/>
        </w:rPr>
      </w:pPr>
      <w:r w:rsidRPr="009E3988">
        <w:rPr>
          <w:rStyle w:val="FootnoteReference"/>
          <w:rFonts w:cs="David"/>
          <w:sz w:val="14"/>
          <w:szCs w:val="16"/>
          <w:vertAlign w:val="baseline"/>
        </w:rPr>
        <w:footnoteRef/>
      </w:r>
      <w:r w:rsidRPr="009E3988">
        <w:rPr>
          <w:rStyle w:val="FootnoteReference"/>
          <w:rFonts w:cs="David"/>
          <w:sz w:val="14"/>
          <w:szCs w:val="16"/>
          <w:vertAlign w:val="baseline"/>
          <w:rtl/>
        </w:rPr>
        <w:t xml:space="preserve"> </w:t>
      </w:r>
      <w:r w:rsidR="009C161B" w:rsidRPr="009E3988">
        <w:rPr>
          <w:rStyle w:val="FootnoteReference"/>
          <w:rFonts w:cs="David"/>
          <w:sz w:val="14"/>
          <w:szCs w:val="16"/>
          <w:vertAlign w:val="baseline"/>
        </w:rPr>
        <w:tab/>
      </w:r>
      <w:r w:rsidRPr="009E3988">
        <w:rPr>
          <w:rStyle w:val="FootnoteReference"/>
          <w:rFonts w:cs="David"/>
          <w:sz w:val="14"/>
          <w:szCs w:val="16"/>
          <w:vertAlign w:val="baseline"/>
          <w:rtl/>
        </w:rPr>
        <w:t xml:space="preserve">יצירת מטריצת נתונים וניתוחה באמצעות הצלבת לוחות, </w:t>
      </w:r>
      <w:r w:rsidRPr="009E3988">
        <w:rPr>
          <w:rStyle w:val="FootnoteReference"/>
          <w:rFonts w:cs="David"/>
          <w:sz w:val="14"/>
          <w:szCs w:val="16"/>
          <w:vertAlign w:val="baseline"/>
        </w:rPr>
        <w:t>cross-tabulation</w:t>
      </w:r>
      <w:r w:rsidRPr="009E3988">
        <w:rPr>
          <w:rStyle w:val="FootnoteReference"/>
          <w:rFonts w:cs="David"/>
          <w:sz w:val="14"/>
          <w:szCs w:val="16"/>
          <w:vertAlign w:val="baseline"/>
          <w:rtl/>
        </w:rPr>
        <w:t>.</w:t>
      </w:r>
    </w:p>
  </w:footnote>
  <w:footnote w:id="6">
    <w:p w14:paraId="3EF6896E" w14:textId="77777777" w:rsidR="00B4735A" w:rsidRPr="00B4735A" w:rsidRDefault="00B4735A" w:rsidP="00B4735A">
      <w:pPr>
        <w:pStyle w:val="FootnoteText"/>
        <w:keepLines/>
        <w:spacing w:line="200" w:lineRule="exact"/>
        <w:ind w:left="397" w:hanging="397"/>
        <w:jc w:val="both"/>
        <w:rPr>
          <w:rStyle w:val="FootnoteReference"/>
          <w:rFonts w:cs="David"/>
          <w:sz w:val="14"/>
          <w:szCs w:val="16"/>
          <w:vertAlign w:val="baseline"/>
          <w:rtl/>
        </w:rPr>
      </w:pPr>
      <w:r w:rsidRPr="00B4735A">
        <w:rPr>
          <w:rStyle w:val="FootnoteReference"/>
          <w:rFonts w:cs="David"/>
          <w:sz w:val="14"/>
          <w:szCs w:val="16"/>
          <w:vertAlign w:val="baseline"/>
        </w:rPr>
        <w:footnoteRef/>
      </w:r>
      <w:r w:rsidRPr="00B4735A">
        <w:rPr>
          <w:rStyle w:val="FootnoteReference"/>
          <w:rFonts w:cs="David"/>
          <w:sz w:val="14"/>
          <w:szCs w:val="16"/>
          <w:vertAlign w:val="baseline"/>
          <w:rtl/>
        </w:rPr>
        <w:t xml:space="preserve"> </w:t>
      </w:r>
      <w:r w:rsidRPr="00B4735A">
        <w:rPr>
          <w:rStyle w:val="FootnoteReference"/>
          <w:rFonts w:cs="David"/>
          <w:sz w:val="14"/>
          <w:szCs w:val="16"/>
          <w:vertAlign w:val="baseline"/>
        </w:rPr>
        <w:tab/>
      </w:r>
      <w:r w:rsidRPr="00B4735A">
        <w:rPr>
          <w:rStyle w:val="FootnoteReference"/>
          <w:rFonts w:cs="David" w:hint="eastAsia"/>
          <w:sz w:val="14"/>
          <w:szCs w:val="16"/>
          <w:vertAlign w:val="baseline"/>
          <w:rtl/>
        </w:rPr>
        <w:t>הקידוד</w:t>
      </w:r>
      <w:r w:rsidRPr="00B4735A">
        <w:rPr>
          <w:rStyle w:val="FootnoteReference"/>
          <w:rFonts w:cs="David"/>
          <w:sz w:val="14"/>
          <w:szCs w:val="16"/>
          <w:vertAlign w:val="baseline"/>
          <w:rtl/>
        </w:rPr>
        <w:t xml:space="preserve"> נעשה באמצעות פקודת </w:t>
      </w:r>
      <w:r w:rsidRPr="00B4735A">
        <w:rPr>
          <w:rStyle w:val="FootnoteReference"/>
          <w:rFonts w:cs="David"/>
          <w:sz w:val="14"/>
          <w:szCs w:val="16"/>
          <w:vertAlign w:val="baseline"/>
        </w:rPr>
        <w:t>compute</w:t>
      </w:r>
      <w:r w:rsidRPr="00B4735A">
        <w:rPr>
          <w:rStyle w:val="FootnoteReference"/>
          <w:rFonts w:cs="David"/>
          <w:sz w:val="14"/>
          <w:szCs w:val="16"/>
          <w:vertAlign w:val="baseline"/>
          <w:rtl/>
        </w:rPr>
        <w:t xml:space="preserve"> ב-</w:t>
      </w:r>
      <w:r w:rsidRPr="00B4735A">
        <w:rPr>
          <w:rStyle w:val="FootnoteReference"/>
          <w:rFonts w:cs="David"/>
          <w:sz w:val="14"/>
          <w:szCs w:val="16"/>
          <w:vertAlign w:val="baseline"/>
        </w:rPr>
        <w:t>SPSS</w:t>
      </w:r>
      <w:r w:rsidRPr="00B4735A">
        <w:rPr>
          <w:rStyle w:val="FootnoteReference"/>
          <w:rFonts w:cs="David"/>
          <w:sz w:val="14"/>
          <w:szCs w:val="16"/>
          <w:vertAlign w:val="baseline"/>
          <w:rtl/>
        </w:rPr>
        <w:t xml:space="preserve">. תחילה, כל אחת משש השאלות העוסקות בשירותים חברתיים קודדה לכדי משתנה דיכוטומי בעל שתי קטגוריות (1 = תמיכה; 2 = התנגדות). כך, הערך 6 משמעותו כי הנשאל השיב </w:t>
      </w:r>
      <w:r w:rsidRPr="00B4735A">
        <w:rPr>
          <w:rStyle w:val="FootnoteReference"/>
          <w:rFonts w:cs="David" w:hint="cs"/>
          <w:sz w:val="14"/>
          <w:szCs w:val="16"/>
          <w:vertAlign w:val="baseline"/>
          <w:rtl/>
        </w:rPr>
        <w:t>ש</w:t>
      </w:r>
      <w:r w:rsidRPr="00B4735A">
        <w:rPr>
          <w:rStyle w:val="FootnoteReference"/>
          <w:rFonts w:cs="David" w:hint="eastAsia"/>
          <w:sz w:val="14"/>
          <w:szCs w:val="16"/>
          <w:vertAlign w:val="baseline"/>
          <w:rtl/>
        </w:rPr>
        <w:t>הוא</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תומך</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בהפרטה</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בכל</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אחת</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משש</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השאלות</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כלומר</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תמיכה</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מ</w:t>
      </w:r>
      <w:r w:rsidRPr="00B4735A">
        <w:rPr>
          <w:rStyle w:val="FootnoteReference"/>
          <w:rFonts w:cs="David" w:hint="cs"/>
          <w:sz w:val="14"/>
          <w:szCs w:val="16"/>
          <w:vertAlign w:val="baseline"/>
          <w:rtl/>
        </w:rPr>
        <w:t>רבית</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בהפרטה</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באותו</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אופן</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הערך</w:t>
      </w:r>
      <w:r w:rsidRPr="00B4735A">
        <w:rPr>
          <w:rStyle w:val="FootnoteReference"/>
          <w:rFonts w:cs="David"/>
          <w:sz w:val="14"/>
          <w:szCs w:val="16"/>
          <w:vertAlign w:val="baseline"/>
          <w:rtl/>
        </w:rPr>
        <w:t xml:space="preserve"> 12 </w:t>
      </w:r>
      <w:r w:rsidRPr="00B4735A">
        <w:rPr>
          <w:rStyle w:val="FootnoteReference"/>
          <w:rFonts w:cs="David" w:hint="eastAsia"/>
          <w:sz w:val="14"/>
          <w:szCs w:val="16"/>
          <w:vertAlign w:val="baseline"/>
          <w:rtl/>
        </w:rPr>
        <w:t>מורה</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על</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התנגדות</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מ</w:t>
      </w:r>
      <w:r w:rsidRPr="00B4735A">
        <w:rPr>
          <w:rStyle w:val="FootnoteReference"/>
          <w:rFonts w:cs="David" w:hint="cs"/>
          <w:sz w:val="14"/>
          <w:szCs w:val="16"/>
          <w:vertAlign w:val="baseline"/>
          <w:rtl/>
        </w:rPr>
        <w:t>רבית</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להפרטה</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שכן</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המשמעות</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היא</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כי</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הנשאל</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השיב</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כי</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הוא</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מתנגד</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להפרטה</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בכל</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אחת</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משש</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השאלות</w:t>
      </w:r>
      <w:r w:rsidRPr="00B4735A">
        <w:rPr>
          <w:rStyle w:val="FootnoteReference"/>
          <w:rFonts w:cs="David"/>
          <w:sz w:val="14"/>
          <w:szCs w:val="16"/>
          <w:vertAlign w:val="baseline"/>
          <w:rtl/>
        </w:rPr>
        <w:t xml:space="preserve">. </w:t>
      </w:r>
      <w:r w:rsidRPr="00B4735A">
        <w:rPr>
          <w:rStyle w:val="FootnoteReference"/>
          <w:rFonts w:cs="David" w:hint="cs"/>
          <w:sz w:val="14"/>
          <w:szCs w:val="16"/>
          <w:vertAlign w:val="baseline"/>
          <w:rtl/>
        </w:rPr>
        <w:t>כ</w:t>
      </w:r>
      <w:r w:rsidRPr="00B4735A">
        <w:rPr>
          <w:rStyle w:val="FootnoteReference"/>
          <w:rFonts w:cs="David" w:hint="eastAsia"/>
          <w:sz w:val="14"/>
          <w:szCs w:val="16"/>
          <w:vertAlign w:val="baseline"/>
          <w:rtl/>
        </w:rPr>
        <w:t>מקובל</w:t>
      </w:r>
      <w:r w:rsidRPr="00B4735A">
        <w:rPr>
          <w:rStyle w:val="FootnoteReference"/>
          <w:rFonts w:cs="David"/>
          <w:sz w:val="14"/>
          <w:szCs w:val="16"/>
          <w:vertAlign w:val="baseline"/>
          <w:rtl/>
        </w:rPr>
        <w:t xml:space="preserve"> בסוג זה של ניתוחים כמותניים, במקום סולם של 6–12, יצרנו סולם </w:t>
      </w:r>
      <w:r w:rsidRPr="00B4735A">
        <w:rPr>
          <w:rStyle w:val="FootnoteReference"/>
          <w:rFonts w:cs="David" w:hint="cs"/>
          <w:sz w:val="14"/>
          <w:szCs w:val="16"/>
          <w:vertAlign w:val="baseline"/>
          <w:rtl/>
        </w:rPr>
        <w:t xml:space="preserve">של </w:t>
      </w:r>
      <w:r w:rsidRPr="00B4735A">
        <w:rPr>
          <w:rStyle w:val="FootnoteReference"/>
          <w:rFonts w:cs="David"/>
          <w:sz w:val="14"/>
          <w:szCs w:val="16"/>
          <w:vertAlign w:val="baseline"/>
          <w:rtl/>
        </w:rPr>
        <w:t xml:space="preserve">1–7 באמצעות הנוסחה הבאה: </w:t>
      </w:r>
      <w:r w:rsidRPr="00B4735A">
        <w:rPr>
          <w:rStyle w:val="FootnoteReference"/>
          <w:rFonts w:cs="David"/>
          <w:sz w:val="14"/>
          <w:szCs w:val="16"/>
          <w:vertAlign w:val="baseline"/>
        </w:rPr>
        <w:t>i1+i2+i3+i3+i4+i5+i6)-5</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השלב</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הבא</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היה</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קיבוץ</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הקטגוריות</w:t>
      </w:r>
      <w:r w:rsidRPr="00B4735A">
        <w:rPr>
          <w:rStyle w:val="FootnoteReference"/>
          <w:rFonts w:cs="David"/>
          <w:sz w:val="14"/>
          <w:szCs w:val="16"/>
          <w:vertAlign w:val="baseline"/>
          <w:rtl/>
        </w:rPr>
        <w:t xml:space="preserve"> 1–7 </w:t>
      </w:r>
      <w:r w:rsidRPr="00B4735A">
        <w:rPr>
          <w:rStyle w:val="FootnoteReference"/>
          <w:rFonts w:cs="David" w:hint="eastAsia"/>
          <w:sz w:val="14"/>
          <w:szCs w:val="16"/>
          <w:vertAlign w:val="baseline"/>
          <w:rtl/>
        </w:rPr>
        <w:t>לכדי</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שתי</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קטגוריות</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בלבד</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של</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תמיכה</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והתנגדות</w:t>
      </w:r>
      <w:r w:rsidRPr="00B4735A">
        <w:rPr>
          <w:rStyle w:val="FootnoteReference"/>
          <w:rFonts w:cs="David" w:hint="cs"/>
          <w:sz w:val="14"/>
          <w:szCs w:val="16"/>
          <w:vertAlign w:val="baseline"/>
          <w:rtl/>
        </w:rPr>
        <w:t>, כדי לפשט</w:t>
      </w:r>
      <w:r w:rsidRPr="00B4735A">
        <w:rPr>
          <w:rStyle w:val="FootnoteReference"/>
          <w:rFonts w:cs="David"/>
          <w:sz w:val="14"/>
          <w:szCs w:val="16"/>
          <w:vertAlign w:val="baseline"/>
          <w:rtl/>
        </w:rPr>
        <w:t xml:space="preserve"> </w:t>
      </w:r>
      <w:r w:rsidRPr="00B4735A">
        <w:rPr>
          <w:rStyle w:val="FootnoteReference"/>
          <w:rFonts w:cs="David" w:hint="cs"/>
          <w:sz w:val="14"/>
          <w:szCs w:val="16"/>
          <w:vertAlign w:val="baseline"/>
          <w:rtl/>
        </w:rPr>
        <w:t xml:space="preserve">את </w:t>
      </w:r>
      <w:r w:rsidRPr="00B4735A">
        <w:rPr>
          <w:rStyle w:val="FootnoteReference"/>
          <w:rFonts w:cs="David" w:hint="eastAsia"/>
          <w:sz w:val="14"/>
          <w:szCs w:val="16"/>
          <w:vertAlign w:val="baseline"/>
          <w:rtl/>
        </w:rPr>
        <w:t>הצגת</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הנתונים</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קטגוריות</w:t>
      </w:r>
      <w:r w:rsidRPr="00B4735A">
        <w:rPr>
          <w:rStyle w:val="FootnoteReference"/>
          <w:rFonts w:cs="David"/>
          <w:sz w:val="14"/>
          <w:szCs w:val="16"/>
          <w:vertAlign w:val="baseline"/>
          <w:rtl/>
        </w:rPr>
        <w:t xml:space="preserve"> 1–4 </w:t>
      </w:r>
      <w:r w:rsidRPr="00B4735A">
        <w:rPr>
          <w:rStyle w:val="FootnoteReference"/>
          <w:rFonts w:cs="David" w:hint="eastAsia"/>
          <w:sz w:val="14"/>
          <w:szCs w:val="16"/>
          <w:vertAlign w:val="baseline"/>
          <w:rtl/>
        </w:rPr>
        <w:t>מרכיבות</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את</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קבוצת</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התומכים</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בהפרטה</w:t>
      </w:r>
      <w:r w:rsidRPr="00B4735A">
        <w:rPr>
          <w:rStyle w:val="FootnoteReference"/>
          <w:rFonts w:cs="David" w:hint="cs"/>
          <w:sz w:val="14"/>
          <w:szCs w:val="16"/>
          <w:vertAlign w:val="baseline"/>
          <w:rtl/>
        </w:rPr>
        <w:t>,</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וקטגוריות</w:t>
      </w:r>
      <w:r w:rsidRPr="00B4735A">
        <w:rPr>
          <w:rStyle w:val="FootnoteReference"/>
          <w:rFonts w:cs="David"/>
          <w:sz w:val="14"/>
          <w:szCs w:val="16"/>
          <w:vertAlign w:val="baseline"/>
          <w:rtl/>
        </w:rPr>
        <w:t xml:space="preserve"> 5–7 </w:t>
      </w:r>
      <w:r w:rsidRPr="00B4735A">
        <w:rPr>
          <w:rStyle w:val="FootnoteReference"/>
          <w:rFonts w:cs="David" w:hint="eastAsia"/>
          <w:sz w:val="14"/>
          <w:szCs w:val="16"/>
          <w:vertAlign w:val="baseline"/>
          <w:rtl/>
        </w:rPr>
        <w:t>את</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קבוצת</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המתנגדים</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ההחלטה</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לצרף</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את</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קבוצה</w:t>
      </w:r>
      <w:r w:rsidRPr="00B4735A">
        <w:rPr>
          <w:rStyle w:val="FootnoteReference"/>
          <w:rFonts w:cs="David"/>
          <w:sz w:val="14"/>
          <w:szCs w:val="16"/>
          <w:vertAlign w:val="baseline"/>
          <w:rtl/>
        </w:rPr>
        <w:t xml:space="preserve"> 4 </w:t>
      </w:r>
      <w:r w:rsidRPr="00B4735A">
        <w:rPr>
          <w:rStyle w:val="FootnoteReference"/>
          <w:rFonts w:cs="David" w:hint="eastAsia"/>
          <w:sz w:val="14"/>
          <w:szCs w:val="16"/>
          <w:vertAlign w:val="baseline"/>
          <w:rtl/>
        </w:rPr>
        <w:t>לתומכים</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נבעה</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מכך</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שמשמעות</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הערך</w:t>
      </w:r>
      <w:r w:rsidRPr="00B4735A">
        <w:rPr>
          <w:rStyle w:val="FootnoteReference"/>
          <w:rFonts w:cs="David"/>
          <w:sz w:val="14"/>
          <w:szCs w:val="16"/>
          <w:vertAlign w:val="baseline"/>
          <w:rtl/>
        </w:rPr>
        <w:t xml:space="preserve"> 4 </w:t>
      </w:r>
      <w:r w:rsidRPr="00B4735A">
        <w:rPr>
          <w:rStyle w:val="FootnoteReference"/>
          <w:rFonts w:cs="David" w:hint="eastAsia"/>
          <w:sz w:val="14"/>
          <w:szCs w:val="16"/>
          <w:vertAlign w:val="baseline"/>
          <w:rtl/>
        </w:rPr>
        <w:t>הוא</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שהנשאל</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סבור</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כי</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יש</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להפריט</w:t>
      </w:r>
      <w:r w:rsidRPr="00B4735A">
        <w:rPr>
          <w:rStyle w:val="FootnoteReference"/>
          <w:rFonts w:cs="David" w:hint="cs"/>
          <w:sz w:val="14"/>
          <w:szCs w:val="16"/>
          <w:vertAlign w:val="baseline"/>
          <w:rtl/>
        </w:rPr>
        <w:t xml:space="preserve"> שלושה </w:t>
      </w:r>
      <w:r w:rsidRPr="00B4735A">
        <w:rPr>
          <w:rStyle w:val="FootnoteReference"/>
          <w:rFonts w:cs="David" w:hint="eastAsia"/>
          <w:sz w:val="14"/>
          <w:szCs w:val="16"/>
          <w:vertAlign w:val="baseline"/>
          <w:rtl/>
        </w:rPr>
        <w:t>מתוך</w:t>
      </w:r>
      <w:r w:rsidRPr="00B4735A">
        <w:rPr>
          <w:rStyle w:val="FootnoteReference"/>
          <w:rFonts w:cs="David"/>
          <w:sz w:val="14"/>
          <w:szCs w:val="16"/>
          <w:vertAlign w:val="baseline"/>
          <w:rtl/>
        </w:rPr>
        <w:t xml:space="preserve"> </w:t>
      </w:r>
      <w:r w:rsidRPr="00B4735A">
        <w:rPr>
          <w:rStyle w:val="FootnoteReference"/>
          <w:rFonts w:cs="David" w:hint="cs"/>
          <w:sz w:val="14"/>
          <w:szCs w:val="16"/>
          <w:vertAlign w:val="baseline"/>
          <w:rtl/>
        </w:rPr>
        <w:t>ששת</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השירותים</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החברתיים</w:t>
      </w:r>
      <w:r w:rsidRPr="00B4735A">
        <w:rPr>
          <w:rStyle w:val="FootnoteReference"/>
          <w:rFonts w:cs="David"/>
          <w:sz w:val="14"/>
          <w:szCs w:val="16"/>
          <w:vertAlign w:val="baseline"/>
          <w:rtl/>
        </w:rPr>
        <w:t xml:space="preserve"> (כלומר </w:t>
      </w:r>
      <w:r w:rsidRPr="00B4735A">
        <w:rPr>
          <w:rStyle w:val="FootnoteReference"/>
          <w:rFonts w:cs="David" w:hint="eastAsia"/>
          <w:sz w:val="14"/>
          <w:szCs w:val="16"/>
          <w:vertAlign w:val="baseline"/>
          <w:rtl/>
        </w:rPr>
        <w:t>מחצית</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מהשירותים</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ועל</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כן</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לדעתנו</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סביר</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יותר</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לסווגו</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כמי</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שתומך</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בהפרטה</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מאשר</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כמי</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שמתנגד</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לה</w:t>
      </w:r>
      <w:r w:rsidRPr="00B4735A">
        <w:rPr>
          <w:rStyle w:val="FootnoteReference"/>
          <w:rFonts w:cs="David"/>
          <w:sz w:val="14"/>
          <w:szCs w:val="16"/>
          <w:vertAlign w:val="baseline"/>
          <w:rtl/>
        </w:rPr>
        <w:t>.</w:t>
      </w:r>
    </w:p>
  </w:footnote>
  <w:footnote w:id="7">
    <w:p w14:paraId="130313E9" w14:textId="77777777" w:rsidR="00B4735A" w:rsidRPr="00B4735A" w:rsidRDefault="00B4735A" w:rsidP="00B4735A">
      <w:pPr>
        <w:pStyle w:val="FootnoteText"/>
        <w:keepLines/>
        <w:spacing w:line="200" w:lineRule="exact"/>
        <w:ind w:left="397" w:hanging="397"/>
        <w:jc w:val="both"/>
        <w:rPr>
          <w:rStyle w:val="FootnoteReference"/>
          <w:rFonts w:cs="David"/>
          <w:sz w:val="14"/>
          <w:szCs w:val="16"/>
          <w:vertAlign w:val="baseline"/>
        </w:rPr>
      </w:pPr>
      <w:r w:rsidRPr="00B4735A">
        <w:rPr>
          <w:rStyle w:val="FootnoteReference"/>
          <w:rFonts w:cs="David"/>
          <w:sz w:val="14"/>
          <w:szCs w:val="16"/>
          <w:vertAlign w:val="baseline"/>
        </w:rPr>
        <w:footnoteRef/>
      </w:r>
      <w:r w:rsidRPr="00B4735A">
        <w:rPr>
          <w:rStyle w:val="FootnoteReference"/>
          <w:rFonts w:cs="David"/>
          <w:sz w:val="14"/>
          <w:szCs w:val="16"/>
          <w:vertAlign w:val="baseline"/>
          <w:rtl/>
        </w:rPr>
        <w:t xml:space="preserve"> </w:t>
      </w:r>
      <w:r w:rsidRPr="00B4735A">
        <w:rPr>
          <w:rStyle w:val="FootnoteReference"/>
          <w:rFonts w:cs="David"/>
          <w:sz w:val="14"/>
          <w:szCs w:val="16"/>
          <w:vertAlign w:val="baseline"/>
        </w:rPr>
        <w:tab/>
      </w:r>
      <w:r w:rsidRPr="00B4735A">
        <w:rPr>
          <w:rStyle w:val="FootnoteReference"/>
          <w:rFonts w:cs="David" w:hint="cs"/>
          <w:sz w:val="14"/>
          <w:szCs w:val="16"/>
          <w:vertAlign w:val="baseline"/>
          <w:rtl/>
        </w:rPr>
        <w:t>ה</w:t>
      </w:r>
      <w:r w:rsidRPr="00B4735A">
        <w:rPr>
          <w:rStyle w:val="FootnoteReference"/>
          <w:rFonts w:cs="David" w:hint="eastAsia"/>
          <w:sz w:val="14"/>
          <w:szCs w:val="16"/>
          <w:vertAlign w:val="baseline"/>
          <w:rtl/>
        </w:rPr>
        <w:t>תוצאות</w:t>
      </w:r>
      <w:r w:rsidRPr="00B4735A">
        <w:rPr>
          <w:rStyle w:val="FootnoteReference"/>
          <w:rFonts w:cs="David"/>
          <w:sz w:val="14"/>
          <w:szCs w:val="16"/>
          <w:vertAlign w:val="baseline"/>
          <w:rtl/>
        </w:rPr>
        <w:t xml:space="preserve"> </w:t>
      </w:r>
      <w:r w:rsidRPr="00B4735A">
        <w:rPr>
          <w:rStyle w:val="FootnoteReference"/>
          <w:rFonts w:cs="David" w:hint="cs"/>
          <w:sz w:val="14"/>
          <w:szCs w:val="16"/>
          <w:vertAlign w:val="baseline"/>
          <w:rtl/>
        </w:rPr>
        <w:t xml:space="preserve">הללו </w:t>
      </w:r>
      <w:r w:rsidRPr="00B4735A">
        <w:rPr>
          <w:rStyle w:val="FootnoteReference"/>
          <w:rFonts w:cs="David" w:hint="eastAsia"/>
          <w:sz w:val="14"/>
          <w:szCs w:val="16"/>
          <w:vertAlign w:val="baseline"/>
          <w:rtl/>
        </w:rPr>
        <w:t>השתנו</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אך</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מעט</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לאחר</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תיקנון</w:t>
      </w:r>
      <w:r w:rsidRPr="00B4735A">
        <w:rPr>
          <w:rStyle w:val="FootnoteReference"/>
          <w:rFonts w:cs="David"/>
          <w:sz w:val="14"/>
          <w:szCs w:val="16"/>
          <w:vertAlign w:val="baseline"/>
          <w:rtl/>
        </w:rPr>
        <w:t xml:space="preserve">: 36% </w:t>
      </w:r>
      <w:r w:rsidRPr="00B4735A">
        <w:rPr>
          <w:rStyle w:val="FootnoteReference"/>
          <w:rFonts w:cs="David" w:hint="eastAsia"/>
          <w:sz w:val="14"/>
          <w:szCs w:val="16"/>
          <w:vertAlign w:val="baseline"/>
          <w:rtl/>
        </w:rPr>
        <w:t>בעלי</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השקפה</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סוציאליסטית</w:t>
      </w:r>
      <w:r w:rsidRPr="00B4735A">
        <w:rPr>
          <w:rStyle w:val="FootnoteReference"/>
          <w:rFonts w:cs="David"/>
          <w:sz w:val="14"/>
          <w:szCs w:val="16"/>
          <w:vertAlign w:val="baseline"/>
          <w:rtl/>
        </w:rPr>
        <w:t xml:space="preserve">; 37% </w:t>
      </w:r>
      <w:r w:rsidRPr="00B4735A">
        <w:rPr>
          <w:rStyle w:val="FootnoteReference"/>
          <w:rFonts w:cs="David" w:hint="eastAsia"/>
          <w:sz w:val="14"/>
          <w:szCs w:val="16"/>
          <w:vertAlign w:val="baseline"/>
          <w:rtl/>
        </w:rPr>
        <w:t>מרכז</w:t>
      </w:r>
      <w:r w:rsidRPr="00B4735A">
        <w:rPr>
          <w:rStyle w:val="FootnoteReference"/>
          <w:rFonts w:cs="David"/>
          <w:sz w:val="14"/>
          <w:szCs w:val="16"/>
          <w:vertAlign w:val="baseline"/>
          <w:rtl/>
        </w:rPr>
        <w:t xml:space="preserve">; 27% </w:t>
      </w:r>
      <w:r w:rsidRPr="00B4735A">
        <w:rPr>
          <w:rStyle w:val="FootnoteReference"/>
          <w:rFonts w:cs="David" w:hint="eastAsia"/>
          <w:sz w:val="14"/>
          <w:szCs w:val="16"/>
          <w:vertAlign w:val="baseline"/>
          <w:rtl/>
        </w:rPr>
        <w:t>בעלי</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השקפה</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קפיטליסטית</w:t>
      </w:r>
      <w:r w:rsidRPr="00B4735A">
        <w:rPr>
          <w:rStyle w:val="FootnoteReference"/>
          <w:rFonts w:cs="David"/>
          <w:sz w:val="14"/>
          <w:szCs w:val="16"/>
          <w:vertAlign w:val="baseline"/>
          <w:rtl/>
        </w:rPr>
        <w:t>.</w:t>
      </w:r>
    </w:p>
  </w:footnote>
  <w:footnote w:id="8">
    <w:p w14:paraId="781F880A" w14:textId="2C2623F5" w:rsidR="00B4735A" w:rsidRPr="00B4735A" w:rsidRDefault="00B4735A" w:rsidP="00325A81">
      <w:pPr>
        <w:pStyle w:val="FootnoteText"/>
        <w:keepLines/>
        <w:spacing w:line="200" w:lineRule="exact"/>
        <w:ind w:left="397" w:hanging="397"/>
        <w:jc w:val="both"/>
        <w:rPr>
          <w:rStyle w:val="FootnoteReference"/>
          <w:rFonts w:cs="David"/>
          <w:sz w:val="14"/>
          <w:szCs w:val="16"/>
          <w:vertAlign w:val="baseline"/>
        </w:rPr>
      </w:pPr>
      <w:r w:rsidRPr="00B4735A">
        <w:rPr>
          <w:rStyle w:val="FootnoteReference"/>
          <w:rFonts w:cs="David"/>
          <w:sz w:val="14"/>
          <w:szCs w:val="16"/>
          <w:vertAlign w:val="baseline"/>
        </w:rPr>
        <w:footnoteRef/>
      </w:r>
      <w:r w:rsidRPr="00B4735A">
        <w:rPr>
          <w:rStyle w:val="FootnoteReference"/>
          <w:rFonts w:cs="David"/>
          <w:sz w:val="14"/>
          <w:szCs w:val="16"/>
          <w:vertAlign w:val="baseline"/>
          <w:rtl/>
        </w:rPr>
        <w:t xml:space="preserve"> </w:t>
      </w:r>
      <w:r w:rsidRPr="00B4735A">
        <w:rPr>
          <w:rStyle w:val="FootnoteReference"/>
          <w:rFonts w:cs="David"/>
          <w:sz w:val="14"/>
          <w:szCs w:val="16"/>
          <w:vertAlign w:val="baseline"/>
        </w:rPr>
        <w:tab/>
      </w:r>
      <w:r w:rsidRPr="00B4735A">
        <w:rPr>
          <w:rStyle w:val="FootnoteReference"/>
          <w:rFonts w:cs="David"/>
          <w:sz w:val="14"/>
          <w:szCs w:val="16"/>
          <w:vertAlign w:val="baseline"/>
          <w:rtl/>
        </w:rPr>
        <w:t>להסבר טכני על יצירת סולם "עמדה כלפי הפרטת שירותים חברתיים" ראו הערת שוליים</w:t>
      </w:r>
      <w:r w:rsidR="00325A81">
        <w:rPr>
          <w:rFonts w:cs="David" w:hint="cs"/>
          <w:sz w:val="14"/>
          <w:szCs w:val="16"/>
          <w:rtl/>
        </w:rPr>
        <w:t xml:space="preserve"> 5</w:t>
      </w:r>
      <w:r w:rsidRPr="00B4735A">
        <w:rPr>
          <w:rStyle w:val="FootnoteReference"/>
          <w:rFonts w:cs="David"/>
          <w:sz w:val="14"/>
          <w:szCs w:val="16"/>
          <w:vertAlign w:val="baseline"/>
          <w:rtl/>
        </w:rPr>
        <w:t xml:space="preserve"> לעיל.</w:t>
      </w:r>
    </w:p>
  </w:footnote>
  <w:footnote w:id="9">
    <w:p w14:paraId="6CB2E2E3" w14:textId="77777777" w:rsidR="00B4735A" w:rsidRPr="00B4735A" w:rsidRDefault="00B4735A" w:rsidP="00B4735A">
      <w:pPr>
        <w:pStyle w:val="FootnoteText"/>
        <w:keepLines/>
        <w:spacing w:line="200" w:lineRule="exact"/>
        <w:ind w:left="397" w:hanging="397"/>
        <w:jc w:val="both"/>
        <w:rPr>
          <w:rStyle w:val="FootnoteReference"/>
          <w:rFonts w:cs="David"/>
          <w:sz w:val="14"/>
          <w:szCs w:val="16"/>
          <w:vertAlign w:val="baseline"/>
        </w:rPr>
      </w:pPr>
      <w:r w:rsidRPr="00B4735A">
        <w:rPr>
          <w:rStyle w:val="FootnoteReference"/>
          <w:rFonts w:cs="David"/>
          <w:sz w:val="14"/>
          <w:szCs w:val="16"/>
          <w:vertAlign w:val="baseline"/>
        </w:rPr>
        <w:footnoteRef/>
      </w:r>
      <w:r w:rsidRPr="00B4735A">
        <w:rPr>
          <w:rStyle w:val="FootnoteReference"/>
          <w:rFonts w:cs="David"/>
          <w:sz w:val="14"/>
          <w:szCs w:val="16"/>
          <w:vertAlign w:val="baseline"/>
          <w:rtl/>
        </w:rPr>
        <w:t xml:space="preserve"> </w:t>
      </w:r>
      <w:r w:rsidRPr="00B4735A">
        <w:rPr>
          <w:rStyle w:val="FootnoteReference"/>
          <w:rFonts w:cs="David"/>
          <w:sz w:val="14"/>
          <w:szCs w:val="16"/>
          <w:vertAlign w:val="baseline"/>
        </w:rPr>
        <w:tab/>
      </w:r>
      <w:r w:rsidRPr="00B4735A">
        <w:rPr>
          <w:rStyle w:val="FootnoteReference"/>
          <w:rFonts w:cs="David"/>
          <w:sz w:val="14"/>
          <w:szCs w:val="16"/>
          <w:vertAlign w:val="baseline"/>
          <w:rtl/>
        </w:rPr>
        <w:t xml:space="preserve">בשאלון הסקר נמנענו מהמושג "חרדים", משום שמבחינה מתודולוגית בחרנו לבדוק "רמת דתיות", מה גם שהסקר כולל גם את האוכלוסייה הלא-יהודית. על כן העדפנו את המונח "דתיים מאוד". </w:t>
      </w:r>
      <w:r w:rsidRPr="00B4735A">
        <w:rPr>
          <w:rStyle w:val="FootnoteReference"/>
          <w:rFonts w:cs="David" w:hint="cs"/>
          <w:sz w:val="14"/>
          <w:szCs w:val="16"/>
          <w:vertAlign w:val="baseline"/>
          <w:rtl/>
        </w:rPr>
        <w:t>ע</w:t>
      </w:r>
      <w:r w:rsidRPr="00B4735A">
        <w:rPr>
          <w:rStyle w:val="FootnoteReference"/>
          <w:rFonts w:cs="David"/>
          <w:sz w:val="14"/>
          <w:szCs w:val="16"/>
          <w:vertAlign w:val="baseline"/>
          <w:rtl/>
        </w:rPr>
        <w:t xml:space="preserve">ם זאת, </w:t>
      </w:r>
      <w:r w:rsidRPr="00B4735A">
        <w:rPr>
          <w:rStyle w:val="FootnoteReference"/>
          <w:rFonts w:cs="David" w:hint="cs"/>
          <w:sz w:val="14"/>
          <w:szCs w:val="16"/>
          <w:vertAlign w:val="baseline"/>
          <w:rtl/>
        </w:rPr>
        <w:t>אפשר</w:t>
      </w:r>
      <w:r w:rsidRPr="00B4735A">
        <w:rPr>
          <w:rStyle w:val="FootnoteReference"/>
          <w:rFonts w:cs="David"/>
          <w:sz w:val="14"/>
          <w:szCs w:val="16"/>
          <w:vertAlign w:val="baseline"/>
          <w:rtl/>
        </w:rPr>
        <w:t xml:space="preserve"> להניח בזהירות המתבקשת כי בקרב הציבור היהודי</w:t>
      </w:r>
      <w:r w:rsidRPr="00B4735A">
        <w:rPr>
          <w:rStyle w:val="FootnoteReference"/>
          <w:rFonts w:cs="David" w:hint="cs"/>
          <w:sz w:val="14"/>
          <w:szCs w:val="16"/>
          <w:vertAlign w:val="baseline"/>
          <w:rtl/>
        </w:rPr>
        <w:t xml:space="preserve"> יש </w:t>
      </w:r>
      <w:r w:rsidRPr="00B4735A">
        <w:rPr>
          <w:rStyle w:val="FootnoteReference"/>
          <w:rFonts w:cs="David"/>
          <w:sz w:val="14"/>
          <w:szCs w:val="16"/>
          <w:vertAlign w:val="baseline"/>
          <w:rtl/>
        </w:rPr>
        <w:t xml:space="preserve">חפיפה לא מבוטלת בין שני המושגים, ולכן קטגוריה זו מייצגת במידת מה את הציבור החרדי. הדבר ניכר בין היתר ביישובים </w:t>
      </w:r>
      <w:r w:rsidRPr="00B4735A">
        <w:rPr>
          <w:rStyle w:val="FootnoteReference"/>
          <w:rFonts w:cs="David" w:hint="cs"/>
          <w:sz w:val="14"/>
          <w:szCs w:val="16"/>
          <w:vertAlign w:val="baseline"/>
          <w:rtl/>
        </w:rPr>
        <w:t>ש</w:t>
      </w:r>
      <w:r w:rsidRPr="00B4735A">
        <w:rPr>
          <w:rStyle w:val="FootnoteReference"/>
          <w:rFonts w:cs="David"/>
          <w:sz w:val="14"/>
          <w:szCs w:val="16"/>
          <w:vertAlign w:val="baseline"/>
          <w:rtl/>
        </w:rPr>
        <w:t xml:space="preserve">בהם מתרכזים אלו שהגדירו עצמם "דתיים מאוד" בסקר, </w:t>
      </w:r>
      <w:r w:rsidRPr="00B4735A">
        <w:rPr>
          <w:rStyle w:val="FootnoteReference"/>
          <w:rFonts w:cs="David" w:hint="cs"/>
          <w:sz w:val="14"/>
          <w:szCs w:val="16"/>
          <w:vertAlign w:val="baseline"/>
          <w:rtl/>
        </w:rPr>
        <w:t>ו</w:t>
      </w:r>
      <w:r w:rsidRPr="00B4735A">
        <w:rPr>
          <w:rStyle w:val="FootnoteReference"/>
          <w:rFonts w:cs="David"/>
          <w:sz w:val="14"/>
          <w:szCs w:val="16"/>
          <w:vertAlign w:val="baseline"/>
          <w:rtl/>
        </w:rPr>
        <w:t>בהם ירושלים, צפת וטבריה.</w:t>
      </w:r>
    </w:p>
  </w:footnote>
  <w:footnote w:id="10">
    <w:p w14:paraId="25B71707" w14:textId="77777777" w:rsidR="00B4735A" w:rsidRPr="00B4735A" w:rsidRDefault="00B4735A" w:rsidP="00B4735A">
      <w:pPr>
        <w:pStyle w:val="FootnoteText"/>
        <w:keepLines/>
        <w:spacing w:line="200" w:lineRule="exact"/>
        <w:ind w:left="397" w:hanging="397"/>
        <w:jc w:val="both"/>
        <w:rPr>
          <w:rStyle w:val="FootnoteReference"/>
          <w:rFonts w:cs="David"/>
          <w:sz w:val="14"/>
          <w:szCs w:val="16"/>
          <w:vertAlign w:val="baseline"/>
        </w:rPr>
      </w:pPr>
      <w:r w:rsidRPr="00B4735A">
        <w:rPr>
          <w:rStyle w:val="FootnoteReference"/>
          <w:rFonts w:cs="David"/>
          <w:sz w:val="14"/>
          <w:szCs w:val="16"/>
          <w:vertAlign w:val="baseline"/>
        </w:rPr>
        <w:footnoteRef/>
      </w:r>
      <w:r w:rsidRPr="00B4735A">
        <w:rPr>
          <w:rStyle w:val="FootnoteReference"/>
          <w:rFonts w:cs="David"/>
          <w:sz w:val="14"/>
          <w:szCs w:val="16"/>
          <w:vertAlign w:val="baseline"/>
          <w:rtl/>
        </w:rPr>
        <w:t xml:space="preserve"> </w:t>
      </w:r>
      <w:r w:rsidRPr="00B4735A">
        <w:rPr>
          <w:rStyle w:val="FootnoteReference"/>
          <w:rFonts w:cs="David"/>
          <w:sz w:val="14"/>
          <w:szCs w:val="16"/>
          <w:vertAlign w:val="baseline"/>
        </w:rPr>
        <w:tab/>
      </w:r>
      <w:r w:rsidRPr="00B4735A">
        <w:rPr>
          <w:rStyle w:val="FootnoteReference"/>
          <w:rFonts w:cs="David" w:hint="eastAsia"/>
          <w:sz w:val="14"/>
          <w:szCs w:val="16"/>
          <w:vertAlign w:val="baseline"/>
          <w:rtl/>
        </w:rPr>
        <w:t>נכונותו</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המסוימת</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של</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הציבור</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לקבל</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מודל</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של</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הפרטה</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חלקית</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המתבססת</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על</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מיקור</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חוץ</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עשויה</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להוביל</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לדיון</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רחב</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יותר</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במודלים</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של</w:t>
      </w:r>
      <w:r w:rsidRPr="00B4735A">
        <w:rPr>
          <w:rStyle w:val="FootnoteReference"/>
          <w:rFonts w:cs="David"/>
          <w:sz w:val="14"/>
          <w:szCs w:val="16"/>
          <w:vertAlign w:val="baseline"/>
        </w:rPr>
        <w:t xml:space="preserve"> </w:t>
      </w:r>
      <w:r w:rsidRPr="00B4735A">
        <w:rPr>
          <w:rStyle w:val="FootnoteReference"/>
          <w:rFonts w:cs="David" w:hint="cs"/>
          <w:sz w:val="14"/>
          <w:szCs w:val="16"/>
          <w:vertAlign w:val="baseline"/>
          <w:rtl/>
        </w:rPr>
        <w:t xml:space="preserve">ביטחון חברתי </w:t>
      </w:r>
      <w:r w:rsidRPr="00B4735A">
        <w:rPr>
          <w:rStyle w:val="FootnoteReference"/>
          <w:rFonts w:cs="David" w:hint="eastAsia"/>
          <w:sz w:val="14"/>
          <w:szCs w:val="16"/>
          <w:vertAlign w:val="baseline"/>
          <w:rtl/>
        </w:rPr>
        <w:t>כגון</w:t>
      </w:r>
      <w:r w:rsidRPr="00B4735A">
        <w:rPr>
          <w:rStyle w:val="FootnoteReference"/>
          <w:rFonts w:cs="David"/>
          <w:sz w:val="14"/>
          <w:szCs w:val="16"/>
          <w:vertAlign w:val="baseline"/>
          <w:rtl/>
        </w:rPr>
        <w:t xml:space="preserve"> "</w:t>
      </w:r>
      <w:r w:rsidRPr="00B4735A">
        <w:rPr>
          <w:rStyle w:val="FootnoteReference"/>
          <w:rFonts w:cs="David"/>
          <w:sz w:val="14"/>
          <w:szCs w:val="16"/>
          <w:vertAlign w:val="baseline"/>
        </w:rPr>
        <w:t>flexicurity</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שנועדו</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בין</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היתר</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לאזן</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בין</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ביטחון</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תעסוקתי</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לגמישות</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שוק</w:t>
      </w:r>
      <w:r w:rsidRPr="00B4735A">
        <w:rPr>
          <w:rStyle w:val="FootnoteReference"/>
          <w:rFonts w:cs="David"/>
          <w:sz w:val="14"/>
          <w:szCs w:val="16"/>
          <w:vertAlign w:val="baseline"/>
          <w:rtl/>
        </w:rPr>
        <w:t xml:space="preserve"> </w:t>
      </w:r>
      <w:r w:rsidRPr="00B4735A">
        <w:rPr>
          <w:rStyle w:val="FootnoteReference"/>
          <w:rFonts w:cs="David" w:hint="eastAsia"/>
          <w:sz w:val="14"/>
          <w:szCs w:val="16"/>
          <w:vertAlign w:val="baseline"/>
          <w:rtl/>
        </w:rPr>
        <w:t>העבודה</w:t>
      </w:r>
      <w:r w:rsidRPr="00B4735A">
        <w:rPr>
          <w:rStyle w:val="FootnoteReference"/>
          <w:rFonts w:cs="David"/>
          <w:sz w:val="14"/>
          <w:szCs w:val="16"/>
          <w:vertAlign w:val="baseline"/>
          <w:rtl/>
        </w:rPr>
        <w:t xml:space="preserve">. מחקרים עתידיים בכיוון זה עשויים לשפוך אור על הנושא.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11784662"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223996">
      <w:rPr>
        <w:rFonts w:ascii="David" w:hAnsi="David" w:cs="David"/>
        <w:noProof/>
        <w:sz w:val="24"/>
        <w:szCs w:val="24"/>
        <w:rtl/>
      </w:rPr>
      <w:t>30</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AC3F0C">
      <w:rPr>
        <w:rFonts w:ascii="David" w:hAnsi="David" w:cs="David" w:hint="cs"/>
        <w:b w:val="0"/>
        <w:bCs w:val="0"/>
        <w:sz w:val="18"/>
        <w:szCs w:val="18"/>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4153800D" w:rsidR="007667D8" w:rsidRPr="00CA633F" w:rsidRDefault="009E3988" w:rsidP="00446E1E">
    <w:pPr>
      <w:pStyle w:val="Heading1"/>
      <w:tabs>
        <w:tab w:val="center" w:pos="4536"/>
        <w:tab w:val="right" w:pos="9072"/>
      </w:tabs>
      <w:jc w:val="right"/>
      <w:rPr>
        <w:rFonts w:ascii="David" w:hAnsi="David" w:cs="David"/>
        <w:b w:val="0"/>
        <w:bCs w:val="0"/>
        <w:noProof/>
        <w:color w:val="A6A6A6"/>
        <w:sz w:val="20"/>
        <w:szCs w:val="20"/>
      </w:rPr>
    </w:pPr>
    <w:r w:rsidRPr="009E3988">
      <w:rPr>
        <w:rFonts w:ascii="David" w:hAnsi="David" w:cs="David"/>
        <w:b w:val="0"/>
        <w:bCs w:val="0"/>
        <w:noProof/>
        <w:sz w:val="18"/>
        <w:szCs w:val="18"/>
        <w:rtl/>
      </w:rPr>
      <w:t>הפרטה של שירותים חברתיים ותשתיות ממשלה – דעת הציבור בישראל</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223996">
      <w:rPr>
        <w:rFonts w:ascii="David" w:hAnsi="David" w:cs="David"/>
        <w:noProof/>
        <w:sz w:val="24"/>
        <w:szCs w:val="24"/>
        <w:rtl/>
      </w:rPr>
      <w:t>29</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16B77253"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F79E4"/>
    <w:multiLevelType w:val="hybridMultilevel"/>
    <w:tmpl w:val="F8403700"/>
    <w:lvl w:ilvl="0" w:tplc="13D09148">
      <w:start w:val="1"/>
      <w:numFmt w:val="bullet"/>
      <w:lvlText w:val="•"/>
      <w:lvlJc w:val="left"/>
      <w:pPr>
        <w:ind w:left="360" w:hanging="360"/>
      </w:pPr>
      <w:rPr>
        <w:rFonts w:ascii="David" w:hAnsi="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AEB2873"/>
    <w:multiLevelType w:val="hybridMultilevel"/>
    <w:tmpl w:val="F8AEB242"/>
    <w:lvl w:ilvl="0" w:tplc="812022B8">
      <w:start w:val="1"/>
      <w:numFmt w:val="bullet"/>
      <w:lvlText w:val=""/>
      <w:lvlJc w:val="left"/>
      <w:pPr>
        <w:ind w:left="720" w:hanging="360"/>
      </w:pPr>
      <w:rPr>
        <w:rFonts w:ascii="Symbol" w:hAnsi="Symbol" w:cs="Wingdings" w:hint="default"/>
        <w:b/>
        <w:i w:val="0"/>
        <w:caps w:val="0"/>
        <w:strike w:val="0"/>
        <w:dstrike w:val="0"/>
        <w:vanish w:val="0"/>
        <w:color w:val="auto"/>
        <w:position w:val="-6"/>
        <w:sz w:val="40"/>
        <w:szCs w:val="25"/>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1BF2D9F"/>
    <w:multiLevelType w:val="hybridMultilevel"/>
    <w:tmpl w:val="F1EEE6C2"/>
    <w:lvl w:ilvl="0" w:tplc="D1F2CA14">
      <w:start w:val="1"/>
      <w:numFmt w:val="bullet"/>
      <w:lvlText w:val=""/>
      <w:lvlJc w:val="left"/>
      <w:pPr>
        <w:ind w:left="720" w:hanging="360"/>
      </w:pPr>
      <w:rPr>
        <w:rFonts w:ascii="Symbol" w:hAnsi="Symbol" w:cs="Symbol" w:hint="default"/>
        <w:b/>
        <w:i w:val="0"/>
        <w:caps w:val="0"/>
        <w:strike w:val="0"/>
        <w:dstrike w:val="0"/>
        <w:vanish w:val="0"/>
        <w:color w:val="auto"/>
        <w:position w:val="-6"/>
        <w:sz w:val="24"/>
        <w:szCs w:val="25"/>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30011B5"/>
    <w:multiLevelType w:val="hybridMultilevel"/>
    <w:tmpl w:val="E04C4416"/>
    <w:lvl w:ilvl="0" w:tplc="20000001">
      <w:start w:val="1"/>
      <w:numFmt w:val="bullet"/>
      <w:lvlText w:val=""/>
      <w:lvlJc w:val="left"/>
      <w:pPr>
        <w:ind w:left="720" w:hanging="360"/>
      </w:pPr>
      <w:rPr>
        <w:rFonts w:ascii="Symbol" w:hAnsi="Symbol" w:hint="default"/>
        <w:b/>
        <w:i w:val="0"/>
        <w:caps w:val="0"/>
        <w:strike w:val="0"/>
        <w:dstrike w:val="0"/>
        <w:vanish w:val="0"/>
        <w:color w:val="auto"/>
        <w:position w:val="-6"/>
        <w:sz w:val="40"/>
        <w:szCs w:val="25"/>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397"/>
  <w:evenAndOddHeaders/>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26C5B"/>
    <w:rsid w:val="00042A45"/>
    <w:rsid w:val="00053FEE"/>
    <w:rsid w:val="000552ED"/>
    <w:rsid w:val="00056A61"/>
    <w:rsid w:val="000660A4"/>
    <w:rsid w:val="00084CF0"/>
    <w:rsid w:val="000A3731"/>
    <w:rsid w:val="000B24FA"/>
    <w:rsid w:val="000C13C4"/>
    <w:rsid w:val="000C236E"/>
    <w:rsid w:val="000C32F6"/>
    <w:rsid w:val="000E38FA"/>
    <w:rsid w:val="000E730A"/>
    <w:rsid w:val="000F1382"/>
    <w:rsid w:val="000F7FCC"/>
    <w:rsid w:val="00111FEC"/>
    <w:rsid w:val="00115BC6"/>
    <w:rsid w:val="00117E41"/>
    <w:rsid w:val="00126BBB"/>
    <w:rsid w:val="001403E5"/>
    <w:rsid w:val="00152DDF"/>
    <w:rsid w:val="00160BCD"/>
    <w:rsid w:val="00164AB3"/>
    <w:rsid w:val="0018721E"/>
    <w:rsid w:val="00192386"/>
    <w:rsid w:val="001A0002"/>
    <w:rsid w:val="001B13EE"/>
    <w:rsid w:val="001D2C96"/>
    <w:rsid w:val="002044C6"/>
    <w:rsid w:val="00223996"/>
    <w:rsid w:val="00224C6A"/>
    <w:rsid w:val="00227591"/>
    <w:rsid w:val="00234C6B"/>
    <w:rsid w:val="002519BC"/>
    <w:rsid w:val="00263656"/>
    <w:rsid w:val="00272B00"/>
    <w:rsid w:val="00276C26"/>
    <w:rsid w:val="002C3F84"/>
    <w:rsid w:val="002C45DF"/>
    <w:rsid w:val="002D1E69"/>
    <w:rsid w:val="002F0EE3"/>
    <w:rsid w:val="002F218C"/>
    <w:rsid w:val="00303665"/>
    <w:rsid w:val="00303CBD"/>
    <w:rsid w:val="00311B57"/>
    <w:rsid w:val="003151B1"/>
    <w:rsid w:val="00317DCD"/>
    <w:rsid w:val="0032315D"/>
    <w:rsid w:val="00325A81"/>
    <w:rsid w:val="00336EF9"/>
    <w:rsid w:val="00340FA4"/>
    <w:rsid w:val="00360F01"/>
    <w:rsid w:val="00365A58"/>
    <w:rsid w:val="00374196"/>
    <w:rsid w:val="00395EC5"/>
    <w:rsid w:val="003A7DFE"/>
    <w:rsid w:val="003B537C"/>
    <w:rsid w:val="003B6A94"/>
    <w:rsid w:val="003C255E"/>
    <w:rsid w:val="003C3C55"/>
    <w:rsid w:val="003D0537"/>
    <w:rsid w:val="003D1152"/>
    <w:rsid w:val="003D16D1"/>
    <w:rsid w:val="003D4AF9"/>
    <w:rsid w:val="00401641"/>
    <w:rsid w:val="00405788"/>
    <w:rsid w:val="004112B2"/>
    <w:rsid w:val="00416142"/>
    <w:rsid w:val="00424C06"/>
    <w:rsid w:val="00433DFB"/>
    <w:rsid w:val="00446E1E"/>
    <w:rsid w:val="004543DB"/>
    <w:rsid w:val="0045651F"/>
    <w:rsid w:val="0046547D"/>
    <w:rsid w:val="00465A48"/>
    <w:rsid w:val="00466666"/>
    <w:rsid w:val="00471658"/>
    <w:rsid w:val="00471CEE"/>
    <w:rsid w:val="004735F5"/>
    <w:rsid w:val="004862B4"/>
    <w:rsid w:val="00495FC4"/>
    <w:rsid w:val="004A71EC"/>
    <w:rsid w:val="004C47F0"/>
    <w:rsid w:val="004C5BB8"/>
    <w:rsid w:val="00500FCB"/>
    <w:rsid w:val="00507134"/>
    <w:rsid w:val="0051081D"/>
    <w:rsid w:val="00512B59"/>
    <w:rsid w:val="00514F6D"/>
    <w:rsid w:val="00527001"/>
    <w:rsid w:val="005368B8"/>
    <w:rsid w:val="005416E9"/>
    <w:rsid w:val="005619D8"/>
    <w:rsid w:val="00573058"/>
    <w:rsid w:val="0058235B"/>
    <w:rsid w:val="00586F98"/>
    <w:rsid w:val="0059386B"/>
    <w:rsid w:val="005B6002"/>
    <w:rsid w:val="005D5F14"/>
    <w:rsid w:val="005F5607"/>
    <w:rsid w:val="005F635C"/>
    <w:rsid w:val="00606992"/>
    <w:rsid w:val="006131D1"/>
    <w:rsid w:val="006154FA"/>
    <w:rsid w:val="0062321C"/>
    <w:rsid w:val="0063131A"/>
    <w:rsid w:val="006358E3"/>
    <w:rsid w:val="0065160D"/>
    <w:rsid w:val="00652D7C"/>
    <w:rsid w:val="0065797B"/>
    <w:rsid w:val="00657997"/>
    <w:rsid w:val="00671EDF"/>
    <w:rsid w:val="006824DB"/>
    <w:rsid w:val="00682E57"/>
    <w:rsid w:val="00683B19"/>
    <w:rsid w:val="006A07E8"/>
    <w:rsid w:val="006A0A4B"/>
    <w:rsid w:val="006A5C0E"/>
    <w:rsid w:val="006B39AB"/>
    <w:rsid w:val="006C5BE6"/>
    <w:rsid w:val="006D0F89"/>
    <w:rsid w:val="006D270A"/>
    <w:rsid w:val="006E0944"/>
    <w:rsid w:val="006E0F39"/>
    <w:rsid w:val="006E593D"/>
    <w:rsid w:val="006F062C"/>
    <w:rsid w:val="00706B76"/>
    <w:rsid w:val="00707EC7"/>
    <w:rsid w:val="007178F3"/>
    <w:rsid w:val="00721527"/>
    <w:rsid w:val="007233DD"/>
    <w:rsid w:val="007240DD"/>
    <w:rsid w:val="00733272"/>
    <w:rsid w:val="007364A2"/>
    <w:rsid w:val="007377A3"/>
    <w:rsid w:val="00752222"/>
    <w:rsid w:val="007667D8"/>
    <w:rsid w:val="00776EE2"/>
    <w:rsid w:val="00782E0D"/>
    <w:rsid w:val="00796021"/>
    <w:rsid w:val="007A6CDA"/>
    <w:rsid w:val="007B7399"/>
    <w:rsid w:val="007C7168"/>
    <w:rsid w:val="007C726C"/>
    <w:rsid w:val="007D59DF"/>
    <w:rsid w:val="007F29C9"/>
    <w:rsid w:val="00811C58"/>
    <w:rsid w:val="008243A6"/>
    <w:rsid w:val="00837F2F"/>
    <w:rsid w:val="00840D01"/>
    <w:rsid w:val="0084161C"/>
    <w:rsid w:val="00855031"/>
    <w:rsid w:val="00891433"/>
    <w:rsid w:val="008A4FAD"/>
    <w:rsid w:val="008D3320"/>
    <w:rsid w:val="008F7821"/>
    <w:rsid w:val="009023FC"/>
    <w:rsid w:val="009041F4"/>
    <w:rsid w:val="0090645A"/>
    <w:rsid w:val="00911580"/>
    <w:rsid w:val="00913099"/>
    <w:rsid w:val="00916371"/>
    <w:rsid w:val="00921795"/>
    <w:rsid w:val="00924AB6"/>
    <w:rsid w:val="00933627"/>
    <w:rsid w:val="009465AD"/>
    <w:rsid w:val="009522CA"/>
    <w:rsid w:val="009533A1"/>
    <w:rsid w:val="00956C10"/>
    <w:rsid w:val="00987867"/>
    <w:rsid w:val="009B0512"/>
    <w:rsid w:val="009B53E8"/>
    <w:rsid w:val="009C0B3C"/>
    <w:rsid w:val="009C161B"/>
    <w:rsid w:val="009C5E89"/>
    <w:rsid w:val="009D7325"/>
    <w:rsid w:val="009E30A1"/>
    <w:rsid w:val="009E3988"/>
    <w:rsid w:val="00A04D35"/>
    <w:rsid w:val="00A17DA2"/>
    <w:rsid w:val="00A27C04"/>
    <w:rsid w:val="00A36D7F"/>
    <w:rsid w:val="00A41FB6"/>
    <w:rsid w:val="00A6479A"/>
    <w:rsid w:val="00A73CF4"/>
    <w:rsid w:val="00A85BDD"/>
    <w:rsid w:val="00A910EE"/>
    <w:rsid w:val="00A953FC"/>
    <w:rsid w:val="00A95F73"/>
    <w:rsid w:val="00AB15D2"/>
    <w:rsid w:val="00AC3F0C"/>
    <w:rsid w:val="00AE03A0"/>
    <w:rsid w:val="00AE0A3D"/>
    <w:rsid w:val="00AE31E1"/>
    <w:rsid w:val="00AF7379"/>
    <w:rsid w:val="00B045C9"/>
    <w:rsid w:val="00B23956"/>
    <w:rsid w:val="00B468E5"/>
    <w:rsid w:val="00B4735A"/>
    <w:rsid w:val="00B81818"/>
    <w:rsid w:val="00B86148"/>
    <w:rsid w:val="00BB56FA"/>
    <w:rsid w:val="00BC0E4B"/>
    <w:rsid w:val="00BC1EDB"/>
    <w:rsid w:val="00BC1FB3"/>
    <w:rsid w:val="00C01E02"/>
    <w:rsid w:val="00C2342E"/>
    <w:rsid w:val="00C36CE5"/>
    <w:rsid w:val="00C44CE1"/>
    <w:rsid w:val="00C456EB"/>
    <w:rsid w:val="00C5027B"/>
    <w:rsid w:val="00C63F43"/>
    <w:rsid w:val="00C93533"/>
    <w:rsid w:val="00CA56D2"/>
    <w:rsid w:val="00CA5B5A"/>
    <w:rsid w:val="00CA633F"/>
    <w:rsid w:val="00CA7399"/>
    <w:rsid w:val="00CA7495"/>
    <w:rsid w:val="00CB6B92"/>
    <w:rsid w:val="00CD593B"/>
    <w:rsid w:val="00CE7CFE"/>
    <w:rsid w:val="00CF5FCA"/>
    <w:rsid w:val="00CF7A4A"/>
    <w:rsid w:val="00D20154"/>
    <w:rsid w:val="00D20DE5"/>
    <w:rsid w:val="00D21D40"/>
    <w:rsid w:val="00D27543"/>
    <w:rsid w:val="00D614D3"/>
    <w:rsid w:val="00D73C8D"/>
    <w:rsid w:val="00D85C36"/>
    <w:rsid w:val="00D92080"/>
    <w:rsid w:val="00D9338F"/>
    <w:rsid w:val="00D94E6C"/>
    <w:rsid w:val="00DA1730"/>
    <w:rsid w:val="00DA26AC"/>
    <w:rsid w:val="00DB2F51"/>
    <w:rsid w:val="00DB3825"/>
    <w:rsid w:val="00DC2948"/>
    <w:rsid w:val="00DD08CB"/>
    <w:rsid w:val="00DF30C9"/>
    <w:rsid w:val="00DF330D"/>
    <w:rsid w:val="00E10CB5"/>
    <w:rsid w:val="00E1418D"/>
    <w:rsid w:val="00E14513"/>
    <w:rsid w:val="00E61D38"/>
    <w:rsid w:val="00E62E88"/>
    <w:rsid w:val="00E94167"/>
    <w:rsid w:val="00E95DB4"/>
    <w:rsid w:val="00EC26EC"/>
    <w:rsid w:val="00ED30E9"/>
    <w:rsid w:val="00ED3C01"/>
    <w:rsid w:val="00ED6F02"/>
    <w:rsid w:val="00EF07B4"/>
    <w:rsid w:val="00EF5CAA"/>
    <w:rsid w:val="00F03EBA"/>
    <w:rsid w:val="00F0418C"/>
    <w:rsid w:val="00F20863"/>
    <w:rsid w:val="00F20E96"/>
    <w:rsid w:val="00F216E0"/>
    <w:rsid w:val="00F22E88"/>
    <w:rsid w:val="00F243ED"/>
    <w:rsid w:val="00F3107D"/>
    <w:rsid w:val="00F32B2F"/>
    <w:rsid w:val="00F70364"/>
    <w:rsid w:val="00F76E57"/>
    <w:rsid w:val="00F84B24"/>
    <w:rsid w:val="00FA0917"/>
    <w:rsid w:val="00FB10D3"/>
    <w:rsid w:val="00FB4B8A"/>
    <w:rsid w:val="00FB62F7"/>
    <w:rsid w:val="00FD1A0B"/>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qFormat/>
    <w:pPr>
      <w:keepNext/>
      <w:spacing w:line="360" w:lineRule="auto"/>
      <w:outlineLvl w:val="3"/>
    </w:pPr>
    <w:rPr>
      <w:rFonts w:ascii="Arial" w:hAnsi="Arial"/>
      <w:b/>
      <w:bCs/>
    </w:rPr>
  </w:style>
  <w:style w:type="paragraph" w:styleId="Heading5">
    <w:name w:val="heading 5"/>
    <w:basedOn w:val="Normal"/>
    <w:next w:val="Normal"/>
    <w:link w:val="Heading5Char"/>
    <w:qFormat/>
    <w:pPr>
      <w:keepNext/>
      <w:spacing w:after="120" w:line="280" w:lineRule="exact"/>
      <w:outlineLvl w:val="4"/>
    </w:pPr>
    <w:rPr>
      <w:b/>
      <w:bCs/>
      <w:sz w:val="22"/>
    </w:rPr>
  </w:style>
  <w:style w:type="paragraph" w:styleId="Heading6">
    <w:name w:val="heading 6"/>
    <w:basedOn w:val="Normal"/>
    <w:next w:val="Normal"/>
    <w:link w:val="Heading6Char"/>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link w:val="BodyTextChar"/>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rsid w:val="00471658"/>
    <w:rPr>
      <w:rFonts w:cs="FrankRuehl"/>
      <w:b/>
      <w:bCs/>
      <w:sz w:val="26"/>
      <w:szCs w:val="26"/>
    </w:rPr>
  </w:style>
  <w:style w:type="character" w:styleId="CommentReference">
    <w:name w:val="annotation reference"/>
    <w:uiPriority w:val="99"/>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Heading4Char">
    <w:name w:val="Heading 4 Char"/>
    <w:link w:val="Heading4"/>
    <w:rsid w:val="00B4735A"/>
    <w:rPr>
      <w:rFonts w:ascii="Arial" w:hAnsi="Arial" w:cs="David"/>
      <w:b/>
      <w:bCs/>
      <w:sz w:val="24"/>
      <w:szCs w:val="24"/>
      <w:lang w:val="en-US" w:eastAsia="en-US"/>
    </w:rPr>
  </w:style>
  <w:style w:type="character" w:customStyle="1" w:styleId="Heading5Char">
    <w:name w:val="Heading 5 Char"/>
    <w:link w:val="Heading5"/>
    <w:rsid w:val="00B4735A"/>
    <w:rPr>
      <w:rFonts w:cs="David"/>
      <w:b/>
      <w:bCs/>
      <w:sz w:val="22"/>
      <w:szCs w:val="24"/>
      <w:lang w:val="en-US" w:eastAsia="en-US"/>
    </w:rPr>
  </w:style>
  <w:style w:type="character" w:customStyle="1" w:styleId="Heading6Char">
    <w:name w:val="Heading 6 Char"/>
    <w:link w:val="Heading6"/>
    <w:rsid w:val="00B4735A"/>
    <w:rPr>
      <w:rFonts w:cs="FrankRuehl"/>
      <w:b/>
      <w:bCs/>
      <w:lang w:val="en-US" w:eastAsia="en-US"/>
    </w:rPr>
  </w:style>
  <w:style w:type="character" w:customStyle="1" w:styleId="Heading7Char">
    <w:name w:val="Heading 7 Char"/>
    <w:link w:val="Heading7"/>
    <w:rsid w:val="00B4735A"/>
    <w:rPr>
      <w:rFonts w:ascii="FrankRuehl" w:hAnsi="FrankRuehl" w:cs="FrankRuehl"/>
      <w:b/>
      <w:bCs/>
      <w:lang w:val="en-US" w:eastAsia="en-US"/>
    </w:rPr>
  </w:style>
  <w:style w:type="character" w:customStyle="1" w:styleId="Heading8Char">
    <w:name w:val="Heading 8 Char"/>
    <w:link w:val="Heading8"/>
    <w:rsid w:val="00B4735A"/>
    <w:rPr>
      <w:rFonts w:cs="FrankRuehl"/>
      <w:b/>
      <w:bCs/>
      <w:lang w:val="en-US" w:eastAsia="en-US"/>
    </w:rPr>
  </w:style>
  <w:style w:type="character" w:customStyle="1" w:styleId="apple-style-span">
    <w:name w:val="apple-style-span"/>
    <w:basedOn w:val="DefaultParagraphFont"/>
    <w:rsid w:val="00B4735A"/>
  </w:style>
  <w:style w:type="paragraph" w:customStyle="1" w:styleId="11">
    <w:name w:val="ללא מרווח1"/>
    <w:qFormat/>
    <w:rsid w:val="00B4735A"/>
    <w:rPr>
      <w:rFonts w:ascii="Calibri" w:eastAsia="Calibri" w:hAnsi="Calibri" w:cs="Arial"/>
      <w:sz w:val="22"/>
      <w:szCs w:val="22"/>
    </w:rPr>
  </w:style>
  <w:style w:type="character" w:styleId="FollowedHyperlink">
    <w:name w:val="FollowedHyperlink"/>
    <w:uiPriority w:val="99"/>
    <w:rsid w:val="00B4735A"/>
    <w:rPr>
      <w:color w:val="800080"/>
      <w:u w:val="single"/>
    </w:rPr>
  </w:style>
  <w:style w:type="table" w:styleId="LightList-Accent1">
    <w:name w:val="Light List Accent 1"/>
    <w:basedOn w:val="TableNormal"/>
    <w:uiPriority w:val="61"/>
    <w:rsid w:val="00B4735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2">
    <w:name w:val="פיסקת רשימה1"/>
    <w:basedOn w:val="Normal"/>
    <w:qFormat/>
    <w:rsid w:val="00B4735A"/>
    <w:pPr>
      <w:spacing w:after="200" w:line="276" w:lineRule="auto"/>
      <w:ind w:left="720"/>
      <w:contextualSpacing/>
    </w:pPr>
    <w:rPr>
      <w:rFonts w:ascii="Calibri" w:eastAsia="Calibri" w:hAnsi="Calibri" w:cs="Arial"/>
      <w:sz w:val="22"/>
      <w:szCs w:val="22"/>
    </w:rPr>
  </w:style>
  <w:style w:type="paragraph" w:customStyle="1" w:styleId="20">
    <w:name w:val="פיסקת רשימה2"/>
    <w:basedOn w:val="Normal"/>
    <w:uiPriority w:val="34"/>
    <w:qFormat/>
    <w:rsid w:val="00B4735A"/>
    <w:pPr>
      <w:spacing w:line="240" w:lineRule="auto"/>
      <w:ind w:left="720"/>
    </w:pPr>
    <w:rPr>
      <w:rFonts w:cs="Times New Roman"/>
    </w:rPr>
  </w:style>
  <w:style w:type="paragraph" w:customStyle="1" w:styleId="big-header">
    <w:name w:val="big-header"/>
    <w:basedOn w:val="Normal"/>
    <w:rsid w:val="00B4735A"/>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cs="FrankRuehl"/>
      <w:noProof/>
      <w:sz w:val="20"/>
      <w:szCs w:val="32"/>
      <w:lang w:eastAsia="he-IL"/>
    </w:rPr>
  </w:style>
  <w:style w:type="paragraph" w:customStyle="1" w:styleId="P22">
    <w:name w:val="P22"/>
    <w:basedOn w:val="Normal"/>
    <w:rsid w:val="00B4735A"/>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jc w:val="both"/>
    </w:pPr>
    <w:rPr>
      <w:rFonts w:cs="FrankRuehl"/>
      <w:noProof/>
      <w:sz w:val="20"/>
      <w:szCs w:val="26"/>
      <w:lang w:eastAsia="he-IL"/>
    </w:rPr>
  </w:style>
  <w:style w:type="paragraph" w:customStyle="1" w:styleId="P33">
    <w:name w:val="P33"/>
    <w:basedOn w:val="Normal"/>
    <w:rsid w:val="00B4735A"/>
    <w:pPr>
      <w:widowControl w:val="0"/>
      <w:tabs>
        <w:tab w:val="left" w:pos="1928"/>
        <w:tab w:val="left" w:pos="2381"/>
        <w:tab w:val="left" w:pos="2835"/>
        <w:tab w:val="right" w:leader="dot" w:pos="6259"/>
      </w:tabs>
      <w:suppressAutoHyphens/>
      <w:autoSpaceDE w:val="0"/>
      <w:autoSpaceDN w:val="0"/>
      <w:spacing w:before="60" w:line="240" w:lineRule="auto"/>
      <w:ind w:left="2835" w:right="1474"/>
      <w:jc w:val="both"/>
    </w:pPr>
    <w:rPr>
      <w:rFonts w:cs="FrankRuehl"/>
      <w:noProof/>
      <w:sz w:val="20"/>
      <w:szCs w:val="26"/>
      <w:lang w:eastAsia="he-IL"/>
    </w:rPr>
  </w:style>
  <w:style w:type="paragraph" w:customStyle="1" w:styleId="a1">
    <w:name w:val="טקסט"/>
    <w:basedOn w:val="Normal"/>
    <w:rsid w:val="00B4735A"/>
    <w:pPr>
      <w:tabs>
        <w:tab w:val="left" w:pos="1286"/>
      </w:tabs>
      <w:spacing w:line="240" w:lineRule="auto"/>
      <w:ind w:firstLine="340"/>
      <w:jc w:val="both"/>
    </w:pPr>
    <w:rPr>
      <w:rFonts w:cs="Times New Roman"/>
    </w:rPr>
  </w:style>
  <w:style w:type="paragraph" w:styleId="DocumentMap">
    <w:name w:val="Document Map"/>
    <w:basedOn w:val="Normal"/>
    <w:link w:val="DocumentMapChar"/>
    <w:rsid w:val="00B4735A"/>
    <w:pPr>
      <w:shd w:val="clear" w:color="auto" w:fill="000080"/>
      <w:bidi w:val="0"/>
      <w:spacing w:line="240" w:lineRule="auto"/>
    </w:pPr>
    <w:rPr>
      <w:rFonts w:ascii="Tahoma" w:hAnsi="Tahoma" w:cs="Tahoma"/>
      <w:sz w:val="20"/>
      <w:szCs w:val="20"/>
    </w:rPr>
  </w:style>
  <w:style w:type="character" w:customStyle="1" w:styleId="DocumentMapChar">
    <w:name w:val="Document Map Char"/>
    <w:link w:val="DocumentMap"/>
    <w:rsid w:val="00B4735A"/>
    <w:rPr>
      <w:rFonts w:ascii="Tahoma" w:hAnsi="Tahoma" w:cs="Tahoma"/>
      <w:shd w:val="clear" w:color="auto" w:fill="000080"/>
      <w:lang w:val="en-US" w:eastAsia="en-US"/>
    </w:rPr>
  </w:style>
  <w:style w:type="paragraph" w:customStyle="1" w:styleId="P00">
    <w:name w:val="P00"/>
    <w:rsid w:val="00B4735A"/>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paragraph" w:customStyle="1" w:styleId="footnote">
    <w:name w:val="footnote"/>
    <w:basedOn w:val="P00"/>
    <w:rsid w:val="00B4735A"/>
    <w:pPr>
      <w:tabs>
        <w:tab w:val="clear" w:pos="624"/>
        <w:tab w:val="clear" w:pos="1021"/>
        <w:tab w:val="clear" w:pos="1474"/>
        <w:tab w:val="clear" w:pos="1928"/>
        <w:tab w:val="clear" w:pos="2381"/>
        <w:tab w:val="clear" w:pos="2835"/>
        <w:tab w:val="clear" w:pos="6259"/>
      </w:tabs>
      <w:spacing w:before="0"/>
    </w:pPr>
    <w:rPr>
      <w:sz w:val="22"/>
      <w:szCs w:val="22"/>
    </w:rPr>
  </w:style>
  <w:style w:type="character" w:customStyle="1" w:styleId="super">
    <w:name w:val="super"/>
    <w:rsid w:val="00B4735A"/>
    <w:rPr>
      <w:rFonts w:ascii="Times New Roman" w:hAnsi="Times New Roman" w:cs="Miriam" w:hint="default"/>
      <w:position w:val="4"/>
      <w:sz w:val="24"/>
      <w:szCs w:val="16"/>
      <w:lang w:val="en-US"/>
    </w:rPr>
  </w:style>
  <w:style w:type="paragraph" w:styleId="BodyText3">
    <w:name w:val="Body Text 3"/>
    <w:basedOn w:val="Normal"/>
    <w:link w:val="BodyText3Char"/>
    <w:uiPriority w:val="99"/>
    <w:unhideWhenUsed/>
    <w:rsid w:val="00B4735A"/>
    <w:pPr>
      <w:spacing w:after="120" w:line="240" w:lineRule="auto"/>
    </w:pPr>
    <w:rPr>
      <w:rFonts w:cs="Times New Roman"/>
      <w:sz w:val="16"/>
      <w:szCs w:val="16"/>
      <w:lang w:eastAsia="he-IL"/>
    </w:rPr>
  </w:style>
  <w:style w:type="character" w:customStyle="1" w:styleId="BodyText3Char">
    <w:name w:val="Body Text 3 Char"/>
    <w:link w:val="BodyText3"/>
    <w:uiPriority w:val="99"/>
    <w:rsid w:val="00B4735A"/>
    <w:rPr>
      <w:sz w:val="16"/>
      <w:szCs w:val="16"/>
      <w:lang w:val="en-US" w:eastAsia="he-IL"/>
    </w:rPr>
  </w:style>
  <w:style w:type="character" w:customStyle="1" w:styleId="BodyTextChar">
    <w:name w:val="Body Text Char"/>
    <w:link w:val="BodyText"/>
    <w:rsid w:val="00B4735A"/>
    <w:rPr>
      <w:rFonts w:cs="FrankRuehl"/>
      <w:b/>
      <w:bCs/>
      <w:sz w:val="26"/>
      <w:szCs w:val="26"/>
      <w:lang w:val="en-US" w:eastAsia="en-US"/>
    </w:rPr>
  </w:style>
  <w:style w:type="character" w:styleId="HTMLCite">
    <w:name w:val="HTML Cite"/>
    <w:uiPriority w:val="99"/>
    <w:semiHidden/>
    <w:unhideWhenUsed/>
    <w:rsid w:val="00B4735A"/>
    <w:rPr>
      <w:i/>
      <w:iCs/>
    </w:rPr>
  </w:style>
  <w:style w:type="character" w:customStyle="1" w:styleId="cit-issue">
    <w:name w:val="cit-issue"/>
    <w:basedOn w:val="DefaultParagraphFont"/>
    <w:rsid w:val="00B4735A"/>
  </w:style>
  <w:style w:type="character" w:customStyle="1" w:styleId="cit-title4">
    <w:name w:val="cit-title4"/>
    <w:basedOn w:val="DefaultParagraphFont"/>
    <w:rsid w:val="00B4735A"/>
  </w:style>
  <w:style w:type="character" w:customStyle="1" w:styleId="cit-print-date2">
    <w:name w:val="cit-print-date2"/>
    <w:basedOn w:val="DefaultParagraphFont"/>
    <w:rsid w:val="00B4735A"/>
  </w:style>
  <w:style w:type="character" w:customStyle="1" w:styleId="cit-vol2">
    <w:name w:val="cit-vol2"/>
    <w:basedOn w:val="DefaultParagraphFont"/>
    <w:rsid w:val="00B4735A"/>
  </w:style>
  <w:style w:type="character" w:customStyle="1" w:styleId="cit-sep3">
    <w:name w:val="cit-sep3"/>
    <w:basedOn w:val="DefaultParagraphFont"/>
    <w:rsid w:val="00B4735A"/>
  </w:style>
  <w:style w:type="character" w:customStyle="1" w:styleId="cit-first-page">
    <w:name w:val="cit-first-page"/>
    <w:basedOn w:val="DefaultParagraphFont"/>
    <w:rsid w:val="00B4735A"/>
  </w:style>
  <w:style w:type="character" w:customStyle="1" w:styleId="cit-last-page2">
    <w:name w:val="cit-last-page2"/>
    <w:basedOn w:val="DefaultParagraphFont"/>
    <w:rsid w:val="00B4735A"/>
  </w:style>
  <w:style w:type="character" w:customStyle="1" w:styleId="cit-doi3">
    <w:name w:val="cit-doi3"/>
    <w:basedOn w:val="DefaultParagraphFont"/>
    <w:rsid w:val="00B4735A"/>
  </w:style>
  <w:style w:type="paragraph" w:styleId="TOC1">
    <w:name w:val="toc 1"/>
    <w:basedOn w:val="Normal"/>
    <w:next w:val="Normal"/>
    <w:autoRedefine/>
    <w:uiPriority w:val="39"/>
    <w:qFormat/>
    <w:rsid w:val="00B4735A"/>
    <w:pPr>
      <w:spacing w:line="360" w:lineRule="auto"/>
    </w:pPr>
    <w:rPr>
      <w:rFonts w:cs="Times New Roman"/>
    </w:rPr>
  </w:style>
  <w:style w:type="paragraph" w:styleId="Caption">
    <w:name w:val="caption"/>
    <w:basedOn w:val="Normal"/>
    <w:next w:val="Normal"/>
    <w:unhideWhenUsed/>
    <w:qFormat/>
    <w:rsid w:val="00B4735A"/>
    <w:pPr>
      <w:spacing w:after="200" w:line="240" w:lineRule="auto"/>
    </w:pPr>
    <w:rPr>
      <w:rFonts w:cs="Times New Roman"/>
      <w:i/>
      <w:iCs/>
      <w:color w:val="1F497D"/>
      <w:sz w:val="18"/>
      <w:szCs w:val="18"/>
    </w:rPr>
  </w:style>
  <w:style w:type="paragraph" w:customStyle="1" w:styleId="13">
    <w:name w:val="סגנון1"/>
    <w:basedOn w:val="Normal"/>
    <w:rsid w:val="00B4735A"/>
    <w:pPr>
      <w:spacing w:line="360" w:lineRule="auto"/>
      <w:ind w:left="567" w:hanging="567"/>
      <w:jc w:val="both"/>
    </w:pPr>
  </w:style>
  <w:style w:type="character" w:customStyle="1" w:styleId="pagedir1">
    <w:name w:val="pagedir1"/>
    <w:rsid w:val="00B4735A"/>
    <w:rPr>
      <w:rtl/>
    </w:rPr>
  </w:style>
  <w:style w:type="character" w:customStyle="1" w:styleId="EndnoteTextChar">
    <w:name w:val="Endnote Text Char"/>
    <w:link w:val="EndnoteText"/>
    <w:uiPriority w:val="99"/>
    <w:semiHidden/>
    <w:rsid w:val="00B4735A"/>
    <w:rPr>
      <w:rFonts w:ascii="Calibri" w:eastAsia="Calibri" w:hAnsi="Calibri" w:cs="Arial"/>
      <w:lang w:val="en-GB" w:eastAsia="en-US"/>
    </w:rPr>
  </w:style>
  <w:style w:type="character" w:customStyle="1" w:styleId="14">
    <w:name w:val="טקסט הערת סיום תו1"/>
    <w:basedOn w:val="DefaultParagraphFont"/>
    <w:uiPriority w:val="99"/>
    <w:semiHidden/>
    <w:rsid w:val="00B4735A"/>
  </w:style>
  <w:style w:type="character" w:customStyle="1" w:styleId="cit-pub-date">
    <w:name w:val="cit-pub-date"/>
    <w:basedOn w:val="DefaultParagraphFont"/>
    <w:rsid w:val="00B4735A"/>
  </w:style>
  <w:style w:type="character" w:customStyle="1" w:styleId="cit-source">
    <w:name w:val="cit-source"/>
    <w:basedOn w:val="DefaultParagraphFont"/>
    <w:rsid w:val="00B4735A"/>
  </w:style>
  <w:style w:type="character" w:customStyle="1" w:styleId="cit-vol4">
    <w:name w:val="cit-vol4"/>
    <w:basedOn w:val="DefaultParagraphFont"/>
    <w:rsid w:val="00B4735A"/>
  </w:style>
  <w:style w:type="character" w:customStyle="1" w:styleId="cit-fpage">
    <w:name w:val="cit-fpage"/>
    <w:basedOn w:val="DefaultParagraphFont"/>
    <w:rsid w:val="00B4735A"/>
  </w:style>
  <w:style w:type="paragraph" w:customStyle="1" w:styleId="ListParagraph1">
    <w:name w:val="List Paragraph1"/>
    <w:basedOn w:val="Normal"/>
    <w:qFormat/>
    <w:rsid w:val="00B4735A"/>
    <w:pPr>
      <w:spacing w:after="200" w:line="276" w:lineRule="auto"/>
      <w:ind w:left="720"/>
      <w:contextualSpacing/>
    </w:pPr>
    <w:rPr>
      <w:rFonts w:ascii="Calibri" w:eastAsia="Calibri" w:hAnsi="Calibri" w:cs="Arial"/>
      <w:sz w:val="22"/>
      <w:szCs w:val="22"/>
    </w:rPr>
  </w:style>
  <w:style w:type="paragraph" w:customStyle="1" w:styleId="Hesber">
    <w:name w:val="Hesber"/>
    <w:basedOn w:val="Normal"/>
    <w:link w:val="Hesber0"/>
    <w:rsid w:val="00B4735A"/>
    <w:pPr>
      <w:widowControl w:val="0"/>
      <w:autoSpaceDE w:val="0"/>
      <w:autoSpaceDN w:val="0"/>
      <w:adjustRightInd w:val="0"/>
      <w:snapToGrid w:val="0"/>
      <w:spacing w:line="360" w:lineRule="auto"/>
      <w:ind w:firstLine="340"/>
      <w:jc w:val="both"/>
      <w:textAlignment w:val="center"/>
    </w:pPr>
    <w:rPr>
      <w:rFonts w:ascii="Arial" w:eastAsia="Arial Unicode MS" w:hAnsi="Arial"/>
      <w:snapToGrid w:val="0"/>
      <w:color w:val="000000"/>
      <w:sz w:val="20"/>
      <w:szCs w:val="26"/>
      <w:lang w:eastAsia="ja-JP"/>
    </w:rPr>
  </w:style>
  <w:style w:type="character" w:customStyle="1" w:styleId="Hesber0">
    <w:name w:val="Hesber תו"/>
    <w:link w:val="Hesber"/>
    <w:rsid w:val="00B4735A"/>
    <w:rPr>
      <w:rFonts w:ascii="Arial" w:eastAsia="Arial Unicode MS" w:hAnsi="Arial" w:cs="David"/>
      <w:snapToGrid w:val="0"/>
      <w:color w:val="000000"/>
      <w:szCs w:val="26"/>
      <w:lang w:val="en-US" w:eastAsia="ja-JP"/>
    </w:rPr>
  </w:style>
  <w:style w:type="paragraph" w:customStyle="1" w:styleId="15">
    <w:name w:val="1"/>
    <w:basedOn w:val="Normal"/>
    <w:rsid w:val="00B4735A"/>
    <w:pPr>
      <w:bidi w:val="0"/>
      <w:spacing w:line="360" w:lineRule="auto"/>
      <w:ind w:left="567" w:hanging="567"/>
      <w:jc w:val="both"/>
    </w:pPr>
    <w:rPr>
      <w:rFonts w:cs="Times New Roman"/>
    </w:rPr>
  </w:style>
  <w:style w:type="paragraph" w:styleId="TOC2">
    <w:name w:val="toc 2"/>
    <w:basedOn w:val="Normal"/>
    <w:next w:val="Normal"/>
    <w:autoRedefine/>
    <w:uiPriority w:val="39"/>
    <w:unhideWhenUsed/>
    <w:rsid w:val="00B4735A"/>
    <w:pPr>
      <w:spacing w:line="240" w:lineRule="auto"/>
      <w:ind w:left="240"/>
    </w:pPr>
    <w:rPr>
      <w:szCs w:val="28"/>
    </w:rPr>
  </w:style>
  <w:style w:type="paragraph" w:styleId="Revision">
    <w:name w:val="Revision"/>
    <w:hidden/>
    <w:uiPriority w:val="99"/>
    <w:semiHidden/>
    <w:rsid w:val="00B4735A"/>
    <w:rPr>
      <w:rFonts w:ascii="Calibri" w:eastAsia="Calibri" w:hAnsi="Calibri" w:cs="Arial"/>
      <w:sz w:val="22"/>
      <w:szCs w:val="22"/>
    </w:rPr>
  </w:style>
  <w:style w:type="character" w:styleId="EndnoteReference">
    <w:name w:val="endnote reference"/>
    <w:semiHidden/>
    <w:unhideWhenUsed/>
    <w:rsid w:val="00B4735A"/>
    <w:rPr>
      <w:vertAlign w:val="superscript"/>
    </w:rPr>
  </w:style>
  <w:style w:type="table" w:customStyle="1" w:styleId="16">
    <w:name w:val="רשת טבלה1"/>
    <w:basedOn w:val="TableNormal"/>
    <w:next w:val="TableGrid"/>
    <w:uiPriority w:val="59"/>
    <w:rsid w:val="00B4735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4735A"/>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tyle6">
    <w:name w:val="style6"/>
    <w:basedOn w:val="DefaultParagraphFont"/>
    <w:rsid w:val="00573058"/>
  </w:style>
  <w:style w:type="character" w:customStyle="1" w:styleId="UnresolvedMention1">
    <w:name w:val="Unresolved Mention1"/>
    <w:basedOn w:val="DefaultParagraphFont"/>
    <w:uiPriority w:val="99"/>
    <w:semiHidden/>
    <w:unhideWhenUsed/>
    <w:rsid w:val="009E3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B9E3483CB7A0484EBFAAF160C2AAC6DA" ma:contentTypeVersion="1" ma:contentTypeDescription="צור מסמך חדש." ma:contentTypeScope="" ma:versionID="f404ee671278b1abbb26cbc471351842">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F4F6B2-84DA-4DC3-A062-354AEAAE2D05}">
  <ds:schemaRefs>
    <ds:schemaRef ds:uri="http://schemas.openxmlformats.org/officeDocument/2006/bibliography"/>
  </ds:schemaRefs>
</ds:datastoreItem>
</file>

<file path=customXml/itemProps2.xml><?xml version="1.0" encoding="utf-8"?>
<ds:datastoreItem xmlns:ds="http://schemas.openxmlformats.org/officeDocument/2006/customXml" ds:itemID="{FB6C9E88-81DB-47F4-B63B-88A288E677BD}"/>
</file>

<file path=customXml/itemProps3.xml><?xml version="1.0" encoding="utf-8"?>
<ds:datastoreItem xmlns:ds="http://schemas.openxmlformats.org/officeDocument/2006/customXml" ds:itemID="{546DFBCA-AB72-4031-B619-1078DA8ACA5B}"/>
</file>

<file path=customXml/itemProps4.xml><?xml version="1.0" encoding="utf-8"?>
<ds:datastoreItem xmlns:ds="http://schemas.openxmlformats.org/officeDocument/2006/customXml" ds:itemID="{5E2C43BC-CC5C-4AD3-993F-C7897BC8AA44}"/>
</file>

<file path=docProps/app.xml><?xml version="1.0" encoding="utf-8"?>
<Properties xmlns="http://schemas.openxmlformats.org/officeDocument/2006/extended-properties" xmlns:vt="http://schemas.openxmlformats.org/officeDocument/2006/docPropsVTypes">
  <Template>Normal</Template>
  <TotalTime>25</TotalTime>
  <Pages>30</Pages>
  <Words>8884</Words>
  <Characters>50644</Characters>
  <Application>Microsoft Office Word</Application>
  <DocSecurity>0</DocSecurity>
  <Lines>422</Lines>
  <Paragraphs>118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Onit Computer Services Ltd</Company>
  <LinksUpToDate>false</LinksUpToDate>
  <CharactersWithSpaces>59410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onit.mf@gmail.com</cp:lastModifiedBy>
  <cp:revision>9</cp:revision>
  <cp:lastPrinted>2021-07-13T13:15:00Z</cp:lastPrinted>
  <dcterms:created xsi:type="dcterms:W3CDTF">2021-08-01T10:09:00Z</dcterms:created>
  <dcterms:modified xsi:type="dcterms:W3CDTF">2021-09-02T10:29:00Z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0x010100B9E3483CB7A0484EBFAAF160C2AAC6DA</vt:lpwstr>
  </property>
  <property fmtid="{D5CDD505-2E9C-101B-9397-08002B2CF9AE}" pid="3" name="Order">
    <vt:r8>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