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8C40F" w14:textId="45F5A9E1" w:rsidR="00CB1A04" w:rsidRPr="007F3859" w:rsidRDefault="00CB79C7" w:rsidP="00CB1A04">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96005174"/>
      <w:r w:rsidRPr="00CB79C7">
        <w:rPr>
          <w:rFonts w:ascii="Tahoma" w:hAnsi="Tahoma" w:cs="Guttman Aharoni"/>
          <w:b/>
          <w:bCs/>
          <w:color w:val="00B0F0"/>
          <w:sz w:val="36"/>
          <w:szCs w:val="36"/>
          <w:rtl/>
        </w:rPr>
        <w:t>הצטרפות מוקדמת והשתתפות בתוכנית חיסכון לכל ילד: עדויות מהפעלת התוכנית</w:t>
      </w:r>
    </w:p>
    <w:p w14:paraId="3096311E" w14:textId="77777777" w:rsidR="00CB1A04" w:rsidRPr="007F3859" w:rsidRDefault="00CB1A04" w:rsidP="00CB1A04">
      <w:pPr>
        <w:pStyle w:val="KOT5T"/>
        <w:spacing w:after="540" w:line="360" w:lineRule="exact"/>
        <w:ind w:right="0"/>
        <w:jc w:val="left"/>
        <w:rPr>
          <w:rFonts w:cs="Guttman Aharoni"/>
          <w:color w:val="00B0F0"/>
          <w:rtl/>
        </w:rPr>
      </w:pPr>
      <w:r w:rsidRPr="007F3859">
        <w:rPr>
          <w:rFonts w:cs="Guttman Aharoni" w:hint="cs"/>
          <w:color w:val="00B0F0"/>
          <w:rtl/>
        </w:rPr>
        <w:t xml:space="preserve">מיכל </w:t>
      </w:r>
      <w:proofErr w:type="spellStart"/>
      <w:r w:rsidRPr="007F3859">
        <w:rPr>
          <w:rFonts w:cs="Guttman Aharoni" w:hint="cs"/>
          <w:color w:val="00B0F0"/>
          <w:rtl/>
        </w:rPr>
        <w:t>גרינשטיין</w:t>
      </w:r>
      <w:proofErr w:type="spellEnd"/>
      <w:r w:rsidRPr="00FE5B5E">
        <w:rPr>
          <w:rFonts w:ascii="David" w:hAnsi="David" w:cs="David"/>
          <w:color w:val="00B0F0"/>
          <w:rtl/>
        </w:rPr>
        <w:t>-</w:t>
      </w:r>
      <w:r w:rsidRPr="007F3859">
        <w:rPr>
          <w:rFonts w:cs="Guttman Aharoni" w:hint="cs"/>
          <w:color w:val="00B0F0"/>
          <w:rtl/>
        </w:rPr>
        <w:t>וייס</w:t>
      </w:r>
      <w:r w:rsidRPr="00FE5B5E">
        <w:rPr>
          <w:rFonts w:cs="Guttman Aharoni"/>
          <w:color w:val="00B0F0"/>
          <w:vertAlign w:val="superscript"/>
          <w:rtl/>
        </w:rPr>
        <w:footnoteReference w:id="2"/>
      </w:r>
      <w:r w:rsidRPr="007F3859">
        <w:rPr>
          <w:rFonts w:cs="Guttman Aharoni" w:hint="cs"/>
          <w:color w:val="00B0F0"/>
          <w:rtl/>
        </w:rPr>
        <w:t xml:space="preserve">, אופיר </w:t>
      </w:r>
      <w:proofErr w:type="spellStart"/>
      <w:r w:rsidRPr="007F3859">
        <w:rPr>
          <w:rFonts w:cs="Guttman Aharoni" w:hint="cs"/>
          <w:color w:val="00B0F0"/>
          <w:rtl/>
        </w:rPr>
        <w:t>פינטו</w:t>
      </w:r>
      <w:proofErr w:type="spellEnd"/>
      <w:r w:rsidRPr="00FE5B5E">
        <w:rPr>
          <w:rFonts w:cs="Guttman Aharoni"/>
          <w:color w:val="00B0F0"/>
          <w:vertAlign w:val="superscript"/>
          <w:rtl/>
        </w:rPr>
        <w:footnoteReference w:id="3"/>
      </w:r>
      <w:r w:rsidRPr="007F3859">
        <w:rPr>
          <w:rFonts w:cs="Guttman Aharoni" w:hint="cs"/>
          <w:color w:val="00B0F0"/>
          <w:rtl/>
        </w:rPr>
        <w:t xml:space="preserve">, אולגה </w:t>
      </w:r>
      <w:proofErr w:type="spellStart"/>
      <w:r w:rsidRPr="007F3859">
        <w:rPr>
          <w:rFonts w:cs="Guttman Aharoni" w:hint="cs"/>
          <w:color w:val="00B0F0"/>
          <w:rtl/>
        </w:rPr>
        <w:t>קונדרטג'בה</w:t>
      </w:r>
      <w:proofErr w:type="spellEnd"/>
      <w:r w:rsidRPr="00FE5B5E">
        <w:rPr>
          <w:rFonts w:cs="Guttman Aharoni"/>
          <w:color w:val="00B0F0"/>
          <w:vertAlign w:val="superscript"/>
          <w:rtl/>
        </w:rPr>
        <w:footnoteReference w:id="4"/>
      </w:r>
      <w:r w:rsidRPr="007F3859">
        <w:rPr>
          <w:rFonts w:cs="Guttman Aharoni" w:hint="cs"/>
          <w:color w:val="00B0F0"/>
          <w:rtl/>
        </w:rPr>
        <w:t>, סטיבן רול</w:t>
      </w:r>
      <w:r w:rsidRPr="00FE5B5E">
        <w:rPr>
          <w:rFonts w:cs="Guttman Aharoni"/>
          <w:color w:val="00B0F0"/>
          <w:vertAlign w:val="superscript"/>
          <w:rtl/>
        </w:rPr>
        <w:footnoteReference w:id="5"/>
      </w:r>
      <w:r w:rsidRPr="007F3859">
        <w:rPr>
          <w:rFonts w:cs="Guttman Aharoni" w:hint="cs"/>
          <w:color w:val="00B0F0"/>
          <w:rtl/>
        </w:rPr>
        <w:t xml:space="preserve">, סם </w:t>
      </w:r>
      <w:proofErr w:type="spellStart"/>
      <w:r w:rsidRPr="007F3859">
        <w:rPr>
          <w:rFonts w:cs="Guttman Aharoni" w:hint="cs"/>
          <w:color w:val="00B0F0"/>
          <w:rtl/>
        </w:rPr>
        <w:t>בופה</w:t>
      </w:r>
      <w:proofErr w:type="spellEnd"/>
      <w:r w:rsidRPr="00FE5B5E">
        <w:rPr>
          <w:rFonts w:cs="Guttman Aharoni"/>
          <w:color w:val="00B0F0"/>
          <w:vertAlign w:val="superscript"/>
          <w:rtl/>
        </w:rPr>
        <w:footnoteReference w:id="6"/>
      </w:r>
      <w:r w:rsidRPr="007F3859">
        <w:rPr>
          <w:rFonts w:cs="Guttman Aharoni" w:hint="cs"/>
          <w:color w:val="00B0F0"/>
          <w:rtl/>
        </w:rPr>
        <w:t>, וטליה מיטל שוורץ</w:t>
      </w:r>
      <w:r w:rsidRPr="00FE5B5E">
        <w:rPr>
          <w:rFonts w:ascii="David" w:hAnsi="David" w:cs="David"/>
          <w:color w:val="00B0F0"/>
          <w:rtl/>
        </w:rPr>
        <w:t>-</w:t>
      </w:r>
      <w:proofErr w:type="spellStart"/>
      <w:r w:rsidRPr="007F3859">
        <w:rPr>
          <w:rFonts w:cs="Guttman Aharoni" w:hint="cs"/>
          <w:color w:val="00B0F0"/>
          <w:rtl/>
        </w:rPr>
        <w:t>טיירי</w:t>
      </w:r>
      <w:proofErr w:type="spellEnd"/>
      <w:r w:rsidRPr="00FE5B5E">
        <w:rPr>
          <w:rFonts w:cs="Guttman Aharoni"/>
          <w:color w:val="00B0F0"/>
          <w:vertAlign w:val="superscript"/>
          <w:rtl/>
        </w:rPr>
        <w:footnoteReference w:id="7"/>
      </w:r>
    </w:p>
    <w:bookmarkEnd w:id="0"/>
    <w:p w14:paraId="0CE7122F" w14:textId="185715B2" w:rsidR="00CB1A04" w:rsidRPr="007F3859" w:rsidRDefault="00CB1A04" w:rsidP="0024188F">
      <w:pPr>
        <w:spacing w:after="180" w:line="280" w:lineRule="exact"/>
        <w:jc w:val="both"/>
        <w:rPr>
          <w:rFonts w:eastAsia="Calibri"/>
          <w:b/>
          <w:sz w:val="18"/>
          <w:szCs w:val="20"/>
          <w:shd w:val="clear" w:color="auto" w:fill="FFFFFF"/>
        </w:rPr>
      </w:pPr>
      <w:r w:rsidRPr="004618F7">
        <w:rPr>
          <w:rFonts w:ascii="Georgia" w:eastAsia="Calibri" w:hAnsi="Georgia"/>
          <w:bCs/>
          <w:sz w:val="18"/>
          <w:szCs w:val="20"/>
          <w:shd w:val="clear" w:color="auto" w:fill="FFFFFF"/>
          <w:rtl/>
        </w:rPr>
        <w:t>תוכניות חיסכון לפיתוח נכסים לילדים</w:t>
      </w:r>
      <w:r w:rsidRPr="004618F7">
        <w:rPr>
          <w:rFonts w:ascii="Georgia" w:eastAsia="Calibri" w:hAnsi="Georgia"/>
          <w:b/>
          <w:sz w:val="18"/>
          <w:szCs w:val="20"/>
          <w:shd w:val="clear" w:color="auto" w:fill="FFFFFF"/>
          <w:rtl/>
        </w:rPr>
        <w:t xml:space="preserve"> (</w:t>
      </w:r>
      <w:r w:rsidRPr="004618F7">
        <w:rPr>
          <w:rFonts w:ascii="Georgia" w:eastAsia="Calibri" w:hAnsi="Georgia"/>
          <w:bCs/>
          <w:i/>
          <w:iCs/>
          <w:sz w:val="18"/>
          <w:szCs w:val="20"/>
          <w:shd w:val="clear" w:color="auto" w:fill="FFFFFF"/>
        </w:rPr>
        <w:t>Child Development Accounts</w:t>
      </w:r>
      <w:r w:rsidRPr="004618F7">
        <w:rPr>
          <w:rFonts w:ascii="Georgia" w:eastAsia="Calibri" w:hAnsi="Georgia"/>
          <w:bCs/>
          <w:sz w:val="18"/>
          <w:szCs w:val="20"/>
          <w:shd w:val="clear" w:color="auto" w:fill="FFFFFF"/>
        </w:rPr>
        <w:t>, CDAs</w:t>
      </w:r>
      <w:r w:rsidRPr="004618F7">
        <w:rPr>
          <w:rFonts w:ascii="Georgia" w:eastAsia="Calibri" w:hAnsi="Georgia"/>
          <w:b/>
          <w:sz w:val="18"/>
          <w:szCs w:val="20"/>
          <w:shd w:val="clear" w:color="auto" w:fill="FFFFFF"/>
          <w:rtl/>
        </w:rPr>
        <w:t>) הן תוכניות בתחום הביטחון הסוציאלי. עם לידת הילד, או במהלך השנים הראשונות לחייו, פותחים עבורו חשבון בנק או קרן השקעות כדי לקדם חסכונות וצבירת נכסים למטרות הקשורות</w:t>
      </w:r>
      <w:r w:rsidRPr="007F3859">
        <w:rPr>
          <w:rFonts w:eastAsia="Calibri" w:hint="cs"/>
          <w:b/>
          <w:sz w:val="18"/>
          <w:szCs w:val="20"/>
          <w:shd w:val="clear" w:color="auto" w:fill="FFFFFF"/>
          <w:rtl/>
        </w:rPr>
        <w:t xml:space="preserve"> בעתידו, דוגמת השכלה גבוהה או רכישת בית. בתחילת חודש ינואר 2017 יזמה ממשלת ישראל תוכנית חיסכון כללית </w:t>
      </w:r>
      <w:r w:rsidRPr="007F3859">
        <w:rPr>
          <w:rFonts w:eastAsia="Calibri"/>
          <w:b/>
          <w:sz w:val="18"/>
          <w:szCs w:val="20"/>
          <w:shd w:val="clear" w:color="auto" w:fill="FFFFFF"/>
          <w:rtl/>
        </w:rPr>
        <w:t>–</w:t>
      </w:r>
      <w:r w:rsidRPr="007F3859">
        <w:rPr>
          <w:rFonts w:eastAsia="Calibri" w:hint="cs"/>
          <w:b/>
          <w:sz w:val="18"/>
          <w:szCs w:val="20"/>
          <w:shd w:val="clear" w:color="auto" w:fill="FFFFFF"/>
          <w:rtl/>
        </w:rPr>
        <w:t xml:space="preserve"> </w:t>
      </w:r>
      <w:r w:rsidRPr="007F3859">
        <w:rPr>
          <w:rFonts w:eastAsia="Calibri" w:hint="cs"/>
          <w:bCs/>
          <w:sz w:val="18"/>
          <w:szCs w:val="20"/>
          <w:shd w:val="clear" w:color="auto" w:fill="FFFFFF"/>
          <w:rtl/>
        </w:rPr>
        <w:t>חיסכון לכל ילד</w:t>
      </w:r>
      <w:r w:rsidRPr="007F3859">
        <w:rPr>
          <w:rFonts w:eastAsia="Calibri" w:hint="cs"/>
          <w:b/>
          <w:sz w:val="18"/>
          <w:szCs w:val="20"/>
          <w:shd w:val="clear" w:color="auto" w:fill="FFFFFF"/>
          <w:rtl/>
        </w:rPr>
        <w:t xml:space="preserve"> </w:t>
      </w:r>
      <w:r w:rsidRPr="007F3859">
        <w:rPr>
          <w:rFonts w:eastAsia="Calibri"/>
          <w:b/>
          <w:sz w:val="18"/>
          <w:szCs w:val="20"/>
          <w:shd w:val="clear" w:color="auto" w:fill="FFFFFF"/>
          <w:rtl/>
        </w:rPr>
        <w:t>–</w:t>
      </w:r>
      <w:r w:rsidRPr="007F3859">
        <w:rPr>
          <w:rFonts w:eastAsia="Calibri" w:hint="cs"/>
          <w:b/>
          <w:sz w:val="18"/>
          <w:szCs w:val="20"/>
          <w:shd w:val="clear" w:color="auto" w:fill="FFFFFF"/>
          <w:rtl/>
        </w:rPr>
        <w:t xml:space="preserve"> שנועדה לפיתוח נכסים לילדים. במסגרת התוכנית, כל ילד מקבל קרן חיסכון אישית. מדי חודש הממשלה מפקידה סכום מסוים בקרן זו, וההורים יכולים גם הם לבצע הפקדות חודשיות נוספות ואף לשנות את מיקום ברירת המחדל להפקדת כספי החיסכון </w:t>
      </w:r>
      <w:r w:rsidRPr="007F3859">
        <w:rPr>
          <w:rFonts w:eastAsia="Calibri"/>
          <w:b/>
          <w:sz w:val="18"/>
          <w:szCs w:val="20"/>
          <w:shd w:val="clear" w:color="auto" w:fill="FFFFFF"/>
          <w:rtl/>
        </w:rPr>
        <w:t>–</w:t>
      </w:r>
      <w:r w:rsidRPr="007F3859">
        <w:rPr>
          <w:rFonts w:eastAsia="Calibri" w:hint="cs"/>
          <w:b/>
          <w:sz w:val="18"/>
          <w:szCs w:val="20"/>
          <w:shd w:val="clear" w:color="auto" w:fill="FFFFFF"/>
          <w:rtl/>
        </w:rPr>
        <w:t xml:space="preserve"> למשל, הפקדה בחשבון בנק לעומת הפקדה בקרן השקעות. מאמר זה בוחן את דפוסי ההצטרפות לתוכנית ואת ההשתתפות בה במהלך ששת החודשים הראשונים </w:t>
      </w:r>
      <w:r w:rsidR="0024188F">
        <w:rPr>
          <w:rFonts w:eastAsia="Calibri" w:hint="cs"/>
          <w:b/>
          <w:sz w:val="18"/>
          <w:szCs w:val="20"/>
          <w:shd w:val="clear" w:color="auto" w:fill="FFFFFF"/>
          <w:rtl/>
        </w:rPr>
        <w:t>ליישומה</w:t>
      </w:r>
      <w:r w:rsidRPr="007F3859">
        <w:rPr>
          <w:rFonts w:eastAsia="Calibri" w:hint="cs"/>
          <w:b/>
          <w:sz w:val="18"/>
          <w:szCs w:val="20"/>
          <w:shd w:val="clear" w:color="auto" w:fill="FFFFFF"/>
          <w:rtl/>
        </w:rPr>
        <w:t xml:space="preserve">, באמצעות שימוש בנתונים מנהליים של המוסד לביטוח לאומי, ברמת האוכלוסייה. ככלל, הממצאים מראים כי שיעור גבוה ממשקי הבית שהיו זכאים להשתתפות בתוכנית אכן השתתפו בה. בד בבד נמצא כי משקי בית אמידים, מועסקים ומשכילים יותר נטו להשתתף בתוכנית באופן פעיל בשיעורים גבוהים יותר ובדרכים שסביר שיניבו תשואה כלכלית גבוהה יותר בעתיד. תוצאות אלה מוכיחות שאף כי </w:t>
      </w:r>
      <w:r w:rsidRPr="007F3859">
        <w:rPr>
          <w:rFonts w:eastAsia="Calibri" w:hint="cs"/>
          <w:b/>
          <w:sz w:val="18"/>
          <w:szCs w:val="20"/>
          <w:shd w:val="clear" w:color="auto" w:fill="FFFFFF"/>
          <w:rtl/>
        </w:rPr>
        <w:lastRenderedPageBreak/>
        <w:t>תוכנית חיסכון לכל ילד עשויה להגביר את הביטחון הפיננסי הכללי של אזרחי ישראל, היא גם עלולה לגרום להגברת אי-השוויון הכלכלי.</w:t>
      </w:r>
    </w:p>
    <w:p w14:paraId="17B15717" w14:textId="77777777" w:rsidR="00CB1A04" w:rsidRPr="007F3859" w:rsidRDefault="00CB1A04" w:rsidP="00CB1A04">
      <w:pPr>
        <w:spacing w:after="180" w:line="280" w:lineRule="exact"/>
        <w:jc w:val="both"/>
        <w:rPr>
          <w:rFonts w:eastAsia="Calibri"/>
          <w:b/>
          <w:sz w:val="18"/>
          <w:szCs w:val="20"/>
          <w:shd w:val="clear" w:color="auto" w:fill="FFFFFF"/>
          <w:rtl/>
        </w:rPr>
      </w:pPr>
    </w:p>
    <w:p w14:paraId="0966C1CF" w14:textId="77777777" w:rsidR="00CB1A04" w:rsidRPr="007F3859" w:rsidRDefault="00CB1A04" w:rsidP="00CB1A04">
      <w:pPr>
        <w:spacing w:after="180" w:line="280" w:lineRule="exact"/>
        <w:jc w:val="both"/>
        <w:rPr>
          <w:rFonts w:eastAsia="Calibri"/>
          <w:b/>
          <w:sz w:val="18"/>
          <w:szCs w:val="20"/>
          <w:shd w:val="clear" w:color="auto" w:fill="FFFFFF"/>
          <w:rtl/>
        </w:rPr>
      </w:pPr>
      <w:r w:rsidRPr="007F3859">
        <w:rPr>
          <w:rFonts w:eastAsia="Calibri" w:hint="cs"/>
          <w:bCs/>
          <w:sz w:val="18"/>
          <w:szCs w:val="20"/>
          <w:shd w:val="clear" w:color="auto" w:fill="FFFFFF"/>
          <w:rtl/>
        </w:rPr>
        <w:t>מילות מפתח:</w:t>
      </w:r>
      <w:r w:rsidRPr="007F3859">
        <w:rPr>
          <w:rFonts w:eastAsia="Calibri" w:hint="cs"/>
          <w:b/>
          <w:sz w:val="18"/>
          <w:szCs w:val="20"/>
          <w:shd w:val="clear" w:color="auto" w:fill="FFFFFF"/>
          <w:rtl/>
        </w:rPr>
        <w:t xml:space="preserve"> צבירת נכסים, תוכניות חיסכון לפיתוח נכסים לילדים, התפתחות הילד, קבלת החלטות במשק הבית</w:t>
      </w:r>
    </w:p>
    <w:p w14:paraId="4625DB5F" w14:textId="77777777" w:rsidR="00CB1A04" w:rsidRPr="007F3859" w:rsidRDefault="00CB1A04" w:rsidP="00CB1A04">
      <w:pPr>
        <w:spacing w:after="180" w:line="280" w:lineRule="exact"/>
        <w:jc w:val="both"/>
        <w:rPr>
          <w:bCs/>
          <w:sz w:val="18"/>
          <w:szCs w:val="20"/>
        </w:rPr>
      </w:pPr>
    </w:p>
    <w:p w14:paraId="355D95B1" w14:textId="77777777" w:rsidR="00CB1A04" w:rsidRPr="007F3859" w:rsidRDefault="00CB1A04" w:rsidP="00CB1A04">
      <w:pPr>
        <w:spacing w:after="180" w:line="280" w:lineRule="exact"/>
        <w:jc w:val="both"/>
        <w:rPr>
          <w:bCs/>
          <w:sz w:val="18"/>
          <w:szCs w:val="20"/>
          <w:rtl/>
        </w:rPr>
      </w:pPr>
    </w:p>
    <w:p w14:paraId="62447A65"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Pr="007A6EAC">
        <w:rPr>
          <w:rFonts w:cs="Guttman Aharoni" w:hint="cs"/>
          <w:color w:val="00B0F0"/>
          <w:sz w:val="32"/>
          <w:szCs w:val="32"/>
          <w:rtl/>
        </w:rPr>
        <w:t>מבוא</w:t>
      </w:r>
    </w:p>
    <w:p w14:paraId="78185F63" w14:textId="58A128A4" w:rsidR="00CB1A04" w:rsidRPr="004618F7" w:rsidRDefault="00CB1A04" w:rsidP="00CB1A04">
      <w:pPr>
        <w:spacing w:after="180" w:line="280" w:lineRule="exact"/>
        <w:jc w:val="both"/>
        <w:rPr>
          <w:rFonts w:ascii="Georgia" w:hAnsi="Georgia"/>
          <w:b/>
          <w:sz w:val="18"/>
          <w:szCs w:val="20"/>
          <w:rtl/>
        </w:rPr>
      </w:pPr>
      <w:r w:rsidRPr="004618F7">
        <w:rPr>
          <w:rFonts w:ascii="Georgia" w:hAnsi="Georgia"/>
          <w:b/>
          <w:sz w:val="18"/>
          <w:szCs w:val="20"/>
          <w:rtl/>
        </w:rPr>
        <w:t xml:space="preserve">אחת הדרכים החדשות יחסית להתמודדות עם עוני מתמשך מתמקדת בפיתוח נכסים במקום הענקת קצבאות המיועדות להגדלת הכנסה או לתמיכה בצריכה השוטפת. אחת הדוגמאות הבולטות ביותר לגישה מבוססת נכסים היא תוכניות חיסכון לפיתוח נכסים לילדים </w:t>
      </w:r>
      <w:r w:rsidRPr="00F007B2">
        <w:rPr>
          <w:rFonts w:ascii="David" w:hAnsi="David"/>
          <w:bCs/>
          <w:sz w:val="18"/>
          <w:szCs w:val="20"/>
        </w:rPr>
        <w:t>(</w:t>
      </w:r>
      <w:r w:rsidRPr="004618F7">
        <w:rPr>
          <w:rFonts w:ascii="Georgia" w:hAnsi="Georgia"/>
          <w:bCs/>
          <w:sz w:val="18"/>
          <w:szCs w:val="20"/>
        </w:rPr>
        <w:t>CDA</w:t>
      </w:r>
      <w:r w:rsidRPr="00F007B2">
        <w:rPr>
          <w:rFonts w:ascii="David" w:hAnsi="David"/>
          <w:bCs/>
          <w:sz w:val="20"/>
          <w:szCs w:val="20"/>
        </w:rPr>
        <w:t>)</w:t>
      </w:r>
      <w:r w:rsidRPr="004618F7">
        <w:rPr>
          <w:rFonts w:ascii="Georgia" w:hAnsi="Georgia"/>
          <w:b/>
          <w:sz w:val="18"/>
          <w:szCs w:val="20"/>
        </w:rPr>
        <w:t xml:space="preserve"> </w:t>
      </w:r>
      <w:r w:rsidR="00ED10AC" w:rsidRPr="004618F7">
        <w:rPr>
          <w:rFonts w:ascii="Georgia" w:hAnsi="Georgia"/>
          <w:b/>
          <w:sz w:val="18"/>
          <w:szCs w:val="20"/>
          <w:rtl/>
        </w:rPr>
        <w:t>(</w:t>
      </w:r>
      <w:proofErr w:type="spellStart"/>
      <w:r w:rsidR="00ED10AC" w:rsidRPr="004618F7">
        <w:rPr>
          <w:rFonts w:ascii="Georgia" w:hAnsi="Georgia"/>
          <w:sz w:val="18"/>
          <w:szCs w:val="20"/>
        </w:rPr>
        <w:t>Sherraden</w:t>
      </w:r>
      <w:proofErr w:type="spellEnd"/>
      <w:r w:rsidR="00ED10AC" w:rsidRPr="004618F7">
        <w:rPr>
          <w:rFonts w:ascii="Georgia" w:hAnsi="Georgia"/>
          <w:sz w:val="18"/>
          <w:szCs w:val="20"/>
        </w:rPr>
        <w:t>, 1991</w:t>
      </w:r>
      <w:r w:rsidR="00ED10AC" w:rsidRPr="004618F7">
        <w:rPr>
          <w:rFonts w:ascii="Georgia" w:hAnsi="Georgia"/>
          <w:b/>
          <w:sz w:val="18"/>
          <w:szCs w:val="20"/>
          <w:rtl/>
        </w:rPr>
        <w:t>)</w:t>
      </w:r>
      <w:r w:rsidRPr="004618F7">
        <w:rPr>
          <w:rFonts w:ascii="Georgia" w:hAnsi="Georgia"/>
          <w:b/>
          <w:sz w:val="18"/>
          <w:szCs w:val="20"/>
          <w:rtl/>
        </w:rPr>
        <w:t>. מטרתם של תוכניות חיסכון ושל חשבונות השקעה מסוג זה היא לקדם צבירה של נכסים ככל שהילד מתבגר, בעיקר כדי שיוכל בעתיד לממן השקעה דוגמת השכלה גבוהה או רכישת בית. תוכניות חיסכון לפיתוח נכסים לילדים כוללות לרוב הפקדה ראשונית שמבוצעת על ידי התוכנית בשם הילד, תמריצים לחיסכון תואם נוסף של ההורים, או הגבלת השימוש בכספים שהושקעו למטרות דוגמת רכישת השכלה גבוהה.</w:t>
      </w:r>
    </w:p>
    <w:p w14:paraId="5A104BFA" w14:textId="72236C64" w:rsidR="00CB1A04" w:rsidRPr="004618F7" w:rsidRDefault="00CB1A04" w:rsidP="00CB1A04">
      <w:pPr>
        <w:spacing w:after="180" w:line="280" w:lineRule="exact"/>
        <w:jc w:val="both"/>
        <w:rPr>
          <w:rFonts w:ascii="Georgia" w:eastAsia="Calibri" w:hAnsi="Georgia"/>
          <w:b/>
          <w:sz w:val="18"/>
          <w:szCs w:val="20"/>
          <w:shd w:val="clear" w:color="auto" w:fill="FFFFFF"/>
          <w:rtl/>
        </w:rPr>
      </w:pPr>
      <w:r w:rsidRPr="004618F7">
        <w:rPr>
          <w:rFonts w:ascii="Georgia" w:hAnsi="Georgia"/>
          <w:b/>
          <w:sz w:val="18"/>
          <w:szCs w:val="20"/>
          <w:rtl/>
        </w:rPr>
        <w:t xml:space="preserve">נכון להיום, מדיניות הפתיחה של קרנות החיסכון לפיתוח נכסים לילדים מיושמת באופנים שונים במדינות שונות, ובכללן ישראל. התוכנית הישראלית נתפסת כאחת המקיפות ביותר בעולם, משתי סיבות: האחת </w:t>
      </w:r>
      <w:r w:rsidRPr="004618F7">
        <w:rPr>
          <w:rFonts w:ascii="Georgia" w:eastAsia="David" w:hAnsi="Georgia"/>
          <w:sz w:val="18"/>
          <w:szCs w:val="20"/>
          <w:rtl/>
        </w:rPr>
        <w:t xml:space="preserve">– </w:t>
      </w:r>
      <w:r w:rsidRPr="004618F7">
        <w:rPr>
          <w:rFonts w:ascii="Georgia" w:hAnsi="Georgia"/>
          <w:b/>
          <w:sz w:val="18"/>
          <w:szCs w:val="20"/>
          <w:rtl/>
        </w:rPr>
        <w:t xml:space="preserve">היא מיועדת לכלל ילדי ישראל עד גיל 18, גם לאלה שנולדו לפני הפעלתה, ולא רק לילדים העתידים להיוולד. והשנייה </w:t>
      </w:r>
      <w:r w:rsidRPr="004618F7">
        <w:rPr>
          <w:rFonts w:ascii="Georgia" w:eastAsia="David" w:hAnsi="Georgia"/>
          <w:sz w:val="18"/>
          <w:szCs w:val="20"/>
          <w:rtl/>
        </w:rPr>
        <w:t>–</w:t>
      </w:r>
      <w:r w:rsidRPr="004618F7">
        <w:rPr>
          <w:rFonts w:ascii="Georgia" w:hAnsi="Georgia"/>
          <w:b/>
          <w:sz w:val="18"/>
          <w:szCs w:val="20"/>
          <w:rtl/>
        </w:rPr>
        <w:t xml:space="preserve"> היא תוכנית אוניברסלית, וכוללת את כל משקי הבית, ללא מבחן אמצעים או קריטריונים מזכים נוספים (</w:t>
      </w:r>
      <w:proofErr w:type="spellStart"/>
      <w:r w:rsidRPr="004618F7">
        <w:rPr>
          <w:rFonts w:ascii="Georgia" w:hAnsi="Georgia"/>
          <w:sz w:val="18"/>
          <w:szCs w:val="20"/>
          <w:lang w:bidi="ar-SA"/>
        </w:rPr>
        <w:t>Sherraden</w:t>
      </w:r>
      <w:proofErr w:type="spellEnd"/>
      <w:r w:rsidRPr="004618F7">
        <w:rPr>
          <w:rFonts w:ascii="Georgia" w:hAnsi="Georgia"/>
          <w:sz w:val="18"/>
          <w:szCs w:val="20"/>
          <w:lang w:bidi="ar-SA"/>
        </w:rPr>
        <w:t xml:space="preserve"> et al., 2016</w:t>
      </w:r>
      <w:r w:rsidRPr="004618F7">
        <w:rPr>
          <w:rFonts w:ascii="Georgia" w:hAnsi="Georgia"/>
          <w:b/>
          <w:sz w:val="18"/>
          <w:szCs w:val="20"/>
          <w:rtl/>
        </w:rPr>
        <w:t xml:space="preserve">). התוכנית, הנקראת </w:t>
      </w:r>
      <w:r w:rsidRPr="004618F7">
        <w:rPr>
          <w:rFonts w:ascii="Georgia" w:hAnsi="Georgia"/>
          <w:bCs/>
          <w:sz w:val="18"/>
          <w:szCs w:val="20"/>
          <w:rtl/>
        </w:rPr>
        <w:t>חיסכון לכל ילד</w:t>
      </w:r>
      <w:r w:rsidRPr="004618F7">
        <w:rPr>
          <w:rFonts w:ascii="Georgia" w:hAnsi="Georgia"/>
          <w:b/>
          <w:sz w:val="18"/>
          <w:szCs w:val="20"/>
          <w:rtl/>
        </w:rPr>
        <w:t xml:space="preserve">, מיושמת החל מינואר 2017 וכוללת באופן אוטומטי כל ילד שטרם מלאו לו 18 בעת פתיחת התוכנית, וכל ילד שנולד או ייוולד לאחר מכן. במסגרת התוכנית, הממשלה מפקידה בכל חודש 51 שקלים בחשבונות של הילדים </w:t>
      </w:r>
      <w:r w:rsidR="00EB001A" w:rsidRPr="004618F7">
        <w:rPr>
          <w:rFonts w:ascii="Georgia" w:hAnsi="Georgia"/>
          <w:b/>
          <w:sz w:val="18"/>
          <w:szCs w:val="20"/>
          <w:rtl/>
        </w:rPr>
        <w:br/>
      </w:r>
      <w:r w:rsidRPr="004618F7">
        <w:rPr>
          <w:rFonts w:ascii="Georgia" w:hAnsi="Georgia"/>
          <w:b/>
          <w:sz w:val="18"/>
          <w:szCs w:val="20"/>
          <w:rtl/>
        </w:rPr>
        <w:t xml:space="preserve">(50 שקלים לפני ינואר 2019). ההורים יכולים לבחור באחת או יותר משלוש האפשרויות האלה: (1) מי שלא בחרו מסלול הפקדה, הביטוח הלאומי מפקיד את כספי החיסכון לקופת גמל או לבנק בהתאם למנגנון ברירת המחדל; (2) בחירה פעילה להעביר 51 שקלים נוספים מדי חודש מקצבת הילדים שלהם לתוכנית החיסכון; (3) בחירה פעילה באחת מאפשרויות ההשקעה, החל מחשבונות בנק בעלי סיכון נמוך לטווח קצר, שהתשואות הצפויות שלהם </w:t>
      </w:r>
      <w:r w:rsidRPr="004618F7">
        <w:rPr>
          <w:rFonts w:ascii="Georgia" w:hAnsi="Georgia"/>
          <w:b/>
          <w:sz w:val="18"/>
          <w:szCs w:val="20"/>
          <w:rtl/>
        </w:rPr>
        <w:lastRenderedPageBreak/>
        <w:t>נמוכות, וכלה בחשבונות השקעה בעלי סיכון גבוה יותר לטווח קצר, שהתשואות הצפויות שלהם גבוהות יותר.</w:t>
      </w:r>
      <w:r w:rsidRPr="004618F7">
        <w:rPr>
          <w:rFonts w:ascii="Georgia" w:eastAsia="Calibri" w:hAnsi="Georgia"/>
          <w:sz w:val="18"/>
          <w:szCs w:val="20"/>
          <w:shd w:val="clear" w:color="auto" w:fill="FFFFFF"/>
          <w:vertAlign w:val="superscript"/>
          <w:rtl/>
        </w:rPr>
        <w:footnoteReference w:id="8"/>
      </w:r>
    </w:p>
    <w:p w14:paraId="3E3FAF21" w14:textId="3360D304" w:rsidR="00CB1A04" w:rsidRPr="004618F7" w:rsidRDefault="00CB1A04" w:rsidP="00CB1A04">
      <w:pPr>
        <w:spacing w:after="180" w:line="280" w:lineRule="exact"/>
        <w:jc w:val="both"/>
        <w:rPr>
          <w:rFonts w:ascii="Georgia" w:eastAsia="Calibri" w:hAnsi="Georgia"/>
          <w:b/>
          <w:sz w:val="18"/>
          <w:szCs w:val="20"/>
          <w:shd w:val="clear" w:color="auto" w:fill="FFFFFF"/>
          <w:rtl/>
        </w:rPr>
      </w:pPr>
      <w:r w:rsidRPr="004618F7">
        <w:rPr>
          <w:rFonts w:ascii="Georgia" w:eastAsia="Calibri" w:hAnsi="Georgia"/>
          <w:b/>
          <w:sz w:val="18"/>
          <w:szCs w:val="20"/>
          <w:shd w:val="clear" w:color="auto" w:fill="FFFFFF"/>
          <w:rtl/>
        </w:rPr>
        <w:t xml:space="preserve">הדרך שבה ישראל מיישמת את התוכנית מעניקה הזדמנות ייחודית לחקור את מגמות ההצטרפות הראשונית לתוכנית מסוג </w:t>
      </w:r>
      <w:r w:rsidRPr="004618F7">
        <w:rPr>
          <w:rFonts w:ascii="Georgia" w:hAnsi="Georgia"/>
          <w:b/>
          <w:sz w:val="18"/>
          <w:szCs w:val="20"/>
          <w:rtl/>
        </w:rPr>
        <w:t>תוכניות חיסכון לפיתוח נכסים לילדים</w:t>
      </w:r>
      <w:r w:rsidRPr="004618F7">
        <w:rPr>
          <w:rFonts w:ascii="Georgia" w:eastAsia="Calibri" w:hAnsi="Georgia"/>
          <w:b/>
          <w:sz w:val="18"/>
          <w:szCs w:val="20"/>
          <w:shd w:val="clear" w:color="auto" w:fill="FFFFFF"/>
          <w:rtl/>
        </w:rPr>
        <w:t xml:space="preserve"> </w:t>
      </w:r>
      <w:r w:rsidR="00ED10AC" w:rsidRPr="004618F7">
        <w:rPr>
          <w:rFonts w:ascii="Georgia" w:eastAsia="Calibri" w:hAnsi="Georgia"/>
          <w:b/>
          <w:sz w:val="18"/>
          <w:szCs w:val="20"/>
          <w:shd w:val="clear" w:color="auto" w:fill="FFFFFF"/>
          <w:rtl/>
        </w:rPr>
        <w:t>(</w:t>
      </w:r>
      <w:r w:rsidR="00ED10AC" w:rsidRPr="004618F7">
        <w:rPr>
          <w:rFonts w:ascii="Georgia" w:eastAsia="Calibri" w:hAnsi="Georgia"/>
          <w:bCs/>
          <w:sz w:val="18"/>
          <w:szCs w:val="20"/>
          <w:shd w:val="clear" w:color="auto" w:fill="FFFFFF"/>
        </w:rPr>
        <w:t>CDA</w:t>
      </w:r>
      <w:r w:rsidR="00ED10AC" w:rsidRPr="004618F7">
        <w:rPr>
          <w:rFonts w:ascii="Georgia" w:eastAsia="Calibri" w:hAnsi="Georgia"/>
          <w:b/>
          <w:sz w:val="18"/>
          <w:szCs w:val="20"/>
          <w:shd w:val="clear" w:color="auto" w:fill="FFFFFF"/>
          <w:rtl/>
        </w:rPr>
        <w:t>)</w:t>
      </w:r>
      <w:r w:rsidRPr="004618F7">
        <w:rPr>
          <w:rFonts w:ascii="Georgia" w:eastAsia="Calibri" w:hAnsi="Georgia"/>
          <w:b/>
          <w:sz w:val="18"/>
          <w:szCs w:val="20"/>
          <w:shd w:val="clear" w:color="auto" w:fill="FFFFFF"/>
          <w:rtl/>
        </w:rPr>
        <w:t>, ולבדוק את ההבדלים בהצטרפותם של משקי הבית לתוכנית במהלך ששת החודשים הראשונים ליישומה לפי מאפייניהם הדמוגרפיים והפיננסיים. באמצעות שימוש בנתונים מנהליים שסיפק המוסד לביטוח לאומי, המחקר מבקש לענות על שתי שאלות: האחת, באיזו מידה היו המשתתפים מעורבים בתוכנית במהלך ששת החודשים הראשונים ליישומה – כלומר, הצטרפו באופן פעיל לתוכנית במקום לבחור בברירות המחדל שלה; בחרו לבצע הפקדות נוספות לתוכנית; או בחרו סוגים שונים של אפיקי חיסכון? האחרת, אילו מאפיינים דמוגרפיים ופיננסיים מרכזיים קשורים לכל אחד מסוגי ההחלטות שנקטו מי שבחרו להשתתף בתוכנית באופן פעיל?</w:t>
      </w:r>
    </w:p>
    <w:p w14:paraId="2C2E61C0" w14:textId="77777777" w:rsidR="00CB1A04" w:rsidRPr="007F3859" w:rsidRDefault="00CB1A04" w:rsidP="00CB1A04">
      <w:pPr>
        <w:spacing w:after="180" w:line="280" w:lineRule="exact"/>
        <w:jc w:val="both"/>
        <w:rPr>
          <w:rFonts w:eastAsia="Calibri"/>
          <w:bCs/>
          <w:sz w:val="18"/>
          <w:szCs w:val="20"/>
          <w:shd w:val="clear" w:color="auto" w:fill="FFFFFF"/>
        </w:rPr>
      </w:pPr>
    </w:p>
    <w:p w14:paraId="0A68D7A6" w14:textId="77777777" w:rsidR="00CB1A04" w:rsidRPr="007F3859" w:rsidRDefault="00CB1A04" w:rsidP="00CB1A04">
      <w:pPr>
        <w:spacing w:after="180" w:line="280" w:lineRule="exact"/>
        <w:jc w:val="both"/>
        <w:rPr>
          <w:rFonts w:eastAsia="Calibri"/>
          <w:bCs/>
          <w:sz w:val="18"/>
          <w:szCs w:val="20"/>
          <w:shd w:val="clear" w:color="auto" w:fill="FFFFFF"/>
          <w:rtl/>
        </w:rPr>
      </w:pPr>
    </w:p>
    <w:p w14:paraId="7325A70F"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Pr="007A6EAC">
        <w:rPr>
          <w:rFonts w:cs="Guttman Aharoni" w:hint="cs"/>
          <w:color w:val="00B0F0"/>
          <w:sz w:val="32"/>
          <w:szCs w:val="32"/>
          <w:rtl/>
        </w:rPr>
        <w:t>רקע</w:t>
      </w:r>
    </w:p>
    <w:p w14:paraId="0686EDA7" w14:textId="77777777" w:rsidR="00CB1A04" w:rsidRPr="007F3859" w:rsidRDefault="00CB1A04" w:rsidP="00CB1A04">
      <w:pPr>
        <w:spacing w:after="180" w:line="280" w:lineRule="exact"/>
        <w:jc w:val="both"/>
        <w:rPr>
          <w:rFonts w:eastAsia="Calibri"/>
          <w:bCs/>
          <w:sz w:val="18"/>
          <w:szCs w:val="20"/>
          <w:shd w:val="clear" w:color="auto" w:fill="FFFFFF"/>
        </w:rPr>
      </w:pPr>
    </w:p>
    <w:p w14:paraId="0157D53F" w14:textId="77777777" w:rsidR="00CB1A04" w:rsidRPr="007A6EAC" w:rsidRDefault="00CB1A04" w:rsidP="00CB1A04">
      <w:pPr>
        <w:pStyle w:val="KOT5"/>
        <w:spacing w:after="0"/>
        <w:ind w:right="0"/>
        <w:outlineLvl w:val="2"/>
        <w:rPr>
          <w:rFonts w:cs="Guttman Aharoni"/>
          <w:color w:val="00B0F0"/>
          <w:rtl/>
        </w:rPr>
      </w:pPr>
      <w:r w:rsidRPr="007A6EAC">
        <w:rPr>
          <w:rFonts w:cs="Guttman Aharoni" w:hint="cs"/>
          <w:color w:val="00B0F0"/>
          <w:rtl/>
        </w:rPr>
        <w:t>חשיבותה של צבירת נכסים</w:t>
      </w:r>
    </w:p>
    <w:p w14:paraId="219C807F" w14:textId="77777777" w:rsidR="00CB1A04" w:rsidRPr="004618F7" w:rsidRDefault="00CB1A04" w:rsidP="00CB1A04">
      <w:pPr>
        <w:spacing w:after="180" w:line="280" w:lineRule="exact"/>
        <w:jc w:val="both"/>
        <w:rPr>
          <w:rFonts w:ascii="Georgia" w:eastAsia="Calibri" w:hAnsi="Georgia"/>
          <w:b/>
          <w:sz w:val="18"/>
          <w:szCs w:val="20"/>
          <w:rtl/>
        </w:rPr>
      </w:pPr>
      <w:r w:rsidRPr="004618F7">
        <w:rPr>
          <w:rFonts w:ascii="Georgia" w:eastAsia="Calibri" w:hAnsi="Georgia"/>
          <w:b/>
          <w:sz w:val="18"/>
          <w:szCs w:val="20"/>
          <w:shd w:val="clear" w:color="auto" w:fill="FFFFFF"/>
          <w:rtl/>
        </w:rPr>
        <w:t xml:space="preserve">נכסים ממלאים תפקיד ייחודי ברווחה הכלכלית של משק הבית </w:t>
      </w:r>
      <w:r w:rsidRPr="004618F7">
        <w:rPr>
          <w:rFonts w:ascii="Georgia" w:eastAsia="Calibri" w:hAnsi="Georgia"/>
          <w:sz w:val="18"/>
          <w:szCs w:val="20"/>
          <w:rtl/>
        </w:rPr>
        <w:t>(</w:t>
      </w:r>
      <w:proofErr w:type="spellStart"/>
      <w:r w:rsidRPr="004618F7">
        <w:rPr>
          <w:rFonts w:ascii="Georgia" w:eastAsia="Calibri" w:hAnsi="Georgia"/>
          <w:sz w:val="18"/>
          <w:szCs w:val="20"/>
          <w:lang w:bidi="ar-SA"/>
        </w:rPr>
        <w:t>Sherraden</w:t>
      </w:r>
      <w:proofErr w:type="spellEnd"/>
      <w:r w:rsidRPr="004618F7">
        <w:rPr>
          <w:rFonts w:ascii="Georgia" w:eastAsia="Calibri" w:hAnsi="Georgia"/>
          <w:sz w:val="18"/>
          <w:szCs w:val="20"/>
          <w:lang w:bidi="ar-SA"/>
        </w:rPr>
        <w:t>, 1991</w:t>
      </w:r>
      <w:r w:rsidRPr="004618F7">
        <w:rPr>
          <w:rFonts w:ascii="Georgia" w:eastAsia="Calibri" w:hAnsi="Georgia"/>
          <w:sz w:val="18"/>
          <w:szCs w:val="20"/>
          <w:rtl/>
        </w:rPr>
        <w:t>)</w:t>
      </w:r>
      <w:r w:rsidRPr="004618F7">
        <w:rPr>
          <w:rFonts w:ascii="Georgia" w:eastAsia="Calibri" w:hAnsi="Georgia"/>
          <w:b/>
          <w:sz w:val="18"/>
          <w:szCs w:val="20"/>
          <w:shd w:val="clear" w:color="auto" w:fill="FFFFFF"/>
          <w:rtl/>
        </w:rPr>
        <w:t>.</w:t>
      </w:r>
      <w:r w:rsidRPr="004618F7">
        <w:rPr>
          <w:rFonts w:ascii="Georgia" w:eastAsia="Calibri" w:hAnsi="Georgia"/>
          <w:sz w:val="18"/>
          <w:szCs w:val="20"/>
          <w:shd w:val="clear" w:color="auto" w:fill="FFFFFF"/>
          <w:vertAlign w:val="superscript"/>
          <w:rtl/>
        </w:rPr>
        <w:footnoteReference w:id="9"/>
      </w:r>
      <w:r w:rsidRPr="004618F7">
        <w:rPr>
          <w:rFonts w:ascii="Georgia" w:eastAsia="Calibri" w:hAnsi="Georgia"/>
          <w:b/>
          <w:sz w:val="18"/>
          <w:szCs w:val="20"/>
          <w:shd w:val="clear" w:color="auto" w:fill="FFFFFF"/>
          <w:rtl/>
        </w:rPr>
        <w:t xml:space="preserve"> גישה לנכסים, גם אם היקפם מצומצם, יכולה לסייע למשקי בית למלא אחר צורכיהם החיוניים וההתחייבויות הכלכליות שלהם במהלך משבר כלכלי (</w:t>
      </w:r>
      <w:r w:rsidRPr="004618F7">
        <w:rPr>
          <w:rFonts w:ascii="Georgia" w:eastAsia="Calibri" w:hAnsi="Georgia"/>
          <w:bCs/>
          <w:sz w:val="18"/>
          <w:szCs w:val="20"/>
          <w:shd w:val="clear" w:color="auto" w:fill="FFFFFF"/>
        </w:rPr>
        <w:t>financial shock</w:t>
      </w:r>
      <w:r w:rsidRPr="004618F7">
        <w:rPr>
          <w:rFonts w:ascii="Georgia" w:eastAsia="Calibri" w:hAnsi="Georgia"/>
          <w:b/>
          <w:sz w:val="18"/>
          <w:szCs w:val="20"/>
          <w:shd w:val="clear" w:color="auto" w:fill="FFFFFF"/>
          <w:rtl/>
        </w:rPr>
        <w:t xml:space="preserve">) כלשהו, כגון אובדן עבודה פתאומי או ירידה לא צפויה בהכנסה. בעלות על נכסים נזילים, גם אם מצומצמים, יכולה להפחית את הסבירות לכך שמשקי בית יסבלו ממצוקה כלכלית, אשר עלולה לבוא לידי ביטוי באיחור בביצוע תשלומים חיוניים או בחוסר יכולת לרכוש מזון חיוני </w:t>
      </w:r>
      <w:r w:rsidRPr="004618F7">
        <w:rPr>
          <w:rFonts w:ascii="Georgia" w:eastAsia="Calibri" w:hAnsi="Georgia"/>
          <w:sz w:val="18"/>
          <w:szCs w:val="20"/>
          <w:rtl/>
        </w:rPr>
        <w:t>(</w:t>
      </w:r>
      <w:proofErr w:type="spellStart"/>
      <w:r w:rsidRPr="004618F7">
        <w:rPr>
          <w:rFonts w:ascii="Georgia" w:eastAsia="Calibri" w:hAnsi="Georgia"/>
          <w:sz w:val="18"/>
          <w:szCs w:val="20"/>
        </w:rPr>
        <w:t>Gjerston</w:t>
      </w:r>
      <w:proofErr w:type="spellEnd"/>
      <w:r w:rsidRPr="004618F7">
        <w:rPr>
          <w:rFonts w:ascii="Georgia" w:eastAsia="Calibri" w:hAnsi="Georgia"/>
          <w:sz w:val="18"/>
          <w:szCs w:val="20"/>
        </w:rPr>
        <w:t>, 2016; McKernan et al., 2009</w:t>
      </w:r>
      <w:r w:rsidRPr="004618F7">
        <w:rPr>
          <w:rFonts w:ascii="Georgia" w:eastAsia="Calibri" w:hAnsi="Georgia"/>
          <w:sz w:val="18"/>
          <w:szCs w:val="20"/>
          <w:rtl/>
        </w:rPr>
        <w:t>).</w:t>
      </w:r>
      <w:r w:rsidRPr="004618F7">
        <w:rPr>
          <w:rFonts w:ascii="Georgia" w:eastAsia="Calibri" w:hAnsi="Georgia"/>
          <w:b/>
          <w:sz w:val="18"/>
          <w:szCs w:val="20"/>
          <w:shd w:val="clear" w:color="auto" w:fill="FFFFFF"/>
          <w:rtl/>
        </w:rPr>
        <w:t xml:space="preserve"> נוסף על יכולתה לשמש בולם זעזועים עבור משקי הבית בזמני חירום לטווח קצר, בטווח הארוך הגישה לנכסים יכולה לסייע לבני משק הבית </w:t>
      </w:r>
      <w:r w:rsidRPr="004618F7">
        <w:rPr>
          <w:rFonts w:ascii="Georgia" w:eastAsia="Calibri" w:hAnsi="Georgia"/>
          <w:b/>
          <w:sz w:val="18"/>
          <w:szCs w:val="20"/>
          <w:rtl/>
        </w:rPr>
        <w:t xml:space="preserve">ברכישת השכלה גבוהה, בהקמת עסק או בדיור, ובכך להקל על אנשים החיים בעוני מתמשך. </w:t>
      </w:r>
    </w:p>
    <w:p w14:paraId="0BFA3ADE" w14:textId="009709B1" w:rsidR="00CB1A04" w:rsidRPr="00F007B2" w:rsidRDefault="00CB1A04" w:rsidP="0014028E">
      <w:pPr>
        <w:spacing w:after="180" w:line="280" w:lineRule="exact"/>
        <w:jc w:val="both"/>
        <w:rPr>
          <w:rFonts w:ascii="Georgia" w:eastAsia="Calibri" w:hAnsi="Georgia"/>
          <w:b/>
          <w:spacing w:val="-2"/>
          <w:sz w:val="18"/>
          <w:szCs w:val="20"/>
          <w:shd w:val="clear" w:color="auto" w:fill="FFFFFF"/>
          <w:rtl/>
        </w:rPr>
      </w:pPr>
      <w:r w:rsidRPr="004618F7">
        <w:rPr>
          <w:rFonts w:ascii="Georgia" w:eastAsia="Calibri" w:hAnsi="Georgia"/>
          <w:b/>
          <w:sz w:val="18"/>
          <w:szCs w:val="20"/>
          <w:rtl/>
        </w:rPr>
        <w:lastRenderedPageBreak/>
        <w:t>באחזקת נכסים יש גם תועלות רבות שאינן פיננסיות. לדוגמה, אחזקת נכסים יכולה להאריך את אופק התכנון של אנשים ולגרום</w:t>
      </w:r>
      <w:r w:rsidRPr="004618F7">
        <w:rPr>
          <w:rFonts w:ascii="Georgia" w:eastAsia="Calibri" w:hAnsi="Georgia"/>
          <w:b/>
          <w:sz w:val="18"/>
          <w:szCs w:val="20"/>
          <w:shd w:val="clear" w:color="auto" w:fill="FFFFFF"/>
          <w:rtl/>
        </w:rPr>
        <w:t xml:space="preserve"> להם לגבש תוכניות לעתיד במקום להתמקד בעיקר בהתחייבויות היום-יומיות שלהם </w:t>
      </w:r>
      <w:r w:rsidR="00ED10AC" w:rsidRPr="004618F7">
        <w:rPr>
          <w:rFonts w:ascii="Georgia" w:eastAsia="Calibri" w:hAnsi="Georgia"/>
          <w:b/>
          <w:sz w:val="18"/>
          <w:szCs w:val="20"/>
          <w:shd w:val="clear" w:color="auto" w:fill="FFFFFF"/>
          <w:rtl/>
        </w:rPr>
        <w:t>(</w:t>
      </w:r>
      <w:proofErr w:type="spellStart"/>
      <w:r w:rsidR="00ED10AC" w:rsidRPr="004618F7">
        <w:rPr>
          <w:rFonts w:ascii="Georgia" w:eastAsia="Calibri" w:hAnsi="Georgia"/>
          <w:sz w:val="18"/>
          <w:szCs w:val="20"/>
          <w:lang w:bidi="ar-SA"/>
        </w:rPr>
        <w:t>Sherraden</w:t>
      </w:r>
      <w:proofErr w:type="spellEnd"/>
      <w:r w:rsidR="00ED10AC" w:rsidRPr="004618F7">
        <w:rPr>
          <w:rFonts w:ascii="Georgia" w:eastAsia="Calibri" w:hAnsi="Georgia"/>
          <w:sz w:val="18"/>
          <w:szCs w:val="20"/>
          <w:lang w:bidi="ar-SA"/>
        </w:rPr>
        <w:t xml:space="preserve">, 1990, 1991; </w:t>
      </w:r>
      <w:proofErr w:type="spellStart"/>
      <w:r w:rsidR="00ED10AC" w:rsidRPr="004618F7">
        <w:rPr>
          <w:rFonts w:ascii="Georgia" w:eastAsia="Calibri" w:hAnsi="Georgia"/>
          <w:sz w:val="18"/>
          <w:szCs w:val="20"/>
          <w:lang w:bidi="ar-SA"/>
        </w:rPr>
        <w:t>Shobe</w:t>
      </w:r>
      <w:proofErr w:type="spellEnd"/>
      <w:r w:rsidR="00ED10AC" w:rsidRPr="004618F7">
        <w:rPr>
          <w:rFonts w:ascii="Georgia" w:eastAsia="Calibri" w:hAnsi="Georgia"/>
          <w:sz w:val="18"/>
          <w:szCs w:val="20"/>
          <w:lang w:bidi="ar-SA"/>
        </w:rPr>
        <w:t xml:space="preserve"> &amp; Page-Adams, 2001</w:t>
      </w:r>
      <w:r w:rsidR="00ED10AC" w:rsidRPr="004618F7">
        <w:rPr>
          <w:rFonts w:ascii="Georgia" w:eastAsia="Calibri" w:hAnsi="Georgia"/>
          <w:b/>
          <w:sz w:val="18"/>
          <w:szCs w:val="20"/>
          <w:shd w:val="clear" w:color="auto" w:fill="FFFFFF"/>
          <w:rtl/>
        </w:rPr>
        <w:t>)</w:t>
      </w:r>
      <w:r w:rsidRPr="004618F7">
        <w:rPr>
          <w:rFonts w:ascii="Georgia" w:eastAsia="Calibri" w:hAnsi="Georgia"/>
          <w:b/>
          <w:sz w:val="18"/>
          <w:szCs w:val="20"/>
          <w:shd w:val="clear" w:color="auto" w:fill="FFFFFF"/>
          <w:rtl/>
        </w:rPr>
        <w:t>. כמו כן, בעלות על נכסים מקנה למשקי בית בעלי הכנסה נמוכה גמישות העשויה לשפר את יכולת קבלת ההחלטות שלהם, מפני שנכסים מאפשרים לאנשים להעביר את המיקוד מההתחייבויות הפיננסיות הדחופות אל מטרות פיננסיות רחבות יותר (</w:t>
      </w:r>
      <w:r w:rsidRPr="004618F7">
        <w:rPr>
          <w:rFonts w:ascii="Georgia" w:eastAsia="Calibri" w:hAnsi="Georgia"/>
          <w:sz w:val="18"/>
          <w:szCs w:val="20"/>
          <w:lang w:bidi="ar-SA"/>
        </w:rPr>
        <w:t xml:space="preserve">Mani et al., 2013; Mullainathan &amp; </w:t>
      </w:r>
      <w:proofErr w:type="spellStart"/>
      <w:r w:rsidRPr="004618F7">
        <w:rPr>
          <w:rFonts w:ascii="Georgia" w:eastAsia="Calibri" w:hAnsi="Georgia"/>
          <w:sz w:val="18"/>
          <w:szCs w:val="20"/>
          <w:lang w:bidi="ar-SA"/>
        </w:rPr>
        <w:t>Shafir</w:t>
      </w:r>
      <w:proofErr w:type="spellEnd"/>
      <w:r w:rsidRPr="004618F7">
        <w:rPr>
          <w:rFonts w:ascii="Georgia" w:eastAsia="Calibri" w:hAnsi="Georgia"/>
          <w:sz w:val="18"/>
          <w:szCs w:val="20"/>
          <w:lang w:bidi="ar-SA"/>
        </w:rPr>
        <w:t>, 2013</w:t>
      </w:r>
      <w:r w:rsidRPr="004618F7">
        <w:rPr>
          <w:rFonts w:ascii="Georgia" w:eastAsia="Calibri" w:hAnsi="Georgia"/>
          <w:b/>
          <w:sz w:val="18"/>
          <w:szCs w:val="20"/>
          <w:shd w:val="clear" w:color="auto" w:fill="FFFFFF"/>
          <w:rtl/>
        </w:rPr>
        <w:t>). ולבסוף, צבירה של נכסים משפחתיים יכולה גם להשפיע על רווחת הילדים המשתייכים למשק הבית. במקרים רבים, משפחות חסרות נכסים או בעלות היקף נכסים מצומצם עלולות להתמודד עם קשיים הקשורים להזנה, לבריאות ולהשכלה של ילדיהן. קשיים אלו עלולים לגרום להשלכות חמורות על המוביליות החברתית והכלכלית של הילדים ועל רווחתם בעתיד (</w:t>
      </w:r>
      <w:r w:rsidRPr="004618F7">
        <w:rPr>
          <w:rFonts w:ascii="Georgia" w:eastAsia="Calibri" w:hAnsi="Georgia"/>
          <w:sz w:val="18"/>
          <w:szCs w:val="20"/>
          <w:lang w:bidi="ar-SA"/>
        </w:rPr>
        <w:t xml:space="preserve">Boehm &amp; </w:t>
      </w:r>
      <w:proofErr w:type="spellStart"/>
      <w:r w:rsidRPr="004618F7">
        <w:rPr>
          <w:rFonts w:ascii="Georgia" w:eastAsia="Calibri" w:hAnsi="Georgia"/>
          <w:sz w:val="18"/>
          <w:szCs w:val="20"/>
          <w:lang w:bidi="ar-SA"/>
        </w:rPr>
        <w:t>Schlottmann</w:t>
      </w:r>
      <w:proofErr w:type="spellEnd"/>
      <w:r w:rsidRPr="004618F7">
        <w:rPr>
          <w:rFonts w:ascii="Georgia" w:eastAsia="Calibri" w:hAnsi="Georgia"/>
          <w:sz w:val="18"/>
          <w:szCs w:val="20"/>
          <w:lang w:bidi="ar-SA"/>
        </w:rPr>
        <w:t>, 1999; Green &amp; White, 1997; Shanks, 2007</w:t>
      </w:r>
      <w:r w:rsidRPr="004618F7">
        <w:rPr>
          <w:rFonts w:ascii="Georgia" w:eastAsia="Calibri" w:hAnsi="Georgia"/>
          <w:b/>
          <w:sz w:val="18"/>
          <w:szCs w:val="20"/>
          <w:shd w:val="clear" w:color="auto" w:fill="FFFFFF"/>
          <w:rtl/>
        </w:rPr>
        <w:t xml:space="preserve">). בכיוון ההפוך, ממצאי מחקרים הראו כי יש קשר בין בעלות על היקף רב יותר של נכסים פיננסיים ולא פיננסיים של משקי בית לבין הישגים אקדמיים </w:t>
      </w:r>
      <w:r w:rsidRPr="00F007B2">
        <w:rPr>
          <w:rFonts w:ascii="Georgia" w:eastAsia="Calibri" w:hAnsi="Georgia"/>
          <w:b/>
          <w:spacing w:val="-2"/>
          <w:sz w:val="18"/>
          <w:szCs w:val="20"/>
          <w:shd w:val="clear" w:color="auto" w:fill="FFFFFF"/>
          <w:rtl/>
        </w:rPr>
        <w:t>גבוהים יותר של הילדים המשתייכים אליהם (</w:t>
      </w:r>
      <w:r w:rsidRPr="00F007B2">
        <w:rPr>
          <w:rFonts w:ascii="Georgia" w:eastAsia="Calibri" w:hAnsi="Georgia"/>
          <w:spacing w:val="-2"/>
          <w:sz w:val="18"/>
          <w:szCs w:val="20"/>
          <w:lang w:bidi="ar-SA"/>
        </w:rPr>
        <w:t xml:space="preserve">Elliott et al., 2011; </w:t>
      </w:r>
      <w:proofErr w:type="spellStart"/>
      <w:r w:rsidRPr="00F007B2">
        <w:rPr>
          <w:rFonts w:ascii="Georgia" w:eastAsia="Calibri" w:hAnsi="Georgia"/>
          <w:spacing w:val="-2"/>
          <w:sz w:val="18"/>
          <w:szCs w:val="20"/>
          <w:lang w:bidi="ar-SA"/>
        </w:rPr>
        <w:t>Haurin</w:t>
      </w:r>
      <w:proofErr w:type="spellEnd"/>
      <w:r w:rsidRPr="00F007B2">
        <w:rPr>
          <w:rFonts w:ascii="Georgia" w:eastAsia="Calibri" w:hAnsi="Georgia"/>
          <w:spacing w:val="-2"/>
          <w:sz w:val="18"/>
          <w:szCs w:val="20"/>
          <w:lang w:bidi="ar-SA"/>
        </w:rPr>
        <w:t xml:space="preserve"> et al., 2002; Kim &amp; </w:t>
      </w:r>
      <w:proofErr w:type="spellStart"/>
      <w:r w:rsidRPr="00F007B2">
        <w:rPr>
          <w:rFonts w:ascii="Georgia" w:eastAsia="Calibri" w:hAnsi="Georgia"/>
          <w:spacing w:val="-2"/>
          <w:sz w:val="18"/>
          <w:szCs w:val="20"/>
          <w:lang w:bidi="ar-SA"/>
        </w:rPr>
        <w:t>Sherraden</w:t>
      </w:r>
      <w:proofErr w:type="spellEnd"/>
      <w:r w:rsidRPr="00F007B2">
        <w:rPr>
          <w:rFonts w:ascii="Georgia" w:eastAsia="Calibri" w:hAnsi="Georgia"/>
          <w:spacing w:val="-2"/>
          <w:sz w:val="18"/>
          <w:szCs w:val="20"/>
          <w:lang w:bidi="ar-SA"/>
        </w:rPr>
        <w:t xml:space="preserve">, 2011; Shanks &amp; Destin, 2009; Zhan, 2006; Zhan &amp; </w:t>
      </w:r>
      <w:proofErr w:type="spellStart"/>
      <w:r w:rsidRPr="00F007B2">
        <w:rPr>
          <w:rFonts w:ascii="Georgia" w:eastAsia="Calibri" w:hAnsi="Georgia"/>
          <w:spacing w:val="-2"/>
          <w:sz w:val="18"/>
          <w:szCs w:val="20"/>
          <w:lang w:bidi="ar-SA"/>
        </w:rPr>
        <w:t>Sherraden</w:t>
      </w:r>
      <w:proofErr w:type="spellEnd"/>
      <w:r w:rsidRPr="00F007B2">
        <w:rPr>
          <w:rFonts w:ascii="Georgia" w:eastAsia="Calibri" w:hAnsi="Georgia"/>
          <w:spacing w:val="-2"/>
          <w:sz w:val="18"/>
          <w:szCs w:val="20"/>
          <w:lang w:bidi="ar-SA"/>
        </w:rPr>
        <w:t>, 2003</w:t>
      </w:r>
      <w:r w:rsidRPr="00F007B2">
        <w:rPr>
          <w:rFonts w:ascii="Georgia" w:eastAsia="Calibri" w:hAnsi="Georgia"/>
          <w:b/>
          <w:spacing w:val="-2"/>
          <w:sz w:val="18"/>
          <w:szCs w:val="20"/>
          <w:shd w:val="clear" w:color="auto" w:fill="FFFFFF"/>
          <w:rtl/>
        </w:rPr>
        <w:t>).</w:t>
      </w:r>
    </w:p>
    <w:p w14:paraId="19B11481" w14:textId="77777777" w:rsidR="00CB1A04" w:rsidRPr="007F3859" w:rsidRDefault="00CB1A04" w:rsidP="00CB1A04">
      <w:pPr>
        <w:spacing w:after="180" w:line="280" w:lineRule="exact"/>
        <w:jc w:val="both"/>
        <w:rPr>
          <w:rFonts w:eastAsia="Calibri"/>
          <w:b/>
          <w:sz w:val="18"/>
          <w:szCs w:val="20"/>
          <w:shd w:val="clear" w:color="auto" w:fill="FFFFFF"/>
          <w:rtl/>
        </w:rPr>
      </w:pPr>
    </w:p>
    <w:p w14:paraId="396C5D63" w14:textId="77777777" w:rsidR="00CB1A04" w:rsidRPr="007A6EAC" w:rsidRDefault="00CB1A04" w:rsidP="00CB1A04">
      <w:pPr>
        <w:pStyle w:val="KOT5"/>
        <w:spacing w:after="0"/>
        <w:ind w:right="0"/>
        <w:outlineLvl w:val="2"/>
        <w:rPr>
          <w:rFonts w:cs="Guttman Aharoni"/>
          <w:color w:val="00B0F0"/>
          <w:rtl/>
        </w:rPr>
      </w:pPr>
      <w:r w:rsidRPr="007A6EAC">
        <w:rPr>
          <w:rFonts w:cs="Guttman Aharoni" w:hint="cs"/>
          <w:color w:val="00B0F0"/>
          <w:rtl/>
        </w:rPr>
        <w:t>תוכניות חיסכון לפיתוח נכסים לילדים</w:t>
      </w:r>
    </w:p>
    <w:p w14:paraId="0D4769DC" w14:textId="77777777" w:rsidR="00CB1A04" w:rsidRPr="004618F7" w:rsidRDefault="00CB1A04" w:rsidP="00CB1A04">
      <w:pPr>
        <w:spacing w:after="180" w:line="280" w:lineRule="exact"/>
        <w:jc w:val="both"/>
        <w:rPr>
          <w:rFonts w:ascii="Georgia" w:hAnsi="Georgia"/>
          <w:sz w:val="18"/>
          <w:szCs w:val="20"/>
          <w:rtl/>
        </w:rPr>
      </w:pPr>
      <w:r w:rsidRPr="004618F7">
        <w:rPr>
          <w:rFonts w:ascii="Georgia" w:hAnsi="Georgia"/>
          <w:sz w:val="18"/>
          <w:szCs w:val="20"/>
          <w:rtl/>
        </w:rPr>
        <w:t>תוכניות חיסכון לפיתוח נכסים לילדים (</w:t>
      </w:r>
      <w:r w:rsidRPr="004618F7">
        <w:rPr>
          <w:rFonts w:ascii="Georgia" w:hAnsi="Georgia"/>
          <w:sz w:val="18"/>
          <w:szCs w:val="20"/>
        </w:rPr>
        <w:t>CDAs</w:t>
      </w:r>
      <w:r w:rsidRPr="004618F7">
        <w:rPr>
          <w:rFonts w:ascii="Georgia" w:hAnsi="Georgia"/>
          <w:sz w:val="18"/>
          <w:szCs w:val="20"/>
          <w:rtl/>
        </w:rPr>
        <w:t>) יכולות לעודד צבירת נכסים ולחזק את רווחתם הכלכלית של הילדים ומשפחותיהם, משום שהן מתמקדות בעיקר בהשקעות לטווח ארוך בילדים ובתועלות ארוכות הטווח של צבירת נכסים. ככל שהתוכנית נפתחת כשהילדים צעירים יותר, כך הם יוכלו להפיק תועלת רבה יותר מהקרן ומהריבית שיצטברו בה. גם סכומים קטנים שיופקדו בתוכנית בקביעות יוכלו להניב חיסכון ניכר עד שהילדים יגיעו לבגרות. העלאת הסכום שיעמוד לרשותם של הילדים בחיסכון תוכל לשפר במישרין את חייהם בעתיד ותסייע להם ברכישת השכלה גבוהה, בהקמת עסק או בדיור. נוסף על כך, ערכן העולה של תוכניות החיסכון (לדוגמה, ההפקדות הקבועות של הממשלה) יכול לשפר את ציפיותיהם של הילדים ושל ההורים בנוגע לעתיד, ולהקל עליהם את העומס הרגשי והפסיכולוגי הכרוך בהתמודדות כלכלית בבגרות הצעירה. לבסוף, לתוכניות חיסכון לצבירת נכסים יש פוטנציאל לקדם את היכולות והידע הפיננסי של הילדים וגם את המוביליות הכלכלית שלהם, ללא קשר לרקע החברתי-כלכלי שהם באים ממנו (</w:t>
      </w:r>
      <w:r w:rsidRPr="004618F7">
        <w:rPr>
          <w:rFonts w:ascii="Georgia" w:hAnsi="Georgia"/>
          <w:sz w:val="18"/>
          <w:szCs w:val="20"/>
        </w:rPr>
        <w:t>Huang et al., 2013</w:t>
      </w:r>
      <w:r w:rsidRPr="004618F7">
        <w:rPr>
          <w:rFonts w:ascii="Georgia" w:hAnsi="Georgia"/>
          <w:sz w:val="18"/>
          <w:szCs w:val="20"/>
          <w:rtl/>
        </w:rPr>
        <w:t>).</w:t>
      </w:r>
    </w:p>
    <w:p w14:paraId="07B4D246" w14:textId="3C5A72F8" w:rsidR="00CB1A04" w:rsidRPr="004618F7" w:rsidRDefault="00CB1A04" w:rsidP="00CB1A04">
      <w:pPr>
        <w:spacing w:after="180" w:line="280" w:lineRule="exact"/>
        <w:jc w:val="both"/>
        <w:rPr>
          <w:rFonts w:ascii="Georgia" w:hAnsi="Georgia"/>
          <w:sz w:val="18"/>
          <w:szCs w:val="20"/>
          <w:rtl/>
        </w:rPr>
      </w:pPr>
      <w:r w:rsidRPr="004618F7">
        <w:rPr>
          <w:rFonts w:ascii="Georgia" w:hAnsi="Georgia"/>
          <w:sz w:val="18"/>
          <w:szCs w:val="20"/>
          <w:rtl/>
        </w:rPr>
        <w:t>מחקרים שנערכו במדינות שונות הצביעו על תרומתה של התוכנית להתנהגותם של משקי בית. מדינות אחדות אימצו את מדיניות ה-</w:t>
      </w:r>
      <w:r w:rsidRPr="004618F7">
        <w:rPr>
          <w:rFonts w:ascii="Georgia" w:hAnsi="Georgia"/>
          <w:sz w:val="18"/>
          <w:szCs w:val="20"/>
        </w:rPr>
        <w:t>CDA</w:t>
      </w:r>
      <w:r w:rsidRPr="004618F7">
        <w:rPr>
          <w:rFonts w:ascii="Georgia" w:hAnsi="Georgia"/>
          <w:sz w:val="18"/>
          <w:szCs w:val="20"/>
          <w:rtl/>
        </w:rPr>
        <w:t>, ובהן בריטניה,</w:t>
      </w:r>
      <w:r w:rsidRPr="004618F7">
        <w:rPr>
          <w:rFonts w:ascii="Georgia" w:hAnsi="Georgia"/>
          <w:sz w:val="18"/>
          <w:szCs w:val="20"/>
          <w:vertAlign w:val="superscript"/>
          <w:rtl/>
        </w:rPr>
        <w:footnoteReference w:id="10"/>
      </w:r>
      <w:r w:rsidRPr="004618F7">
        <w:rPr>
          <w:rFonts w:ascii="Georgia" w:hAnsi="Georgia"/>
          <w:sz w:val="18"/>
          <w:szCs w:val="20"/>
          <w:rtl/>
        </w:rPr>
        <w:t xml:space="preserve"> קנדה, סינגפור, דרום קוריאה ומדינות רבות בארצות הברית (</w:t>
      </w:r>
      <w:proofErr w:type="spellStart"/>
      <w:r w:rsidRPr="004618F7">
        <w:rPr>
          <w:rFonts w:ascii="Georgia" w:hAnsi="Georgia"/>
          <w:sz w:val="18"/>
          <w:szCs w:val="20"/>
        </w:rPr>
        <w:t>Butrica</w:t>
      </w:r>
      <w:proofErr w:type="spellEnd"/>
      <w:r w:rsidRPr="004618F7">
        <w:rPr>
          <w:rFonts w:ascii="Georgia" w:hAnsi="Georgia"/>
          <w:sz w:val="18"/>
          <w:szCs w:val="20"/>
        </w:rPr>
        <w:t xml:space="preserve">, 2015; Loke &amp; </w:t>
      </w:r>
      <w:proofErr w:type="spellStart"/>
      <w:r w:rsidRPr="004618F7">
        <w:rPr>
          <w:rFonts w:ascii="Georgia" w:hAnsi="Georgia"/>
          <w:sz w:val="18"/>
          <w:szCs w:val="20"/>
        </w:rPr>
        <w:t>Sherraden</w:t>
      </w:r>
      <w:proofErr w:type="spellEnd"/>
      <w:r w:rsidRPr="004618F7">
        <w:rPr>
          <w:rFonts w:ascii="Georgia" w:hAnsi="Georgia"/>
          <w:sz w:val="18"/>
          <w:szCs w:val="20"/>
        </w:rPr>
        <w:t>, 2009</w:t>
      </w:r>
      <w:r w:rsidRPr="004618F7">
        <w:rPr>
          <w:rFonts w:ascii="Georgia" w:hAnsi="Georgia"/>
          <w:sz w:val="18"/>
          <w:szCs w:val="20"/>
          <w:rtl/>
        </w:rPr>
        <w:t xml:space="preserve">). מכיוון </w:t>
      </w:r>
      <w:r w:rsidRPr="004618F7">
        <w:rPr>
          <w:rFonts w:ascii="Georgia" w:hAnsi="Georgia"/>
          <w:sz w:val="18"/>
          <w:szCs w:val="20"/>
          <w:rtl/>
        </w:rPr>
        <w:lastRenderedPageBreak/>
        <w:t xml:space="preserve">שתוכניות </w:t>
      </w:r>
      <w:r w:rsidRPr="004618F7">
        <w:rPr>
          <w:rFonts w:ascii="Georgia" w:hAnsi="Georgia"/>
          <w:sz w:val="18"/>
          <w:szCs w:val="20"/>
        </w:rPr>
        <w:t>CDA</w:t>
      </w:r>
      <w:r w:rsidRPr="004618F7">
        <w:rPr>
          <w:rFonts w:ascii="Georgia" w:hAnsi="Georgia"/>
          <w:sz w:val="18"/>
          <w:szCs w:val="20"/>
          <w:rtl/>
        </w:rPr>
        <w:t xml:space="preserve"> פותחו ומיושמות רק בעשורים האחרונים, העדויות בדבר השפעתן מוגבלות, אולם מעדויות ראשוניות מתוכניות ניסיוניות באוקלהומה, ארצות הברית, עולה שהן נראות מבטיחות. מחקרים מרמזים על השפעות חיוביות של התוכניות על רמת הנכסים בחשבונות בנק המיועדים ללימודים במוסדות ההשכלה הגבוהה (</w:t>
      </w:r>
      <w:r w:rsidRPr="004618F7">
        <w:rPr>
          <w:rFonts w:ascii="Georgia" w:hAnsi="Georgia"/>
          <w:sz w:val="18"/>
          <w:szCs w:val="20"/>
        </w:rPr>
        <w:t>Clancy et al., 2016</w:t>
      </w:r>
      <w:r w:rsidRPr="004618F7">
        <w:rPr>
          <w:rFonts w:ascii="Georgia" w:hAnsi="Georgia"/>
          <w:sz w:val="18"/>
          <w:szCs w:val="20"/>
          <w:rtl/>
        </w:rPr>
        <w:t xml:space="preserve">), על ציפיות גבוהות יותר של הורים בנוגע ללימודי הילדים במוסדות להשכלה גבוהה </w:t>
      </w:r>
      <w:r w:rsidR="00ED10AC" w:rsidRPr="004618F7">
        <w:rPr>
          <w:rFonts w:ascii="Georgia" w:hAnsi="Georgia"/>
          <w:sz w:val="18"/>
          <w:szCs w:val="20"/>
          <w:rtl/>
        </w:rPr>
        <w:t>(</w:t>
      </w:r>
      <w:r w:rsidR="00ED10AC" w:rsidRPr="004618F7">
        <w:rPr>
          <w:rFonts w:ascii="Georgia" w:hAnsi="Georgia"/>
          <w:sz w:val="18"/>
          <w:szCs w:val="20"/>
        </w:rPr>
        <w:t>Kim et al., 2015</w:t>
      </w:r>
      <w:r w:rsidR="00ED10AC" w:rsidRPr="004618F7">
        <w:rPr>
          <w:rFonts w:ascii="Georgia" w:hAnsi="Georgia"/>
          <w:sz w:val="18"/>
          <w:szCs w:val="20"/>
          <w:rtl/>
        </w:rPr>
        <w:t>)</w:t>
      </w:r>
      <w:r w:rsidRPr="004618F7">
        <w:rPr>
          <w:rFonts w:ascii="Georgia" w:hAnsi="Georgia"/>
          <w:sz w:val="18"/>
          <w:szCs w:val="20"/>
          <w:rtl/>
        </w:rPr>
        <w:t>, על תסמיני דיכאון מעטים יותר (</w:t>
      </w:r>
      <w:r w:rsidRPr="004618F7">
        <w:rPr>
          <w:rFonts w:ascii="Georgia" w:hAnsi="Georgia"/>
          <w:sz w:val="18"/>
          <w:szCs w:val="20"/>
        </w:rPr>
        <w:t xml:space="preserve">Huang, Kim, et al., 2014; Huang, </w:t>
      </w:r>
      <w:proofErr w:type="spellStart"/>
      <w:r w:rsidRPr="004618F7">
        <w:rPr>
          <w:rFonts w:ascii="Georgia" w:hAnsi="Georgia"/>
          <w:sz w:val="18"/>
          <w:szCs w:val="20"/>
        </w:rPr>
        <w:t>Sherraden</w:t>
      </w:r>
      <w:proofErr w:type="spellEnd"/>
      <w:r w:rsidRPr="004618F7">
        <w:rPr>
          <w:rFonts w:ascii="Georgia" w:hAnsi="Georgia"/>
          <w:sz w:val="18"/>
          <w:szCs w:val="20"/>
        </w:rPr>
        <w:t>, et al., 2014</w:t>
      </w:r>
      <w:r w:rsidRPr="004618F7">
        <w:rPr>
          <w:rFonts w:ascii="Georgia" w:hAnsi="Georgia"/>
          <w:sz w:val="18"/>
          <w:szCs w:val="20"/>
          <w:rtl/>
        </w:rPr>
        <w:t>), היקף מצומצם יותר של ענישה הורית (</w:t>
      </w:r>
      <w:r w:rsidRPr="004618F7">
        <w:rPr>
          <w:rFonts w:ascii="Georgia" w:hAnsi="Georgia"/>
          <w:sz w:val="18"/>
          <w:szCs w:val="20"/>
        </w:rPr>
        <w:t>Huang et al., 2019</w:t>
      </w:r>
      <w:r w:rsidRPr="004618F7">
        <w:rPr>
          <w:rFonts w:ascii="Georgia" w:hAnsi="Georgia"/>
          <w:sz w:val="18"/>
          <w:szCs w:val="20"/>
          <w:rtl/>
        </w:rPr>
        <w:t>) ו</w:t>
      </w:r>
      <w:r w:rsidR="003273F1" w:rsidRPr="004618F7">
        <w:rPr>
          <w:rFonts w:ascii="Georgia" w:hAnsi="Georgia"/>
          <w:sz w:val="18"/>
          <w:szCs w:val="20"/>
          <w:rtl/>
        </w:rPr>
        <w:t xml:space="preserve">על </w:t>
      </w:r>
      <w:r w:rsidRPr="004618F7">
        <w:rPr>
          <w:rFonts w:ascii="Georgia" w:hAnsi="Georgia"/>
          <w:sz w:val="18"/>
          <w:szCs w:val="20"/>
          <w:rtl/>
        </w:rPr>
        <w:t>רמות גבוהות יותר של התפתחות רגשית-חברתית בקרב ילדים במשפחות מעוטות יכולת (</w:t>
      </w:r>
      <w:r w:rsidRPr="004618F7">
        <w:rPr>
          <w:rFonts w:ascii="Georgia" w:hAnsi="Georgia"/>
          <w:sz w:val="18"/>
          <w:szCs w:val="20"/>
        </w:rPr>
        <w:t xml:space="preserve">Huang et al., 2017; Huang, </w:t>
      </w:r>
      <w:proofErr w:type="spellStart"/>
      <w:r w:rsidRPr="004618F7">
        <w:rPr>
          <w:rFonts w:ascii="Georgia" w:hAnsi="Georgia"/>
          <w:sz w:val="18"/>
          <w:szCs w:val="20"/>
        </w:rPr>
        <w:t>Sherraden</w:t>
      </w:r>
      <w:proofErr w:type="spellEnd"/>
      <w:r w:rsidRPr="004618F7">
        <w:rPr>
          <w:rFonts w:ascii="Georgia" w:hAnsi="Georgia"/>
          <w:sz w:val="18"/>
          <w:szCs w:val="20"/>
        </w:rPr>
        <w:t>, et al., 2014</w:t>
      </w:r>
      <w:r w:rsidRPr="004618F7">
        <w:rPr>
          <w:rFonts w:ascii="Georgia" w:hAnsi="Georgia"/>
          <w:sz w:val="18"/>
          <w:szCs w:val="20"/>
          <w:rtl/>
        </w:rPr>
        <w:t>).</w:t>
      </w:r>
      <w:r w:rsidRPr="004618F7">
        <w:rPr>
          <w:rFonts w:ascii="Georgia" w:hAnsi="Georgia"/>
          <w:sz w:val="18"/>
          <w:szCs w:val="20"/>
          <w:vertAlign w:val="superscript"/>
          <w:rtl/>
        </w:rPr>
        <w:footnoteReference w:id="11"/>
      </w:r>
      <w:r w:rsidRPr="004618F7">
        <w:rPr>
          <w:rFonts w:ascii="Georgia" w:hAnsi="Georgia"/>
          <w:sz w:val="18"/>
          <w:szCs w:val="20"/>
          <w:rtl/>
        </w:rPr>
        <w:t xml:space="preserve"> </w:t>
      </w:r>
    </w:p>
    <w:p w14:paraId="3EF3877E" w14:textId="6FC20FDC" w:rsidR="00CB1A04" w:rsidRPr="004618F7" w:rsidRDefault="00CB1A04" w:rsidP="00351AF7">
      <w:pPr>
        <w:spacing w:after="180" w:line="280" w:lineRule="exact"/>
        <w:jc w:val="both"/>
        <w:rPr>
          <w:rFonts w:ascii="Georgia" w:hAnsi="Georgia"/>
          <w:sz w:val="18"/>
          <w:szCs w:val="20"/>
          <w:rtl/>
        </w:rPr>
      </w:pPr>
      <w:r w:rsidRPr="004618F7">
        <w:rPr>
          <w:rFonts w:ascii="Georgia" w:hAnsi="Georgia"/>
          <w:sz w:val="18"/>
          <w:szCs w:val="20"/>
          <w:rtl/>
        </w:rPr>
        <w:t>מחקרים אח</w:t>
      </w:r>
      <w:r w:rsidR="003273F1" w:rsidRPr="004618F7">
        <w:rPr>
          <w:rFonts w:ascii="Georgia" w:hAnsi="Georgia"/>
          <w:sz w:val="18"/>
          <w:szCs w:val="20"/>
          <w:rtl/>
        </w:rPr>
        <w:t>דים</w:t>
      </w:r>
      <w:r w:rsidRPr="004618F7">
        <w:rPr>
          <w:rFonts w:ascii="Georgia" w:hAnsi="Georgia"/>
          <w:sz w:val="18"/>
          <w:szCs w:val="20"/>
          <w:rtl/>
        </w:rPr>
        <w:t xml:space="preserve"> התמקדו בהסברים בדבר אופי ההשתתפות בתוכנית. למשל, מחקר שבדק את הקשר בין מאפייני משק הבית לבין השתתפות בתוכניות </w:t>
      </w:r>
      <w:r w:rsidRPr="004618F7">
        <w:rPr>
          <w:rFonts w:ascii="Georgia" w:hAnsi="Georgia"/>
          <w:sz w:val="18"/>
          <w:szCs w:val="20"/>
        </w:rPr>
        <w:t>CDA</w:t>
      </w:r>
      <w:r w:rsidRPr="004618F7">
        <w:rPr>
          <w:rFonts w:ascii="Georgia" w:hAnsi="Georgia"/>
          <w:sz w:val="18"/>
          <w:szCs w:val="20"/>
          <w:rtl/>
        </w:rPr>
        <w:t xml:space="preserve"> הראה שהשתתפות פעילה יותר מיוחסת לגזע או למוצא עדתי (</w:t>
      </w:r>
      <w:r w:rsidRPr="004618F7">
        <w:rPr>
          <w:rFonts w:ascii="Georgia" w:hAnsi="Georgia"/>
          <w:sz w:val="18"/>
          <w:szCs w:val="20"/>
        </w:rPr>
        <w:t>Zager et al., 2010</w:t>
      </w:r>
      <w:r w:rsidRPr="004618F7">
        <w:rPr>
          <w:rFonts w:ascii="Georgia" w:hAnsi="Georgia"/>
          <w:sz w:val="18"/>
          <w:szCs w:val="20"/>
          <w:rtl/>
        </w:rPr>
        <w:t>). מחקרים אחרים הראו זיקה להשכלת ההורים (</w:t>
      </w:r>
      <w:proofErr w:type="spellStart"/>
      <w:r w:rsidR="003273F1" w:rsidRPr="004618F7">
        <w:rPr>
          <w:rFonts w:ascii="Georgia" w:hAnsi="Georgia"/>
          <w:sz w:val="18"/>
          <w:szCs w:val="20"/>
        </w:rPr>
        <w:t>Frenette</w:t>
      </w:r>
      <w:proofErr w:type="spellEnd"/>
      <w:r w:rsidR="003273F1" w:rsidRPr="004618F7">
        <w:rPr>
          <w:rFonts w:ascii="Georgia" w:hAnsi="Georgia"/>
          <w:sz w:val="18"/>
          <w:szCs w:val="20"/>
        </w:rPr>
        <w:t xml:space="preserve">, 2017; </w:t>
      </w:r>
      <w:r w:rsidRPr="004618F7">
        <w:rPr>
          <w:rFonts w:ascii="Georgia" w:hAnsi="Georgia"/>
          <w:sz w:val="18"/>
          <w:szCs w:val="20"/>
        </w:rPr>
        <w:t>Huang et al., 2013</w:t>
      </w:r>
      <w:r w:rsidRPr="004618F7">
        <w:rPr>
          <w:rFonts w:ascii="Georgia" w:hAnsi="Georgia"/>
          <w:sz w:val="18"/>
          <w:szCs w:val="20"/>
          <w:rtl/>
        </w:rPr>
        <w:t>), לגובה ההכנסה ולהיקף ושווי הנכסים של משק הבית (</w:t>
      </w:r>
      <w:r w:rsidRPr="004618F7">
        <w:rPr>
          <w:rFonts w:ascii="Georgia" w:hAnsi="Georgia"/>
          <w:sz w:val="18"/>
          <w:szCs w:val="20"/>
        </w:rPr>
        <w:t xml:space="preserve">Han &amp; Chia, 2012; </w:t>
      </w:r>
      <w:proofErr w:type="spellStart"/>
      <w:r w:rsidRPr="004618F7">
        <w:rPr>
          <w:rFonts w:ascii="Georgia" w:hAnsi="Georgia"/>
          <w:sz w:val="18"/>
          <w:szCs w:val="20"/>
        </w:rPr>
        <w:t>Kempson</w:t>
      </w:r>
      <w:proofErr w:type="spellEnd"/>
      <w:r w:rsidRPr="004618F7">
        <w:rPr>
          <w:rFonts w:ascii="Georgia" w:hAnsi="Georgia"/>
          <w:sz w:val="18"/>
          <w:szCs w:val="20"/>
        </w:rPr>
        <w:t xml:space="preserve"> et al., 2011; Zager et al., 2010</w:t>
      </w:r>
      <w:r w:rsidRPr="004618F7">
        <w:rPr>
          <w:rFonts w:ascii="Georgia" w:hAnsi="Georgia"/>
          <w:sz w:val="18"/>
          <w:szCs w:val="20"/>
          <w:rtl/>
        </w:rPr>
        <w:t xml:space="preserve">). </w:t>
      </w:r>
    </w:p>
    <w:p w14:paraId="1FA1D23B" w14:textId="77777777" w:rsidR="00CB1A04" w:rsidRPr="007F3859" w:rsidRDefault="00CB1A04" w:rsidP="00CB1A04">
      <w:pPr>
        <w:spacing w:after="180" w:line="280" w:lineRule="exact"/>
        <w:jc w:val="both"/>
        <w:rPr>
          <w:b/>
          <w:bCs/>
          <w:sz w:val="18"/>
          <w:szCs w:val="20"/>
        </w:rPr>
      </w:pPr>
    </w:p>
    <w:p w14:paraId="1E0AD2AA" w14:textId="77777777" w:rsidR="00CB1A04" w:rsidRPr="007F3859" w:rsidRDefault="00CB1A04" w:rsidP="00CB1A04">
      <w:pPr>
        <w:spacing w:after="180" w:line="280" w:lineRule="exact"/>
        <w:jc w:val="both"/>
        <w:rPr>
          <w:b/>
          <w:bCs/>
          <w:sz w:val="18"/>
          <w:szCs w:val="20"/>
          <w:rtl/>
        </w:rPr>
      </w:pPr>
    </w:p>
    <w:p w14:paraId="20408433"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Pr="007A6EAC">
        <w:rPr>
          <w:rFonts w:cs="Guttman Aharoni"/>
          <w:color w:val="00B0F0"/>
          <w:sz w:val="32"/>
          <w:szCs w:val="32"/>
          <w:rtl/>
        </w:rPr>
        <w:t>חיסכון לכל ילד:</w:t>
      </w:r>
      <w:r w:rsidRPr="007A6EAC">
        <w:rPr>
          <w:rFonts w:cs="Guttman Aharoni" w:hint="cs"/>
          <w:color w:val="00B0F0"/>
          <w:sz w:val="32"/>
          <w:szCs w:val="32"/>
          <w:rtl/>
        </w:rPr>
        <w:t xml:space="preserve"> התוכנית הישראלית</w:t>
      </w:r>
    </w:p>
    <w:p w14:paraId="661C5418" w14:textId="77777777" w:rsidR="00CB1A04" w:rsidRPr="007F3859" w:rsidRDefault="00CB1A04" w:rsidP="00CB1A04">
      <w:pPr>
        <w:spacing w:after="180" w:line="280" w:lineRule="exact"/>
        <w:jc w:val="both"/>
        <w:rPr>
          <w:sz w:val="18"/>
          <w:szCs w:val="20"/>
          <w:rtl/>
        </w:rPr>
      </w:pPr>
      <w:r w:rsidRPr="007F3859">
        <w:rPr>
          <w:rFonts w:hint="cs"/>
          <w:sz w:val="18"/>
          <w:szCs w:val="20"/>
          <w:rtl/>
        </w:rPr>
        <w:t xml:space="preserve">מתוך מודעות לחשיבותו של החיסכון, וכדי לפעול </w:t>
      </w:r>
      <w:r w:rsidRPr="007F3859">
        <w:rPr>
          <w:sz w:val="18"/>
          <w:szCs w:val="20"/>
          <w:rtl/>
        </w:rPr>
        <w:t>לניתוק הקשר בין ההזדמנויות הכלכליות של ההורים לאלה העתידיות של ילדיהם</w:t>
      </w:r>
      <w:r w:rsidRPr="007F3859">
        <w:rPr>
          <w:rFonts w:hint="cs"/>
          <w:sz w:val="18"/>
          <w:szCs w:val="20"/>
          <w:rtl/>
        </w:rPr>
        <w:t>, יישמה הממשלה בישראל בינואר 2017 את תוכנית חיסכון לכל ילד.</w:t>
      </w:r>
      <w:r w:rsidRPr="00FE5B5E">
        <w:rPr>
          <w:sz w:val="18"/>
          <w:szCs w:val="20"/>
          <w:vertAlign w:val="superscript"/>
          <w:rtl/>
        </w:rPr>
        <w:footnoteReference w:id="12"/>
      </w:r>
      <w:r w:rsidRPr="007F3859">
        <w:rPr>
          <w:rFonts w:hint="cs"/>
          <w:sz w:val="18"/>
          <w:szCs w:val="20"/>
          <w:rtl/>
        </w:rPr>
        <w:t xml:space="preserve"> באמצעות התוכנית, המוסד לביטוח לאומי מבצע הפקדות חודשיות בסך 51 שקלים (50 שקלים לפני ינואר 2019) בתוכניות חיסכון לכל ילדי ישראל עד גיל 18. כל ילד נרשם אוטומטית לתוכנית כברירת מחדל, וזוכה להפקדות חודשיות בסך 51 שקלים מהמוסד לביטוח לאומי. ההורים יכולים גם לבחור לרשום באופן פעיל את ילדם לתוכנית, ולא לסמוך על אפשרויות ההצטרפות כברירת מחדל. אם ההורים בוחרים לרשום את ילדיהם לתוכנית באופן פעיל, הם יכולים לבחור מתוך שתי אפשרויות נוספות: האחת, ההורים יכולים להפקיד סכום נוסף של 51 שקלים מקצבת הילדים החודשית שלהם </w:t>
      </w:r>
      <w:r w:rsidRPr="007F3859">
        <w:rPr>
          <w:sz w:val="18"/>
          <w:szCs w:val="20"/>
          <w:rtl/>
        </w:rPr>
        <w:t>–</w:t>
      </w:r>
      <w:r w:rsidRPr="007F3859">
        <w:rPr>
          <w:rFonts w:hint="cs"/>
          <w:sz w:val="18"/>
          <w:szCs w:val="20"/>
          <w:rtl/>
        </w:rPr>
        <w:t xml:space="preserve"> תשלום ממשלתי נפרד המבוצע לזכות ההורים עבור כל ילד </w:t>
      </w:r>
      <w:r w:rsidRPr="007F3859">
        <w:rPr>
          <w:sz w:val="18"/>
          <w:szCs w:val="20"/>
          <w:rtl/>
        </w:rPr>
        <w:t>–</w:t>
      </w:r>
      <w:r w:rsidRPr="007F3859">
        <w:rPr>
          <w:rFonts w:hint="cs"/>
          <w:sz w:val="18"/>
          <w:szCs w:val="20"/>
          <w:rtl/>
        </w:rPr>
        <w:t xml:space="preserve"> בתוכנית החיסכון של הילד, וכך להוריד את תשלומי הקצבה של ילדיהם ולהעלות את ההפקדות החודשיות לתוכנית לסכום של 102 שקלים. האחרת, ההורים יכולים לבחור את אפיק החיסכון שבו יפקיד המוסד לביטוח לאומי את הכספים של התוכנית, כולל חשבונות בנק או אחת מכמה קרנות השקעה. חסכונות בחשבונות בנק </w:t>
      </w:r>
      <w:r w:rsidRPr="007F3859">
        <w:rPr>
          <w:rFonts w:hint="cs"/>
          <w:sz w:val="18"/>
          <w:szCs w:val="20"/>
          <w:rtl/>
        </w:rPr>
        <w:lastRenderedPageBreak/>
        <w:t xml:space="preserve">מתאפיינים בשיעורי ריבית נמוכים יותר, וקרנות השקעה מתאפיינות בדרך כלל בשיעורי תשואה צפויים גבוהים יותר. מתוך קרנות ההשקעה, משקי הבית יכולים לבחור מבין קרנות השקעה בעלות סיכון נמוך, בינוני וגבוה, וכן מבין קרנות השקעה שריעה והלכתית, הנמצאות </w:t>
      </w:r>
      <w:r w:rsidRPr="007F3859">
        <w:rPr>
          <w:sz w:val="18"/>
          <w:szCs w:val="20"/>
          <w:rtl/>
        </w:rPr>
        <w:t>בפיקוח דתי</w:t>
      </w:r>
      <w:r w:rsidRPr="007F3859">
        <w:rPr>
          <w:rFonts w:hint="cs"/>
          <w:sz w:val="18"/>
          <w:szCs w:val="20"/>
          <w:rtl/>
        </w:rPr>
        <w:t>.</w:t>
      </w:r>
      <w:r w:rsidRPr="00FE5B5E">
        <w:rPr>
          <w:sz w:val="18"/>
          <w:szCs w:val="20"/>
          <w:vertAlign w:val="superscript"/>
          <w:rtl/>
        </w:rPr>
        <w:footnoteReference w:id="13"/>
      </w:r>
      <w:r w:rsidRPr="007F3859">
        <w:rPr>
          <w:rFonts w:hint="cs"/>
          <w:sz w:val="18"/>
          <w:szCs w:val="20"/>
          <w:rtl/>
        </w:rPr>
        <w:t xml:space="preserve"> ילדים שהוריהם אינם בוחרים באופן פעיל להירשם לתוכנית בתוך שישה חודשים מיום לידתם, נרשמים על ידי המדינה לתוכנית ברירת המחדל: הם מקבלים 51 שקלים לחודש מהמוסד לביטוח לאומי, ועשויים להירשם לקרן השקעות בעלת תשואה נמוכה. לבסוף, כל הילדים זוכים לכמה הפקדות נוספות בתוכנית שלהם (255 שקלים בגיל 3, 255 בגיל 13 לבנים ובגיל 12 לבנות, ו-510 שקלים בגיל 21, אם בחרו לא למשוך את החיסכון בגיל 18).</w:t>
      </w:r>
    </w:p>
    <w:p w14:paraId="67D30611" w14:textId="06EEE605" w:rsidR="00CB1A04" w:rsidRPr="007F3859" w:rsidRDefault="00CB1A04" w:rsidP="00CB1A04">
      <w:pPr>
        <w:spacing w:after="180" w:line="280" w:lineRule="exact"/>
        <w:jc w:val="both"/>
        <w:rPr>
          <w:sz w:val="18"/>
          <w:szCs w:val="20"/>
          <w:rtl/>
          <w:lang w:bidi="ar-SA"/>
        </w:rPr>
      </w:pPr>
      <w:r w:rsidRPr="007F3859">
        <w:rPr>
          <w:rFonts w:hint="cs"/>
          <w:sz w:val="18"/>
          <w:szCs w:val="20"/>
          <w:rtl/>
        </w:rPr>
        <w:t>כל הילדים בישראל ירוויחו מתוכנית זו, והתועלות הפיננסיות הצפויות בעתיד עשויות להיות משמעותיות, אך הן תלויות בבחירות של ההורים ושל הילד (כאשר יגיע לבגרות). תרשים 1 מציג את התשואות הצפויות למוטבים בתוכנית, לפי בחירות ההשקעה של ההורים והחלטתם להפקיד סכומים נוספים החל מינואר 2017 (כשהתוכנית יושמה).</w:t>
      </w:r>
      <w:r w:rsidRPr="00FE5B5E">
        <w:rPr>
          <w:sz w:val="18"/>
          <w:szCs w:val="20"/>
          <w:vertAlign w:val="superscript"/>
          <w:rtl/>
        </w:rPr>
        <w:footnoteReference w:id="14"/>
      </w:r>
      <w:r w:rsidRPr="007F3859">
        <w:rPr>
          <w:rFonts w:hint="cs"/>
          <w:sz w:val="18"/>
          <w:szCs w:val="20"/>
          <w:rtl/>
        </w:rPr>
        <w:t xml:space="preserve"> ילדים שהוריהם החליטו להשקיע את כספי התוכנית באופן השמרני ביותר </w:t>
      </w:r>
      <w:r w:rsidRPr="007F3859">
        <w:rPr>
          <w:sz w:val="18"/>
          <w:szCs w:val="20"/>
          <w:rtl/>
        </w:rPr>
        <w:t>–</w:t>
      </w:r>
      <w:r w:rsidRPr="007F3859">
        <w:rPr>
          <w:rFonts w:hint="cs"/>
          <w:sz w:val="18"/>
          <w:szCs w:val="20"/>
          <w:rtl/>
        </w:rPr>
        <w:t xml:space="preserve"> כהפקדות בחשבון חיסכון בבנק, ובחרו שלא להשקיע 50 שקלים נוספים מקצבת הילדים </w:t>
      </w:r>
      <w:r w:rsidRPr="007F3859">
        <w:rPr>
          <w:sz w:val="18"/>
          <w:szCs w:val="20"/>
          <w:rtl/>
        </w:rPr>
        <w:t>–</w:t>
      </w:r>
      <w:r w:rsidRPr="007F3859">
        <w:rPr>
          <w:rFonts w:hint="cs"/>
          <w:sz w:val="18"/>
          <w:szCs w:val="20"/>
          <w:rtl/>
        </w:rPr>
        <w:t xml:space="preserve"> צפויים לקבל </w:t>
      </w:r>
      <w:r w:rsidR="002050DC">
        <w:rPr>
          <w:sz w:val="18"/>
          <w:szCs w:val="20"/>
          <w:rtl/>
        </w:rPr>
        <w:br/>
      </w:r>
      <w:r w:rsidRPr="007F3859">
        <w:rPr>
          <w:rFonts w:hint="cs"/>
          <w:sz w:val="18"/>
          <w:szCs w:val="20"/>
          <w:rtl/>
        </w:rPr>
        <w:t>כ</w:t>
      </w:r>
      <w:r w:rsidR="002050DC" w:rsidRPr="007F3859">
        <w:rPr>
          <w:rFonts w:hint="cs"/>
          <w:sz w:val="18"/>
          <w:szCs w:val="20"/>
          <w:rtl/>
        </w:rPr>
        <w:t>-</w:t>
      </w:r>
      <w:r w:rsidRPr="007F3859">
        <w:rPr>
          <w:rFonts w:hint="cs"/>
          <w:sz w:val="18"/>
          <w:szCs w:val="20"/>
          <w:rtl/>
        </w:rPr>
        <w:t xml:space="preserve">13,300 שקלים אם ימשכו את כספם בגיל 21. ילדים שהוריהם השקיעו באופן לא שמרני </w:t>
      </w:r>
      <w:r w:rsidRPr="007F3859">
        <w:rPr>
          <w:sz w:val="18"/>
          <w:szCs w:val="20"/>
          <w:rtl/>
        </w:rPr>
        <w:t>–</w:t>
      </w:r>
      <w:r w:rsidRPr="007F3859">
        <w:rPr>
          <w:rFonts w:hint="cs"/>
          <w:sz w:val="18"/>
          <w:szCs w:val="20"/>
          <w:rtl/>
        </w:rPr>
        <w:t xml:space="preserve"> הפקדות של 100 שקלים מדי חודש בקרן בעלת תשואה גבוהה </w:t>
      </w:r>
      <w:r w:rsidRPr="007F3859">
        <w:rPr>
          <w:sz w:val="18"/>
          <w:szCs w:val="20"/>
          <w:rtl/>
        </w:rPr>
        <w:t>–</w:t>
      </w:r>
      <w:r w:rsidRPr="007F3859">
        <w:rPr>
          <w:rFonts w:hint="cs"/>
          <w:sz w:val="18"/>
          <w:szCs w:val="20"/>
          <w:rtl/>
        </w:rPr>
        <w:t xml:space="preserve"> צפויים לקבל כ</w:t>
      </w:r>
      <w:r w:rsidR="002050DC" w:rsidRPr="007F3859">
        <w:rPr>
          <w:rFonts w:hint="cs"/>
          <w:sz w:val="18"/>
          <w:szCs w:val="20"/>
          <w:rtl/>
        </w:rPr>
        <w:t>-</w:t>
      </w:r>
      <w:r w:rsidRPr="007F3859">
        <w:rPr>
          <w:rFonts w:hint="cs"/>
          <w:sz w:val="18"/>
          <w:szCs w:val="20"/>
          <w:rtl/>
        </w:rPr>
        <w:t>61,700 שקלים אם ימשכו את כספם בגיל 21.</w:t>
      </w:r>
    </w:p>
    <w:p w14:paraId="77644C69" w14:textId="77777777" w:rsidR="00D23AE9" w:rsidRPr="007F3859" w:rsidRDefault="00D23AE9" w:rsidP="00D23AE9">
      <w:pPr>
        <w:spacing w:after="180" w:line="280" w:lineRule="exact"/>
        <w:jc w:val="both"/>
        <w:rPr>
          <w:rFonts w:eastAsia="Calibri"/>
          <w:sz w:val="18"/>
          <w:szCs w:val="20"/>
          <w:rtl/>
        </w:rPr>
      </w:pPr>
      <w:r w:rsidRPr="007F3859">
        <w:rPr>
          <w:rFonts w:eastAsia="Calibri" w:hint="cs"/>
          <w:sz w:val="18"/>
          <w:szCs w:val="20"/>
          <w:rtl/>
        </w:rPr>
        <w:t>אף שהתוכנית מעודדת את המוטבים לייעד את החסכונות הנצברים בתוכנית ללימודים גבוהים או לדיור, היא אינה מגבילה את השימוש בכספים. התוכנית השתמשה במגוון אמצעים לעידוד השתתפות פעילה של משקי הבית. למשל, במהלך התקופה הראשונה להפעלת התוכנית עודד המוסד לביטוח לאומי את משקי הבית להצטרף באופן פעיל לתוכנית וקידם אותה באמצעות רשתות חברתיות ותקשורת מסורתית, כולל מסעות פרסום ופרסום במקומות שונים (לדוגמה, כרזות של המוסד לביטוח לאומי בבתי חולים). המוסד לביטוח לאומי גם שילב פרסום מקוון עם שיתוף פעולה עם רשויות דתיות כדי לקדם את התוכנית בקרב המגזר החרדי, שהגישה שלו לאמצעים מקוונים נמוכה יותר (בן שחר ולב און, 2013). מאמצים דומים הושקעו כדי להגיע לקהילה הערבית-ישראלית, אם כי הדבר נעשה באמצעות עובדים סוציאליים מקומיים ורשויות מוניציפליות, ולא באמצעות מנהיגים דתיים.</w:t>
      </w:r>
    </w:p>
    <w:p w14:paraId="259CA2DA" w14:textId="0ABE9016" w:rsidR="00CB1A04" w:rsidRPr="002050DC" w:rsidRDefault="00CB1A04" w:rsidP="002050DC">
      <w:pPr>
        <w:pStyle w:val="tab-name"/>
        <w:spacing w:before="300" w:line="260" w:lineRule="exact"/>
        <w:ind w:right="0"/>
        <w:rPr>
          <w:rFonts w:cs="Guttman Aharoni"/>
          <w:color w:val="auto"/>
          <w:sz w:val="20"/>
          <w:szCs w:val="20"/>
          <w:rtl/>
        </w:rPr>
      </w:pPr>
      <w:r w:rsidRPr="002050DC">
        <w:rPr>
          <w:rFonts w:cs="Guttman Aharoni" w:hint="cs"/>
          <w:color w:val="auto"/>
          <w:sz w:val="20"/>
          <w:szCs w:val="20"/>
          <w:rtl/>
        </w:rPr>
        <w:lastRenderedPageBreak/>
        <w:t>תרשים 1: תשואות צפויות מבחירות בהשקעות שונות בתוכנית חיסכון לכל ילד</w:t>
      </w:r>
      <w:r w:rsidR="00156B97" w:rsidRPr="00156B97">
        <w:rPr>
          <w:rFonts w:cs="Guttman Aharoni" w:hint="cs"/>
          <w:color w:val="auto"/>
          <w:sz w:val="20"/>
          <w:szCs w:val="20"/>
          <w:rtl/>
        </w:rPr>
        <w:t>*</w:t>
      </w:r>
      <w:r w:rsidRPr="002050DC">
        <w:rPr>
          <w:rFonts w:cs="Guttman Aharoni"/>
          <w:color w:val="auto"/>
          <w:sz w:val="20"/>
          <w:szCs w:val="20"/>
          <w:rtl/>
        </w:rPr>
        <w:t xml:space="preserve"> </w:t>
      </w:r>
    </w:p>
    <w:p w14:paraId="5DF12755" w14:textId="2AFA58C7" w:rsidR="009F13A2" w:rsidRPr="007F3859" w:rsidRDefault="00130181" w:rsidP="008438E0">
      <w:pPr>
        <w:spacing w:after="60" w:line="240" w:lineRule="atLeast"/>
        <w:jc w:val="both"/>
        <w:rPr>
          <w:noProof/>
          <w:sz w:val="18"/>
          <w:szCs w:val="20"/>
        </w:rPr>
      </w:pPr>
      <w:r>
        <w:rPr>
          <w:noProof/>
          <w:sz w:val="18"/>
          <w:szCs w:val="20"/>
        </w:rPr>
        <w:drawing>
          <wp:inline distT="0" distB="0" distL="0" distR="0" wp14:anchorId="612C949F" wp14:editId="65A76BDA">
            <wp:extent cx="4103370" cy="2463800"/>
            <wp:effectExtent l="0" t="0" r="0" b="0"/>
            <wp:docPr id="4" name="Picture 4" descr="בתרשים מוצגות התשואות הצפויות למוטבים בתוכנית, לפי אפיק ההשקעה שההורים בחרו והחלטתם להפקיד סכומים נוספים החל מינואר 2017 כשהתוכנית יושמה. ילדים שהוריהם החליטו להשקיע את כספי התוכנית באופן השמרני ביותר ,כהפקדות בחשבון חיסכון בבנק, ובחרו שלא להשקיע 50 שקלים נוספים מקצבת הילדים,צפויים לקבל כ 13,300 שקלים אם ימשכו את כספם בגיל 21. ילדים שהוריהם בחרו להשקיע באופן לא שמרני,הפקדות של 100 שקלים מדי חודש בקרן בעלת תשואה גבוהה,צפויים לקבל כ 61,700 שקלים אם ימשכו את כספם בגיל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בתרשים מוצגות התשואות הצפויות למוטבים בתוכנית, לפי אפיק ההשקעה שההורים בחרו והחלטתם להפקיד סכומים נוספים החל מינואר 2017 כשהתוכנית יושמה. ילדים שהוריהם החליטו להשקיע את כספי התוכנית באופן השמרני ביותר ,כהפקדות בחשבון חיסכון בבנק, ובחרו שלא להשקיע 50 שקלים נוספים מקצבת הילדים,צפויים לקבל כ 13,300 שקלים אם ימשכו את כספם בגיל 21. ילדים שהוריהם בחרו להשקיע באופן לא שמרני,הפקדות של 100 שקלים מדי חודש בקרן בעלת תשואה גבוהה,צפויים לקבל כ 61,700 שקלים אם ימשכו את כספם בגיל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03370" cy="2463800"/>
                    </a:xfrm>
                    <a:prstGeom prst="rect">
                      <a:avLst/>
                    </a:prstGeom>
                  </pic:spPr>
                </pic:pic>
              </a:graphicData>
            </a:graphic>
          </wp:inline>
        </w:drawing>
      </w:r>
    </w:p>
    <w:p w14:paraId="05205586" w14:textId="25DC0E17" w:rsidR="00CB1A04" w:rsidRPr="000E2AAB" w:rsidRDefault="008C7A7C" w:rsidP="000E2AAB">
      <w:pPr>
        <w:spacing w:line="200" w:lineRule="exact"/>
        <w:ind w:left="397" w:hanging="397"/>
        <w:jc w:val="both"/>
        <w:rPr>
          <w:rFonts w:eastAsia="Calibri"/>
          <w:i/>
          <w:sz w:val="14"/>
          <w:szCs w:val="16"/>
          <w:rtl/>
        </w:rPr>
      </w:pPr>
      <w:r>
        <w:rPr>
          <w:rFonts w:hint="cs"/>
          <w:b/>
          <w:bCs/>
          <w:i/>
          <w:color w:val="000000"/>
          <w:sz w:val="14"/>
          <w:szCs w:val="16"/>
          <w:rtl/>
        </w:rPr>
        <w:t>*</w:t>
      </w:r>
      <w:r w:rsidR="00CB1A04" w:rsidRPr="000E2AAB">
        <w:rPr>
          <w:rFonts w:hint="cs"/>
          <w:i/>
          <w:color w:val="000000"/>
          <w:sz w:val="14"/>
          <w:szCs w:val="16"/>
          <w:rtl/>
        </w:rPr>
        <w:t xml:space="preserve"> </w:t>
      </w:r>
      <w:r w:rsidR="00156B97" w:rsidRPr="000E2AAB">
        <w:rPr>
          <w:i/>
          <w:color w:val="000000"/>
          <w:sz w:val="14"/>
          <w:szCs w:val="16"/>
          <w:rtl/>
        </w:rPr>
        <w:tab/>
      </w:r>
      <w:r w:rsidR="00CB1A04" w:rsidRPr="000E2AAB">
        <w:rPr>
          <w:rFonts w:hint="cs"/>
          <w:i/>
          <w:color w:val="000000"/>
          <w:sz w:val="14"/>
          <w:szCs w:val="16"/>
          <w:rtl/>
        </w:rPr>
        <w:t>תרשים זה מציג את הערך העתידי הצפוי של חשבונות התוכנית חיסכון לכל ילד לכל ילד ישראלי בעת משיכת</w:t>
      </w:r>
      <w:r w:rsidR="009F13A2" w:rsidRPr="000E2AAB">
        <w:rPr>
          <w:rFonts w:hint="cs"/>
          <w:i/>
          <w:color w:val="000000"/>
          <w:sz w:val="14"/>
          <w:szCs w:val="16"/>
          <w:rtl/>
        </w:rPr>
        <w:t xml:space="preserve"> </w:t>
      </w:r>
      <w:r w:rsidR="00CB1A04" w:rsidRPr="000E2AAB">
        <w:rPr>
          <w:rFonts w:hint="cs"/>
          <w:i/>
          <w:color w:val="000000"/>
          <w:sz w:val="14"/>
          <w:szCs w:val="16"/>
          <w:rtl/>
        </w:rPr>
        <w:t>הכספים. ההנחה מבוססת על מבנה התוכנית נכון ל-1 בינואר 2017, ועל תנאי שוק נורמליים ותשואות ממוצעות מכל סוג חשבון המופיע ב</w:t>
      </w:r>
      <w:hyperlink r:id="rId9" w:history="1">
        <w:r w:rsidR="00CB1A04" w:rsidRPr="000E2AAB">
          <w:rPr>
            <w:rStyle w:val="Hyperlink"/>
            <w:rFonts w:hint="cs"/>
            <w:i/>
            <w:sz w:val="14"/>
            <w:szCs w:val="16"/>
            <w:rtl/>
          </w:rPr>
          <w:t>אתר הביטוח הלאומי</w:t>
        </w:r>
      </w:hyperlink>
      <w:r w:rsidR="00502134" w:rsidRPr="000E2AAB">
        <w:rPr>
          <w:rFonts w:hint="cs"/>
          <w:i/>
          <w:sz w:val="14"/>
          <w:szCs w:val="16"/>
          <w:rtl/>
        </w:rPr>
        <w:t>,</w:t>
      </w:r>
      <w:r w:rsidR="00502134" w:rsidRPr="000E2AAB">
        <w:rPr>
          <w:rFonts w:hint="cs"/>
          <w:i/>
          <w:color w:val="000000"/>
          <w:sz w:val="14"/>
          <w:szCs w:val="16"/>
          <w:rtl/>
        </w:rPr>
        <w:t xml:space="preserve"> </w:t>
      </w:r>
      <w:r w:rsidR="00CB1A04" w:rsidRPr="000E2AAB">
        <w:rPr>
          <w:rFonts w:hint="cs"/>
          <w:i/>
          <w:color w:val="000000"/>
          <w:sz w:val="14"/>
          <w:szCs w:val="16"/>
          <w:rtl/>
        </w:rPr>
        <w:t xml:space="preserve">שיעורי הריבית המוצגים מבוססים על שיעורי הריבית במאי 2018. הקווים הרציפים מייצגים השקעות עם הפקדות חודשיות נוספות של 50 שקלים, והקווים המקווקוים מייצגים השקעות ללא הפקדות נוספות. </w:t>
      </w:r>
      <w:r w:rsidR="00480439" w:rsidRPr="000E2AAB">
        <w:rPr>
          <w:rFonts w:hint="cs"/>
          <w:i/>
          <w:color w:val="000000"/>
          <w:sz w:val="14"/>
          <w:szCs w:val="16"/>
          <w:rtl/>
        </w:rPr>
        <w:t xml:space="preserve">לא מוצג </w:t>
      </w:r>
      <w:r w:rsidR="00CB1A04" w:rsidRPr="000E2AAB">
        <w:rPr>
          <w:rFonts w:hint="cs"/>
          <w:i/>
          <w:color w:val="000000"/>
          <w:sz w:val="14"/>
          <w:szCs w:val="16"/>
          <w:rtl/>
        </w:rPr>
        <w:t xml:space="preserve">צפי </w:t>
      </w:r>
      <w:r w:rsidR="00480439" w:rsidRPr="000E2AAB">
        <w:rPr>
          <w:rFonts w:hint="cs"/>
          <w:i/>
          <w:color w:val="000000"/>
          <w:sz w:val="14"/>
          <w:szCs w:val="16"/>
          <w:rtl/>
        </w:rPr>
        <w:t>ה</w:t>
      </w:r>
      <w:r w:rsidR="00CB1A04" w:rsidRPr="000E2AAB">
        <w:rPr>
          <w:rFonts w:hint="cs"/>
          <w:i/>
          <w:color w:val="000000"/>
          <w:sz w:val="14"/>
          <w:szCs w:val="16"/>
          <w:rtl/>
        </w:rPr>
        <w:t xml:space="preserve">תשואות של קרנות שריעה, מכיוון שאין בנמצא די </w:t>
      </w:r>
      <w:r w:rsidR="00CB1A04" w:rsidRPr="000E2AAB">
        <w:rPr>
          <w:rFonts w:hint="eastAsia"/>
          <w:i/>
          <w:color w:val="000000"/>
          <w:sz w:val="14"/>
          <w:szCs w:val="16"/>
          <w:rtl/>
        </w:rPr>
        <w:t>מידע</w:t>
      </w:r>
      <w:r w:rsidR="00CB1A04" w:rsidRPr="000E2AAB">
        <w:rPr>
          <w:i/>
          <w:color w:val="000000"/>
          <w:sz w:val="14"/>
          <w:szCs w:val="16"/>
          <w:rtl/>
        </w:rPr>
        <w:t xml:space="preserve"> </w:t>
      </w:r>
      <w:r w:rsidR="00CB1A04" w:rsidRPr="000E2AAB">
        <w:rPr>
          <w:rFonts w:hint="cs"/>
          <w:i/>
          <w:color w:val="000000"/>
          <w:sz w:val="14"/>
          <w:szCs w:val="16"/>
          <w:rtl/>
        </w:rPr>
        <w:t>רטרוספקטיבי כדי לעשות זאת.</w:t>
      </w:r>
    </w:p>
    <w:p w14:paraId="223147D4" w14:textId="12BEBE04" w:rsidR="00CB1A04" w:rsidRDefault="00CB1A04" w:rsidP="00CB1A04">
      <w:pPr>
        <w:spacing w:after="180" w:line="280" w:lineRule="exact"/>
        <w:jc w:val="both"/>
        <w:rPr>
          <w:rFonts w:eastAsia="Calibri"/>
          <w:b/>
          <w:bCs/>
          <w:sz w:val="18"/>
          <w:szCs w:val="20"/>
        </w:rPr>
      </w:pPr>
    </w:p>
    <w:p w14:paraId="3A8C4DD6" w14:textId="77777777" w:rsidR="00D23AE9" w:rsidRPr="007F3859" w:rsidRDefault="00D23AE9" w:rsidP="00CB1A04">
      <w:pPr>
        <w:spacing w:after="180" w:line="280" w:lineRule="exact"/>
        <w:jc w:val="both"/>
        <w:rPr>
          <w:rFonts w:eastAsia="Calibri"/>
          <w:b/>
          <w:bCs/>
          <w:sz w:val="18"/>
          <w:szCs w:val="20"/>
        </w:rPr>
      </w:pPr>
    </w:p>
    <w:p w14:paraId="49D3AC2F"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7A6EAC">
        <w:rPr>
          <w:rFonts w:cs="Guttman Aharoni" w:hint="cs"/>
          <w:color w:val="00B0F0"/>
          <w:sz w:val="32"/>
          <w:szCs w:val="32"/>
          <w:rtl/>
        </w:rPr>
        <w:t>שיטה</w:t>
      </w:r>
    </w:p>
    <w:p w14:paraId="58815B38" w14:textId="77777777" w:rsidR="00CB1A04" w:rsidRPr="007F3859" w:rsidRDefault="00CB1A04" w:rsidP="00CB1A04">
      <w:pPr>
        <w:spacing w:after="180" w:line="280" w:lineRule="exact"/>
        <w:jc w:val="both"/>
        <w:rPr>
          <w:rFonts w:eastAsia="Calibri"/>
          <w:sz w:val="18"/>
          <w:szCs w:val="20"/>
          <w:rtl/>
        </w:rPr>
      </w:pPr>
      <w:r w:rsidRPr="007F3859">
        <w:rPr>
          <w:rFonts w:eastAsia="Calibri" w:hint="cs"/>
          <w:sz w:val="18"/>
          <w:szCs w:val="20"/>
          <w:rtl/>
        </w:rPr>
        <w:t>כדי לנתח בחירות של משקי בית בנוגע לתוכנית חיסכון לכל ילד, השתמשנו בנתוני אוכלוסייה של הביטוח הלאומי. הנתונים נלקחו מתוך רשומות מנהליות של ההשתתפות בתוכנית בששת החודשים הראשונים מאז יישומה, וסופקו על ידי המוסד לביטוח לאומי. המחקר הנוכחי בדק את ההשתתפות בתוכנית במסגרת מבנה התוכנית בתחילת יישומה בינואר 2017. למוסד לביטוח לאומי יש גישה לרשומות ההשתתפות של כל הילדים שהיו זכאים להצטרף לתוכנית, אשר כוללות את כל הילדים הישראלים עד גיל 18 שצורפו לתוכנית באופן אוטומטי (וחלק קטן של צעירים בני 18</w:t>
      </w:r>
      <w:r w:rsidRPr="007F3859">
        <w:rPr>
          <w:rFonts w:eastAsia="Calibri"/>
          <w:sz w:val="18"/>
          <w:szCs w:val="20"/>
          <w:rtl/>
        </w:rPr>
        <w:t>–</w:t>
      </w:r>
      <w:r w:rsidRPr="007F3859">
        <w:rPr>
          <w:rFonts w:eastAsia="Calibri" w:hint="cs"/>
          <w:sz w:val="18"/>
          <w:szCs w:val="20"/>
          <w:rtl/>
        </w:rPr>
        <w:t>19 שנכנסו לתוכנית רק בתקופת ההפעלה הראשונית שלה), והוא אוסף נתונים גם על מגוון מאפיינים של ילדים ומשקי בית, כולל גודל, תכונות דמוגרפיות, רמות ההכנסה ומצב התעסוקה של ההורים.</w:t>
      </w:r>
    </w:p>
    <w:p w14:paraId="75954C81" w14:textId="53F44B9D" w:rsidR="00CB1A04" w:rsidRDefault="00CB1A04" w:rsidP="00CB1A04">
      <w:pPr>
        <w:spacing w:after="180" w:line="280" w:lineRule="exact"/>
        <w:jc w:val="both"/>
        <w:rPr>
          <w:rFonts w:eastAsia="Calibri"/>
          <w:sz w:val="18"/>
          <w:szCs w:val="20"/>
          <w:rtl/>
        </w:rPr>
      </w:pPr>
      <w:r w:rsidRPr="007F3859">
        <w:rPr>
          <w:rFonts w:eastAsia="Calibri" w:hint="cs"/>
          <w:sz w:val="18"/>
          <w:szCs w:val="20"/>
          <w:rtl/>
        </w:rPr>
        <w:lastRenderedPageBreak/>
        <w:t>ביצענו ניתוחי רגרסיה לוגיסטית כדי לבחון את הקשר בין מאפיינים דמוגרפיים ופיננסיים של הילדים ומשקי הבית לבין ההחלטות שקיבלו משקי הבית בנושא תוכנית חיסכון לכל ילד. להלן משוואת המודל:</w:t>
      </w:r>
    </w:p>
    <w:p w14:paraId="7AA218F4" w14:textId="77777777" w:rsidR="00B26A21" w:rsidRPr="00264CE1" w:rsidRDefault="00B26A21" w:rsidP="00B26A21">
      <w:pPr>
        <w:spacing w:line="480" w:lineRule="auto"/>
        <w:ind w:firstLine="720"/>
        <w:contextualSpacing/>
      </w:pPr>
      <m:oMathPara>
        <m:oMath>
          <m:r>
            <w:rPr>
              <w:rFonts w:ascii="Cambria Math" w:eastAsiaTheme="minorEastAsia" w:hAnsi="Cambria Math"/>
              <w:sz w:val="20"/>
              <w:szCs w:val="20"/>
            </w:rPr>
            <m:t>logit (P)</m:t>
          </m:r>
          <m:r>
            <w:rPr>
              <w:rFonts w:ascii="Cambria Math" w:hAnsi="Cambria Math"/>
              <w:sz w:val="20"/>
              <w:szCs w:val="20"/>
            </w:rPr>
            <m:t>=</m:t>
          </m:r>
          <m:r>
            <m:rPr>
              <m:sty m:val="p"/>
            </m:rPr>
            <w:rPr>
              <w:rFonts w:ascii="Cambria Math" w:hAnsi="Cambria Math"/>
              <w:sz w:val="20"/>
              <w:szCs w:val="20"/>
            </w:rPr>
            <m:t>log⁡</m:t>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P</m:t>
              </m:r>
            </m:num>
            <m:den>
              <m:r>
                <w:rPr>
                  <w:rFonts w:ascii="Cambria Math" w:hAnsi="Cambria Math"/>
                  <w:sz w:val="20"/>
                  <w:szCs w:val="20"/>
                </w:rPr>
                <m:t>1-P</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ij</m:t>
              </m:r>
            </m:sub>
          </m:s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e>
            <m:sub>
              <m:r>
                <m:rPr>
                  <m:sty m:val="bi"/>
                </m:rPr>
                <w:rPr>
                  <w:rFonts w:ascii="Cambria Math" w:hAnsi="Cambria Math"/>
                  <w:sz w:val="20"/>
                  <w:szCs w:val="20"/>
                </w:rPr>
                <m:t>j</m:t>
              </m:r>
            </m:sub>
          </m:sSub>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oMath>
      </m:oMathPara>
    </w:p>
    <w:p w14:paraId="02A120D7" w14:textId="26BCA4D6" w:rsidR="00CB1A04" w:rsidRPr="007F3859" w:rsidRDefault="00CB1A04" w:rsidP="0068136A">
      <w:pPr>
        <w:spacing w:after="180" w:line="280" w:lineRule="exact"/>
        <w:jc w:val="both"/>
        <w:rPr>
          <w:rFonts w:eastAsia="Calibri"/>
          <w:sz w:val="18"/>
          <w:szCs w:val="20"/>
          <w:rtl/>
        </w:rPr>
      </w:pPr>
      <w:r w:rsidRPr="007F3859">
        <w:rPr>
          <w:rFonts w:hint="cs"/>
          <w:sz w:val="18"/>
          <w:szCs w:val="20"/>
          <w:rtl/>
        </w:rPr>
        <w:t xml:space="preserve">כאשר </w:t>
      </w:r>
      <m:oMath>
        <m:r>
          <w:rPr>
            <w:rFonts w:ascii="Cambria Math" w:hAnsi="Cambria Math"/>
            <w:sz w:val="20"/>
            <w:szCs w:val="20"/>
          </w:rPr>
          <m:t>P=Pr</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r>
              <w:rPr>
                <w:rFonts w:ascii="Cambria Math" w:hAnsi="Cambria Math"/>
                <w:sz w:val="20"/>
                <w:szCs w:val="20"/>
              </w:rPr>
              <m:t>=1</m:t>
            </m:r>
          </m:e>
          <m:e>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ij</m:t>
                </m:r>
              </m:sub>
            </m:sSub>
            <m: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e>
              <m:sub>
                <m:r>
                  <m:rPr>
                    <m:sty m:val="bi"/>
                  </m:rPr>
                  <w:rPr>
                    <w:rFonts w:ascii="Cambria Math" w:hAnsi="Cambria Math"/>
                    <w:sz w:val="20"/>
                    <w:szCs w:val="20"/>
                  </w:rPr>
                  <m:t>j</m:t>
                </m:r>
              </m:sub>
            </m:sSub>
          </m:e>
        </m:d>
      </m:oMath>
      <w:r w:rsidRPr="007F3859">
        <w:rPr>
          <w:rFonts w:hint="cs"/>
          <w:sz w:val="18"/>
          <w:szCs w:val="20"/>
          <w:rtl/>
        </w:rPr>
        <w:t xml:space="preserve">, אז </w:t>
      </w: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ij</m:t>
            </m:r>
          </m:sub>
        </m:sSub>
      </m:oMath>
      <w:r w:rsidR="0068136A">
        <w:rPr>
          <w:rFonts w:hint="cs"/>
          <w:sz w:val="18"/>
          <w:szCs w:val="20"/>
          <w:rtl/>
        </w:rPr>
        <w:t xml:space="preserve"> </w:t>
      </w:r>
      <w:r w:rsidRPr="007F3859">
        <w:rPr>
          <w:rFonts w:hint="cs"/>
          <w:sz w:val="18"/>
          <w:szCs w:val="20"/>
          <w:rtl/>
        </w:rPr>
        <w:t xml:space="preserve">מייצג בחירות דיכוטומיות עבור ילד </w:t>
      </w:r>
      <w:proofErr w:type="spellStart"/>
      <w:r w:rsidRPr="007F3859">
        <w:rPr>
          <w:i/>
          <w:sz w:val="18"/>
          <w:szCs w:val="20"/>
        </w:rPr>
        <w:t>i</w:t>
      </w:r>
      <w:proofErr w:type="spellEnd"/>
      <w:r w:rsidRPr="007F3859">
        <w:rPr>
          <w:rFonts w:hint="cs"/>
          <w:sz w:val="18"/>
          <w:szCs w:val="20"/>
          <w:rtl/>
        </w:rPr>
        <w:t xml:space="preserve"> ממשק בית </w:t>
      </w:r>
      <w:r w:rsidRPr="007F3859">
        <w:rPr>
          <w:i/>
          <w:sz w:val="18"/>
          <w:szCs w:val="20"/>
        </w:rPr>
        <w:t>j</w:t>
      </w:r>
      <w:r w:rsidRPr="007F3859">
        <w:rPr>
          <w:rFonts w:hint="cs"/>
          <w:sz w:val="18"/>
          <w:szCs w:val="20"/>
          <w:rtl/>
        </w:rPr>
        <w:t xml:space="preserve">. כלומר, </w:t>
      </w:r>
      <w:r w:rsidRPr="007F3859">
        <w:rPr>
          <w:rFonts w:eastAsia="Calibri" w:hint="cs"/>
          <w:sz w:val="18"/>
          <w:szCs w:val="20"/>
          <w:rtl/>
        </w:rPr>
        <w:t>בכל מודל רגרסיה, המשתנה התלוי הוא משתנה דמה המייצג אחת משלוש בחירות: (1) בחירה להצטרף באופן פעיל לתוכנית (=1 אם נרשמו; 0 בחירה</w:t>
      </w:r>
      <w:r w:rsidRPr="007F3859">
        <w:rPr>
          <w:rFonts w:eastAsia="Calibri"/>
          <w:sz w:val="18"/>
          <w:szCs w:val="20"/>
          <w:rtl/>
        </w:rPr>
        <w:t xml:space="preserve"> </w:t>
      </w:r>
      <w:r w:rsidRPr="007F3859">
        <w:rPr>
          <w:rFonts w:eastAsia="Calibri" w:hint="cs"/>
          <w:sz w:val="18"/>
          <w:szCs w:val="20"/>
          <w:rtl/>
        </w:rPr>
        <w:t>אחרת); (2) בחירה להפקיד 50 שקלים נוספים לתוכנית (=1 אם הפקידו סכום נוסף; 0 בחירה</w:t>
      </w:r>
      <w:r w:rsidRPr="007F3859">
        <w:rPr>
          <w:rFonts w:eastAsia="Calibri"/>
          <w:sz w:val="18"/>
          <w:szCs w:val="20"/>
          <w:rtl/>
        </w:rPr>
        <w:t xml:space="preserve"> </w:t>
      </w:r>
      <w:r w:rsidRPr="007F3859">
        <w:rPr>
          <w:rFonts w:eastAsia="Calibri" w:hint="cs"/>
          <w:sz w:val="18"/>
          <w:szCs w:val="20"/>
          <w:rtl/>
        </w:rPr>
        <w:t>אחרת); (3) בחירה בקרן השקעות (=1 אם בחרו קרן השקעות</w:t>
      </w:r>
      <w:r w:rsidRPr="007F3859">
        <w:rPr>
          <w:rFonts w:eastAsia="Calibri"/>
          <w:sz w:val="18"/>
          <w:szCs w:val="20"/>
          <w:rtl/>
        </w:rPr>
        <w:t>;</w:t>
      </w:r>
      <w:r w:rsidRPr="007F3859">
        <w:rPr>
          <w:rFonts w:eastAsia="Calibri" w:hint="cs"/>
          <w:sz w:val="18"/>
          <w:szCs w:val="20"/>
          <w:rtl/>
        </w:rPr>
        <w:t xml:space="preserve"> 0 אם נבחר חשבון בנק).</w:t>
      </w:r>
      <w:r w:rsidRPr="007F3859">
        <w:rPr>
          <w:sz w:val="18"/>
          <w:szCs w:val="20"/>
          <w:rtl/>
        </w:rPr>
        <w:t xml:space="preserve"> </w:t>
      </w:r>
      <m:oMath>
        <m:sSub>
          <m:sSubPr>
            <m:ctrlPr>
              <w:rPr>
                <w:rFonts w:ascii="Cambria Math" w:hAnsi="Cambria Math"/>
                <w:b/>
                <w:i/>
                <w:sz w:val="20"/>
                <w:szCs w:val="20"/>
              </w:rPr>
            </m:ctrlPr>
          </m:sSubPr>
          <m:e>
            <m:r>
              <m:rPr>
                <m:sty m:val="bi"/>
              </m:rPr>
              <w:rPr>
                <w:rFonts w:ascii="Cambria Math" w:hAnsi="Cambria Math"/>
                <w:sz w:val="20"/>
                <w:szCs w:val="20"/>
              </w:rPr>
              <m:t>C</m:t>
            </m:r>
          </m:e>
          <m:sub>
            <m:r>
              <m:rPr>
                <m:sty m:val="bi"/>
              </m:rPr>
              <w:rPr>
                <w:rFonts w:ascii="Cambria Math" w:hAnsi="Cambria Math"/>
                <w:sz w:val="20"/>
                <w:szCs w:val="20"/>
              </w:rPr>
              <m:t>ij</m:t>
            </m:r>
          </m:sub>
        </m:sSub>
      </m:oMath>
      <w:r w:rsidRPr="007F3859">
        <w:rPr>
          <w:sz w:val="18"/>
          <w:szCs w:val="20"/>
          <w:rtl/>
        </w:rPr>
        <w:t xml:space="preserve"> </w:t>
      </w:r>
      <w:r w:rsidRPr="007F3859">
        <w:rPr>
          <w:rFonts w:hint="cs"/>
          <w:sz w:val="18"/>
          <w:szCs w:val="20"/>
          <w:rtl/>
        </w:rPr>
        <w:t>ו-</w:t>
      </w:r>
      <m:oMath>
        <m:sSub>
          <m:sSubPr>
            <m:ctrlPr>
              <w:rPr>
                <w:rFonts w:ascii="Cambria Math" w:hAnsi="Cambria Math"/>
                <w:b/>
                <w:i/>
                <w:sz w:val="20"/>
                <w:szCs w:val="20"/>
              </w:rPr>
            </m:ctrlPr>
          </m:sSubPr>
          <m:e>
            <m:r>
              <m:rPr>
                <m:sty m:val="bi"/>
              </m:rPr>
              <w:rPr>
                <w:rFonts w:ascii="Cambria Math" w:hAnsi="Cambria Math"/>
                <w:sz w:val="20"/>
                <w:szCs w:val="20"/>
              </w:rPr>
              <m:t>H</m:t>
            </m:r>
          </m:e>
          <m:sub>
            <m:r>
              <m:rPr>
                <m:sty m:val="bi"/>
              </m:rPr>
              <w:rPr>
                <w:rFonts w:ascii="Cambria Math" w:hAnsi="Cambria Math"/>
                <w:sz w:val="20"/>
                <w:szCs w:val="20"/>
              </w:rPr>
              <m:t>j</m:t>
            </m:r>
          </m:sub>
        </m:sSub>
      </m:oMath>
      <w:r w:rsidRPr="007F3859">
        <w:rPr>
          <w:rFonts w:hint="cs"/>
          <w:sz w:val="18"/>
          <w:szCs w:val="20"/>
          <w:rtl/>
        </w:rPr>
        <w:t xml:space="preserve"> מייצגים את המאפיינים הדמוגרפיים והכלכליים של הילד ומשק הבית, בהתאמה. מקדמי</w:t>
      </w:r>
      <w:r w:rsidRPr="007F3859">
        <w:rPr>
          <w:sz w:val="18"/>
          <w:szCs w:val="20"/>
          <w:rtl/>
        </w:rPr>
        <w:t xml:space="preserve"> </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1</m:t>
            </m:r>
          </m:sub>
        </m:sSub>
      </m:oMath>
      <w:r w:rsidR="00156B97">
        <w:rPr>
          <w:rFonts w:hint="cs"/>
          <w:sz w:val="20"/>
          <w:szCs w:val="20"/>
          <w:rtl/>
        </w:rPr>
        <w:t xml:space="preserve"> </w:t>
      </w:r>
      <w:r w:rsidRPr="007F3859">
        <w:rPr>
          <w:rFonts w:hint="cs"/>
          <w:sz w:val="18"/>
          <w:szCs w:val="20"/>
          <w:rtl/>
        </w:rPr>
        <w:t>ו-</w:t>
      </w:r>
      <m:oMath>
        <m:sSub>
          <m:sSubPr>
            <m:ctrlPr>
              <w:rPr>
                <w:rFonts w:ascii="Cambria Math" w:hAnsi="Cambria Math"/>
                <w:i/>
                <w:sz w:val="20"/>
                <w:szCs w:val="20"/>
              </w:rPr>
            </m:ctrlPr>
          </m:sSubPr>
          <m:e>
            <m:r>
              <w:rPr>
                <w:rFonts w:ascii="Cambria Math" w:hAnsi="Cambria Math"/>
                <w:sz w:val="20"/>
                <w:szCs w:val="20"/>
              </w:rPr>
              <m:t>β</m:t>
            </m:r>
          </m:e>
          <m:sub>
            <m:r>
              <w:rPr>
                <w:rFonts w:ascii="Cambria Math" w:hAnsi="Cambria Math"/>
                <w:sz w:val="20"/>
                <w:szCs w:val="20"/>
              </w:rPr>
              <m:t>2</m:t>
            </m:r>
          </m:sub>
        </m:sSub>
      </m:oMath>
      <w:r w:rsidR="00B26A21">
        <w:rPr>
          <w:rFonts w:hint="cs"/>
          <w:rtl/>
        </w:rPr>
        <w:t xml:space="preserve"> </w:t>
      </w:r>
      <w:r w:rsidRPr="007F3859">
        <w:rPr>
          <w:rFonts w:hint="cs"/>
          <w:sz w:val="18"/>
          <w:szCs w:val="20"/>
          <w:rtl/>
        </w:rPr>
        <w:t xml:space="preserve">מייצגים את קשרי הגומלין בין משתני הדמה (אחת משלוש הבחירות) לבין מאפייני הילד ומשקי הבית. </w:t>
      </w:r>
      <w:r w:rsidRPr="007F3859">
        <w:rPr>
          <w:rFonts w:eastAsia="Calibri" w:hint="cs"/>
          <w:sz w:val="18"/>
          <w:szCs w:val="20"/>
          <w:rtl/>
        </w:rPr>
        <w:t xml:space="preserve">יחידת הניתוח היא כל אחד מהילדים שהשתתפו במחקר, אולם חישוב שגיאות התקן בוצע ברמת משק הבית. ההחלטות להשקיע 50 שקלים נוספים והבחירות בקרן השקעות הוגבלו רק למשקי בית שבחרו להצטרף באופן פעיל לתוכנית. מכיוון שההבדלים האמיתיים בין חלקי האוכלוסייה והמדדים שלה היו ידועים, לא ביצענו בדיקות השערות </w:t>
      </w:r>
      <w:r w:rsidRPr="00502134">
        <w:rPr>
          <w:rFonts w:ascii="Georgia" w:eastAsia="Calibri" w:hAnsi="Georgia"/>
          <w:sz w:val="18"/>
          <w:szCs w:val="20"/>
          <w:rtl/>
        </w:rPr>
        <w:t>(</w:t>
      </w:r>
      <w:proofErr w:type="spellStart"/>
      <w:r w:rsidRPr="00502134">
        <w:rPr>
          <w:rFonts w:ascii="Georgia" w:eastAsia="Calibri" w:hAnsi="Georgia"/>
          <w:sz w:val="18"/>
          <w:szCs w:val="20"/>
        </w:rPr>
        <w:t>Figueiredo</w:t>
      </w:r>
      <w:proofErr w:type="spellEnd"/>
      <w:r w:rsidRPr="00502134">
        <w:rPr>
          <w:rFonts w:ascii="Georgia" w:eastAsia="Calibri" w:hAnsi="Georgia"/>
          <w:sz w:val="18"/>
          <w:szCs w:val="20"/>
        </w:rPr>
        <w:t xml:space="preserve"> Filho et al., 2013</w:t>
      </w:r>
      <w:r w:rsidRPr="00502134">
        <w:rPr>
          <w:rFonts w:ascii="Georgia" w:eastAsia="Calibri" w:hAnsi="Georgia"/>
          <w:sz w:val="18"/>
          <w:szCs w:val="20"/>
          <w:rtl/>
        </w:rPr>
        <w:t>). לפיכך אנו מתמקדים בפירוש המשמעות המעשית של</w:t>
      </w:r>
      <w:r w:rsidRPr="007F3859">
        <w:rPr>
          <w:rFonts w:eastAsia="Calibri" w:hint="cs"/>
          <w:sz w:val="18"/>
          <w:szCs w:val="20"/>
          <w:rtl/>
        </w:rPr>
        <w:t xml:space="preserve"> הקשרים שנצפו בנתונים, ולא במשמעות הסטטיסטית. </w:t>
      </w:r>
    </w:p>
    <w:p w14:paraId="7A7583A3" w14:textId="77777777" w:rsidR="00CB1A04" w:rsidRPr="007F3859" w:rsidRDefault="00CB1A04" w:rsidP="00CB1A04">
      <w:pPr>
        <w:spacing w:after="180" w:line="280" w:lineRule="exact"/>
        <w:jc w:val="both"/>
        <w:rPr>
          <w:rFonts w:eastAsia="Calibri"/>
          <w:sz w:val="18"/>
          <w:szCs w:val="20"/>
          <w:rtl/>
        </w:rPr>
      </w:pPr>
    </w:p>
    <w:p w14:paraId="0947F284" w14:textId="77777777" w:rsidR="00CB1A04" w:rsidRPr="007A6EAC" w:rsidRDefault="00CB1A04" w:rsidP="00CB1A04">
      <w:pPr>
        <w:pStyle w:val="KOT5"/>
        <w:spacing w:after="0"/>
        <w:ind w:right="0"/>
        <w:outlineLvl w:val="2"/>
        <w:rPr>
          <w:rFonts w:cs="Guttman Aharoni"/>
          <w:color w:val="00B0F0"/>
          <w:rtl/>
        </w:rPr>
      </w:pPr>
      <w:r w:rsidRPr="007A6EAC">
        <w:rPr>
          <w:rFonts w:cs="Guttman Aharoni" w:hint="cs"/>
          <w:color w:val="00B0F0"/>
          <w:rtl/>
        </w:rPr>
        <w:t>מאפייני אוכלוסיית המחקר</w:t>
      </w:r>
    </w:p>
    <w:p w14:paraId="282F6488" w14:textId="24D8B9A3" w:rsidR="00CB1A04" w:rsidRPr="007F3859" w:rsidRDefault="00CB1A04" w:rsidP="00D23AE9">
      <w:pPr>
        <w:spacing w:after="180" w:line="270" w:lineRule="exact"/>
        <w:jc w:val="both"/>
        <w:rPr>
          <w:rFonts w:eastAsia="Calibri"/>
          <w:sz w:val="18"/>
          <w:szCs w:val="20"/>
          <w:rtl/>
        </w:rPr>
      </w:pPr>
      <w:r w:rsidRPr="007F3859">
        <w:rPr>
          <w:rFonts w:eastAsia="Calibri" w:hint="cs"/>
          <w:sz w:val="18"/>
          <w:szCs w:val="20"/>
          <w:rtl/>
        </w:rPr>
        <w:t xml:space="preserve">לוח 1 מציג את המאפיינים של כל משקי הבית והילדים שהיו זכאים להשתתף בתוכנית בעת יישומה. לכשליש ממשקי הבית היה ילד אחד, ל-29.6% היו שני ילדים, ל-21.1% היו שלושה ילדים ול-17.6% היו ארבעה ילדים או יותר. מרבית משקי הבית (67.5%) היו יהודים </w:t>
      </w:r>
      <w:r w:rsidR="00156B97">
        <w:rPr>
          <w:rFonts w:eastAsia="Calibri"/>
          <w:sz w:val="18"/>
          <w:szCs w:val="20"/>
          <w:rtl/>
        </w:rPr>
        <w:br/>
      </w:r>
      <w:r w:rsidRPr="007F3859">
        <w:rPr>
          <w:rFonts w:eastAsia="Calibri" w:hint="cs"/>
          <w:sz w:val="18"/>
          <w:szCs w:val="20"/>
          <w:rtl/>
        </w:rPr>
        <w:t xml:space="preserve">לא-חרדים, 23.2% ערבים, ו-9.3% יהודים חרדים. 79.7% מההורים היו נשואים, וב-95.2% ממשקי הבית חיו שני ההורים בבית. משקי בית אשר בראשם עמדה אישה היוו 31.4% מכל משקי הבית הזכאים לתוכנית; הגיל הממוצע של בן המשפחה המבוגר יותר במשק בית היה 41.6 שנים. ב-10.8% ממשקי הבית שני ההורים לא היו מועסקים, וב־59.2% ממשקי הבית לשני ההורים לא הייתה השכלה </w:t>
      </w:r>
      <w:r w:rsidR="0068136A" w:rsidRPr="007F3859">
        <w:rPr>
          <w:rFonts w:eastAsia="Calibri" w:hint="cs"/>
          <w:sz w:val="18"/>
          <w:szCs w:val="20"/>
          <w:rtl/>
        </w:rPr>
        <w:t>על</w:t>
      </w:r>
      <w:r w:rsidR="0068136A">
        <w:rPr>
          <w:rFonts w:eastAsia="Calibri" w:hint="cs"/>
          <w:sz w:val="18"/>
          <w:szCs w:val="20"/>
          <w:rtl/>
        </w:rPr>
        <w:t>-</w:t>
      </w:r>
      <w:r w:rsidR="0068136A" w:rsidRPr="007F3859">
        <w:rPr>
          <w:rFonts w:eastAsia="Calibri" w:hint="cs"/>
          <w:sz w:val="18"/>
          <w:szCs w:val="20"/>
          <w:rtl/>
        </w:rPr>
        <w:t>תיכונית</w:t>
      </w:r>
      <w:r w:rsidRPr="007F3859">
        <w:rPr>
          <w:rFonts w:eastAsia="Calibri" w:hint="cs"/>
          <w:sz w:val="18"/>
          <w:szCs w:val="20"/>
          <w:rtl/>
        </w:rPr>
        <w:t>. השכר הממוצע במשקי הבית היה 17,500 שקלים לחודש, וכל אשכול חברתי-כלכלי</w:t>
      </w:r>
      <w:r w:rsidRPr="00FE5B5E">
        <w:rPr>
          <w:rFonts w:eastAsia="Calibri"/>
          <w:sz w:val="18"/>
          <w:szCs w:val="20"/>
          <w:vertAlign w:val="superscript"/>
          <w:rtl/>
        </w:rPr>
        <w:footnoteReference w:id="15"/>
      </w:r>
      <w:r w:rsidRPr="007F3859">
        <w:rPr>
          <w:rFonts w:eastAsia="Calibri" w:hint="cs"/>
          <w:sz w:val="18"/>
          <w:szCs w:val="20"/>
          <w:rtl/>
        </w:rPr>
        <w:t xml:space="preserve"> היווה נתח דומה ממשקי הבית. לבסוף, 40.8% מהילדים היו בני 0 עד 6 שנים, 20.1% בני 7 עד 10, והיתר מבוגרים יותר. החלוקה המגדרית של הילדים הייתה פחות או יותר שווה.</w:t>
      </w:r>
    </w:p>
    <w:p w14:paraId="3D30802F" w14:textId="462EC4EE" w:rsidR="00CB1A04" w:rsidRPr="00B26A21" w:rsidRDefault="00CB1A04" w:rsidP="00B26A21">
      <w:pPr>
        <w:pStyle w:val="tab-name"/>
        <w:spacing w:before="300" w:line="260" w:lineRule="exact"/>
        <w:ind w:right="0"/>
        <w:rPr>
          <w:rFonts w:cs="Guttman Aharoni"/>
          <w:color w:val="auto"/>
          <w:sz w:val="20"/>
          <w:szCs w:val="20"/>
          <w:rtl/>
        </w:rPr>
      </w:pPr>
      <w:r w:rsidRPr="00B26A21">
        <w:rPr>
          <w:rFonts w:cs="Guttman Aharoni" w:hint="cs"/>
          <w:color w:val="auto"/>
          <w:sz w:val="20"/>
          <w:szCs w:val="20"/>
          <w:rtl/>
        </w:rPr>
        <w:lastRenderedPageBreak/>
        <w:t>לוח 1: הממצאים התיאוריים על אודות משקי בית בתוכנית חיסכון לכל ילד בעת יישומה</w:t>
      </w:r>
    </w:p>
    <w:tbl>
      <w:tblPr>
        <w:tblStyle w:val="TableGrid"/>
        <w:bidiVisual/>
        <w:tblW w:w="4126" w:type="pct"/>
        <w:tblBorders>
          <w:top w:val="single" w:sz="12" w:space="0" w:color="auto"/>
          <w:left w:val="single" w:sz="12" w:space="0" w:color="auto"/>
          <w:bottom w:val="single" w:sz="12" w:space="0" w:color="auto"/>
          <w:right w:val="single" w:sz="12" w:space="0" w:color="auto"/>
          <w:insideH w:val="none" w:sz="0" w:space="0" w:color="auto"/>
        </w:tblBorders>
        <w:tblLayout w:type="fixed"/>
        <w:tblLook w:val="04A0" w:firstRow="1" w:lastRow="0" w:firstColumn="1" w:lastColumn="0" w:noHBand="0" w:noVBand="1"/>
      </w:tblPr>
      <w:tblGrid>
        <w:gridCol w:w="3951"/>
        <w:gridCol w:w="1357"/>
      </w:tblGrid>
      <w:tr w:rsidR="00B26A21" w:rsidRPr="00264CE1" w14:paraId="76218AFF" w14:textId="77777777" w:rsidTr="00C16E03">
        <w:trPr>
          <w:tblHeader/>
        </w:trPr>
        <w:tc>
          <w:tcPr>
            <w:tcW w:w="3722" w:type="pct"/>
            <w:tcBorders>
              <w:top w:val="single" w:sz="12" w:space="0" w:color="auto"/>
              <w:bottom w:val="single" w:sz="12" w:space="0" w:color="auto"/>
            </w:tcBorders>
            <w:shd w:val="clear" w:color="auto" w:fill="auto"/>
          </w:tcPr>
          <w:p w14:paraId="42DB897E" w14:textId="77777777" w:rsidR="00B26A21" w:rsidRPr="00B26A21" w:rsidRDefault="00B26A21" w:rsidP="00D23AE9">
            <w:pPr>
              <w:spacing w:before="20" w:after="20" w:line="220" w:lineRule="exact"/>
              <w:rPr>
                <w:rFonts w:ascii="David" w:hAnsi="David"/>
                <w:b/>
                <w:i/>
                <w:sz w:val="18"/>
                <w:szCs w:val="18"/>
              </w:rPr>
            </w:pPr>
          </w:p>
        </w:tc>
        <w:tc>
          <w:tcPr>
            <w:tcW w:w="1278" w:type="pct"/>
            <w:tcBorders>
              <w:top w:val="single" w:sz="12" w:space="0" w:color="auto"/>
              <w:bottom w:val="single" w:sz="12" w:space="0" w:color="auto"/>
            </w:tcBorders>
          </w:tcPr>
          <w:p w14:paraId="7B36888D" w14:textId="77777777" w:rsidR="00B26A21" w:rsidRPr="007A3EF6" w:rsidRDefault="00B26A21" w:rsidP="00D23AE9">
            <w:pPr>
              <w:spacing w:before="20" w:after="20" w:line="220" w:lineRule="exact"/>
              <w:rPr>
                <w:rFonts w:ascii="David" w:hAnsi="David"/>
                <w:b/>
                <w:bCs/>
                <w:sz w:val="18"/>
                <w:szCs w:val="18"/>
              </w:rPr>
            </w:pPr>
            <w:r w:rsidRPr="007A3EF6">
              <w:rPr>
                <w:rFonts w:ascii="David" w:hAnsi="David"/>
                <w:b/>
                <w:bCs/>
                <w:sz w:val="18"/>
                <w:szCs w:val="18"/>
                <w:rtl/>
              </w:rPr>
              <w:t>ממוצע</w:t>
            </w:r>
            <w:r w:rsidRPr="007A3EF6">
              <w:rPr>
                <w:rFonts w:ascii="David" w:hAnsi="David"/>
                <w:b/>
                <w:bCs/>
                <w:sz w:val="18"/>
                <w:szCs w:val="18"/>
              </w:rPr>
              <w:t>/</w:t>
            </w:r>
            <w:r w:rsidRPr="007A3EF6">
              <w:rPr>
                <w:rFonts w:ascii="David" w:hAnsi="David"/>
                <w:b/>
                <w:bCs/>
                <w:sz w:val="18"/>
                <w:szCs w:val="18"/>
                <w:rtl/>
              </w:rPr>
              <w:t>יחס</w:t>
            </w:r>
          </w:p>
        </w:tc>
      </w:tr>
      <w:tr w:rsidR="00B26A21" w:rsidRPr="00264CE1" w14:paraId="7E4E86EE" w14:textId="77777777" w:rsidTr="00C16E03">
        <w:tc>
          <w:tcPr>
            <w:tcW w:w="3722" w:type="pct"/>
            <w:tcBorders>
              <w:top w:val="single" w:sz="12" w:space="0" w:color="auto"/>
            </w:tcBorders>
            <w:shd w:val="clear" w:color="auto" w:fill="auto"/>
          </w:tcPr>
          <w:p w14:paraId="7FDE498D" w14:textId="77777777" w:rsidR="00B26A21" w:rsidRPr="008C7A7C" w:rsidRDefault="00B26A21" w:rsidP="00D23AE9">
            <w:pPr>
              <w:spacing w:before="20" w:after="20" w:line="220" w:lineRule="exact"/>
              <w:rPr>
                <w:rFonts w:ascii="David" w:hAnsi="David"/>
                <w:bCs/>
                <w:i/>
                <w:sz w:val="20"/>
                <w:szCs w:val="20"/>
                <w:rtl/>
              </w:rPr>
            </w:pPr>
            <w:r w:rsidRPr="008C7A7C">
              <w:rPr>
                <w:rFonts w:ascii="David" w:hAnsi="David"/>
                <w:bCs/>
                <w:i/>
                <w:sz w:val="20"/>
                <w:szCs w:val="20"/>
                <w:rtl/>
              </w:rPr>
              <w:t>מאפיינים של משקי בית</w:t>
            </w:r>
          </w:p>
        </w:tc>
        <w:tc>
          <w:tcPr>
            <w:tcW w:w="1278" w:type="pct"/>
            <w:tcBorders>
              <w:top w:val="single" w:sz="12" w:space="0" w:color="auto"/>
            </w:tcBorders>
          </w:tcPr>
          <w:p w14:paraId="0DB89C3D" w14:textId="77777777" w:rsidR="00B26A21" w:rsidRPr="00B26A21" w:rsidRDefault="00B26A21" w:rsidP="00D23AE9">
            <w:pPr>
              <w:spacing w:before="20" w:after="20" w:line="220" w:lineRule="exact"/>
              <w:rPr>
                <w:rFonts w:ascii="David" w:hAnsi="David"/>
                <w:sz w:val="18"/>
                <w:szCs w:val="18"/>
              </w:rPr>
            </w:pPr>
          </w:p>
        </w:tc>
      </w:tr>
      <w:tr w:rsidR="00B26A21" w:rsidRPr="00264CE1" w14:paraId="5909AE72" w14:textId="77777777" w:rsidTr="00C16E03">
        <w:tc>
          <w:tcPr>
            <w:tcW w:w="3722" w:type="pct"/>
            <w:shd w:val="clear" w:color="auto" w:fill="auto"/>
          </w:tcPr>
          <w:p w14:paraId="259B5033" w14:textId="77777777" w:rsidR="00B26A21" w:rsidRPr="00B26A21" w:rsidRDefault="00B26A21" w:rsidP="00D23AE9">
            <w:pPr>
              <w:spacing w:before="20" w:after="20" w:line="220" w:lineRule="exact"/>
              <w:rPr>
                <w:rFonts w:ascii="David" w:hAnsi="David"/>
                <w:b/>
                <w:bCs/>
                <w:sz w:val="18"/>
                <w:szCs w:val="18"/>
                <w:rtl/>
              </w:rPr>
            </w:pPr>
            <w:r w:rsidRPr="00B26A21">
              <w:rPr>
                <w:rFonts w:ascii="David" w:hAnsi="David"/>
                <w:b/>
                <w:bCs/>
                <w:sz w:val="18"/>
                <w:szCs w:val="18"/>
                <w:rtl/>
              </w:rPr>
              <w:t>מוצא עדתי</w:t>
            </w:r>
          </w:p>
        </w:tc>
        <w:tc>
          <w:tcPr>
            <w:tcW w:w="1278" w:type="pct"/>
          </w:tcPr>
          <w:p w14:paraId="52607231" w14:textId="77777777" w:rsidR="00B26A21" w:rsidRPr="00B26A21" w:rsidRDefault="00B26A21" w:rsidP="00D23AE9">
            <w:pPr>
              <w:spacing w:before="20" w:after="20" w:line="220" w:lineRule="exact"/>
              <w:rPr>
                <w:rFonts w:ascii="David" w:hAnsi="David"/>
                <w:sz w:val="18"/>
                <w:szCs w:val="18"/>
              </w:rPr>
            </w:pPr>
          </w:p>
        </w:tc>
      </w:tr>
      <w:tr w:rsidR="00B26A21" w:rsidRPr="00264CE1" w14:paraId="48F408B3" w14:textId="77777777" w:rsidTr="00C16E03">
        <w:tc>
          <w:tcPr>
            <w:tcW w:w="3722" w:type="pct"/>
            <w:shd w:val="clear" w:color="auto" w:fill="auto"/>
          </w:tcPr>
          <w:p w14:paraId="637633CA" w14:textId="77777777" w:rsidR="00B26A21" w:rsidRPr="00B26A21" w:rsidRDefault="00B26A21" w:rsidP="00D23AE9">
            <w:pPr>
              <w:spacing w:before="20" w:after="20" w:line="220" w:lineRule="exact"/>
              <w:ind w:left="284"/>
              <w:rPr>
                <w:rFonts w:ascii="David" w:hAnsi="David"/>
                <w:sz w:val="18"/>
                <w:szCs w:val="18"/>
                <w:vertAlign w:val="superscript"/>
              </w:rPr>
            </w:pPr>
            <w:r w:rsidRPr="00B26A21">
              <w:rPr>
                <w:rFonts w:ascii="David" w:hAnsi="David"/>
                <w:sz w:val="18"/>
                <w:szCs w:val="18"/>
                <w:rtl/>
              </w:rPr>
              <w:t>יהודי</w:t>
            </w:r>
            <w:r w:rsidRPr="00B26A21">
              <w:rPr>
                <w:rFonts w:ascii="David" w:hAnsi="David" w:hint="cs"/>
                <w:sz w:val="18"/>
                <w:szCs w:val="18"/>
                <w:rtl/>
              </w:rPr>
              <w:t xml:space="preserve"> </w:t>
            </w:r>
            <w:r w:rsidRPr="00B26A21">
              <w:rPr>
                <w:rFonts w:ascii="David" w:hAnsi="David"/>
                <w:sz w:val="18"/>
                <w:szCs w:val="18"/>
                <w:rtl/>
              </w:rPr>
              <w:t>חרדי</w:t>
            </w:r>
          </w:p>
        </w:tc>
        <w:tc>
          <w:tcPr>
            <w:tcW w:w="1278" w:type="pct"/>
          </w:tcPr>
          <w:p w14:paraId="48ADA73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.09</w:t>
            </w:r>
          </w:p>
        </w:tc>
      </w:tr>
      <w:tr w:rsidR="00B26A21" w:rsidRPr="00264CE1" w14:paraId="65C4E207" w14:textId="77777777" w:rsidTr="00C16E03">
        <w:tc>
          <w:tcPr>
            <w:tcW w:w="3722" w:type="pct"/>
            <w:shd w:val="clear" w:color="auto" w:fill="auto"/>
          </w:tcPr>
          <w:p w14:paraId="54FE8535" w14:textId="77777777" w:rsidR="00B26A21" w:rsidRPr="00B26A21" w:rsidRDefault="00B26A21" w:rsidP="00D23AE9">
            <w:pPr>
              <w:spacing w:before="20" w:after="20" w:line="220" w:lineRule="exact"/>
              <w:ind w:left="284"/>
              <w:rPr>
                <w:rFonts w:ascii="David" w:hAnsi="David"/>
                <w:sz w:val="18"/>
                <w:szCs w:val="18"/>
                <w:rtl/>
              </w:rPr>
            </w:pPr>
            <w:r w:rsidRPr="00B26A21">
              <w:rPr>
                <w:rFonts w:ascii="David" w:hAnsi="David"/>
                <w:sz w:val="18"/>
                <w:szCs w:val="18"/>
                <w:rtl/>
              </w:rPr>
              <w:t>ערבי</w:t>
            </w:r>
            <w:r w:rsidRPr="00B26A21">
              <w:rPr>
                <w:rFonts w:ascii="David" w:hAnsi="David" w:hint="cs"/>
                <w:sz w:val="18"/>
                <w:szCs w:val="18"/>
                <w:rtl/>
              </w:rPr>
              <w:t>-</w:t>
            </w:r>
            <w:r w:rsidRPr="00B26A21">
              <w:rPr>
                <w:rFonts w:ascii="David" w:hAnsi="David"/>
                <w:sz w:val="18"/>
                <w:szCs w:val="18"/>
                <w:rtl/>
              </w:rPr>
              <w:t>ישראלי</w:t>
            </w:r>
          </w:p>
        </w:tc>
        <w:tc>
          <w:tcPr>
            <w:tcW w:w="1278" w:type="pct"/>
          </w:tcPr>
          <w:p w14:paraId="43491559"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.23</w:t>
            </w:r>
          </w:p>
        </w:tc>
      </w:tr>
      <w:tr w:rsidR="00B26A21" w:rsidRPr="00264CE1" w14:paraId="73C62F14" w14:textId="77777777" w:rsidTr="00C16E03">
        <w:tc>
          <w:tcPr>
            <w:tcW w:w="3722" w:type="pct"/>
            <w:shd w:val="clear" w:color="auto" w:fill="auto"/>
          </w:tcPr>
          <w:p w14:paraId="4D20198F" w14:textId="77777777" w:rsidR="00B26A21" w:rsidRPr="00B26A21" w:rsidRDefault="00B26A21" w:rsidP="00D23AE9">
            <w:pPr>
              <w:spacing w:before="20" w:after="20" w:line="220" w:lineRule="exact"/>
              <w:ind w:left="284"/>
              <w:rPr>
                <w:rFonts w:ascii="David" w:hAnsi="David"/>
                <w:sz w:val="18"/>
                <w:szCs w:val="18"/>
              </w:rPr>
            </w:pPr>
            <w:r w:rsidRPr="00B26A21">
              <w:rPr>
                <w:rFonts w:ascii="David" w:hAnsi="David"/>
                <w:sz w:val="18"/>
                <w:szCs w:val="18"/>
                <w:rtl/>
              </w:rPr>
              <w:t>יהודי לא</w:t>
            </w:r>
            <w:r w:rsidRPr="00B26A21">
              <w:rPr>
                <w:rFonts w:ascii="David" w:hAnsi="David" w:hint="cs"/>
                <w:sz w:val="18"/>
                <w:szCs w:val="18"/>
                <w:rtl/>
              </w:rPr>
              <w:t>-</w:t>
            </w:r>
            <w:r w:rsidRPr="00B26A21">
              <w:rPr>
                <w:rFonts w:ascii="David" w:hAnsi="David"/>
                <w:sz w:val="18"/>
                <w:szCs w:val="18"/>
                <w:rtl/>
              </w:rPr>
              <w:t>חרדי</w:t>
            </w:r>
          </w:p>
        </w:tc>
        <w:tc>
          <w:tcPr>
            <w:tcW w:w="1278" w:type="pct"/>
          </w:tcPr>
          <w:p w14:paraId="638155D1"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.68</w:t>
            </w:r>
          </w:p>
        </w:tc>
      </w:tr>
      <w:tr w:rsidR="00B26A21" w:rsidRPr="00264CE1" w14:paraId="6F18184B" w14:textId="77777777" w:rsidTr="00C16E03">
        <w:tc>
          <w:tcPr>
            <w:tcW w:w="3722" w:type="pct"/>
            <w:shd w:val="clear" w:color="auto" w:fill="auto"/>
          </w:tcPr>
          <w:p w14:paraId="150911A6"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האם היא המובילה במשק הבית</w:t>
            </w:r>
          </w:p>
        </w:tc>
        <w:tc>
          <w:tcPr>
            <w:tcW w:w="1278" w:type="pct"/>
          </w:tcPr>
          <w:p w14:paraId="17F6B8B1"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.31</w:t>
            </w:r>
          </w:p>
        </w:tc>
      </w:tr>
      <w:tr w:rsidR="00B26A21" w:rsidRPr="00264CE1" w14:paraId="69802DFF" w14:textId="77777777" w:rsidTr="00C16E03">
        <w:tc>
          <w:tcPr>
            <w:tcW w:w="3722" w:type="pct"/>
            <w:shd w:val="clear" w:color="auto" w:fill="auto"/>
          </w:tcPr>
          <w:p w14:paraId="0A68E5B8"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משק בית של שני הורים</w:t>
            </w:r>
          </w:p>
        </w:tc>
        <w:tc>
          <w:tcPr>
            <w:tcW w:w="1278" w:type="pct"/>
          </w:tcPr>
          <w:p w14:paraId="754169AE"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.95</w:t>
            </w:r>
          </w:p>
        </w:tc>
      </w:tr>
      <w:tr w:rsidR="00B26A21" w:rsidRPr="00264CE1" w14:paraId="3EAF99A3" w14:textId="77777777" w:rsidTr="00C16E03">
        <w:tc>
          <w:tcPr>
            <w:tcW w:w="3722" w:type="pct"/>
            <w:shd w:val="clear" w:color="auto" w:fill="auto"/>
          </w:tcPr>
          <w:p w14:paraId="75717E27"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ההורים אינם נשואים</w:t>
            </w:r>
          </w:p>
        </w:tc>
        <w:tc>
          <w:tcPr>
            <w:tcW w:w="1278" w:type="pct"/>
          </w:tcPr>
          <w:p w14:paraId="1E019B4D"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.20</w:t>
            </w:r>
          </w:p>
        </w:tc>
      </w:tr>
      <w:tr w:rsidR="00B26A21" w:rsidRPr="00264CE1" w14:paraId="2094F59C" w14:textId="77777777" w:rsidTr="00C16E03">
        <w:tc>
          <w:tcPr>
            <w:tcW w:w="3722" w:type="pct"/>
            <w:shd w:val="clear" w:color="auto" w:fill="auto"/>
          </w:tcPr>
          <w:p w14:paraId="71A5D2AF"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גיל בן המשפחה המבוגר ביותר</w:t>
            </w:r>
          </w:p>
        </w:tc>
        <w:tc>
          <w:tcPr>
            <w:tcW w:w="1278" w:type="pct"/>
          </w:tcPr>
          <w:p w14:paraId="019086ED"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41.6</w:t>
            </w:r>
          </w:p>
        </w:tc>
      </w:tr>
      <w:tr w:rsidR="00B26A21" w:rsidRPr="00264CE1" w14:paraId="2C1DD703" w14:textId="77777777" w:rsidTr="00C16E03">
        <w:tc>
          <w:tcPr>
            <w:tcW w:w="3722" w:type="pct"/>
            <w:shd w:val="clear" w:color="auto" w:fill="auto"/>
          </w:tcPr>
          <w:p w14:paraId="0D9F2E67" w14:textId="77777777" w:rsidR="00B26A21" w:rsidRPr="00B26A21" w:rsidRDefault="00B26A21" w:rsidP="00D23AE9">
            <w:pPr>
              <w:spacing w:before="20" w:after="20" w:line="220" w:lineRule="exact"/>
              <w:rPr>
                <w:rFonts w:ascii="David" w:hAnsi="David"/>
                <w:b/>
                <w:bCs/>
                <w:color w:val="FF0000"/>
                <w:sz w:val="18"/>
                <w:szCs w:val="18"/>
              </w:rPr>
            </w:pPr>
            <w:r w:rsidRPr="00B26A21">
              <w:rPr>
                <w:rFonts w:ascii="David" w:hAnsi="David"/>
                <w:b/>
                <w:bCs/>
                <w:sz w:val="18"/>
                <w:szCs w:val="18"/>
                <w:rtl/>
              </w:rPr>
              <w:t>מספר ילדים</w:t>
            </w:r>
          </w:p>
        </w:tc>
        <w:tc>
          <w:tcPr>
            <w:tcW w:w="1278" w:type="pct"/>
          </w:tcPr>
          <w:p w14:paraId="2EC3E466" w14:textId="77777777" w:rsidR="00B26A21" w:rsidRPr="00B26A21" w:rsidRDefault="00B26A21" w:rsidP="00D23AE9">
            <w:pPr>
              <w:spacing w:before="20" w:after="20" w:line="220" w:lineRule="exact"/>
              <w:rPr>
                <w:rFonts w:ascii="David" w:hAnsi="David"/>
                <w:sz w:val="18"/>
                <w:szCs w:val="18"/>
              </w:rPr>
            </w:pPr>
          </w:p>
        </w:tc>
      </w:tr>
      <w:tr w:rsidR="00B26A21" w:rsidRPr="00264CE1" w14:paraId="1B0DA7CC" w14:textId="77777777" w:rsidTr="00C16E03">
        <w:tc>
          <w:tcPr>
            <w:tcW w:w="3722" w:type="pct"/>
            <w:shd w:val="clear" w:color="auto" w:fill="auto"/>
            <w:vAlign w:val="bottom"/>
          </w:tcPr>
          <w:p w14:paraId="0FCE67E5" w14:textId="77777777" w:rsidR="00B26A21" w:rsidRPr="00B26A21" w:rsidRDefault="00B26A21" w:rsidP="00D23AE9">
            <w:pPr>
              <w:spacing w:before="20" w:after="20" w:line="220" w:lineRule="exact"/>
              <w:ind w:left="284"/>
              <w:rPr>
                <w:rFonts w:ascii="David" w:hAnsi="David"/>
                <w:sz w:val="18"/>
                <w:szCs w:val="18"/>
              </w:rPr>
            </w:pPr>
            <w:r w:rsidRPr="00B26A21">
              <w:rPr>
                <w:rFonts w:ascii="David" w:hAnsi="David"/>
                <w:sz w:val="18"/>
                <w:szCs w:val="18"/>
              </w:rPr>
              <w:t xml:space="preserve"> 1</w:t>
            </w:r>
          </w:p>
        </w:tc>
        <w:tc>
          <w:tcPr>
            <w:tcW w:w="1278" w:type="pct"/>
          </w:tcPr>
          <w:p w14:paraId="7C74773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.32</w:t>
            </w:r>
          </w:p>
        </w:tc>
      </w:tr>
      <w:tr w:rsidR="00B26A21" w:rsidRPr="00264CE1" w14:paraId="26BF71E0" w14:textId="77777777" w:rsidTr="00C16E03">
        <w:tc>
          <w:tcPr>
            <w:tcW w:w="3722" w:type="pct"/>
            <w:shd w:val="clear" w:color="auto" w:fill="auto"/>
            <w:vAlign w:val="bottom"/>
          </w:tcPr>
          <w:p w14:paraId="75EB0B42" w14:textId="77777777" w:rsidR="00B26A21" w:rsidRPr="00B26A21" w:rsidRDefault="00B26A21" w:rsidP="00D23AE9">
            <w:pPr>
              <w:spacing w:before="20" w:after="20" w:line="220" w:lineRule="exact"/>
              <w:ind w:left="284"/>
              <w:rPr>
                <w:rFonts w:ascii="David" w:hAnsi="David"/>
                <w:sz w:val="18"/>
                <w:szCs w:val="18"/>
              </w:rPr>
            </w:pPr>
            <w:r w:rsidRPr="00B26A21">
              <w:rPr>
                <w:rFonts w:ascii="David" w:hAnsi="David"/>
                <w:sz w:val="18"/>
                <w:szCs w:val="18"/>
              </w:rPr>
              <w:t xml:space="preserve"> 2</w:t>
            </w:r>
          </w:p>
        </w:tc>
        <w:tc>
          <w:tcPr>
            <w:tcW w:w="1278" w:type="pct"/>
          </w:tcPr>
          <w:p w14:paraId="551BCE20"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.30</w:t>
            </w:r>
          </w:p>
        </w:tc>
      </w:tr>
      <w:tr w:rsidR="00B26A21" w:rsidRPr="00264CE1" w14:paraId="614C82F8" w14:textId="77777777" w:rsidTr="00C16E03">
        <w:tc>
          <w:tcPr>
            <w:tcW w:w="3722" w:type="pct"/>
            <w:shd w:val="clear" w:color="auto" w:fill="auto"/>
            <w:vAlign w:val="bottom"/>
          </w:tcPr>
          <w:p w14:paraId="19806675" w14:textId="77777777" w:rsidR="00B26A21" w:rsidRPr="00B26A21" w:rsidRDefault="00B26A21" w:rsidP="00D23AE9">
            <w:pPr>
              <w:spacing w:before="20" w:after="20" w:line="220" w:lineRule="exact"/>
              <w:ind w:left="284"/>
              <w:rPr>
                <w:rFonts w:ascii="David" w:hAnsi="David"/>
                <w:sz w:val="18"/>
                <w:szCs w:val="18"/>
              </w:rPr>
            </w:pPr>
            <w:r w:rsidRPr="00B26A21">
              <w:rPr>
                <w:rFonts w:ascii="David" w:hAnsi="David"/>
                <w:sz w:val="18"/>
                <w:szCs w:val="18"/>
              </w:rPr>
              <w:t xml:space="preserve"> 3</w:t>
            </w:r>
          </w:p>
        </w:tc>
        <w:tc>
          <w:tcPr>
            <w:tcW w:w="1278" w:type="pct"/>
          </w:tcPr>
          <w:p w14:paraId="6DE7664D"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.21</w:t>
            </w:r>
          </w:p>
        </w:tc>
      </w:tr>
      <w:tr w:rsidR="00B26A21" w:rsidRPr="00264CE1" w14:paraId="7749B318" w14:textId="77777777" w:rsidTr="00C16E03">
        <w:tc>
          <w:tcPr>
            <w:tcW w:w="3722" w:type="pct"/>
            <w:shd w:val="clear" w:color="auto" w:fill="auto"/>
            <w:vAlign w:val="bottom"/>
          </w:tcPr>
          <w:p w14:paraId="4F494C9E" w14:textId="77777777" w:rsidR="00B26A21" w:rsidRPr="00B26A21" w:rsidRDefault="00B26A21" w:rsidP="00D23AE9">
            <w:pPr>
              <w:spacing w:before="20" w:after="20" w:line="220" w:lineRule="exact"/>
              <w:ind w:left="284"/>
              <w:rPr>
                <w:rFonts w:ascii="David" w:hAnsi="David"/>
                <w:sz w:val="18"/>
                <w:szCs w:val="18"/>
              </w:rPr>
            </w:pPr>
            <w:r w:rsidRPr="00B26A21">
              <w:rPr>
                <w:rFonts w:ascii="David" w:hAnsi="David"/>
                <w:sz w:val="18"/>
                <w:szCs w:val="18"/>
                <w:rtl/>
              </w:rPr>
              <w:t>4 ויותר</w:t>
            </w:r>
          </w:p>
        </w:tc>
        <w:tc>
          <w:tcPr>
            <w:tcW w:w="1278" w:type="pct"/>
          </w:tcPr>
          <w:p w14:paraId="4A0D3226"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.18</w:t>
            </w:r>
          </w:p>
        </w:tc>
      </w:tr>
      <w:tr w:rsidR="00B26A21" w:rsidRPr="00264CE1" w14:paraId="436308EE" w14:textId="77777777" w:rsidTr="00C16E03">
        <w:tc>
          <w:tcPr>
            <w:tcW w:w="3722" w:type="pct"/>
            <w:shd w:val="clear" w:color="auto" w:fill="auto"/>
          </w:tcPr>
          <w:p w14:paraId="6168910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הורה(ים) אינם עובדים</w:t>
            </w:r>
          </w:p>
        </w:tc>
        <w:tc>
          <w:tcPr>
            <w:tcW w:w="1278" w:type="pct"/>
          </w:tcPr>
          <w:p w14:paraId="038FEC25"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.11</w:t>
            </w:r>
          </w:p>
        </w:tc>
      </w:tr>
      <w:tr w:rsidR="00B26A21" w:rsidRPr="00264CE1" w14:paraId="3793501C" w14:textId="77777777" w:rsidTr="00C16E03">
        <w:tc>
          <w:tcPr>
            <w:tcW w:w="3722" w:type="pct"/>
            <w:shd w:val="clear" w:color="auto" w:fill="auto"/>
          </w:tcPr>
          <w:p w14:paraId="495A62DC"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הורה(ים) אינם בעלי השכלה על</w:t>
            </w:r>
            <w:r w:rsidRPr="00B26A21">
              <w:rPr>
                <w:rFonts w:ascii="David" w:hAnsi="David" w:hint="cs"/>
                <w:sz w:val="18"/>
                <w:szCs w:val="18"/>
                <w:rtl/>
              </w:rPr>
              <w:t>-</w:t>
            </w:r>
            <w:r w:rsidRPr="00B26A21">
              <w:rPr>
                <w:rFonts w:ascii="David" w:hAnsi="David"/>
                <w:sz w:val="18"/>
                <w:szCs w:val="18"/>
                <w:rtl/>
              </w:rPr>
              <w:t>תיכונית</w:t>
            </w:r>
          </w:p>
        </w:tc>
        <w:tc>
          <w:tcPr>
            <w:tcW w:w="1278" w:type="pct"/>
          </w:tcPr>
          <w:p w14:paraId="2B8F67F1"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.59</w:t>
            </w:r>
          </w:p>
        </w:tc>
      </w:tr>
      <w:tr w:rsidR="00B26A21" w:rsidRPr="00264CE1" w14:paraId="349BD614" w14:textId="77777777" w:rsidTr="00C16E03">
        <w:tc>
          <w:tcPr>
            <w:tcW w:w="3722" w:type="pct"/>
          </w:tcPr>
          <w:p w14:paraId="2975078F" w14:textId="77777777" w:rsidR="00B26A21" w:rsidRPr="00B26A21" w:rsidRDefault="00B26A21" w:rsidP="00D23AE9">
            <w:pPr>
              <w:spacing w:before="20" w:after="20" w:line="220" w:lineRule="exact"/>
              <w:rPr>
                <w:rFonts w:ascii="David" w:hAnsi="David"/>
                <w:sz w:val="18"/>
                <w:szCs w:val="18"/>
                <w:rtl/>
              </w:rPr>
            </w:pPr>
            <w:r w:rsidRPr="00B26A21">
              <w:rPr>
                <w:rFonts w:ascii="David" w:hAnsi="David"/>
                <w:sz w:val="18"/>
                <w:szCs w:val="18"/>
                <w:rtl/>
              </w:rPr>
              <w:t xml:space="preserve">שכר חודשי של משק הבית </w:t>
            </w:r>
            <w:r w:rsidRPr="00B26A21">
              <w:rPr>
                <w:rFonts w:ascii="David" w:hAnsi="David"/>
                <w:sz w:val="18"/>
                <w:szCs w:val="18"/>
              </w:rPr>
              <w:t>)</w:t>
            </w:r>
            <w:r w:rsidRPr="00B26A21">
              <w:rPr>
                <w:rFonts w:ascii="David" w:hAnsi="David"/>
                <w:sz w:val="18"/>
                <w:szCs w:val="18"/>
                <w:rtl/>
              </w:rPr>
              <w:t>ש</w:t>
            </w:r>
            <w:r w:rsidRPr="00B26A21">
              <w:rPr>
                <w:rFonts w:ascii="David" w:hAnsi="David" w:hint="cs"/>
                <w:sz w:val="18"/>
                <w:szCs w:val="18"/>
                <w:rtl/>
              </w:rPr>
              <w:t>קלים</w:t>
            </w:r>
            <w:r w:rsidRPr="00B26A21">
              <w:rPr>
                <w:rFonts w:ascii="David" w:hAnsi="David"/>
                <w:sz w:val="18"/>
                <w:szCs w:val="18"/>
              </w:rPr>
              <w:t>(</w:t>
            </w:r>
          </w:p>
        </w:tc>
        <w:tc>
          <w:tcPr>
            <w:tcW w:w="1278" w:type="pct"/>
          </w:tcPr>
          <w:p w14:paraId="09AFB41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17,500</w:t>
            </w:r>
          </w:p>
        </w:tc>
      </w:tr>
      <w:tr w:rsidR="00B26A21" w:rsidRPr="00264CE1" w14:paraId="5755BE53" w14:textId="77777777" w:rsidTr="00C16E03">
        <w:tc>
          <w:tcPr>
            <w:tcW w:w="3722" w:type="pct"/>
          </w:tcPr>
          <w:p w14:paraId="5970984D" w14:textId="77777777" w:rsidR="00B26A21" w:rsidRPr="00B26A21" w:rsidRDefault="00B26A21" w:rsidP="00D23AE9">
            <w:pPr>
              <w:spacing w:before="20" w:after="20" w:line="220" w:lineRule="exact"/>
              <w:rPr>
                <w:rFonts w:ascii="David" w:hAnsi="David"/>
                <w:b/>
                <w:bCs/>
                <w:color w:val="FF0000"/>
                <w:sz w:val="18"/>
                <w:szCs w:val="18"/>
                <w:rtl/>
              </w:rPr>
            </w:pPr>
            <w:r w:rsidRPr="00B26A21">
              <w:rPr>
                <w:rFonts w:ascii="David" w:hAnsi="David"/>
                <w:b/>
                <w:bCs/>
                <w:sz w:val="18"/>
                <w:szCs w:val="18"/>
                <w:rtl/>
              </w:rPr>
              <w:t xml:space="preserve">אשכול </w:t>
            </w:r>
            <w:r w:rsidRPr="00B26A21">
              <w:rPr>
                <w:rFonts w:ascii="David" w:hAnsi="David" w:hint="cs"/>
                <w:b/>
                <w:bCs/>
                <w:sz w:val="18"/>
                <w:szCs w:val="18"/>
                <w:rtl/>
              </w:rPr>
              <w:t>חברתי-כלכלי</w:t>
            </w:r>
          </w:p>
        </w:tc>
        <w:tc>
          <w:tcPr>
            <w:tcW w:w="1278" w:type="pct"/>
          </w:tcPr>
          <w:p w14:paraId="4F8FB669" w14:textId="77777777" w:rsidR="00B26A21" w:rsidRPr="00B26A21" w:rsidRDefault="00B26A21" w:rsidP="00D23AE9">
            <w:pPr>
              <w:spacing w:before="20" w:after="20" w:line="220" w:lineRule="exact"/>
              <w:rPr>
                <w:rFonts w:ascii="David" w:hAnsi="David"/>
                <w:sz w:val="18"/>
                <w:szCs w:val="18"/>
              </w:rPr>
            </w:pPr>
          </w:p>
        </w:tc>
      </w:tr>
      <w:tr w:rsidR="00B26A21" w:rsidRPr="00264CE1" w14:paraId="6F4DDB80" w14:textId="77777777" w:rsidTr="00C16E03">
        <w:tc>
          <w:tcPr>
            <w:tcW w:w="3722" w:type="pct"/>
            <w:vAlign w:val="bottom"/>
          </w:tcPr>
          <w:p w14:paraId="0F734A60" w14:textId="77777777" w:rsidR="00B26A21" w:rsidRPr="00C16E03" w:rsidRDefault="00B26A21" w:rsidP="00D23AE9">
            <w:pPr>
              <w:spacing w:before="20" w:after="20" w:line="220" w:lineRule="exact"/>
              <w:ind w:left="284"/>
              <w:rPr>
                <w:rFonts w:ascii="David" w:hAnsi="David"/>
                <w:sz w:val="18"/>
                <w:szCs w:val="18"/>
              </w:rPr>
            </w:pPr>
            <w:r w:rsidRPr="00B26A21">
              <w:rPr>
                <w:rFonts w:ascii="David" w:hAnsi="David"/>
                <w:sz w:val="18"/>
                <w:szCs w:val="18"/>
                <w:rtl/>
              </w:rPr>
              <w:t>נמוך יותר</w:t>
            </w:r>
          </w:p>
        </w:tc>
        <w:tc>
          <w:tcPr>
            <w:tcW w:w="1278" w:type="pct"/>
          </w:tcPr>
          <w:p w14:paraId="54F8FEA5"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.32</w:t>
            </w:r>
          </w:p>
        </w:tc>
      </w:tr>
      <w:tr w:rsidR="00B26A21" w:rsidRPr="00264CE1" w14:paraId="008CD10B" w14:textId="77777777" w:rsidTr="00C16E03">
        <w:tc>
          <w:tcPr>
            <w:tcW w:w="3722" w:type="pct"/>
            <w:vAlign w:val="bottom"/>
          </w:tcPr>
          <w:p w14:paraId="18EABC5B" w14:textId="77777777" w:rsidR="00B26A21" w:rsidRPr="00C16E03" w:rsidRDefault="00B26A21" w:rsidP="00D23AE9">
            <w:pPr>
              <w:spacing w:before="20" w:after="20" w:line="220" w:lineRule="exact"/>
              <w:ind w:left="284"/>
              <w:rPr>
                <w:rFonts w:ascii="David" w:hAnsi="David"/>
                <w:sz w:val="18"/>
                <w:szCs w:val="18"/>
              </w:rPr>
            </w:pPr>
            <w:r w:rsidRPr="00B26A21">
              <w:rPr>
                <w:rFonts w:ascii="David" w:hAnsi="David"/>
                <w:sz w:val="18"/>
                <w:szCs w:val="18"/>
                <w:rtl/>
              </w:rPr>
              <w:t>בינוני</w:t>
            </w:r>
          </w:p>
        </w:tc>
        <w:tc>
          <w:tcPr>
            <w:tcW w:w="1278" w:type="pct"/>
          </w:tcPr>
          <w:p w14:paraId="0048B678"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.33</w:t>
            </w:r>
          </w:p>
        </w:tc>
      </w:tr>
      <w:tr w:rsidR="00B26A21" w:rsidRPr="00264CE1" w14:paraId="67ED5063" w14:textId="77777777" w:rsidTr="007A3EF6">
        <w:tc>
          <w:tcPr>
            <w:tcW w:w="3722" w:type="pct"/>
            <w:tcBorders>
              <w:bottom w:val="single" w:sz="12" w:space="0" w:color="auto"/>
            </w:tcBorders>
            <w:vAlign w:val="bottom"/>
          </w:tcPr>
          <w:p w14:paraId="353C565C" w14:textId="77777777" w:rsidR="00B26A21" w:rsidRPr="00C16E03" w:rsidRDefault="00B26A21" w:rsidP="00D23AE9">
            <w:pPr>
              <w:spacing w:before="20" w:after="20" w:line="220" w:lineRule="exact"/>
              <w:ind w:left="284"/>
              <w:rPr>
                <w:rFonts w:ascii="David" w:hAnsi="David"/>
                <w:sz w:val="18"/>
                <w:szCs w:val="18"/>
              </w:rPr>
            </w:pPr>
            <w:r w:rsidRPr="00B26A21">
              <w:rPr>
                <w:rFonts w:ascii="David" w:hAnsi="David"/>
                <w:sz w:val="18"/>
                <w:szCs w:val="18"/>
                <w:rtl/>
              </w:rPr>
              <w:t>גבוה יותר</w:t>
            </w:r>
          </w:p>
        </w:tc>
        <w:tc>
          <w:tcPr>
            <w:tcW w:w="1278" w:type="pct"/>
            <w:tcBorders>
              <w:bottom w:val="single" w:sz="12" w:space="0" w:color="auto"/>
            </w:tcBorders>
          </w:tcPr>
          <w:p w14:paraId="66C9D495"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.35</w:t>
            </w:r>
          </w:p>
        </w:tc>
      </w:tr>
      <w:tr w:rsidR="00B26A21" w:rsidRPr="00264CE1" w14:paraId="374827C5" w14:textId="77777777" w:rsidTr="007A3EF6">
        <w:tc>
          <w:tcPr>
            <w:tcW w:w="3722" w:type="pct"/>
            <w:tcBorders>
              <w:top w:val="single" w:sz="12" w:space="0" w:color="auto"/>
              <w:bottom w:val="nil"/>
            </w:tcBorders>
          </w:tcPr>
          <w:p w14:paraId="1631D443" w14:textId="77777777" w:rsidR="00B26A21" w:rsidRPr="008C7A7C" w:rsidRDefault="00B26A21" w:rsidP="00D23AE9">
            <w:pPr>
              <w:keepNext/>
              <w:keepLines/>
              <w:spacing w:before="20" w:after="20" w:line="220" w:lineRule="exact"/>
              <w:rPr>
                <w:rFonts w:ascii="David" w:hAnsi="David"/>
                <w:bCs/>
                <w:i/>
                <w:sz w:val="20"/>
                <w:szCs w:val="20"/>
              </w:rPr>
            </w:pPr>
            <w:r w:rsidRPr="008C7A7C">
              <w:rPr>
                <w:rFonts w:ascii="David" w:hAnsi="David"/>
                <w:bCs/>
                <w:i/>
                <w:sz w:val="20"/>
                <w:szCs w:val="20"/>
                <w:rtl/>
              </w:rPr>
              <w:t>מאפייני הילדים</w:t>
            </w:r>
          </w:p>
        </w:tc>
        <w:tc>
          <w:tcPr>
            <w:tcW w:w="1278" w:type="pct"/>
            <w:tcBorders>
              <w:top w:val="single" w:sz="12" w:space="0" w:color="auto"/>
              <w:bottom w:val="nil"/>
            </w:tcBorders>
          </w:tcPr>
          <w:p w14:paraId="10A8D034" w14:textId="77777777" w:rsidR="00B26A21" w:rsidRPr="00B26A21" w:rsidRDefault="00B26A21" w:rsidP="00D23AE9">
            <w:pPr>
              <w:spacing w:before="20" w:after="20" w:line="220" w:lineRule="exact"/>
              <w:rPr>
                <w:rFonts w:ascii="David" w:hAnsi="David"/>
                <w:sz w:val="18"/>
                <w:szCs w:val="18"/>
              </w:rPr>
            </w:pPr>
          </w:p>
        </w:tc>
      </w:tr>
      <w:tr w:rsidR="00B26A21" w:rsidRPr="00264CE1" w14:paraId="5357282C" w14:textId="77777777" w:rsidTr="007A3EF6">
        <w:tc>
          <w:tcPr>
            <w:tcW w:w="3722" w:type="pct"/>
            <w:tcBorders>
              <w:top w:val="nil"/>
            </w:tcBorders>
          </w:tcPr>
          <w:p w14:paraId="662A71FA" w14:textId="77777777" w:rsidR="00B26A21" w:rsidRPr="00B26A21" w:rsidRDefault="00B26A21" w:rsidP="00D23AE9">
            <w:pPr>
              <w:spacing w:before="20" w:after="20" w:line="220" w:lineRule="exact"/>
              <w:rPr>
                <w:rFonts w:ascii="David" w:hAnsi="David"/>
                <w:b/>
                <w:bCs/>
                <w:i/>
                <w:sz w:val="18"/>
                <w:szCs w:val="18"/>
              </w:rPr>
            </w:pPr>
            <w:r w:rsidRPr="00B26A21">
              <w:rPr>
                <w:rFonts w:ascii="David" w:hAnsi="David"/>
                <w:b/>
                <w:bCs/>
                <w:sz w:val="18"/>
                <w:szCs w:val="18"/>
                <w:rtl/>
              </w:rPr>
              <w:t>גיל</w:t>
            </w:r>
          </w:p>
        </w:tc>
        <w:tc>
          <w:tcPr>
            <w:tcW w:w="1278" w:type="pct"/>
            <w:tcBorders>
              <w:top w:val="nil"/>
            </w:tcBorders>
          </w:tcPr>
          <w:p w14:paraId="0563739E" w14:textId="77777777" w:rsidR="00B26A21" w:rsidRPr="00B26A21" w:rsidRDefault="00B26A21" w:rsidP="00D23AE9">
            <w:pPr>
              <w:spacing w:before="20" w:after="20" w:line="220" w:lineRule="exact"/>
              <w:rPr>
                <w:rFonts w:ascii="David" w:hAnsi="David"/>
                <w:sz w:val="18"/>
                <w:szCs w:val="18"/>
              </w:rPr>
            </w:pPr>
          </w:p>
        </w:tc>
      </w:tr>
      <w:tr w:rsidR="00B26A21" w:rsidRPr="00264CE1" w14:paraId="78D943C8" w14:textId="77777777" w:rsidTr="00C16E03">
        <w:tc>
          <w:tcPr>
            <w:tcW w:w="3722" w:type="pct"/>
            <w:vAlign w:val="bottom"/>
          </w:tcPr>
          <w:p w14:paraId="51AD0D87"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0–6 שנים</w:t>
            </w:r>
          </w:p>
        </w:tc>
        <w:tc>
          <w:tcPr>
            <w:tcW w:w="1278" w:type="pct"/>
          </w:tcPr>
          <w:p w14:paraId="76ECE34F"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.41</w:t>
            </w:r>
          </w:p>
        </w:tc>
      </w:tr>
      <w:tr w:rsidR="00B26A21" w:rsidRPr="00264CE1" w14:paraId="4371CD9C" w14:textId="77777777" w:rsidTr="00C16E03">
        <w:tc>
          <w:tcPr>
            <w:tcW w:w="3722" w:type="pct"/>
            <w:vAlign w:val="bottom"/>
          </w:tcPr>
          <w:p w14:paraId="420A5A0D" w14:textId="77777777" w:rsidR="00B26A21" w:rsidRPr="00B26A21" w:rsidRDefault="00B26A21" w:rsidP="00D23AE9">
            <w:pPr>
              <w:spacing w:before="20" w:after="20" w:line="220" w:lineRule="exact"/>
              <w:ind w:left="284"/>
              <w:rPr>
                <w:rFonts w:ascii="David" w:hAnsi="David"/>
                <w:b/>
                <w:i/>
                <w:sz w:val="18"/>
                <w:szCs w:val="18"/>
                <w:rtl/>
              </w:rPr>
            </w:pPr>
            <w:r w:rsidRPr="00B26A21">
              <w:rPr>
                <w:rFonts w:ascii="David" w:hAnsi="David"/>
                <w:sz w:val="18"/>
                <w:szCs w:val="18"/>
                <w:rtl/>
              </w:rPr>
              <w:t>7–10</w:t>
            </w:r>
            <w:r w:rsidRPr="00B26A21">
              <w:rPr>
                <w:rFonts w:ascii="David" w:hAnsi="David"/>
                <w:sz w:val="18"/>
                <w:szCs w:val="18"/>
              </w:rPr>
              <w:t xml:space="preserve"> </w:t>
            </w:r>
            <w:r w:rsidRPr="00B26A21">
              <w:rPr>
                <w:rFonts w:ascii="David" w:hAnsi="David"/>
                <w:sz w:val="18"/>
                <w:szCs w:val="18"/>
                <w:rtl/>
              </w:rPr>
              <w:t>שנים</w:t>
            </w:r>
          </w:p>
        </w:tc>
        <w:tc>
          <w:tcPr>
            <w:tcW w:w="1278" w:type="pct"/>
          </w:tcPr>
          <w:p w14:paraId="222D6B15"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.20</w:t>
            </w:r>
          </w:p>
        </w:tc>
      </w:tr>
      <w:tr w:rsidR="00B26A21" w:rsidRPr="00264CE1" w14:paraId="3409D653" w14:textId="77777777" w:rsidTr="00C16E03">
        <w:tc>
          <w:tcPr>
            <w:tcW w:w="3722" w:type="pct"/>
            <w:vAlign w:val="bottom"/>
          </w:tcPr>
          <w:p w14:paraId="7FE9B05C"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11–14 שנים</w:t>
            </w:r>
          </w:p>
        </w:tc>
        <w:tc>
          <w:tcPr>
            <w:tcW w:w="1278" w:type="pct"/>
          </w:tcPr>
          <w:p w14:paraId="431FBFB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.19</w:t>
            </w:r>
          </w:p>
        </w:tc>
      </w:tr>
      <w:tr w:rsidR="00B26A21" w:rsidRPr="00264CE1" w14:paraId="4DCE5F49" w14:textId="77777777" w:rsidTr="00C16E03">
        <w:tc>
          <w:tcPr>
            <w:tcW w:w="3722" w:type="pct"/>
            <w:vAlign w:val="bottom"/>
          </w:tcPr>
          <w:p w14:paraId="786FECA4"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15–19</w:t>
            </w:r>
            <w:r w:rsidRPr="00B26A21">
              <w:rPr>
                <w:rFonts w:ascii="David" w:hAnsi="David"/>
                <w:sz w:val="18"/>
                <w:szCs w:val="18"/>
              </w:rPr>
              <w:t xml:space="preserve"> </w:t>
            </w:r>
            <w:r w:rsidRPr="00B26A21">
              <w:rPr>
                <w:rFonts w:ascii="David" w:hAnsi="David"/>
                <w:sz w:val="18"/>
                <w:szCs w:val="18"/>
                <w:rtl/>
              </w:rPr>
              <w:t>שנים</w:t>
            </w:r>
          </w:p>
        </w:tc>
        <w:tc>
          <w:tcPr>
            <w:tcW w:w="1278" w:type="pct"/>
          </w:tcPr>
          <w:p w14:paraId="78D63C25"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.20</w:t>
            </w:r>
          </w:p>
        </w:tc>
      </w:tr>
      <w:tr w:rsidR="00B26A21" w:rsidRPr="00264CE1" w14:paraId="475B3866" w14:textId="77777777" w:rsidTr="00C16E03">
        <w:tc>
          <w:tcPr>
            <w:tcW w:w="3722" w:type="pct"/>
          </w:tcPr>
          <w:p w14:paraId="012A5980" w14:textId="77777777" w:rsidR="00B26A21" w:rsidRPr="00B26A21" w:rsidRDefault="00B26A21" w:rsidP="00D23AE9">
            <w:pPr>
              <w:spacing w:before="20" w:after="20" w:line="220" w:lineRule="exact"/>
              <w:rPr>
                <w:rFonts w:ascii="David" w:hAnsi="David"/>
                <w:b/>
                <w:i/>
                <w:sz w:val="18"/>
                <w:szCs w:val="18"/>
                <w:rtl/>
              </w:rPr>
            </w:pPr>
            <w:r w:rsidRPr="00B26A21">
              <w:rPr>
                <w:rFonts w:ascii="David" w:hAnsi="David"/>
                <w:sz w:val="18"/>
                <w:szCs w:val="18"/>
                <w:rtl/>
              </w:rPr>
              <w:t>זכר</w:t>
            </w:r>
          </w:p>
        </w:tc>
        <w:tc>
          <w:tcPr>
            <w:tcW w:w="1278" w:type="pct"/>
          </w:tcPr>
          <w:p w14:paraId="50B83F24"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.51</w:t>
            </w:r>
          </w:p>
        </w:tc>
      </w:tr>
      <w:tr w:rsidR="00B26A21" w:rsidRPr="00264CE1" w14:paraId="2BA8C34B" w14:textId="77777777" w:rsidTr="00C16E03">
        <w:tc>
          <w:tcPr>
            <w:tcW w:w="3722" w:type="pct"/>
          </w:tcPr>
          <w:p w14:paraId="118F6AB6" w14:textId="77777777" w:rsidR="00B26A21" w:rsidRPr="00B26A21" w:rsidRDefault="00B26A21" w:rsidP="00D23AE9">
            <w:pPr>
              <w:spacing w:before="20" w:after="20" w:line="220" w:lineRule="exact"/>
              <w:rPr>
                <w:rFonts w:ascii="David" w:hAnsi="David"/>
                <w:b/>
                <w:bCs/>
                <w:i/>
                <w:sz w:val="18"/>
                <w:szCs w:val="18"/>
              </w:rPr>
            </w:pPr>
            <w:r w:rsidRPr="00B26A21">
              <w:rPr>
                <w:rFonts w:ascii="David" w:hAnsi="David"/>
                <w:b/>
                <w:bCs/>
                <w:sz w:val="18"/>
                <w:szCs w:val="18"/>
                <w:rtl/>
              </w:rPr>
              <w:t>סדר לידה</w:t>
            </w:r>
          </w:p>
        </w:tc>
        <w:tc>
          <w:tcPr>
            <w:tcW w:w="1278" w:type="pct"/>
          </w:tcPr>
          <w:p w14:paraId="45FD90CC" w14:textId="77777777" w:rsidR="00B26A21" w:rsidRPr="00B26A21" w:rsidRDefault="00B26A21" w:rsidP="00D23AE9">
            <w:pPr>
              <w:spacing w:before="20" w:after="20" w:line="220" w:lineRule="exact"/>
              <w:rPr>
                <w:rFonts w:ascii="David" w:hAnsi="David"/>
                <w:sz w:val="18"/>
                <w:szCs w:val="18"/>
              </w:rPr>
            </w:pPr>
          </w:p>
        </w:tc>
      </w:tr>
      <w:tr w:rsidR="00B26A21" w:rsidRPr="00264CE1" w14:paraId="13CE7338" w14:textId="77777777" w:rsidTr="00C16E03">
        <w:tc>
          <w:tcPr>
            <w:tcW w:w="3722" w:type="pct"/>
            <w:vAlign w:val="bottom"/>
          </w:tcPr>
          <w:p w14:paraId="0458DE47"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ראשון</w:t>
            </w:r>
          </w:p>
        </w:tc>
        <w:tc>
          <w:tcPr>
            <w:tcW w:w="1278" w:type="pct"/>
          </w:tcPr>
          <w:p w14:paraId="60540EF3"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.41</w:t>
            </w:r>
          </w:p>
        </w:tc>
      </w:tr>
      <w:tr w:rsidR="00B26A21" w:rsidRPr="00264CE1" w14:paraId="6F33621C" w14:textId="77777777" w:rsidTr="00C16E03">
        <w:tc>
          <w:tcPr>
            <w:tcW w:w="3722" w:type="pct"/>
            <w:vAlign w:val="bottom"/>
          </w:tcPr>
          <w:p w14:paraId="7226F73E"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שני</w:t>
            </w:r>
          </w:p>
        </w:tc>
        <w:tc>
          <w:tcPr>
            <w:tcW w:w="1278" w:type="pct"/>
          </w:tcPr>
          <w:p w14:paraId="5BE805CD"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.28</w:t>
            </w:r>
          </w:p>
        </w:tc>
      </w:tr>
      <w:tr w:rsidR="00B26A21" w:rsidRPr="00264CE1" w14:paraId="0DF568AA" w14:textId="77777777" w:rsidTr="00C16E03">
        <w:tc>
          <w:tcPr>
            <w:tcW w:w="3722" w:type="pct"/>
            <w:vAlign w:val="bottom"/>
          </w:tcPr>
          <w:p w14:paraId="2147C7CE"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שלישי</w:t>
            </w:r>
          </w:p>
        </w:tc>
        <w:tc>
          <w:tcPr>
            <w:tcW w:w="1278" w:type="pct"/>
          </w:tcPr>
          <w:p w14:paraId="59C8F896"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.16</w:t>
            </w:r>
          </w:p>
        </w:tc>
      </w:tr>
      <w:tr w:rsidR="00B26A21" w:rsidRPr="00264CE1" w14:paraId="7D0E6752" w14:textId="77777777" w:rsidTr="00C16E03">
        <w:tc>
          <w:tcPr>
            <w:tcW w:w="3722" w:type="pct"/>
            <w:tcBorders>
              <w:bottom w:val="single" w:sz="12" w:space="0" w:color="auto"/>
            </w:tcBorders>
            <w:vAlign w:val="bottom"/>
          </w:tcPr>
          <w:p w14:paraId="1ABCF0E4" w14:textId="77777777" w:rsidR="00B26A21" w:rsidRPr="00B26A21" w:rsidRDefault="00B26A21" w:rsidP="00D23AE9">
            <w:pPr>
              <w:spacing w:before="20" w:after="20" w:line="220" w:lineRule="exact"/>
              <w:ind w:left="284"/>
              <w:rPr>
                <w:rFonts w:ascii="David" w:hAnsi="David"/>
                <w:b/>
                <w:i/>
                <w:sz w:val="18"/>
                <w:szCs w:val="18"/>
              </w:rPr>
            </w:pPr>
            <w:r w:rsidRPr="00B26A21">
              <w:rPr>
                <w:rFonts w:ascii="David" w:hAnsi="David"/>
                <w:sz w:val="18"/>
                <w:szCs w:val="18"/>
                <w:rtl/>
              </w:rPr>
              <w:t>רביעי ויותר</w:t>
            </w:r>
          </w:p>
        </w:tc>
        <w:tc>
          <w:tcPr>
            <w:tcW w:w="1278" w:type="pct"/>
            <w:tcBorders>
              <w:bottom w:val="single" w:sz="12" w:space="0" w:color="auto"/>
            </w:tcBorders>
          </w:tcPr>
          <w:p w14:paraId="5D7217F8"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.15</w:t>
            </w:r>
          </w:p>
        </w:tc>
      </w:tr>
      <w:tr w:rsidR="00B26A21" w:rsidRPr="00264CE1" w14:paraId="3BDD3DA0" w14:textId="77777777" w:rsidTr="00C16E03">
        <w:tc>
          <w:tcPr>
            <w:tcW w:w="3722" w:type="pct"/>
            <w:tcBorders>
              <w:top w:val="single" w:sz="12" w:space="0" w:color="auto"/>
              <w:bottom w:val="nil"/>
            </w:tcBorders>
          </w:tcPr>
          <w:p w14:paraId="018D05EF"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מספר משקי בית</w:t>
            </w:r>
          </w:p>
        </w:tc>
        <w:tc>
          <w:tcPr>
            <w:tcW w:w="1278" w:type="pct"/>
            <w:tcBorders>
              <w:top w:val="single" w:sz="12" w:space="0" w:color="auto"/>
              <w:bottom w:val="nil"/>
            </w:tcBorders>
          </w:tcPr>
          <w:p w14:paraId="1A29423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1,278,475</w:t>
            </w:r>
          </w:p>
        </w:tc>
      </w:tr>
      <w:tr w:rsidR="00B26A21" w:rsidRPr="00264CE1" w14:paraId="2A8574C0" w14:textId="77777777" w:rsidTr="00C16E03">
        <w:tc>
          <w:tcPr>
            <w:tcW w:w="3722" w:type="pct"/>
            <w:tcBorders>
              <w:top w:val="nil"/>
            </w:tcBorders>
          </w:tcPr>
          <w:p w14:paraId="3191F0B7"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tl/>
              </w:rPr>
              <w:t>מספר ילדים</w:t>
            </w:r>
          </w:p>
        </w:tc>
        <w:tc>
          <w:tcPr>
            <w:tcW w:w="1278" w:type="pct"/>
            <w:tcBorders>
              <w:top w:val="nil"/>
            </w:tcBorders>
            <w:vAlign w:val="center"/>
          </w:tcPr>
          <w:p w14:paraId="46CC6682" w14:textId="77777777" w:rsidR="00B26A21" w:rsidRPr="00B26A21" w:rsidRDefault="00B26A21" w:rsidP="00D23AE9">
            <w:pPr>
              <w:spacing w:before="20" w:after="20" w:line="220" w:lineRule="exact"/>
              <w:rPr>
                <w:rFonts w:ascii="David" w:hAnsi="David"/>
                <w:sz w:val="18"/>
                <w:szCs w:val="18"/>
              </w:rPr>
            </w:pPr>
            <w:r w:rsidRPr="00B26A21">
              <w:rPr>
                <w:rFonts w:ascii="David" w:hAnsi="David"/>
                <w:sz w:val="18"/>
                <w:szCs w:val="18"/>
              </w:rPr>
              <w:t>3,105,245</w:t>
            </w:r>
          </w:p>
        </w:tc>
      </w:tr>
    </w:tbl>
    <w:p w14:paraId="488C57D2"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5.</w:t>
      </w:r>
      <w:r>
        <w:rPr>
          <w:rFonts w:cs="Guttman Aharoni"/>
          <w:color w:val="00B0F0"/>
          <w:sz w:val="32"/>
          <w:szCs w:val="32"/>
          <w:rtl/>
        </w:rPr>
        <w:tab/>
      </w:r>
      <w:r w:rsidRPr="007A6EAC">
        <w:rPr>
          <w:rFonts w:cs="Guttman Aharoni" w:hint="cs"/>
          <w:color w:val="00B0F0"/>
          <w:sz w:val="32"/>
          <w:szCs w:val="32"/>
          <w:rtl/>
        </w:rPr>
        <w:t xml:space="preserve">ממצאים </w:t>
      </w:r>
    </w:p>
    <w:p w14:paraId="4B11FA2A" w14:textId="77777777" w:rsidR="00CB1A04" w:rsidRPr="007F3859" w:rsidRDefault="00CB1A04" w:rsidP="00CB1A04">
      <w:pPr>
        <w:spacing w:after="180" w:line="280" w:lineRule="exact"/>
        <w:jc w:val="both"/>
        <w:rPr>
          <w:rFonts w:eastAsia="Calibri"/>
          <w:b/>
          <w:bCs/>
          <w:sz w:val="18"/>
          <w:szCs w:val="20"/>
        </w:rPr>
      </w:pPr>
    </w:p>
    <w:p w14:paraId="0BB70629" w14:textId="77777777" w:rsidR="00CB1A04" w:rsidRPr="007A6EAC" w:rsidRDefault="00CB1A04" w:rsidP="00CB1A04">
      <w:pPr>
        <w:pStyle w:val="KOT5"/>
        <w:spacing w:after="0"/>
        <w:ind w:right="0"/>
        <w:outlineLvl w:val="2"/>
        <w:rPr>
          <w:rFonts w:cs="Guttman Aharoni"/>
          <w:color w:val="00B0F0"/>
          <w:rtl/>
        </w:rPr>
      </w:pPr>
      <w:r w:rsidRPr="007A6EAC">
        <w:rPr>
          <w:rFonts w:cs="Guttman Aharoni" w:hint="cs"/>
          <w:color w:val="00B0F0"/>
          <w:rtl/>
        </w:rPr>
        <w:t>ההצטרפות לתוכנית חיסכון לכל ילד וההשתתפות</w:t>
      </w:r>
      <w:r w:rsidRPr="007A6EAC">
        <w:rPr>
          <w:rFonts w:cs="Guttman Aharoni"/>
          <w:color w:val="00B0F0"/>
          <w:rtl/>
        </w:rPr>
        <w:t xml:space="preserve"> </w:t>
      </w:r>
      <w:r w:rsidRPr="007A6EAC">
        <w:rPr>
          <w:rFonts w:cs="Guttman Aharoni" w:hint="cs"/>
          <w:color w:val="00B0F0"/>
          <w:rtl/>
        </w:rPr>
        <w:t>בה</w:t>
      </w:r>
    </w:p>
    <w:p w14:paraId="077411C3" w14:textId="77777777" w:rsidR="00CB1A04" w:rsidRPr="007F3859" w:rsidRDefault="00CB1A04" w:rsidP="00CB1A04">
      <w:pPr>
        <w:spacing w:after="180" w:line="280" w:lineRule="exact"/>
        <w:jc w:val="both"/>
        <w:rPr>
          <w:rFonts w:eastAsia="Calibri"/>
          <w:sz w:val="18"/>
          <w:szCs w:val="20"/>
          <w:rtl/>
        </w:rPr>
      </w:pPr>
      <w:r w:rsidRPr="007F3859">
        <w:rPr>
          <w:rFonts w:eastAsia="Calibri" w:hint="cs"/>
          <w:sz w:val="18"/>
          <w:szCs w:val="20"/>
          <w:rtl/>
        </w:rPr>
        <w:t>בסך הכול הצטרפו באופן פעיל לתוכנית 64.6% ממשקי הבית שבהם ילד אחד לפחות שהיה זכאי להצטרף לתוכנית בעת יישומה, ו-35.4% ממשקי הבית הנותרים הצטרפו לתוכנית על בסיס ברירת מחדל. מתוך משקי הבית שביצעו בחירה פעילה, 64.5% הוסיפו 50 שקלים מקצבת הילדים שלהם לתוכנית, מה שמראה שרוב ניכר ממשקי בית שהצטרפו באופן פעיל לתוכנית גם ייעדו באמצעות קצבת הילדים כספים מהצריכה השוטפת לתוכנית חיסכון לטווח ארוך. במילים אחרות:</w:t>
      </w:r>
      <w:r w:rsidRPr="007F3859">
        <w:rPr>
          <w:rFonts w:eastAsia="Calibri"/>
          <w:sz w:val="18"/>
          <w:szCs w:val="20"/>
          <w:rtl/>
        </w:rPr>
        <w:t xml:space="preserve"> 41.6% מ</w:t>
      </w:r>
      <w:r w:rsidRPr="007F3859">
        <w:rPr>
          <w:rFonts w:eastAsia="Calibri" w:hint="cs"/>
          <w:sz w:val="18"/>
          <w:szCs w:val="20"/>
          <w:rtl/>
        </w:rPr>
        <w:t xml:space="preserve">קרב </w:t>
      </w:r>
      <w:r w:rsidRPr="007F3859">
        <w:rPr>
          <w:rFonts w:eastAsia="Calibri"/>
          <w:sz w:val="18"/>
          <w:szCs w:val="20"/>
          <w:rtl/>
        </w:rPr>
        <w:t>משקי הבית הזכאים להצטרפות לתוכנית בחרו להפקיד 50 שקל</w:t>
      </w:r>
      <w:r w:rsidRPr="007F3859">
        <w:rPr>
          <w:rFonts w:eastAsia="Calibri" w:hint="cs"/>
          <w:sz w:val="18"/>
          <w:szCs w:val="20"/>
          <w:rtl/>
        </w:rPr>
        <w:t>ים</w:t>
      </w:r>
      <w:r w:rsidRPr="007F3859">
        <w:rPr>
          <w:rFonts w:eastAsia="Calibri"/>
          <w:sz w:val="18"/>
          <w:szCs w:val="20"/>
          <w:rtl/>
        </w:rPr>
        <w:t xml:space="preserve"> נוספים. יתרה מזאת: 59.7% ממשקי הבית שהצטרפו באופן פעיל ל</w:t>
      </w:r>
      <w:r w:rsidRPr="007F3859">
        <w:rPr>
          <w:rFonts w:eastAsia="Calibri" w:hint="cs"/>
          <w:sz w:val="18"/>
          <w:szCs w:val="20"/>
          <w:rtl/>
        </w:rPr>
        <w:t>תוכנית</w:t>
      </w:r>
      <w:r w:rsidRPr="007F3859">
        <w:rPr>
          <w:rFonts w:eastAsia="Calibri"/>
          <w:sz w:val="18"/>
          <w:szCs w:val="20"/>
          <w:rtl/>
        </w:rPr>
        <w:t xml:space="preserve"> </w:t>
      </w:r>
      <w:r w:rsidRPr="007F3859">
        <w:rPr>
          <w:rFonts w:eastAsia="Calibri" w:hint="cs"/>
          <w:sz w:val="18"/>
          <w:szCs w:val="20"/>
          <w:rtl/>
        </w:rPr>
        <w:t>בחרו</w:t>
      </w:r>
      <w:r w:rsidRPr="007F3859">
        <w:rPr>
          <w:rFonts w:eastAsia="Calibri"/>
          <w:sz w:val="18"/>
          <w:szCs w:val="20"/>
          <w:rtl/>
        </w:rPr>
        <w:t xml:space="preserve"> </w:t>
      </w:r>
      <w:r w:rsidRPr="007F3859">
        <w:rPr>
          <w:rFonts w:eastAsia="Calibri" w:hint="cs"/>
          <w:sz w:val="18"/>
          <w:szCs w:val="20"/>
          <w:rtl/>
        </w:rPr>
        <w:t>להפקיד</w:t>
      </w:r>
      <w:r w:rsidRPr="007F3859">
        <w:rPr>
          <w:rFonts w:eastAsia="Calibri"/>
          <w:sz w:val="18"/>
          <w:szCs w:val="20"/>
          <w:rtl/>
        </w:rPr>
        <w:t xml:space="preserve"> </w:t>
      </w:r>
      <w:r w:rsidRPr="007F3859">
        <w:rPr>
          <w:rFonts w:eastAsia="Calibri" w:hint="cs"/>
          <w:sz w:val="18"/>
          <w:szCs w:val="20"/>
          <w:rtl/>
        </w:rPr>
        <w:t>את</w:t>
      </w:r>
      <w:r w:rsidRPr="007F3859">
        <w:rPr>
          <w:rFonts w:eastAsia="Calibri"/>
          <w:sz w:val="18"/>
          <w:szCs w:val="20"/>
          <w:rtl/>
        </w:rPr>
        <w:t xml:space="preserve"> </w:t>
      </w:r>
      <w:r w:rsidRPr="007F3859">
        <w:rPr>
          <w:rFonts w:eastAsia="Calibri" w:hint="cs"/>
          <w:sz w:val="18"/>
          <w:szCs w:val="20"/>
          <w:rtl/>
        </w:rPr>
        <w:t>הכספים</w:t>
      </w:r>
      <w:r w:rsidRPr="007F3859">
        <w:rPr>
          <w:rFonts w:eastAsia="Calibri"/>
          <w:sz w:val="18"/>
          <w:szCs w:val="20"/>
          <w:rtl/>
        </w:rPr>
        <w:t xml:space="preserve"> </w:t>
      </w:r>
      <w:r w:rsidRPr="007F3859">
        <w:rPr>
          <w:rFonts w:eastAsia="Calibri" w:hint="cs"/>
          <w:sz w:val="18"/>
          <w:szCs w:val="20"/>
          <w:rtl/>
        </w:rPr>
        <w:t>בקרן</w:t>
      </w:r>
      <w:r w:rsidRPr="007F3859">
        <w:rPr>
          <w:rFonts w:eastAsia="Calibri"/>
          <w:sz w:val="18"/>
          <w:szCs w:val="20"/>
          <w:rtl/>
        </w:rPr>
        <w:t xml:space="preserve"> השקעות כלשהי</w:t>
      </w:r>
      <w:r w:rsidRPr="007F3859">
        <w:rPr>
          <w:rFonts w:eastAsia="Calibri" w:hint="cs"/>
          <w:sz w:val="18"/>
          <w:szCs w:val="20"/>
          <w:rtl/>
        </w:rPr>
        <w:t xml:space="preserve">. </w:t>
      </w:r>
    </w:p>
    <w:p w14:paraId="0ADA2888" w14:textId="1077C878" w:rsidR="00CB1A04" w:rsidRPr="007F3859" w:rsidRDefault="00CB1A04" w:rsidP="00CB1A04">
      <w:pPr>
        <w:spacing w:after="180" w:line="280" w:lineRule="exact"/>
        <w:jc w:val="both"/>
        <w:rPr>
          <w:rFonts w:eastAsia="Calibri"/>
          <w:sz w:val="18"/>
          <w:szCs w:val="20"/>
          <w:rtl/>
        </w:rPr>
      </w:pPr>
      <w:r w:rsidRPr="007F3859">
        <w:rPr>
          <w:rFonts w:eastAsia="Calibri" w:hint="cs"/>
          <w:sz w:val="18"/>
          <w:szCs w:val="20"/>
          <w:rtl/>
        </w:rPr>
        <w:t>לוח 2 מציג את אפיק החיסכון שבחרו ההורים לילדים שהשתתפו בתוכנית. הבחירה</w:t>
      </w:r>
      <w:r w:rsidRPr="007F3859">
        <w:rPr>
          <w:rFonts w:eastAsia="Calibri"/>
          <w:sz w:val="18"/>
          <w:szCs w:val="20"/>
          <w:rtl/>
        </w:rPr>
        <w:t xml:space="preserve"> הפופולרית ביותר ה</w:t>
      </w:r>
      <w:r w:rsidRPr="007F3859">
        <w:rPr>
          <w:rFonts w:eastAsia="Calibri" w:hint="cs"/>
          <w:sz w:val="18"/>
          <w:szCs w:val="20"/>
          <w:rtl/>
        </w:rPr>
        <w:t>ייתה בחשבונות חיסכון בבנק,</w:t>
      </w:r>
      <w:r w:rsidRPr="007F3859">
        <w:rPr>
          <w:rFonts w:eastAsia="Calibri"/>
          <w:sz w:val="18"/>
          <w:szCs w:val="20"/>
          <w:rtl/>
        </w:rPr>
        <w:t xml:space="preserve"> </w:t>
      </w:r>
      <w:r w:rsidRPr="007F3859">
        <w:rPr>
          <w:rFonts w:eastAsia="Calibri" w:hint="cs"/>
          <w:sz w:val="18"/>
          <w:szCs w:val="20"/>
          <w:rtl/>
        </w:rPr>
        <w:t>שהם בעלי</w:t>
      </w:r>
      <w:r w:rsidRPr="007F3859">
        <w:rPr>
          <w:rFonts w:eastAsia="Calibri"/>
          <w:sz w:val="18"/>
          <w:szCs w:val="20"/>
          <w:rtl/>
        </w:rPr>
        <w:t xml:space="preserve"> </w:t>
      </w:r>
      <w:r w:rsidRPr="007F3859">
        <w:rPr>
          <w:rFonts w:eastAsia="Calibri" w:hint="cs"/>
          <w:sz w:val="18"/>
          <w:szCs w:val="20"/>
          <w:rtl/>
        </w:rPr>
        <w:t>ריבית</w:t>
      </w:r>
      <w:r w:rsidRPr="007F3859">
        <w:rPr>
          <w:rFonts w:eastAsia="Calibri"/>
          <w:sz w:val="18"/>
          <w:szCs w:val="20"/>
          <w:rtl/>
        </w:rPr>
        <w:t xml:space="preserve"> </w:t>
      </w:r>
      <w:r w:rsidRPr="007F3859">
        <w:rPr>
          <w:rFonts w:eastAsia="Calibri" w:hint="cs"/>
          <w:sz w:val="18"/>
          <w:szCs w:val="20"/>
          <w:rtl/>
        </w:rPr>
        <w:t>קבועה</w:t>
      </w:r>
      <w:r w:rsidRPr="007F3859">
        <w:rPr>
          <w:rFonts w:eastAsia="Calibri"/>
          <w:sz w:val="18"/>
          <w:szCs w:val="20"/>
          <w:rtl/>
        </w:rPr>
        <w:t xml:space="preserve"> </w:t>
      </w:r>
      <w:r w:rsidRPr="007F3859">
        <w:rPr>
          <w:rFonts w:eastAsia="Calibri" w:hint="cs"/>
          <w:sz w:val="18"/>
          <w:szCs w:val="20"/>
          <w:rtl/>
        </w:rPr>
        <w:t>והתשואה</w:t>
      </w:r>
      <w:r w:rsidRPr="007F3859">
        <w:rPr>
          <w:rFonts w:eastAsia="Calibri"/>
          <w:sz w:val="18"/>
          <w:szCs w:val="20"/>
          <w:rtl/>
        </w:rPr>
        <w:t xml:space="preserve"> </w:t>
      </w:r>
      <w:r w:rsidRPr="007F3859">
        <w:rPr>
          <w:rFonts w:eastAsia="Calibri" w:hint="cs"/>
          <w:sz w:val="18"/>
          <w:szCs w:val="20"/>
          <w:rtl/>
        </w:rPr>
        <w:t>הצפויה</w:t>
      </w:r>
      <w:r w:rsidRPr="007F3859">
        <w:rPr>
          <w:rFonts w:eastAsia="Calibri"/>
          <w:sz w:val="18"/>
          <w:szCs w:val="20"/>
          <w:rtl/>
        </w:rPr>
        <w:t xml:space="preserve"> </w:t>
      </w:r>
      <w:r w:rsidRPr="007F3859">
        <w:rPr>
          <w:rFonts w:eastAsia="Calibri" w:hint="cs"/>
          <w:sz w:val="18"/>
          <w:szCs w:val="20"/>
          <w:rtl/>
        </w:rPr>
        <w:t>מהם היא הנמוכה</w:t>
      </w:r>
      <w:r w:rsidRPr="007F3859">
        <w:rPr>
          <w:rFonts w:eastAsia="Calibri"/>
          <w:sz w:val="18"/>
          <w:szCs w:val="20"/>
          <w:rtl/>
        </w:rPr>
        <w:t xml:space="preserve"> </w:t>
      </w:r>
      <w:r w:rsidRPr="007F3859">
        <w:rPr>
          <w:rFonts w:eastAsia="Calibri" w:hint="cs"/>
          <w:sz w:val="18"/>
          <w:szCs w:val="20"/>
          <w:rtl/>
        </w:rPr>
        <w:t xml:space="preserve">ביותר; במקום השני עמדה הבחירה בקרנות בהשקעה גבוהה, שבהן התשואה הצפויה היא הגבוהה ביותר. עיבוד הנתונים הראה כי 13% ממשקי הבית הצטרפו לקרנות השקעה דתיות. כמו כן, קרנות ההשקעה הדתיות, שריעה והלכתית, אשר </w:t>
      </w:r>
      <w:r w:rsidRPr="007F3859">
        <w:rPr>
          <w:rFonts w:eastAsia="Calibri"/>
          <w:sz w:val="18"/>
          <w:szCs w:val="20"/>
          <w:rtl/>
        </w:rPr>
        <w:t>קיבלו אישור</w:t>
      </w:r>
      <w:r w:rsidR="00156B97">
        <w:rPr>
          <w:rFonts w:eastAsia="Calibri" w:hint="cs"/>
          <w:sz w:val="18"/>
          <w:szCs w:val="20"/>
          <w:rtl/>
        </w:rPr>
        <w:t xml:space="preserve"> </w:t>
      </w:r>
      <w:r w:rsidRPr="007F3859">
        <w:rPr>
          <w:rFonts w:eastAsia="Calibri"/>
          <w:sz w:val="18"/>
          <w:szCs w:val="20"/>
          <w:rtl/>
        </w:rPr>
        <w:t>כשרות</w:t>
      </w:r>
      <w:r w:rsidR="00156B97">
        <w:rPr>
          <w:rFonts w:eastAsia="Calibri" w:hint="cs"/>
          <w:sz w:val="18"/>
          <w:szCs w:val="20"/>
          <w:rtl/>
        </w:rPr>
        <w:t xml:space="preserve"> </w:t>
      </w:r>
      <w:r w:rsidRPr="007F3859">
        <w:rPr>
          <w:rFonts w:eastAsia="Calibri"/>
          <w:sz w:val="18"/>
          <w:szCs w:val="20"/>
          <w:rtl/>
        </w:rPr>
        <w:t>להלכה</w:t>
      </w:r>
      <w:r w:rsidRPr="007F3859">
        <w:rPr>
          <w:rFonts w:eastAsia="Calibri" w:hint="cs"/>
          <w:sz w:val="18"/>
          <w:szCs w:val="20"/>
          <w:rtl/>
        </w:rPr>
        <w:t>, היו פופולריות למדי בקרב משקי בית שהחליטו לבצע הפקדות באופן פעיל.</w:t>
      </w:r>
    </w:p>
    <w:p w14:paraId="6E518FD8" w14:textId="77777777" w:rsidR="00CB1A04" w:rsidRPr="007A3EF6" w:rsidRDefault="00CB1A04" w:rsidP="007A3EF6">
      <w:pPr>
        <w:pStyle w:val="tab-name"/>
        <w:spacing w:before="300" w:line="260" w:lineRule="exact"/>
        <w:ind w:right="0"/>
        <w:rPr>
          <w:rFonts w:cs="Guttman Aharoni"/>
          <w:color w:val="auto"/>
          <w:sz w:val="20"/>
          <w:szCs w:val="20"/>
          <w:rtl/>
        </w:rPr>
      </w:pPr>
      <w:r w:rsidRPr="007A3EF6">
        <w:rPr>
          <w:rFonts w:cs="Guttman Aharoni" w:hint="cs"/>
          <w:color w:val="auto"/>
          <w:sz w:val="20"/>
          <w:szCs w:val="20"/>
          <w:rtl/>
        </w:rPr>
        <w:t>לוח 2: שיעור משקי הבית המשתתפים בתוכנית, לפי סוג חיסכון</w:t>
      </w:r>
    </w:p>
    <w:tbl>
      <w:tblPr>
        <w:tblStyle w:val="TableGrid"/>
        <w:bidiVisual/>
        <w:tblW w:w="6329"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1075"/>
        <w:gridCol w:w="1153"/>
        <w:gridCol w:w="571"/>
        <w:gridCol w:w="1147"/>
        <w:gridCol w:w="1230"/>
        <w:gridCol w:w="1153"/>
      </w:tblGrid>
      <w:tr w:rsidR="007A3EF6" w:rsidRPr="008C0C9E" w14:paraId="1D1A807E" w14:textId="77777777" w:rsidTr="007A3EF6">
        <w:trPr>
          <w:tblHeader/>
        </w:trPr>
        <w:tc>
          <w:tcPr>
            <w:tcW w:w="0" w:type="auto"/>
            <w:gridSpan w:val="2"/>
            <w:tcBorders>
              <w:top w:val="single" w:sz="12" w:space="0" w:color="auto"/>
              <w:bottom w:val="single" w:sz="4" w:space="0" w:color="auto"/>
            </w:tcBorders>
            <w:vAlign w:val="center"/>
          </w:tcPr>
          <w:p w14:paraId="4D2E48FB"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חשבון בנק</w:t>
            </w:r>
          </w:p>
        </w:tc>
        <w:tc>
          <w:tcPr>
            <w:tcW w:w="0" w:type="auto"/>
            <w:gridSpan w:val="4"/>
            <w:tcBorders>
              <w:top w:val="single" w:sz="12" w:space="0" w:color="auto"/>
              <w:bottom w:val="single" w:sz="4" w:space="0" w:color="auto"/>
            </w:tcBorders>
            <w:vAlign w:val="center"/>
          </w:tcPr>
          <w:p w14:paraId="75F041D5"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קרן השקעות</w:t>
            </w:r>
          </w:p>
        </w:tc>
      </w:tr>
      <w:tr w:rsidR="007A3EF6" w:rsidRPr="008C0C9E" w14:paraId="29A9DCA2" w14:textId="77777777" w:rsidTr="00416DA1">
        <w:tc>
          <w:tcPr>
            <w:tcW w:w="0" w:type="auto"/>
            <w:tcBorders>
              <w:top w:val="single" w:sz="4" w:space="0" w:color="auto"/>
              <w:bottom w:val="single" w:sz="12" w:space="0" w:color="auto"/>
            </w:tcBorders>
            <w:vAlign w:val="center"/>
          </w:tcPr>
          <w:p w14:paraId="1CC01BD8"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ריבית קבועה</w:t>
            </w:r>
          </w:p>
        </w:tc>
        <w:tc>
          <w:tcPr>
            <w:tcW w:w="0" w:type="auto"/>
            <w:tcBorders>
              <w:top w:val="single" w:sz="4" w:space="0" w:color="auto"/>
              <w:bottom w:val="single" w:sz="12" w:space="0" w:color="auto"/>
            </w:tcBorders>
            <w:vAlign w:val="center"/>
          </w:tcPr>
          <w:p w14:paraId="10F8FE8B"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ריבית משתנה</w:t>
            </w:r>
          </w:p>
        </w:tc>
        <w:tc>
          <w:tcPr>
            <w:tcW w:w="0" w:type="auto"/>
            <w:tcBorders>
              <w:top w:val="single" w:sz="4" w:space="0" w:color="auto"/>
              <w:bottom w:val="single" w:sz="12" w:space="0" w:color="auto"/>
            </w:tcBorders>
            <w:vAlign w:val="center"/>
          </w:tcPr>
          <w:p w14:paraId="1C8337B2"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דתיות</w:t>
            </w:r>
          </w:p>
        </w:tc>
        <w:tc>
          <w:tcPr>
            <w:tcW w:w="0" w:type="auto"/>
            <w:tcBorders>
              <w:top w:val="single" w:sz="4" w:space="0" w:color="auto"/>
              <w:bottom w:val="single" w:sz="12" w:space="0" w:color="auto"/>
            </w:tcBorders>
            <w:vAlign w:val="center"/>
          </w:tcPr>
          <w:p w14:paraId="70FC706B"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תשואה נמוכה</w:t>
            </w:r>
          </w:p>
        </w:tc>
        <w:tc>
          <w:tcPr>
            <w:tcW w:w="0" w:type="auto"/>
            <w:tcBorders>
              <w:top w:val="single" w:sz="4" w:space="0" w:color="auto"/>
              <w:bottom w:val="single" w:sz="12" w:space="0" w:color="auto"/>
            </w:tcBorders>
            <w:vAlign w:val="center"/>
          </w:tcPr>
          <w:p w14:paraId="1F71A106"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תשואה בינונית</w:t>
            </w:r>
          </w:p>
        </w:tc>
        <w:tc>
          <w:tcPr>
            <w:tcW w:w="0" w:type="auto"/>
            <w:tcBorders>
              <w:top w:val="single" w:sz="4" w:space="0" w:color="auto"/>
              <w:bottom w:val="single" w:sz="12" w:space="0" w:color="auto"/>
            </w:tcBorders>
            <w:vAlign w:val="center"/>
          </w:tcPr>
          <w:p w14:paraId="653B293C" w14:textId="77777777" w:rsidR="007A3EF6" w:rsidRPr="007A3EF6" w:rsidRDefault="007A3EF6" w:rsidP="007A3EF6">
            <w:pPr>
              <w:spacing w:before="60" w:after="60" w:line="220" w:lineRule="exact"/>
              <w:rPr>
                <w:rFonts w:ascii="David" w:hAnsi="David"/>
                <w:b/>
                <w:bCs/>
                <w:sz w:val="18"/>
                <w:szCs w:val="18"/>
              </w:rPr>
            </w:pPr>
            <w:r w:rsidRPr="007A3EF6">
              <w:rPr>
                <w:rFonts w:ascii="David" w:hAnsi="David"/>
                <w:b/>
                <w:bCs/>
                <w:sz w:val="18"/>
                <w:szCs w:val="18"/>
                <w:rtl/>
              </w:rPr>
              <w:t>תשואה גבוהה</w:t>
            </w:r>
          </w:p>
        </w:tc>
      </w:tr>
      <w:tr w:rsidR="007A3EF6" w:rsidRPr="008C0C9E" w14:paraId="4D923A9C" w14:textId="77777777" w:rsidTr="00416DA1">
        <w:tc>
          <w:tcPr>
            <w:tcW w:w="0" w:type="auto"/>
            <w:tcBorders>
              <w:top w:val="single" w:sz="12" w:space="0" w:color="auto"/>
              <w:bottom w:val="single" w:sz="12" w:space="0" w:color="auto"/>
            </w:tcBorders>
            <w:vAlign w:val="center"/>
          </w:tcPr>
          <w:p w14:paraId="7481F3A9" w14:textId="77777777" w:rsidR="007A3EF6" w:rsidRPr="007A3EF6" w:rsidRDefault="007A3EF6" w:rsidP="007A3EF6">
            <w:pPr>
              <w:spacing w:before="60" w:after="60" w:line="220" w:lineRule="exact"/>
              <w:rPr>
                <w:rFonts w:ascii="David" w:hAnsi="David"/>
                <w:sz w:val="18"/>
                <w:szCs w:val="18"/>
              </w:rPr>
            </w:pPr>
            <w:r w:rsidRPr="007A3EF6">
              <w:rPr>
                <w:rFonts w:ascii="David" w:hAnsi="David"/>
                <w:sz w:val="18"/>
                <w:szCs w:val="18"/>
              </w:rPr>
              <w:t>.32</w:t>
            </w:r>
          </w:p>
        </w:tc>
        <w:tc>
          <w:tcPr>
            <w:tcW w:w="0" w:type="auto"/>
            <w:tcBorders>
              <w:top w:val="single" w:sz="12" w:space="0" w:color="auto"/>
              <w:bottom w:val="single" w:sz="12" w:space="0" w:color="auto"/>
            </w:tcBorders>
            <w:vAlign w:val="center"/>
          </w:tcPr>
          <w:p w14:paraId="386D9F2B" w14:textId="77777777" w:rsidR="007A3EF6" w:rsidRPr="007A3EF6" w:rsidRDefault="007A3EF6" w:rsidP="007A3EF6">
            <w:pPr>
              <w:spacing w:before="60" w:after="60" w:line="220" w:lineRule="exact"/>
              <w:rPr>
                <w:rFonts w:ascii="David" w:hAnsi="David"/>
                <w:sz w:val="18"/>
                <w:szCs w:val="18"/>
              </w:rPr>
            </w:pPr>
            <w:r w:rsidRPr="007A3EF6">
              <w:rPr>
                <w:rFonts w:ascii="David" w:hAnsi="David"/>
                <w:sz w:val="18"/>
                <w:szCs w:val="18"/>
              </w:rPr>
              <w:t>.07</w:t>
            </w:r>
          </w:p>
        </w:tc>
        <w:tc>
          <w:tcPr>
            <w:tcW w:w="0" w:type="auto"/>
            <w:tcBorders>
              <w:top w:val="single" w:sz="12" w:space="0" w:color="auto"/>
              <w:bottom w:val="single" w:sz="12" w:space="0" w:color="auto"/>
            </w:tcBorders>
            <w:vAlign w:val="center"/>
          </w:tcPr>
          <w:p w14:paraId="2AF41F56" w14:textId="77777777" w:rsidR="007A3EF6" w:rsidRPr="007A3EF6" w:rsidRDefault="007A3EF6" w:rsidP="007A3EF6">
            <w:pPr>
              <w:spacing w:before="60" w:after="60" w:line="220" w:lineRule="exact"/>
              <w:rPr>
                <w:rFonts w:ascii="David" w:hAnsi="David"/>
                <w:sz w:val="18"/>
                <w:szCs w:val="18"/>
              </w:rPr>
            </w:pPr>
            <w:r w:rsidRPr="007A3EF6">
              <w:rPr>
                <w:rFonts w:ascii="David" w:hAnsi="David"/>
                <w:sz w:val="18"/>
                <w:szCs w:val="18"/>
              </w:rPr>
              <w:t>.13</w:t>
            </w:r>
          </w:p>
        </w:tc>
        <w:tc>
          <w:tcPr>
            <w:tcW w:w="0" w:type="auto"/>
            <w:tcBorders>
              <w:top w:val="single" w:sz="12" w:space="0" w:color="auto"/>
              <w:bottom w:val="single" w:sz="12" w:space="0" w:color="auto"/>
            </w:tcBorders>
            <w:vAlign w:val="center"/>
          </w:tcPr>
          <w:p w14:paraId="7262E4F4" w14:textId="77777777" w:rsidR="007A3EF6" w:rsidRPr="007A3EF6" w:rsidRDefault="007A3EF6" w:rsidP="007A3EF6">
            <w:pPr>
              <w:spacing w:before="60" w:after="60" w:line="220" w:lineRule="exact"/>
              <w:rPr>
                <w:rFonts w:ascii="David" w:hAnsi="David"/>
                <w:sz w:val="18"/>
                <w:szCs w:val="18"/>
                <w:rtl/>
              </w:rPr>
            </w:pPr>
            <w:r w:rsidRPr="007A3EF6">
              <w:rPr>
                <w:rFonts w:ascii="David" w:hAnsi="David"/>
                <w:sz w:val="18"/>
                <w:szCs w:val="18"/>
              </w:rPr>
              <w:t>.05</w:t>
            </w:r>
          </w:p>
        </w:tc>
        <w:tc>
          <w:tcPr>
            <w:tcW w:w="0" w:type="auto"/>
            <w:tcBorders>
              <w:top w:val="single" w:sz="12" w:space="0" w:color="auto"/>
              <w:bottom w:val="single" w:sz="12" w:space="0" w:color="auto"/>
            </w:tcBorders>
            <w:vAlign w:val="center"/>
          </w:tcPr>
          <w:p w14:paraId="56F6661E" w14:textId="77777777" w:rsidR="007A3EF6" w:rsidRPr="007A3EF6" w:rsidRDefault="007A3EF6" w:rsidP="007A3EF6">
            <w:pPr>
              <w:spacing w:before="60" w:after="60" w:line="220" w:lineRule="exact"/>
              <w:rPr>
                <w:rFonts w:ascii="David" w:hAnsi="David"/>
                <w:sz w:val="18"/>
                <w:szCs w:val="18"/>
              </w:rPr>
            </w:pPr>
            <w:r w:rsidRPr="007A3EF6">
              <w:rPr>
                <w:rFonts w:ascii="David" w:hAnsi="David"/>
                <w:sz w:val="18"/>
                <w:szCs w:val="18"/>
              </w:rPr>
              <w:t>.16</w:t>
            </w:r>
          </w:p>
        </w:tc>
        <w:tc>
          <w:tcPr>
            <w:tcW w:w="0" w:type="auto"/>
            <w:tcBorders>
              <w:top w:val="single" w:sz="12" w:space="0" w:color="auto"/>
              <w:bottom w:val="single" w:sz="12" w:space="0" w:color="auto"/>
            </w:tcBorders>
            <w:vAlign w:val="center"/>
          </w:tcPr>
          <w:p w14:paraId="45B861F1" w14:textId="77777777" w:rsidR="007A3EF6" w:rsidRPr="007A3EF6" w:rsidRDefault="007A3EF6" w:rsidP="007A3EF6">
            <w:pPr>
              <w:spacing w:before="60" w:after="60" w:line="220" w:lineRule="exact"/>
              <w:rPr>
                <w:rFonts w:ascii="David" w:hAnsi="David"/>
                <w:sz w:val="18"/>
                <w:szCs w:val="18"/>
              </w:rPr>
            </w:pPr>
            <w:r w:rsidRPr="007A3EF6">
              <w:rPr>
                <w:rFonts w:ascii="David" w:hAnsi="David"/>
                <w:sz w:val="18"/>
                <w:szCs w:val="18"/>
              </w:rPr>
              <w:t>.27</w:t>
            </w:r>
          </w:p>
        </w:tc>
      </w:tr>
    </w:tbl>
    <w:p w14:paraId="17D8668D" w14:textId="77777777" w:rsidR="007A3EF6" w:rsidRPr="007F3859" w:rsidRDefault="007A3EF6" w:rsidP="00CB1A04">
      <w:pPr>
        <w:spacing w:after="180" w:line="280" w:lineRule="exact"/>
        <w:jc w:val="both"/>
        <w:rPr>
          <w:sz w:val="18"/>
          <w:szCs w:val="20"/>
          <w:rtl/>
        </w:rPr>
      </w:pPr>
    </w:p>
    <w:p w14:paraId="237C687D" w14:textId="77777777" w:rsidR="00CB1A04" w:rsidRPr="007A6EAC" w:rsidRDefault="00CB1A04" w:rsidP="00CB1A04">
      <w:pPr>
        <w:pStyle w:val="KOT5"/>
        <w:spacing w:after="0"/>
        <w:ind w:right="0"/>
        <w:outlineLvl w:val="2"/>
        <w:rPr>
          <w:rFonts w:cs="Guttman Aharoni"/>
          <w:color w:val="00B0F0"/>
          <w:rtl/>
        </w:rPr>
      </w:pPr>
      <w:r w:rsidRPr="007A6EAC">
        <w:rPr>
          <w:rFonts w:cs="Guttman Aharoni" w:hint="cs"/>
          <w:color w:val="00B0F0"/>
          <w:rtl/>
        </w:rPr>
        <w:t>מאפייני ילדים ומשקי בית והחלטות לגבי השתתפות בתוכנית "חיסכון לכל ילד": רגרסיה לוגיסטית</w:t>
      </w:r>
    </w:p>
    <w:p w14:paraId="76C151DB" w14:textId="77777777" w:rsidR="00CB1A04" w:rsidRPr="007F3859" w:rsidRDefault="00CB1A04" w:rsidP="00CB1A04">
      <w:pPr>
        <w:spacing w:after="180" w:line="280" w:lineRule="exact"/>
        <w:jc w:val="both"/>
        <w:rPr>
          <w:i/>
          <w:iCs/>
          <w:sz w:val="18"/>
          <w:szCs w:val="20"/>
          <w:rtl/>
        </w:rPr>
      </w:pPr>
      <w:r w:rsidRPr="007F3859">
        <w:rPr>
          <w:rFonts w:hint="cs"/>
          <w:sz w:val="18"/>
          <w:szCs w:val="20"/>
          <w:rtl/>
        </w:rPr>
        <w:t>לוח 3 מציג את תוצאות הרגרסיות הלוגיסטיות שנעשו כדי לבחון את הקשרים בין מאפייני הילדים ומשקי הבית</w:t>
      </w:r>
      <w:r w:rsidRPr="007F3859">
        <w:rPr>
          <w:rFonts w:hint="cs"/>
          <w:i/>
          <w:iCs/>
          <w:sz w:val="18"/>
          <w:szCs w:val="20"/>
          <w:rtl/>
        </w:rPr>
        <w:t xml:space="preserve"> </w:t>
      </w:r>
      <w:r w:rsidRPr="007F3859">
        <w:rPr>
          <w:rFonts w:hint="cs"/>
          <w:sz w:val="18"/>
          <w:szCs w:val="20"/>
          <w:rtl/>
        </w:rPr>
        <w:t xml:space="preserve">לבין ההחלטות בדבר השתתפות בתוכנית חיסכון לכל ילד, כולל ההחלטות להצטרף לתוכנית באופן פעיל, להפקיד 50 שקלים נוספים ולבחור קרן השקעות. משיקולי מקום בלוח יופיעו רק הממצאים החשובים ביותר. </w:t>
      </w:r>
    </w:p>
    <w:p w14:paraId="4EF50AF5" w14:textId="533B6691" w:rsidR="00CB1A04" w:rsidRPr="002050DC" w:rsidRDefault="00CB1A04" w:rsidP="002050DC">
      <w:pPr>
        <w:pStyle w:val="tab-name"/>
        <w:spacing w:before="300" w:line="260" w:lineRule="exact"/>
        <w:ind w:right="0"/>
        <w:rPr>
          <w:rFonts w:cs="Guttman Aharoni"/>
          <w:color w:val="auto"/>
          <w:sz w:val="20"/>
          <w:szCs w:val="20"/>
        </w:rPr>
      </w:pPr>
      <w:r w:rsidRPr="002050DC">
        <w:rPr>
          <w:rFonts w:cs="Guttman Aharoni" w:hint="cs"/>
          <w:color w:val="auto"/>
          <w:sz w:val="20"/>
          <w:szCs w:val="20"/>
          <w:rtl/>
        </w:rPr>
        <w:lastRenderedPageBreak/>
        <w:t>לוח 3: החלטות בנוגע להשתתפות בתוכנית חיסכון לכל ילד, מודל רגרסיה לוגיסטית</w:t>
      </w:r>
      <w:r w:rsidR="00B1768F">
        <w:rPr>
          <w:rFonts w:cs="Guttman Aharoni" w:hint="cs"/>
          <w:color w:val="auto"/>
          <w:sz w:val="20"/>
          <w:szCs w:val="20"/>
          <w:rtl/>
        </w:rPr>
        <w:t>*</w:t>
      </w:r>
    </w:p>
    <w:tbl>
      <w:tblPr>
        <w:bidiVisual/>
        <w:tblW w:w="6464" w:type="dxa"/>
        <w:tblCellMar>
          <w:left w:w="57" w:type="dxa"/>
          <w:right w:w="57" w:type="dxa"/>
        </w:tblCellMar>
        <w:tblLook w:val="04A0" w:firstRow="1" w:lastRow="0" w:firstColumn="1" w:lastColumn="0" w:noHBand="0" w:noVBand="1"/>
      </w:tblPr>
      <w:tblGrid>
        <w:gridCol w:w="2888"/>
        <w:gridCol w:w="1024"/>
        <w:gridCol w:w="1512"/>
        <w:gridCol w:w="1040"/>
      </w:tblGrid>
      <w:tr w:rsidR="00CB1A04" w:rsidRPr="00E479EE" w14:paraId="72598EA9" w14:textId="77777777" w:rsidTr="00130181">
        <w:trPr>
          <w:tblHeader/>
        </w:trPr>
        <w:tc>
          <w:tcPr>
            <w:tcW w:w="0" w:type="auto"/>
            <w:tcBorders>
              <w:top w:val="single" w:sz="12" w:space="0" w:color="auto"/>
              <w:left w:val="single" w:sz="12" w:space="0" w:color="auto"/>
              <w:right w:val="single" w:sz="4" w:space="0" w:color="auto"/>
            </w:tcBorders>
            <w:shd w:val="clear" w:color="auto" w:fill="auto"/>
            <w:vAlign w:val="center"/>
          </w:tcPr>
          <w:p w14:paraId="29B24487" w14:textId="77777777" w:rsidR="00CB1A04" w:rsidRPr="00E479EE" w:rsidRDefault="00CB1A04" w:rsidP="00B1768F">
            <w:pPr>
              <w:spacing w:before="20" w:after="40" w:line="220" w:lineRule="exact"/>
              <w:rPr>
                <w:rFonts w:ascii="David" w:eastAsia="Calibri" w:hAnsi="David"/>
                <w:b/>
                <w:bCs/>
                <w:i/>
                <w:sz w:val="18"/>
                <w:szCs w:val="18"/>
              </w:rPr>
            </w:pPr>
          </w:p>
        </w:tc>
        <w:tc>
          <w:tcPr>
            <w:tcW w:w="0" w:type="auto"/>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36FBBB9F" w14:textId="77777777" w:rsidR="00CB1A04" w:rsidRPr="00E479EE" w:rsidRDefault="00CB1A04" w:rsidP="00B1768F">
            <w:pPr>
              <w:spacing w:before="20" w:after="40" w:line="220" w:lineRule="exact"/>
              <w:rPr>
                <w:rFonts w:ascii="David" w:eastAsia="Calibri" w:hAnsi="David"/>
                <w:b/>
                <w:bCs/>
                <w:sz w:val="18"/>
                <w:szCs w:val="18"/>
                <w:rtl/>
              </w:rPr>
            </w:pPr>
            <w:r w:rsidRPr="00E479EE">
              <w:rPr>
                <w:rFonts w:ascii="David" w:eastAsia="Calibri" w:hAnsi="David"/>
                <w:b/>
                <w:bCs/>
                <w:sz w:val="18"/>
                <w:szCs w:val="18"/>
                <w:rtl/>
              </w:rPr>
              <w:t>משתנה החלטה (1 = כן, 0 = לא)</w:t>
            </w:r>
          </w:p>
        </w:tc>
      </w:tr>
      <w:tr w:rsidR="00CB1A04" w:rsidRPr="00E479EE" w14:paraId="1CE1BD04" w14:textId="77777777" w:rsidTr="0037460D">
        <w:trPr>
          <w:tblHeader/>
        </w:trPr>
        <w:tc>
          <w:tcPr>
            <w:tcW w:w="0" w:type="auto"/>
            <w:tcBorders>
              <w:left w:val="single" w:sz="12" w:space="0" w:color="auto"/>
              <w:right w:val="single" w:sz="4" w:space="0" w:color="auto"/>
            </w:tcBorders>
            <w:shd w:val="clear" w:color="auto" w:fill="auto"/>
            <w:vAlign w:val="center"/>
          </w:tcPr>
          <w:p w14:paraId="70C2E9AB" w14:textId="77777777" w:rsidR="00CB1A04" w:rsidRPr="00E479EE" w:rsidRDefault="00CB1A04" w:rsidP="00B1768F">
            <w:pPr>
              <w:spacing w:before="20" w:after="40" w:line="220" w:lineRule="exact"/>
              <w:rPr>
                <w:rFonts w:ascii="David" w:eastAsia="Calibri" w:hAnsi="David"/>
                <w:b/>
                <w:bCs/>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9C154F7" w14:textId="28EA2C64" w:rsidR="00CB1A04" w:rsidRPr="00E479EE" w:rsidRDefault="00CB1A04" w:rsidP="00B1768F">
            <w:pPr>
              <w:spacing w:before="20" w:after="40" w:line="220" w:lineRule="exact"/>
              <w:rPr>
                <w:rFonts w:ascii="David" w:eastAsia="Calibri" w:hAnsi="David"/>
                <w:b/>
                <w:bCs/>
                <w:sz w:val="18"/>
                <w:szCs w:val="18"/>
              </w:rPr>
            </w:pPr>
            <w:r w:rsidRPr="00E479EE">
              <w:rPr>
                <w:rFonts w:ascii="David" w:eastAsia="Calibri" w:hAnsi="David"/>
                <w:b/>
                <w:bCs/>
                <w:sz w:val="18"/>
                <w:szCs w:val="18"/>
                <w:rtl/>
              </w:rPr>
              <w:t xml:space="preserve">בחירה </w:t>
            </w:r>
            <w:r w:rsidR="00416DA1" w:rsidRPr="00E479EE">
              <w:rPr>
                <w:rFonts w:ascii="David" w:eastAsia="Calibri" w:hAnsi="David"/>
                <w:b/>
                <w:bCs/>
                <w:sz w:val="18"/>
                <w:szCs w:val="18"/>
              </w:rPr>
              <w:br/>
            </w:r>
            <w:r w:rsidRPr="00E479EE">
              <w:rPr>
                <w:rFonts w:ascii="David" w:eastAsia="Calibri" w:hAnsi="David"/>
                <w:b/>
                <w:bCs/>
                <w:sz w:val="18"/>
                <w:szCs w:val="18"/>
                <w:rtl/>
              </w:rPr>
              <w:t>פעילה(1)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F8E068" w14:textId="33CA2646" w:rsidR="00CB1A04" w:rsidRPr="00E479EE" w:rsidRDefault="00CB1A04" w:rsidP="00B1768F">
            <w:pPr>
              <w:spacing w:before="20" w:after="40" w:line="220" w:lineRule="exact"/>
              <w:rPr>
                <w:rFonts w:ascii="David" w:eastAsia="Calibri" w:hAnsi="David"/>
                <w:b/>
                <w:bCs/>
                <w:sz w:val="18"/>
                <w:szCs w:val="18"/>
              </w:rPr>
            </w:pPr>
            <w:r w:rsidRPr="00E479EE">
              <w:rPr>
                <w:rFonts w:ascii="David" w:eastAsia="Calibri" w:hAnsi="David"/>
                <w:b/>
                <w:bCs/>
                <w:sz w:val="18"/>
                <w:szCs w:val="18"/>
                <w:rtl/>
              </w:rPr>
              <w:t xml:space="preserve">הפקדה של 50 </w:t>
            </w:r>
            <w:r w:rsidR="00416DA1" w:rsidRPr="00E479EE">
              <w:rPr>
                <w:rFonts w:ascii="David" w:eastAsia="Calibri" w:hAnsi="David"/>
                <w:b/>
                <w:bCs/>
                <w:sz w:val="18"/>
                <w:szCs w:val="18"/>
              </w:rPr>
              <w:br/>
            </w:r>
            <w:r w:rsidRPr="00E479EE">
              <w:rPr>
                <w:rFonts w:ascii="David" w:eastAsia="Calibri" w:hAnsi="David"/>
                <w:b/>
                <w:bCs/>
                <w:sz w:val="18"/>
                <w:szCs w:val="18"/>
                <w:rtl/>
              </w:rPr>
              <w:t>שקלים נוספים</w:t>
            </w:r>
            <w:r w:rsidRPr="00E479EE">
              <w:rPr>
                <w:rFonts w:ascii="David" w:eastAsia="Calibri" w:hAnsi="David"/>
                <w:b/>
                <w:bCs/>
                <w:sz w:val="18"/>
                <w:szCs w:val="18"/>
                <w:vertAlign w:val="superscript"/>
              </w:rPr>
              <w:t>1</w:t>
            </w:r>
            <w:r w:rsidRPr="00E479EE">
              <w:rPr>
                <w:rFonts w:ascii="David" w:eastAsia="Calibri" w:hAnsi="David"/>
                <w:b/>
                <w:bCs/>
                <w:sz w:val="18"/>
                <w:szCs w:val="18"/>
                <w:rtl/>
              </w:rPr>
              <w:t>(2)</w:t>
            </w:r>
          </w:p>
        </w:tc>
        <w:tc>
          <w:tcPr>
            <w:tcW w:w="0" w:type="auto"/>
            <w:tcBorders>
              <w:top w:val="single" w:sz="4" w:space="0" w:color="auto"/>
              <w:left w:val="single" w:sz="4" w:space="0" w:color="auto"/>
              <w:bottom w:val="single" w:sz="4" w:space="0" w:color="auto"/>
              <w:right w:val="single" w:sz="12" w:space="0" w:color="auto"/>
            </w:tcBorders>
            <w:shd w:val="clear" w:color="auto" w:fill="auto"/>
            <w:vAlign w:val="bottom"/>
          </w:tcPr>
          <w:p w14:paraId="2D3672E0" w14:textId="7DA4BBEB" w:rsidR="00CB1A04" w:rsidRPr="00E479EE" w:rsidRDefault="00CB1A04" w:rsidP="00B1768F">
            <w:pPr>
              <w:spacing w:before="20" w:after="40" w:line="220" w:lineRule="exact"/>
              <w:rPr>
                <w:rFonts w:ascii="David" w:eastAsia="Calibri" w:hAnsi="David"/>
                <w:b/>
                <w:bCs/>
                <w:sz w:val="18"/>
                <w:szCs w:val="18"/>
                <w:rtl/>
              </w:rPr>
            </w:pPr>
            <w:r w:rsidRPr="00E479EE">
              <w:rPr>
                <w:rFonts w:ascii="David" w:eastAsia="Calibri" w:hAnsi="David"/>
                <w:b/>
                <w:bCs/>
                <w:sz w:val="18"/>
                <w:szCs w:val="18"/>
                <w:rtl/>
              </w:rPr>
              <w:t xml:space="preserve">בחירה בקרן </w:t>
            </w:r>
            <w:r w:rsidR="00416DA1" w:rsidRPr="00E479EE">
              <w:rPr>
                <w:rFonts w:ascii="David" w:eastAsia="Calibri" w:hAnsi="David"/>
                <w:b/>
                <w:bCs/>
                <w:sz w:val="18"/>
                <w:szCs w:val="18"/>
              </w:rPr>
              <w:br/>
            </w:r>
            <w:r w:rsidRPr="00E479EE">
              <w:rPr>
                <w:rFonts w:ascii="David" w:eastAsia="Calibri" w:hAnsi="David"/>
                <w:b/>
                <w:bCs/>
                <w:sz w:val="18"/>
                <w:szCs w:val="18"/>
                <w:rtl/>
              </w:rPr>
              <w:t>השקעות</w:t>
            </w:r>
            <w:r w:rsidRPr="00E479EE">
              <w:rPr>
                <w:rFonts w:ascii="David" w:eastAsia="Calibri" w:hAnsi="David"/>
                <w:b/>
                <w:bCs/>
                <w:sz w:val="18"/>
                <w:szCs w:val="18"/>
                <w:vertAlign w:val="superscript"/>
              </w:rPr>
              <w:t>1</w:t>
            </w:r>
            <w:r w:rsidRPr="00E479EE">
              <w:rPr>
                <w:rFonts w:ascii="David" w:eastAsia="Calibri" w:hAnsi="David"/>
                <w:b/>
                <w:bCs/>
                <w:sz w:val="18"/>
                <w:szCs w:val="18"/>
                <w:rtl/>
              </w:rPr>
              <w:t>(3)</w:t>
            </w:r>
          </w:p>
        </w:tc>
      </w:tr>
      <w:tr w:rsidR="00CB1A04" w:rsidRPr="00E479EE" w14:paraId="7C5E5224" w14:textId="77777777" w:rsidTr="0037460D">
        <w:trPr>
          <w:tblHeader/>
        </w:trPr>
        <w:tc>
          <w:tcPr>
            <w:tcW w:w="0" w:type="auto"/>
            <w:tcBorders>
              <w:left w:val="single" w:sz="12" w:space="0" w:color="auto"/>
              <w:bottom w:val="single" w:sz="12" w:space="0" w:color="auto"/>
              <w:right w:val="single" w:sz="4" w:space="0" w:color="auto"/>
            </w:tcBorders>
            <w:shd w:val="clear" w:color="auto" w:fill="auto"/>
          </w:tcPr>
          <w:p w14:paraId="1B1CFA6D" w14:textId="77777777" w:rsidR="00CB1A04" w:rsidRPr="00E479EE" w:rsidRDefault="00CB1A04" w:rsidP="00B1768F">
            <w:pPr>
              <w:spacing w:before="20" w:after="40" w:line="220" w:lineRule="exact"/>
              <w:rPr>
                <w:rFonts w:ascii="David" w:eastAsia="Calibri" w:hAnsi="David"/>
                <w:b/>
                <w:bCs/>
                <w:i/>
                <w:sz w:val="18"/>
                <w:szCs w:val="18"/>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bottom"/>
          </w:tcPr>
          <w:p w14:paraId="41BFF560" w14:textId="77777777" w:rsidR="00CB1A04" w:rsidRPr="00E479EE" w:rsidRDefault="00CB1A04" w:rsidP="00B1768F">
            <w:pPr>
              <w:spacing w:before="20" w:after="40" w:line="220" w:lineRule="exact"/>
              <w:rPr>
                <w:rFonts w:ascii="David" w:eastAsia="Calibri" w:hAnsi="David"/>
                <w:b/>
                <w:bCs/>
                <w:sz w:val="18"/>
                <w:szCs w:val="18"/>
              </w:rPr>
            </w:pPr>
            <w:r w:rsidRPr="00E479EE">
              <w:rPr>
                <w:rFonts w:ascii="David" w:eastAsia="Calibri" w:hAnsi="David"/>
                <w:b/>
                <w:bCs/>
                <w:sz w:val="18"/>
                <w:szCs w:val="18"/>
                <w:rtl/>
              </w:rPr>
              <w:t>יחס סבירות</w:t>
            </w:r>
          </w:p>
        </w:tc>
        <w:tc>
          <w:tcPr>
            <w:tcW w:w="0" w:type="auto"/>
            <w:tcBorders>
              <w:top w:val="single" w:sz="4" w:space="0" w:color="auto"/>
              <w:left w:val="single" w:sz="4" w:space="0" w:color="auto"/>
              <w:bottom w:val="single" w:sz="12" w:space="0" w:color="auto"/>
              <w:right w:val="single" w:sz="4" w:space="0" w:color="auto"/>
            </w:tcBorders>
            <w:shd w:val="clear" w:color="auto" w:fill="auto"/>
            <w:vAlign w:val="bottom"/>
          </w:tcPr>
          <w:p w14:paraId="7C352C2D" w14:textId="77777777" w:rsidR="00CB1A04" w:rsidRPr="00E479EE" w:rsidRDefault="00CB1A04" w:rsidP="00B1768F">
            <w:pPr>
              <w:spacing w:before="20" w:after="40" w:line="220" w:lineRule="exact"/>
              <w:rPr>
                <w:rFonts w:ascii="David" w:eastAsia="Calibri" w:hAnsi="David"/>
                <w:b/>
                <w:bCs/>
                <w:sz w:val="18"/>
                <w:szCs w:val="18"/>
              </w:rPr>
            </w:pPr>
            <w:r w:rsidRPr="00E479EE">
              <w:rPr>
                <w:rFonts w:ascii="David" w:eastAsia="Calibri" w:hAnsi="David"/>
                <w:b/>
                <w:bCs/>
                <w:sz w:val="18"/>
                <w:szCs w:val="18"/>
                <w:rtl/>
              </w:rPr>
              <w:t>יחס סבירות</w:t>
            </w:r>
          </w:p>
        </w:tc>
        <w:tc>
          <w:tcPr>
            <w:tcW w:w="0" w:type="auto"/>
            <w:tcBorders>
              <w:top w:val="single" w:sz="4" w:space="0" w:color="auto"/>
              <w:left w:val="single" w:sz="4" w:space="0" w:color="auto"/>
              <w:bottom w:val="single" w:sz="12" w:space="0" w:color="auto"/>
              <w:right w:val="single" w:sz="12" w:space="0" w:color="auto"/>
            </w:tcBorders>
            <w:shd w:val="clear" w:color="auto" w:fill="auto"/>
            <w:vAlign w:val="bottom"/>
          </w:tcPr>
          <w:p w14:paraId="1EECC56B" w14:textId="77777777" w:rsidR="00CB1A04" w:rsidRPr="00E479EE" w:rsidRDefault="00CB1A04" w:rsidP="00B1768F">
            <w:pPr>
              <w:spacing w:before="20" w:after="40" w:line="220" w:lineRule="exact"/>
              <w:rPr>
                <w:rFonts w:ascii="David" w:eastAsia="Calibri" w:hAnsi="David"/>
                <w:b/>
                <w:bCs/>
                <w:sz w:val="18"/>
                <w:szCs w:val="18"/>
              </w:rPr>
            </w:pPr>
            <w:r w:rsidRPr="00E479EE">
              <w:rPr>
                <w:rFonts w:ascii="David" w:eastAsia="Calibri" w:hAnsi="David"/>
                <w:b/>
                <w:bCs/>
                <w:sz w:val="18"/>
                <w:szCs w:val="18"/>
                <w:rtl/>
              </w:rPr>
              <w:t>יחס סבירות</w:t>
            </w:r>
          </w:p>
        </w:tc>
      </w:tr>
      <w:tr w:rsidR="00CB1A04" w:rsidRPr="00115E7F" w14:paraId="0D1E46D2" w14:textId="77777777" w:rsidTr="00E479EE">
        <w:tc>
          <w:tcPr>
            <w:tcW w:w="0" w:type="auto"/>
            <w:tcBorders>
              <w:top w:val="single" w:sz="12" w:space="0" w:color="auto"/>
              <w:left w:val="single" w:sz="12" w:space="0" w:color="auto"/>
              <w:right w:val="single" w:sz="4" w:space="0" w:color="auto"/>
            </w:tcBorders>
            <w:shd w:val="clear" w:color="auto" w:fill="auto"/>
          </w:tcPr>
          <w:p w14:paraId="498218BA" w14:textId="77777777" w:rsidR="00CB1A04" w:rsidRPr="00416DA1" w:rsidRDefault="00CB1A04" w:rsidP="00B1768F">
            <w:pPr>
              <w:spacing w:before="20" w:after="40" w:line="220" w:lineRule="exact"/>
              <w:rPr>
                <w:rFonts w:ascii="David" w:eastAsia="Calibri" w:hAnsi="David"/>
                <w:b/>
                <w:bCs/>
                <w:i/>
                <w:sz w:val="18"/>
                <w:szCs w:val="18"/>
                <w:rtl/>
              </w:rPr>
            </w:pPr>
            <w:r w:rsidRPr="00416DA1">
              <w:rPr>
                <w:rFonts w:ascii="David" w:eastAsia="Calibri" w:hAnsi="David"/>
                <w:b/>
                <w:bCs/>
                <w:i/>
                <w:sz w:val="18"/>
                <w:szCs w:val="18"/>
                <w:rtl/>
              </w:rPr>
              <w:t>מאפייני הילדים</w:t>
            </w:r>
          </w:p>
        </w:tc>
        <w:tc>
          <w:tcPr>
            <w:tcW w:w="0" w:type="auto"/>
            <w:tcBorders>
              <w:top w:val="single" w:sz="12" w:space="0" w:color="auto"/>
              <w:left w:val="single" w:sz="4" w:space="0" w:color="auto"/>
              <w:right w:val="single" w:sz="4" w:space="0" w:color="auto"/>
            </w:tcBorders>
            <w:shd w:val="clear" w:color="auto" w:fill="auto"/>
          </w:tcPr>
          <w:p w14:paraId="1EFB75E8" w14:textId="77777777" w:rsidR="00CB1A04" w:rsidRPr="00416DA1" w:rsidRDefault="00CB1A04" w:rsidP="00B1768F">
            <w:pPr>
              <w:spacing w:before="20" w:after="40" w:line="220" w:lineRule="exact"/>
              <w:rPr>
                <w:rFonts w:ascii="David" w:eastAsia="Calibri" w:hAnsi="David"/>
                <w:sz w:val="18"/>
                <w:szCs w:val="18"/>
              </w:rPr>
            </w:pPr>
          </w:p>
        </w:tc>
        <w:tc>
          <w:tcPr>
            <w:tcW w:w="0" w:type="auto"/>
            <w:tcBorders>
              <w:top w:val="single" w:sz="12" w:space="0" w:color="auto"/>
              <w:left w:val="single" w:sz="4" w:space="0" w:color="auto"/>
              <w:right w:val="single" w:sz="4" w:space="0" w:color="auto"/>
            </w:tcBorders>
            <w:shd w:val="clear" w:color="auto" w:fill="auto"/>
          </w:tcPr>
          <w:p w14:paraId="2FE7130F" w14:textId="77777777" w:rsidR="00CB1A04" w:rsidRPr="00416DA1" w:rsidRDefault="00CB1A04" w:rsidP="00B1768F">
            <w:pPr>
              <w:spacing w:before="20" w:after="40" w:line="220" w:lineRule="exact"/>
              <w:rPr>
                <w:rFonts w:ascii="David" w:eastAsia="Calibri" w:hAnsi="David"/>
                <w:sz w:val="18"/>
                <w:szCs w:val="18"/>
              </w:rPr>
            </w:pPr>
          </w:p>
        </w:tc>
        <w:tc>
          <w:tcPr>
            <w:tcW w:w="0" w:type="auto"/>
            <w:tcBorders>
              <w:top w:val="single" w:sz="12" w:space="0" w:color="auto"/>
              <w:left w:val="single" w:sz="4" w:space="0" w:color="auto"/>
              <w:right w:val="single" w:sz="12" w:space="0" w:color="auto"/>
            </w:tcBorders>
            <w:shd w:val="clear" w:color="auto" w:fill="auto"/>
          </w:tcPr>
          <w:p w14:paraId="4ED2EEC1" w14:textId="77777777" w:rsidR="00CB1A04" w:rsidRPr="00416DA1" w:rsidRDefault="00CB1A04" w:rsidP="00B1768F">
            <w:pPr>
              <w:spacing w:before="20" w:after="40" w:line="220" w:lineRule="exact"/>
              <w:rPr>
                <w:rFonts w:ascii="David" w:eastAsia="Calibri" w:hAnsi="David"/>
                <w:sz w:val="18"/>
                <w:szCs w:val="18"/>
              </w:rPr>
            </w:pPr>
          </w:p>
        </w:tc>
      </w:tr>
      <w:tr w:rsidR="00CB1A04" w:rsidRPr="00115E7F" w14:paraId="6C248B54" w14:textId="77777777" w:rsidTr="00E479EE">
        <w:tc>
          <w:tcPr>
            <w:tcW w:w="0" w:type="auto"/>
            <w:tcBorders>
              <w:left w:val="single" w:sz="12" w:space="0" w:color="auto"/>
              <w:right w:val="single" w:sz="4" w:space="0" w:color="auto"/>
            </w:tcBorders>
            <w:shd w:val="clear" w:color="auto" w:fill="auto"/>
          </w:tcPr>
          <w:p w14:paraId="5D8F9E8F"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גיל</w:t>
            </w:r>
          </w:p>
        </w:tc>
        <w:tc>
          <w:tcPr>
            <w:tcW w:w="0" w:type="auto"/>
            <w:tcBorders>
              <w:left w:val="single" w:sz="4" w:space="0" w:color="auto"/>
              <w:right w:val="single" w:sz="4" w:space="0" w:color="auto"/>
            </w:tcBorders>
            <w:shd w:val="clear" w:color="auto" w:fill="auto"/>
          </w:tcPr>
          <w:p w14:paraId="69C2BD9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.929</w:t>
            </w:r>
          </w:p>
        </w:tc>
        <w:tc>
          <w:tcPr>
            <w:tcW w:w="0" w:type="auto"/>
            <w:tcBorders>
              <w:left w:val="single" w:sz="4" w:space="0" w:color="auto"/>
              <w:right w:val="single" w:sz="4" w:space="0" w:color="auto"/>
            </w:tcBorders>
            <w:shd w:val="clear" w:color="auto" w:fill="auto"/>
          </w:tcPr>
          <w:p w14:paraId="6EF074C4"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.952</w:t>
            </w:r>
          </w:p>
        </w:tc>
        <w:tc>
          <w:tcPr>
            <w:tcW w:w="0" w:type="auto"/>
            <w:tcBorders>
              <w:left w:val="single" w:sz="4" w:space="0" w:color="auto"/>
              <w:right w:val="single" w:sz="12" w:space="0" w:color="auto"/>
            </w:tcBorders>
            <w:shd w:val="clear" w:color="auto" w:fill="auto"/>
          </w:tcPr>
          <w:p w14:paraId="19BC696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.926</w:t>
            </w:r>
          </w:p>
        </w:tc>
      </w:tr>
      <w:tr w:rsidR="00CB1A04" w:rsidRPr="00115E7F" w14:paraId="30808836" w14:textId="77777777" w:rsidTr="00E479EE">
        <w:tc>
          <w:tcPr>
            <w:tcW w:w="0" w:type="auto"/>
            <w:tcBorders>
              <w:left w:val="single" w:sz="12" w:space="0" w:color="auto"/>
              <w:right w:val="single" w:sz="4" w:space="0" w:color="auto"/>
            </w:tcBorders>
            <w:shd w:val="clear" w:color="auto" w:fill="auto"/>
          </w:tcPr>
          <w:p w14:paraId="5101F978"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3CC566C" w14:textId="77777777" w:rsidR="00CB1A04" w:rsidRPr="00416DA1" w:rsidRDefault="00CB1A04" w:rsidP="00B1768F">
            <w:pPr>
              <w:spacing w:before="20" w:after="40" w:line="220" w:lineRule="exact"/>
              <w:rPr>
                <w:rFonts w:ascii="David" w:eastAsia="Calibri" w:hAnsi="David"/>
                <w:sz w:val="18"/>
                <w:szCs w:val="18"/>
                <w:rtl/>
              </w:rPr>
            </w:pPr>
            <w:r w:rsidRPr="00416DA1">
              <w:rPr>
                <w:rFonts w:ascii="David" w:eastAsia="Calibri" w:hAnsi="David"/>
                <w:sz w:val="18"/>
                <w:szCs w:val="18"/>
              </w:rPr>
              <w:t>(.0006)</w:t>
            </w:r>
          </w:p>
        </w:tc>
        <w:tc>
          <w:tcPr>
            <w:tcW w:w="0" w:type="auto"/>
            <w:tcBorders>
              <w:left w:val="single" w:sz="4" w:space="0" w:color="auto"/>
              <w:right w:val="single" w:sz="4" w:space="0" w:color="auto"/>
            </w:tcBorders>
            <w:shd w:val="clear" w:color="auto" w:fill="auto"/>
          </w:tcPr>
          <w:p w14:paraId="611C414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(.0007)</w:t>
            </w:r>
          </w:p>
        </w:tc>
        <w:tc>
          <w:tcPr>
            <w:tcW w:w="0" w:type="auto"/>
            <w:tcBorders>
              <w:left w:val="single" w:sz="4" w:space="0" w:color="auto"/>
              <w:right w:val="single" w:sz="12" w:space="0" w:color="auto"/>
            </w:tcBorders>
            <w:shd w:val="clear" w:color="auto" w:fill="auto"/>
          </w:tcPr>
          <w:p w14:paraId="14021F8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(.0008)</w:t>
            </w:r>
          </w:p>
        </w:tc>
      </w:tr>
      <w:tr w:rsidR="00CB1A04" w:rsidRPr="00115E7F" w14:paraId="0BFCBBC2" w14:textId="77777777" w:rsidTr="00E479EE">
        <w:tc>
          <w:tcPr>
            <w:tcW w:w="0" w:type="auto"/>
            <w:tcBorders>
              <w:left w:val="single" w:sz="12" w:space="0" w:color="auto"/>
              <w:right w:val="single" w:sz="4" w:space="0" w:color="auto"/>
            </w:tcBorders>
            <w:shd w:val="clear" w:color="auto" w:fill="auto"/>
          </w:tcPr>
          <w:p w14:paraId="4DF6575C" w14:textId="77777777" w:rsidR="00CB1A04" w:rsidRPr="00416DA1" w:rsidRDefault="00CB1A04" w:rsidP="004618F7">
            <w:pPr>
              <w:spacing w:before="20" w:after="40" w:line="220" w:lineRule="exact"/>
              <w:rPr>
                <w:rFonts w:ascii="David" w:eastAsia="Calibri" w:hAnsi="David"/>
                <w:sz w:val="18"/>
                <w:szCs w:val="18"/>
                <w:vertAlign w:val="superscript"/>
                <w:rtl/>
              </w:rPr>
            </w:pPr>
            <w:r w:rsidRPr="00416DA1">
              <w:rPr>
                <w:rFonts w:ascii="David" w:eastAsia="Calibri" w:hAnsi="David"/>
                <w:sz w:val="18"/>
                <w:szCs w:val="18"/>
                <w:rtl/>
              </w:rPr>
              <w:t>זכר</w:t>
            </w:r>
            <w:r w:rsidRPr="00416DA1">
              <w:rPr>
                <w:rFonts w:ascii="David" w:eastAsia="Calibri" w:hAnsi="David"/>
                <w:sz w:val="18"/>
                <w:szCs w:val="18"/>
              </w:rPr>
              <w:t xml:space="preserve"> </w:t>
            </w:r>
            <w:r w:rsidRPr="00416DA1">
              <w:rPr>
                <w:rFonts w:ascii="David" w:eastAsia="Calibri" w:hAnsi="David"/>
                <w:sz w:val="18"/>
                <w:szCs w:val="18"/>
                <w:rtl/>
              </w:rPr>
              <w:t>(ייחוס: נקבה)</w:t>
            </w:r>
            <w:r w:rsidRPr="00416DA1">
              <w:rPr>
                <w:rFonts w:ascii="David" w:eastAsia="Calibri" w:hAnsi="David"/>
                <w:sz w:val="18"/>
                <w:szCs w:val="18"/>
                <w:vertAlign w:val="superscript"/>
                <w:rtl/>
              </w:rPr>
              <w:t xml:space="preserve"> </w:t>
            </w:r>
          </w:p>
        </w:tc>
        <w:tc>
          <w:tcPr>
            <w:tcW w:w="0" w:type="auto"/>
            <w:tcBorders>
              <w:left w:val="single" w:sz="4" w:space="0" w:color="auto"/>
              <w:right w:val="single" w:sz="4" w:space="0" w:color="auto"/>
            </w:tcBorders>
            <w:shd w:val="clear" w:color="auto" w:fill="auto"/>
          </w:tcPr>
          <w:p w14:paraId="7E8232C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1.003</w:t>
            </w:r>
          </w:p>
        </w:tc>
        <w:tc>
          <w:tcPr>
            <w:tcW w:w="0" w:type="auto"/>
            <w:tcBorders>
              <w:left w:val="single" w:sz="4" w:space="0" w:color="auto"/>
              <w:right w:val="single" w:sz="4" w:space="0" w:color="auto"/>
            </w:tcBorders>
            <w:shd w:val="clear" w:color="auto" w:fill="auto"/>
          </w:tcPr>
          <w:p w14:paraId="63E395C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.995</w:t>
            </w:r>
          </w:p>
        </w:tc>
        <w:tc>
          <w:tcPr>
            <w:tcW w:w="0" w:type="auto"/>
            <w:tcBorders>
              <w:left w:val="single" w:sz="4" w:space="0" w:color="auto"/>
              <w:right w:val="single" w:sz="12" w:space="0" w:color="auto"/>
            </w:tcBorders>
            <w:shd w:val="clear" w:color="auto" w:fill="auto"/>
          </w:tcPr>
          <w:p w14:paraId="2CF69D4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w:t>
            </w:r>
          </w:p>
        </w:tc>
      </w:tr>
      <w:tr w:rsidR="00CB1A04" w:rsidRPr="00115E7F" w14:paraId="6CE3B16D" w14:textId="77777777" w:rsidTr="00E479EE">
        <w:tc>
          <w:tcPr>
            <w:tcW w:w="0" w:type="auto"/>
            <w:tcBorders>
              <w:left w:val="single" w:sz="12" w:space="0" w:color="auto"/>
              <w:right w:val="single" w:sz="4" w:space="0" w:color="auto"/>
            </w:tcBorders>
            <w:shd w:val="clear" w:color="auto" w:fill="auto"/>
          </w:tcPr>
          <w:p w14:paraId="79BBCAD4"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461208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(.003)</w:t>
            </w:r>
          </w:p>
        </w:tc>
        <w:tc>
          <w:tcPr>
            <w:tcW w:w="0" w:type="auto"/>
            <w:tcBorders>
              <w:left w:val="single" w:sz="4" w:space="0" w:color="auto"/>
              <w:right w:val="single" w:sz="4" w:space="0" w:color="auto"/>
            </w:tcBorders>
            <w:shd w:val="clear" w:color="auto" w:fill="auto"/>
          </w:tcPr>
          <w:p w14:paraId="0D2A8CA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(.003)</w:t>
            </w:r>
          </w:p>
        </w:tc>
        <w:tc>
          <w:tcPr>
            <w:tcW w:w="0" w:type="auto"/>
            <w:tcBorders>
              <w:left w:val="single" w:sz="4" w:space="0" w:color="auto"/>
              <w:right w:val="single" w:sz="12" w:space="0" w:color="auto"/>
            </w:tcBorders>
            <w:shd w:val="clear" w:color="auto" w:fill="auto"/>
          </w:tcPr>
          <w:p w14:paraId="34639F5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(.004)</w:t>
            </w:r>
          </w:p>
        </w:tc>
      </w:tr>
      <w:tr w:rsidR="00CB1A04" w:rsidRPr="00115E7F" w14:paraId="4ED06E51" w14:textId="77777777" w:rsidTr="00E479EE">
        <w:tc>
          <w:tcPr>
            <w:tcW w:w="0" w:type="auto"/>
            <w:tcBorders>
              <w:left w:val="single" w:sz="12" w:space="0" w:color="auto"/>
              <w:right w:val="single" w:sz="4" w:space="0" w:color="auto"/>
            </w:tcBorders>
            <w:shd w:val="clear" w:color="auto" w:fill="auto"/>
          </w:tcPr>
          <w:p w14:paraId="761A9BFA"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סדר לידה</w:t>
            </w:r>
          </w:p>
        </w:tc>
        <w:tc>
          <w:tcPr>
            <w:tcW w:w="0" w:type="auto"/>
            <w:tcBorders>
              <w:left w:val="single" w:sz="4" w:space="0" w:color="auto"/>
              <w:right w:val="single" w:sz="4" w:space="0" w:color="auto"/>
            </w:tcBorders>
            <w:shd w:val="clear" w:color="auto" w:fill="auto"/>
          </w:tcPr>
          <w:p w14:paraId="75DECFE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.903</w:t>
            </w:r>
          </w:p>
        </w:tc>
        <w:tc>
          <w:tcPr>
            <w:tcW w:w="0" w:type="auto"/>
            <w:tcBorders>
              <w:left w:val="single" w:sz="4" w:space="0" w:color="auto"/>
              <w:right w:val="single" w:sz="4" w:space="0" w:color="auto"/>
            </w:tcBorders>
            <w:shd w:val="clear" w:color="auto" w:fill="auto"/>
          </w:tcPr>
          <w:p w14:paraId="7FDB14D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.959</w:t>
            </w:r>
          </w:p>
        </w:tc>
        <w:tc>
          <w:tcPr>
            <w:tcW w:w="0" w:type="auto"/>
            <w:tcBorders>
              <w:left w:val="single" w:sz="4" w:space="0" w:color="auto"/>
              <w:right w:val="single" w:sz="12" w:space="0" w:color="auto"/>
            </w:tcBorders>
            <w:shd w:val="clear" w:color="auto" w:fill="auto"/>
          </w:tcPr>
          <w:p w14:paraId="12BBEF1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.861</w:t>
            </w:r>
          </w:p>
        </w:tc>
      </w:tr>
      <w:tr w:rsidR="00CB1A04" w:rsidRPr="00115E7F" w14:paraId="36C196FF" w14:textId="77777777" w:rsidTr="00E479EE">
        <w:tc>
          <w:tcPr>
            <w:tcW w:w="0" w:type="auto"/>
            <w:tcBorders>
              <w:left w:val="single" w:sz="12" w:space="0" w:color="auto"/>
              <w:bottom w:val="single" w:sz="12" w:space="0" w:color="auto"/>
              <w:right w:val="single" w:sz="4" w:space="0" w:color="auto"/>
            </w:tcBorders>
            <w:shd w:val="clear" w:color="auto" w:fill="auto"/>
          </w:tcPr>
          <w:p w14:paraId="2D250A45"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bottom w:val="single" w:sz="12" w:space="0" w:color="auto"/>
              <w:right w:val="single" w:sz="4" w:space="0" w:color="auto"/>
            </w:tcBorders>
            <w:shd w:val="clear" w:color="auto" w:fill="auto"/>
          </w:tcPr>
          <w:p w14:paraId="0107C1A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(.002)</w:t>
            </w:r>
          </w:p>
        </w:tc>
        <w:tc>
          <w:tcPr>
            <w:tcW w:w="0" w:type="auto"/>
            <w:tcBorders>
              <w:left w:val="single" w:sz="4" w:space="0" w:color="auto"/>
              <w:bottom w:val="single" w:sz="12" w:space="0" w:color="auto"/>
              <w:right w:val="single" w:sz="4" w:space="0" w:color="auto"/>
            </w:tcBorders>
            <w:shd w:val="clear" w:color="auto" w:fill="auto"/>
          </w:tcPr>
          <w:p w14:paraId="219DBDB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(.002)</w:t>
            </w:r>
          </w:p>
        </w:tc>
        <w:tc>
          <w:tcPr>
            <w:tcW w:w="0" w:type="auto"/>
            <w:tcBorders>
              <w:left w:val="single" w:sz="4" w:space="0" w:color="auto"/>
              <w:bottom w:val="single" w:sz="12" w:space="0" w:color="auto"/>
              <w:right w:val="single" w:sz="12" w:space="0" w:color="auto"/>
            </w:tcBorders>
            <w:shd w:val="clear" w:color="auto" w:fill="auto"/>
          </w:tcPr>
          <w:p w14:paraId="3B834A2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(.002)</w:t>
            </w:r>
          </w:p>
        </w:tc>
      </w:tr>
      <w:tr w:rsidR="00CB1A04" w:rsidRPr="00115E7F" w14:paraId="1B1C654A" w14:textId="77777777" w:rsidTr="00E479EE">
        <w:tc>
          <w:tcPr>
            <w:tcW w:w="0" w:type="auto"/>
            <w:tcBorders>
              <w:top w:val="single" w:sz="12" w:space="0" w:color="auto"/>
              <w:left w:val="single" w:sz="12" w:space="0" w:color="auto"/>
              <w:right w:val="single" w:sz="4" w:space="0" w:color="auto"/>
            </w:tcBorders>
            <w:shd w:val="clear" w:color="auto" w:fill="auto"/>
          </w:tcPr>
          <w:p w14:paraId="3BCA9359" w14:textId="77777777" w:rsidR="00CB1A04" w:rsidRPr="00416DA1" w:rsidRDefault="00CB1A04" w:rsidP="00B1768F">
            <w:pPr>
              <w:spacing w:before="20" w:after="40" w:line="220" w:lineRule="exact"/>
              <w:rPr>
                <w:rFonts w:ascii="David" w:eastAsia="Calibri" w:hAnsi="David"/>
                <w:iCs/>
                <w:sz w:val="18"/>
                <w:szCs w:val="18"/>
              </w:rPr>
            </w:pPr>
            <w:r w:rsidRPr="00416DA1">
              <w:rPr>
                <w:rFonts w:ascii="David" w:eastAsia="Calibri" w:hAnsi="David"/>
                <w:b/>
                <w:bCs/>
                <w:i/>
                <w:sz w:val="18"/>
                <w:szCs w:val="18"/>
                <w:rtl/>
              </w:rPr>
              <w:t>מאפיינים של משקי הבית</w:t>
            </w:r>
          </w:p>
        </w:tc>
        <w:tc>
          <w:tcPr>
            <w:tcW w:w="0" w:type="auto"/>
            <w:tcBorders>
              <w:top w:val="single" w:sz="12" w:space="0" w:color="auto"/>
              <w:left w:val="single" w:sz="4" w:space="0" w:color="auto"/>
              <w:right w:val="single" w:sz="4" w:space="0" w:color="auto"/>
            </w:tcBorders>
            <w:shd w:val="clear" w:color="auto" w:fill="auto"/>
          </w:tcPr>
          <w:p w14:paraId="65838796" w14:textId="77777777" w:rsidR="00CB1A04" w:rsidRPr="00416DA1" w:rsidRDefault="00CB1A04" w:rsidP="00B1768F">
            <w:pPr>
              <w:spacing w:before="20" w:after="40" w:line="220" w:lineRule="exact"/>
              <w:rPr>
                <w:rFonts w:ascii="David" w:eastAsia="Calibri" w:hAnsi="David"/>
                <w:sz w:val="18"/>
                <w:szCs w:val="18"/>
              </w:rPr>
            </w:pPr>
          </w:p>
        </w:tc>
        <w:tc>
          <w:tcPr>
            <w:tcW w:w="0" w:type="auto"/>
            <w:tcBorders>
              <w:top w:val="single" w:sz="12" w:space="0" w:color="auto"/>
              <w:left w:val="single" w:sz="4" w:space="0" w:color="auto"/>
              <w:right w:val="single" w:sz="4" w:space="0" w:color="auto"/>
            </w:tcBorders>
            <w:shd w:val="clear" w:color="auto" w:fill="auto"/>
          </w:tcPr>
          <w:p w14:paraId="01F55F8F" w14:textId="77777777" w:rsidR="00CB1A04" w:rsidRPr="00416DA1" w:rsidRDefault="00CB1A04" w:rsidP="00B1768F">
            <w:pPr>
              <w:spacing w:before="20" w:after="40" w:line="220" w:lineRule="exact"/>
              <w:rPr>
                <w:rFonts w:ascii="David" w:eastAsia="Calibri" w:hAnsi="David"/>
                <w:sz w:val="18"/>
                <w:szCs w:val="18"/>
              </w:rPr>
            </w:pPr>
          </w:p>
        </w:tc>
        <w:tc>
          <w:tcPr>
            <w:tcW w:w="0" w:type="auto"/>
            <w:tcBorders>
              <w:top w:val="single" w:sz="12" w:space="0" w:color="auto"/>
              <w:left w:val="single" w:sz="4" w:space="0" w:color="auto"/>
              <w:right w:val="single" w:sz="12" w:space="0" w:color="auto"/>
            </w:tcBorders>
            <w:shd w:val="clear" w:color="auto" w:fill="auto"/>
          </w:tcPr>
          <w:p w14:paraId="3D5FB12A" w14:textId="77777777" w:rsidR="00CB1A04" w:rsidRPr="00416DA1" w:rsidRDefault="00CB1A04" w:rsidP="00B1768F">
            <w:pPr>
              <w:spacing w:before="20" w:after="40" w:line="220" w:lineRule="exact"/>
              <w:rPr>
                <w:rFonts w:ascii="David" w:eastAsia="Calibri" w:hAnsi="David"/>
                <w:sz w:val="18"/>
                <w:szCs w:val="18"/>
              </w:rPr>
            </w:pPr>
          </w:p>
        </w:tc>
      </w:tr>
      <w:tr w:rsidR="00CB1A04" w:rsidRPr="00115E7F" w14:paraId="570D876E" w14:textId="77777777" w:rsidTr="00E479EE">
        <w:tc>
          <w:tcPr>
            <w:tcW w:w="0" w:type="auto"/>
            <w:tcBorders>
              <w:left w:val="single" w:sz="12" w:space="0" w:color="auto"/>
              <w:right w:val="single" w:sz="4" w:space="0" w:color="auto"/>
            </w:tcBorders>
            <w:shd w:val="clear" w:color="auto" w:fill="auto"/>
          </w:tcPr>
          <w:p w14:paraId="2B6687E0" w14:textId="77777777" w:rsidR="00CB1A04" w:rsidRPr="00416DA1" w:rsidRDefault="00CB1A04" w:rsidP="004618F7">
            <w:pPr>
              <w:spacing w:before="20" w:after="40" w:line="220" w:lineRule="exact"/>
              <w:rPr>
                <w:rFonts w:ascii="David" w:eastAsia="Calibri" w:hAnsi="David"/>
                <w:sz w:val="18"/>
                <w:szCs w:val="18"/>
                <w:vertAlign w:val="superscript"/>
              </w:rPr>
            </w:pPr>
            <w:r w:rsidRPr="00416DA1">
              <w:rPr>
                <w:rFonts w:ascii="David" w:eastAsia="Calibri" w:hAnsi="David"/>
                <w:sz w:val="18"/>
                <w:szCs w:val="18"/>
                <w:rtl/>
              </w:rPr>
              <w:t>סוג אוכלוסייה: יהודים חרדים</w:t>
            </w:r>
            <w:r w:rsidRPr="00416DA1">
              <w:rPr>
                <w:rFonts w:ascii="David" w:eastAsia="Calibri" w:hAnsi="David"/>
                <w:sz w:val="18"/>
                <w:szCs w:val="18"/>
                <w:vertAlign w:val="superscript"/>
                <w:rtl/>
              </w:rPr>
              <w:t>2</w:t>
            </w:r>
          </w:p>
        </w:tc>
        <w:tc>
          <w:tcPr>
            <w:tcW w:w="0" w:type="auto"/>
            <w:tcBorders>
              <w:left w:val="single" w:sz="4" w:space="0" w:color="auto"/>
              <w:right w:val="single" w:sz="4" w:space="0" w:color="auto"/>
            </w:tcBorders>
            <w:shd w:val="clear" w:color="auto" w:fill="auto"/>
          </w:tcPr>
          <w:p w14:paraId="17775480"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1.872</w:t>
            </w:r>
          </w:p>
        </w:tc>
        <w:tc>
          <w:tcPr>
            <w:tcW w:w="0" w:type="auto"/>
            <w:tcBorders>
              <w:left w:val="single" w:sz="4" w:space="0" w:color="auto"/>
              <w:right w:val="single" w:sz="4" w:space="0" w:color="auto"/>
            </w:tcBorders>
            <w:shd w:val="clear" w:color="auto" w:fill="auto"/>
          </w:tcPr>
          <w:p w14:paraId="57F167D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.719</w:t>
            </w:r>
          </w:p>
        </w:tc>
        <w:tc>
          <w:tcPr>
            <w:tcW w:w="0" w:type="auto"/>
            <w:tcBorders>
              <w:left w:val="single" w:sz="4" w:space="0" w:color="auto"/>
              <w:right w:val="single" w:sz="12" w:space="0" w:color="auto"/>
            </w:tcBorders>
            <w:shd w:val="clear" w:color="auto" w:fill="auto"/>
          </w:tcPr>
          <w:p w14:paraId="6329D64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3.526</w:t>
            </w:r>
          </w:p>
        </w:tc>
      </w:tr>
      <w:tr w:rsidR="00CB1A04" w:rsidRPr="00115E7F" w14:paraId="6ABD93FD" w14:textId="77777777" w:rsidTr="00E479EE">
        <w:tc>
          <w:tcPr>
            <w:tcW w:w="0" w:type="auto"/>
            <w:tcBorders>
              <w:left w:val="single" w:sz="12" w:space="0" w:color="auto"/>
              <w:right w:val="single" w:sz="4" w:space="0" w:color="auto"/>
            </w:tcBorders>
            <w:shd w:val="clear" w:color="auto" w:fill="auto"/>
          </w:tcPr>
          <w:p w14:paraId="3D115E8D"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E652E0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(.011)</w:t>
            </w:r>
          </w:p>
        </w:tc>
        <w:tc>
          <w:tcPr>
            <w:tcW w:w="0" w:type="auto"/>
            <w:tcBorders>
              <w:left w:val="single" w:sz="4" w:space="0" w:color="auto"/>
              <w:right w:val="single" w:sz="4" w:space="0" w:color="auto"/>
            </w:tcBorders>
            <w:shd w:val="clear" w:color="auto" w:fill="auto"/>
          </w:tcPr>
          <w:p w14:paraId="6AA37E1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c>
          <w:tcPr>
            <w:tcW w:w="0" w:type="auto"/>
            <w:tcBorders>
              <w:left w:val="single" w:sz="4" w:space="0" w:color="auto"/>
              <w:right w:val="single" w:sz="12" w:space="0" w:color="auto"/>
            </w:tcBorders>
            <w:shd w:val="clear" w:color="auto" w:fill="auto"/>
          </w:tcPr>
          <w:p w14:paraId="1D29E18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r>
      <w:tr w:rsidR="00CB1A04" w:rsidRPr="00115E7F" w14:paraId="04E71A42" w14:textId="77777777" w:rsidTr="00E479EE">
        <w:tc>
          <w:tcPr>
            <w:tcW w:w="0" w:type="auto"/>
            <w:tcBorders>
              <w:left w:val="single" w:sz="12" w:space="0" w:color="auto"/>
              <w:right w:val="single" w:sz="4" w:space="0" w:color="auto"/>
            </w:tcBorders>
            <w:shd w:val="clear" w:color="auto" w:fill="auto"/>
          </w:tcPr>
          <w:p w14:paraId="05E3479A" w14:textId="77777777" w:rsidR="00CB1A04" w:rsidRPr="00416DA1" w:rsidRDefault="00CB1A04" w:rsidP="004618F7">
            <w:pPr>
              <w:spacing w:before="20" w:after="40" w:line="220" w:lineRule="exact"/>
              <w:rPr>
                <w:rFonts w:ascii="David" w:eastAsia="Calibri" w:hAnsi="David"/>
                <w:sz w:val="18"/>
                <w:szCs w:val="18"/>
                <w:vertAlign w:val="superscript"/>
              </w:rPr>
            </w:pPr>
            <w:r w:rsidRPr="00416DA1">
              <w:rPr>
                <w:rFonts w:ascii="David" w:eastAsia="Calibri" w:hAnsi="David"/>
                <w:sz w:val="18"/>
                <w:szCs w:val="18"/>
                <w:rtl/>
              </w:rPr>
              <w:t>סוג אוכלוסייה: ערבים</w:t>
            </w:r>
            <w:r w:rsidRPr="00416DA1">
              <w:rPr>
                <w:rFonts w:ascii="David" w:eastAsia="Calibri" w:hAnsi="David"/>
                <w:sz w:val="18"/>
                <w:szCs w:val="18"/>
                <w:vertAlign w:val="superscript"/>
                <w:rtl/>
              </w:rPr>
              <w:t>2</w:t>
            </w:r>
          </w:p>
        </w:tc>
        <w:tc>
          <w:tcPr>
            <w:tcW w:w="0" w:type="auto"/>
            <w:tcBorders>
              <w:left w:val="single" w:sz="4" w:space="0" w:color="auto"/>
              <w:right w:val="single" w:sz="4" w:space="0" w:color="auto"/>
            </w:tcBorders>
            <w:shd w:val="clear" w:color="auto" w:fill="auto"/>
          </w:tcPr>
          <w:p w14:paraId="7B3E87A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.345</w:t>
            </w:r>
          </w:p>
        </w:tc>
        <w:tc>
          <w:tcPr>
            <w:tcW w:w="0" w:type="auto"/>
            <w:tcBorders>
              <w:left w:val="single" w:sz="4" w:space="0" w:color="auto"/>
              <w:right w:val="single" w:sz="4" w:space="0" w:color="auto"/>
            </w:tcBorders>
            <w:shd w:val="clear" w:color="auto" w:fill="auto"/>
          </w:tcPr>
          <w:p w14:paraId="28E61D8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.595</w:t>
            </w:r>
          </w:p>
        </w:tc>
        <w:tc>
          <w:tcPr>
            <w:tcW w:w="0" w:type="auto"/>
            <w:tcBorders>
              <w:left w:val="single" w:sz="4" w:space="0" w:color="auto"/>
              <w:right w:val="single" w:sz="12" w:space="0" w:color="auto"/>
            </w:tcBorders>
            <w:shd w:val="clear" w:color="auto" w:fill="auto"/>
          </w:tcPr>
          <w:p w14:paraId="1F07AF9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.07</w:t>
            </w:r>
          </w:p>
        </w:tc>
      </w:tr>
      <w:tr w:rsidR="00CB1A04" w:rsidRPr="00115E7F" w14:paraId="796437EA" w14:textId="77777777" w:rsidTr="00E479EE">
        <w:tc>
          <w:tcPr>
            <w:tcW w:w="0" w:type="auto"/>
            <w:tcBorders>
              <w:left w:val="single" w:sz="12" w:space="0" w:color="auto"/>
              <w:right w:val="single" w:sz="4" w:space="0" w:color="auto"/>
            </w:tcBorders>
            <w:shd w:val="clear" w:color="auto" w:fill="auto"/>
          </w:tcPr>
          <w:p w14:paraId="30E6FB84"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284BD0D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c>
          <w:tcPr>
            <w:tcW w:w="0" w:type="auto"/>
            <w:tcBorders>
              <w:left w:val="single" w:sz="4" w:space="0" w:color="auto"/>
              <w:right w:val="single" w:sz="4" w:space="0" w:color="auto"/>
            </w:tcBorders>
            <w:shd w:val="clear" w:color="auto" w:fill="auto"/>
          </w:tcPr>
          <w:p w14:paraId="7F98AD4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c>
          <w:tcPr>
            <w:tcW w:w="0" w:type="auto"/>
            <w:tcBorders>
              <w:left w:val="single" w:sz="4" w:space="0" w:color="auto"/>
              <w:right w:val="single" w:sz="12" w:space="0" w:color="auto"/>
            </w:tcBorders>
            <w:shd w:val="clear" w:color="auto" w:fill="auto"/>
          </w:tcPr>
          <w:p w14:paraId="1F3CC527"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r>
      <w:tr w:rsidR="00CB1A04" w:rsidRPr="00115E7F" w14:paraId="193F27ED" w14:textId="77777777" w:rsidTr="00E479EE">
        <w:tc>
          <w:tcPr>
            <w:tcW w:w="0" w:type="auto"/>
            <w:tcBorders>
              <w:left w:val="single" w:sz="12" w:space="0" w:color="auto"/>
              <w:right w:val="single" w:sz="4" w:space="0" w:color="auto"/>
            </w:tcBorders>
            <w:shd w:val="clear" w:color="auto" w:fill="auto"/>
          </w:tcPr>
          <w:p w14:paraId="14C2088B" w14:textId="5BB8D74A"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 xml:space="preserve">בראש משק הבית עומדת האם </w:t>
            </w:r>
            <w:r w:rsidRPr="00416DA1">
              <w:rPr>
                <w:rFonts w:ascii="David" w:eastAsia="Calibri" w:hAnsi="David"/>
                <w:sz w:val="18"/>
                <w:szCs w:val="18"/>
              </w:rPr>
              <w:t>)</w:t>
            </w:r>
            <w:r w:rsidRPr="00416DA1">
              <w:rPr>
                <w:rFonts w:ascii="David" w:eastAsia="Calibri" w:hAnsi="David"/>
                <w:sz w:val="18"/>
                <w:szCs w:val="18"/>
                <w:rtl/>
              </w:rPr>
              <w:t xml:space="preserve">ייחוס: </w:t>
            </w:r>
            <w:r w:rsidR="00416DA1" w:rsidRPr="00416DA1">
              <w:rPr>
                <w:rFonts w:ascii="David" w:eastAsia="Calibri" w:hAnsi="David"/>
                <w:sz w:val="18"/>
                <w:szCs w:val="18"/>
                <w:rtl/>
              </w:rPr>
              <w:br/>
            </w:r>
            <w:r w:rsidRPr="00416DA1">
              <w:rPr>
                <w:rFonts w:ascii="David" w:eastAsia="Calibri" w:hAnsi="David"/>
                <w:sz w:val="18"/>
                <w:szCs w:val="18"/>
                <w:rtl/>
              </w:rPr>
              <w:t>בראש משק הבית לא עומדת האם)</w:t>
            </w:r>
          </w:p>
        </w:tc>
        <w:tc>
          <w:tcPr>
            <w:tcW w:w="0" w:type="auto"/>
            <w:tcBorders>
              <w:left w:val="single" w:sz="4" w:space="0" w:color="auto"/>
              <w:right w:val="single" w:sz="4" w:space="0" w:color="auto"/>
            </w:tcBorders>
            <w:shd w:val="clear" w:color="auto" w:fill="auto"/>
          </w:tcPr>
          <w:p w14:paraId="72CE6BC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1.188</w:t>
            </w:r>
          </w:p>
        </w:tc>
        <w:tc>
          <w:tcPr>
            <w:tcW w:w="0" w:type="auto"/>
            <w:tcBorders>
              <w:left w:val="single" w:sz="4" w:space="0" w:color="auto"/>
              <w:right w:val="single" w:sz="4" w:space="0" w:color="auto"/>
            </w:tcBorders>
            <w:shd w:val="clear" w:color="auto" w:fill="auto"/>
          </w:tcPr>
          <w:p w14:paraId="74097C5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1.042</w:t>
            </w:r>
          </w:p>
        </w:tc>
        <w:tc>
          <w:tcPr>
            <w:tcW w:w="0" w:type="auto"/>
            <w:tcBorders>
              <w:left w:val="single" w:sz="4" w:space="0" w:color="auto"/>
              <w:right w:val="single" w:sz="12" w:space="0" w:color="auto"/>
            </w:tcBorders>
            <w:shd w:val="clear" w:color="auto" w:fill="auto"/>
          </w:tcPr>
          <w:p w14:paraId="2AF522A7"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1.24</w:t>
            </w:r>
          </w:p>
        </w:tc>
      </w:tr>
      <w:tr w:rsidR="00CB1A04" w:rsidRPr="00115E7F" w14:paraId="4F27C68F" w14:textId="77777777" w:rsidTr="00E479EE">
        <w:tc>
          <w:tcPr>
            <w:tcW w:w="0" w:type="auto"/>
            <w:tcBorders>
              <w:left w:val="single" w:sz="12" w:space="0" w:color="auto"/>
              <w:right w:val="single" w:sz="4" w:space="0" w:color="auto"/>
            </w:tcBorders>
            <w:shd w:val="clear" w:color="auto" w:fill="auto"/>
          </w:tcPr>
          <w:p w14:paraId="26EB7EF9"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372E210"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(.006)</w:t>
            </w:r>
          </w:p>
        </w:tc>
        <w:tc>
          <w:tcPr>
            <w:tcW w:w="0" w:type="auto"/>
            <w:tcBorders>
              <w:left w:val="single" w:sz="4" w:space="0" w:color="auto"/>
              <w:right w:val="single" w:sz="4" w:space="0" w:color="auto"/>
            </w:tcBorders>
            <w:shd w:val="clear" w:color="auto" w:fill="auto"/>
          </w:tcPr>
          <w:p w14:paraId="59573DD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(.006)</w:t>
            </w:r>
          </w:p>
        </w:tc>
        <w:tc>
          <w:tcPr>
            <w:tcW w:w="0" w:type="auto"/>
            <w:tcBorders>
              <w:left w:val="single" w:sz="4" w:space="0" w:color="auto"/>
              <w:right w:val="single" w:sz="12" w:space="0" w:color="auto"/>
            </w:tcBorders>
            <w:shd w:val="clear" w:color="auto" w:fill="auto"/>
          </w:tcPr>
          <w:p w14:paraId="02ECBD5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(.007)</w:t>
            </w:r>
          </w:p>
        </w:tc>
      </w:tr>
      <w:tr w:rsidR="00CB1A04" w:rsidRPr="00115E7F" w14:paraId="6211A4E2" w14:textId="77777777" w:rsidTr="00E479EE">
        <w:tc>
          <w:tcPr>
            <w:tcW w:w="0" w:type="auto"/>
            <w:tcBorders>
              <w:left w:val="single" w:sz="12" w:space="0" w:color="auto"/>
              <w:right w:val="single" w:sz="4" w:space="0" w:color="auto"/>
            </w:tcBorders>
            <w:shd w:val="clear" w:color="auto" w:fill="auto"/>
          </w:tcPr>
          <w:p w14:paraId="43F938A3"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משק הבית כולל שני הורים</w:t>
            </w:r>
          </w:p>
        </w:tc>
        <w:tc>
          <w:tcPr>
            <w:tcW w:w="0" w:type="auto"/>
            <w:tcBorders>
              <w:left w:val="single" w:sz="4" w:space="0" w:color="auto"/>
              <w:right w:val="single" w:sz="4" w:space="0" w:color="auto"/>
            </w:tcBorders>
            <w:shd w:val="clear" w:color="auto" w:fill="auto"/>
          </w:tcPr>
          <w:p w14:paraId="4AFEAA25"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1.079</w:t>
            </w:r>
          </w:p>
        </w:tc>
        <w:tc>
          <w:tcPr>
            <w:tcW w:w="0" w:type="auto"/>
            <w:tcBorders>
              <w:left w:val="single" w:sz="4" w:space="0" w:color="auto"/>
              <w:right w:val="single" w:sz="4" w:space="0" w:color="auto"/>
            </w:tcBorders>
            <w:shd w:val="clear" w:color="auto" w:fill="auto"/>
          </w:tcPr>
          <w:p w14:paraId="26D21A9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.965</w:t>
            </w:r>
          </w:p>
        </w:tc>
        <w:tc>
          <w:tcPr>
            <w:tcW w:w="0" w:type="auto"/>
            <w:tcBorders>
              <w:left w:val="single" w:sz="4" w:space="0" w:color="auto"/>
              <w:right w:val="single" w:sz="12" w:space="0" w:color="auto"/>
            </w:tcBorders>
            <w:shd w:val="clear" w:color="auto" w:fill="auto"/>
          </w:tcPr>
          <w:p w14:paraId="6553FCA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.886</w:t>
            </w:r>
          </w:p>
        </w:tc>
      </w:tr>
      <w:tr w:rsidR="00CB1A04" w:rsidRPr="00115E7F" w14:paraId="01F37650" w14:textId="77777777" w:rsidTr="00E479EE">
        <w:tc>
          <w:tcPr>
            <w:tcW w:w="0" w:type="auto"/>
            <w:tcBorders>
              <w:left w:val="single" w:sz="12" w:space="0" w:color="auto"/>
              <w:right w:val="single" w:sz="4" w:space="0" w:color="auto"/>
            </w:tcBorders>
            <w:shd w:val="clear" w:color="auto" w:fill="auto"/>
          </w:tcPr>
          <w:p w14:paraId="59EF4DBD"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C862B1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(.013)</w:t>
            </w:r>
          </w:p>
        </w:tc>
        <w:tc>
          <w:tcPr>
            <w:tcW w:w="0" w:type="auto"/>
            <w:tcBorders>
              <w:left w:val="single" w:sz="4" w:space="0" w:color="auto"/>
              <w:right w:val="single" w:sz="4" w:space="0" w:color="auto"/>
            </w:tcBorders>
            <w:shd w:val="clear" w:color="auto" w:fill="auto"/>
          </w:tcPr>
          <w:p w14:paraId="5231077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(.017)</w:t>
            </w:r>
          </w:p>
        </w:tc>
        <w:tc>
          <w:tcPr>
            <w:tcW w:w="0" w:type="auto"/>
            <w:tcBorders>
              <w:left w:val="single" w:sz="4" w:space="0" w:color="auto"/>
              <w:right w:val="single" w:sz="12" w:space="0" w:color="auto"/>
            </w:tcBorders>
            <w:shd w:val="clear" w:color="auto" w:fill="auto"/>
          </w:tcPr>
          <w:p w14:paraId="3DF8842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(.017)</w:t>
            </w:r>
          </w:p>
        </w:tc>
      </w:tr>
      <w:tr w:rsidR="00CB1A04" w:rsidRPr="00115E7F" w14:paraId="29378911" w14:textId="77777777" w:rsidTr="00E479EE">
        <w:tc>
          <w:tcPr>
            <w:tcW w:w="0" w:type="auto"/>
            <w:tcBorders>
              <w:left w:val="single" w:sz="12" w:space="0" w:color="auto"/>
              <w:right w:val="single" w:sz="4" w:space="0" w:color="auto"/>
            </w:tcBorders>
            <w:shd w:val="clear" w:color="auto" w:fill="auto"/>
          </w:tcPr>
          <w:p w14:paraId="740E84DF" w14:textId="5D280B0C" w:rsidR="00CB1A04" w:rsidRPr="00416DA1" w:rsidRDefault="00CB1A04" w:rsidP="004618F7">
            <w:pPr>
              <w:spacing w:before="20" w:after="40" w:line="220" w:lineRule="exact"/>
              <w:rPr>
                <w:rFonts w:ascii="David" w:eastAsia="Calibri" w:hAnsi="David"/>
                <w:sz w:val="18"/>
                <w:szCs w:val="18"/>
                <w:rtl/>
              </w:rPr>
            </w:pPr>
            <w:r w:rsidRPr="00416DA1">
              <w:rPr>
                <w:rFonts w:ascii="David" w:eastAsia="Calibri" w:hAnsi="David"/>
                <w:sz w:val="18"/>
                <w:szCs w:val="18"/>
                <w:rtl/>
              </w:rPr>
              <w:t xml:space="preserve">ההורים אינם נשואים (ייחוס: </w:t>
            </w:r>
            <w:r w:rsidR="00416DA1" w:rsidRPr="00416DA1">
              <w:rPr>
                <w:rFonts w:ascii="David" w:eastAsia="Calibri" w:hAnsi="David"/>
                <w:sz w:val="18"/>
                <w:szCs w:val="18"/>
                <w:rtl/>
              </w:rPr>
              <w:br/>
            </w:r>
            <w:r w:rsidRPr="00416DA1">
              <w:rPr>
                <w:rFonts w:ascii="David" w:eastAsia="Calibri" w:hAnsi="David"/>
                <w:sz w:val="18"/>
                <w:szCs w:val="18"/>
                <w:rtl/>
              </w:rPr>
              <w:t>ההורים נשואים</w:t>
            </w:r>
            <w:r w:rsidRPr="00416DA1">
              <w:rPr>
                <w:rFonts w:ascii="David" w:eastAsia="Calibri" w:hAnsi="David"/>
                <w:sz w:val="18"/>
                <w:szCs w:val="18"/>
              </w:rPr>
              <w:t>(</w:t>
            </w:r>
          </w:p>
        </w:tc>
        <w:tc>
          <w:tcPr>
            <w:tcW w:w="0" w:type="auto"/>
            <w:tcBorders>
              <w:left w:val="single" w:sz="4" w:space="0" w:color="auto"/>
              <w:right w:val="single" w:sz="4" w:space="0" w:color="auto"/>
            </w:tcBorders>
            <w:shd w:val="clear" w:color="auto" w:fill="auto"/>
          </w:tcPr>
          <w:p w14:paraId="6C0C467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.786</w:t>
            </w:r>
          </w:p>
        </w:tc>
        <w:tc>
          <w:tcPr>
            <w:tcW w:w="0" w:type="auto"/>
            <w:tcBorders>
              <w:left w:val="single" w:sz="4" w:space="0" w:color="auto"/>
              <w:right w:val="single" w:sz="4" w:space="0" w:color="auto"/>
            </w:tcBorders>
            <w:shd w:val="clear" w:color="auto" w:fill="auto"/>
          </w:tcPr>
          <w:p w14:paraId="2DF9145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.852</w:t>
            </w:r>
          </w:p>
        </w:tc>
        <w:tc>
          <w:tcPr>
            <w:tcW w:w="0" w:type="auto"/>
            <w:tcBorders>
              <w:left w:val="single" w:sz="4" w:space="0" w:color="auto"/>
              <w:right w:val="single" w:sz="12" w:space="0" w:color="auto"/>
            </w:tcBorders>
            <w:shd w:val="clear" w:color="auto" w:fill="auto"/>
          </w:tcPr>
          <w:p w14:paraId="478DE28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.743</w:t>
            </w:r>
          </w:p>
        </w:tc>
      </w:tr>
      <w:tr w:rsidR="00CB1A04" w:rsidRPr="00115E7F" w14:paraId="2C68F448" w14:textId="77777777" w:rsidTr="00E479EE">
        <w:tc>
          <w:tcPr>
            <w:tcW w:w="0" w:type="auto"/>
            <w:tcBorders>
              <w:left w:val="single" w:sz="12" w:space="0" w:color="auto"/>
              <w:right w:val="single" w:sz="4" w:space="0" w:color="auto"/>
            </w:tcBorders>
            <w:shd w:val="clear" w:color="auto" w:fill="auto"/>
          </w:tcPr>
          <w:p w14:paraId="529223F9"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B7AD64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(.007)</w:t>
            </w:r>
          </w:p>
        </w:tc>
        <w:tc>
          <w:tcPr>
            <w:tcW w:w="0" w:type="auto"/>
            <w:tcBorders>
              <w:left w:val="single" w:sz="4" w:space="0" w:color="auto"/>
              <w:right w:val="single" w:sz="4" w:space="0" w:color="auto"/>
            </w:tcBorders>
            <w:shd w:val="clear" w:color="auto" w:fill="auto"/>
          </w:tcPr>
          <w:p w14:paraId="427B654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c>
          <w:tcPr>
            <w:tcW w:w="0" w:type="auto"/>
            <w:tcBorders>
              <w:left w:val="single" w:sz="4" w:space="0" w:color="auto"/>
              <w:right w:val="single" w:sz="12" w:space="0" w:color="auto"/>
            </w:tcBorders>
            <w:shd w:val="clear" w:color="auto" w:fill="auto"/>
          </w:tcPr>
          <w:p w14:paraId="12E9BF9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r>
      <w:tr w:rsidR="00CB1A04" w:rsidRPr="00115E7F" w14:paraId="1E7EA0F1" w14:textId="77777777" w:rsidTr="00E479EE">
        <w:tc>
          <w:tcPr>
            <w:tcW w:w="0" w:type="auto"/>
            <w:tcBorders>
              <w:left w:val="single" w:sz="12" w:space="0" w:color="auto"/>
              <w:right w:val="single" w:sz="4" w:space="0" w:color="auto"/>
            </w:tcBorders>
            <w:shd w:val="clear" w:color="auto" w:fill="auto"/>
          </w:tcPr>
          <w:p w14:paraId="51702680"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גיל ראש משק הבית</w:t>
            </w:r>
          </w:p>
        </w:tc>
        <w:tc>
          <w:tcPr>
            <w:tcW w:w="0" w:type="auto"/>
            <w:tcBorders>
              <w:left w:val="single" w:sz="4" w:space="0" w:color="auto"/>
              <w:right w:val="single" w:sz="4" w:space="0" w:color="auto"/>
            </w:tcBorders>
            <w:shd w:val="clear" w:color="auto" w:fill="auto"/>
          </w:tcPr>
          <w:p w14:paraId="5681ED1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1.001</w:t>
            </w:r>
          </w:p>
        </w:tc>
        <w:tc>
          <w:tcPr>
            <w:tcW w:w="0" w:type="auto"/>
            <w:tcBorders>
              <w:left w:val="single" w:sz="4" w:space="0" w:color="auto"/>
              <w:right w:val="single" w:sz="4" w:space="0" w:color="auto"/>
            </w:tcBorders>
            <w:shd w:val="clear" w:color="auto" w:fill="auto"/>
          </w:tcPr>
          <w:p w14:paraId="517271F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1.015</w:t>
            </w:r>
          </w:p>
        </w:tc>
        <w:tc>
          <w:tcPr>
            <w:tcW w:w="0" w:type="auto"/>
            <w:tcBorders>
              <w:left w:val="single" w:sz="4" w:space="0" w:color="auto"/>
              <w:right w:val="single" w:sz="12" w:space="0" w:color="auto"/>
            </w:tcBorders>
            <w:shd w:val="clear" w:color="auto" w:fill="auto"/>
          </w:tcPr>
          <w:p w14:paraId="2E8AD0F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1.016</w:t>
            </w:r>
          </w:p>
        </w:tc>
      </w:tr>
      <w:tr w:rsidR="00CB1A04" w:rsidRPr="00115E7F" w14:paraId="3AA8AF9C" w14:textId="77777777" w:rsidTr="00E479EE">
        <w:tc>
          <w:tcPr>
            <w:tcW w:w="0" w:type="auto"/>
            <w:tcBorders>
              <w:left w:val="single" w:sz="12" w:space="0" w:color="auto"/>
              <w:right w:val="single" w:sz="4" w:space="0" w:color="auto"/>
            </w:tcBorders>
            <w:shd w:val="clear" w:color="auto" w:fill="auto"/>
          </w:tcPr>
          <w:p w14:paraId="7AF10CE6"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C88BB1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(.0004)</w:t>
            </w:r>
          </w:p>
        </w:tc>
        <w:tc>
          <w:tcPr>
            <w:tcW w:w="0" w:type="auto"/>
            <w:tcBorders>
              <w:left w:val="single" w:sz="4" w:space="0" w:color="auto"/>
              <w:right w:val="single" w:sz="4" w:space="0" w:color="auto"/>
            </w:tcBorders>
            <w:shd w:val="clear" w:color="auto" w:fill="auto"/>
          </w:tcPr>
          <w:p w14:paraId="747ED5D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(.0005)</w:t>
            </w:r>
          </w:p>
        </w:tc>
        <w:tc>
          <w:tcPr>
            <w:tcW w:w="0" w:type="auto"/>
            <w:tcBorders>
              <w:left w:val="single" w:sz="4" w:space="0" w:color="auto"/>
              <w:right w:val="single" w:sz="12" w:space="0" w:color="auto"/>
            </w:tcBorders>
            <w:shd w:val="clear" w:color="auto" w:fill="auto"/>
          </w:tcPr>
          <w:p w14:paraId="40DEB3E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(.0005)</w:t>
            </w:r>
          </w:p>
        </w:tc>
      </w:tr>
      <w:tr w:rsidR="00CB1A04" w:rsidRPr="00115E7F" w14:paraId="2504AE80" w14:textId="77777777" w:rsidTr="00E479EE">
        <w:tc>
          <w:tcPr>
            <w:tcW w:w="0" w:type="auto"/>
            <w:tcBorders>
              <w:left w:val="single" w:sz="12" w:space="0" w:color="auto"/>
              <w:right w:val="single" w:sz="4" w:space="0" w:color="auto"/>
            </w:tcBorders>
            <w:shd w:val="clear" w:color="auto" w:fill="auto"/>
          </w:tcPr>
          <w:p w14:paraId="7465D5D3" w14:textId="77777777" w:rsidR="00CB1A04" w:rsidRPr="00416DA1" w:rsidRDefault="00CB1A04" w:rsidP="004618F7">
            <w:pPr>
              <w:spacing w:before="20" w:after="40" w:line="220" w:lineRule="exact"/>
              <w:rPr>
                <w:rFonts w:ascii="David" w:eastAsia="Calibri" w:hAnsi="David"/>
                <w:color w:val="FF0000"/>
                <w:sz w:val="18"/>
                <w:szCs w:val="18"/>
              </w:rPr>
            </w:pPr>
            <w:r w:rsidRPr="00416DA1">
              <w:rPr>
                <w:rFonts w:ascii="David" w:eastAsia="Calibri" w:hAnsi="David"/>
                <w:sz w:val="18"/>
                <w:szCs w:val="18"/>
                <w:rtl/>
              </w:rPr>
              <w:t>מספר ילדים</w:t>
            </w:r>
          </w:p>
        </w:tc>
        <w:tc>
          <w:tcPr>
            <w:tcW w:w="0" w:type="auto"/>
            <w:tcBorders>
              <w:left w:val="single" w:sz="4" w:space="0" w:color="auto"/>
              <w:right w:val="single" w:sz="4" w:space="0" w:color="auto"/>
            </w:tcBorders>
            <w:shd w:val="clear" w:color="auto" w:fill="auto"/>
          </w:tcPr>
          <w:p w14:paraId="01C8FDE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1.137</w:t>
            </w:r>
          </w:p>
        </w:tc>
        <w:tc>
          <w:tcPr>
            <w:tcW w:w="0" w:type="auto"/>
            <w:tcBorders>
              <w:left w:val="single" w:sz="4" w:space="0" w:color="auto"/>
              <w:right w:val="single" w:sz="4" w:space="0" w:color="auto"/>
            </w:tcBorders>
            <w:shd w:val="clear" w:color="auto" w:fill="auto"/>
          </w:tcPr>
          <w:p w14:paraId="16C189A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.893</w:t>
            </w:r>
          </w:p>
        </w:tc>
        <w:tc>
          <w:tcPr>
            <w:tcW w:w="0" w:type="auto"/>
            <w:tcBorders>
              <w:left w:val="single" w:sz="4" w:space="0" w:color="auto"/>
              <w:right w:val="single" w:sz="12" w:space="0" w:color="auto"/>
            </w:tcBorders>
            <w:shd w:val="clear" w:color="auto" w:fill="auto"/>
          </w:tcPr>
          <w:p w14:paraId="19CB3D8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1.232</w:t>
            </w:r>
          </w:p>
        </w:tc>
      </w:tr>
      <w:tr w:rsidR="00CB1A04" w:rsidRPr="00115E7F" w14:paraId="41BA079D" w14:textId="77777777" w:rsidTr="00E479EE">
        <w:tc>
          <w:tcPr>
            <w:tcW w:w="0" w:type="auto"/>
            <w:tcBorders>
              <w:left w:val="single" w:sz="12" w:space="0" w:color="auto"/>
              <w:right w:val="single" w:sz="4" w:space="0" w:color="auto"/>
            </w:tcBorders>
            <w:shd w:val="clear" w:color="auto" w:fill="auto"/>
          </w:tcPr>
          <w:p w14:paraId="3FA73666"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CDEAEF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(.002)</w:t>
            </w:r>
          </w:p>
        </w:tc>
        <w:tc>
          <w:tcPr>
            <w:tcW w:w="0" w:type="auto"/>
            <w:tcBorders>
              <w:left w:val="single" w:sz="4" w:space="0" w:color="auto"/>
              <w:right w:val="single" w:sz="4" w:space="0" w:color="auto"/>
            </w:tcBorders>
            <w:shd w:val="clear" w:color="auto" w:fill="auto"/>
          </w:tcPr>
          <w:p w14:paraId="55EBE1C5"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(.002)</w:t>
            </w:r>
          </w:p>
        </w:tc>
        <w:tc>
          <w:tcPr>
            <w:tcW w:w="0" w:type="auto"/>
            <w:tcBorders>
              <w:left w:val="single" w:sz="4" w:space="0" w:color="auto"/>
              <w:right w:val="single" w:sz="12" w:space="0" w:color="auto"/>
            </w:tcBorders>
            <w:shd w:val="clear" w:color="auto" w:fill="auto"/>
          </w:tcPr>
          <w:p w14:paraId="554135C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(.003)</w:t>
            </w:r>
          </w:p>
        </w:tc>
      </w:tr>
      <w:tr w:rsidR="00CB1A04" w:rsidRPr="00115E7F" w14:paraId="04C5C2C4" w14:textId="77777777" w:rsidTr="00E479EE">
        <w:tc>
          <w:tcPr>
            <w:tcW w:w="0" w:type="auto"/>
            <w:tcBorders>
              <w:left w:val="single" w:sz="12" w:space="0" w:color="auto"/>
              <w:right w:val="single" w:sz="4" w:space="0" w:color="auto"/>
            </w:tcBorders>
            <w:shd w:val="clear" w:color="auto" w:fill="auto"/>
          </w:tcPr>
          <w:p w14:paraId="18C2DB78"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שיעור ההורים העובדים</w:t>
            </w:r>
          </w:p>
        </w:tc>
        <w:tc>
          <w:tcPr>
            <w:tcW w:w="0" w:type="auto"/>
            <w:tcBorders>
              <w:left w:val="single" w:sz="4" w:space="0" w:color="auto"/>
              <w:right w:val="single" w:sz="4" w:space="0" w:color="auto"/>
            </w:tcBorders>
            <w:shd w:val="clear" w:color="auto" w:fill="auto"/>
          </w:tcPr>
          <w:p w14:paraId="066A3E5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1.354</w:t>
            </w:r>
          </w:p>
        </w:tc>
        <w:tc>
          <w:tcPr>
            <w:tcW w:w="0" w:type="auto"/>
            <w:tcBorders>
              <w:left w:val="single" w:sz="4" w:space="0" w:color="auto"/>
              <w:right w:val="single" w:sz="4" w:space="0" w:color="auto"/>
            </w:tcBorders>
            <w:shd w:val="clear" w:color="auto" w:fill="auto"/>
          </w:tcPr>
          <w:p w14:paraId="34E789B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1.845</w:t>
            </w:r>
          </w:p>
        </w:tc>
        <w:tc>
          <w:tcPr>
            <w:tcW w:w="0" w:type="auto"/>
            <w:tcBorders>
              <w:left w:val="single" w:sz="4" w:space="0" w:color="auto"/>
              <w:right w:val="single" w:sz="12" w:space="0" w:color="auto"/>
            </w:tcBorders>
            <w:shd w:val="clear" w:color="auto" w:fill="auto"/>
          </w:tcPr>
          <w:p w14:paraId="319A3A9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.804</w:t>
            </w:r>
          </w:p>
        </w:tc>
      </w:tr>
      <w:tr w:rsidR="00CB1A04" w:rsidRPr="00115E7F" w14:paraId="3EF094F0" w14:textId="77777777" w:rsidTr="00E479EE">
        <w:tc>
          <w:tcPr>
            <w:tcW w:w="0" w:type="auto"/>
            <w:tcBorders>
              <w:left w:val="single" w:sz="12" w:space="0" w:color="auto"/>
              <w:right w:val="single" w:sz="4" w:space="0" w:color="auto"/>
            </w:tcBorders>
            <w:shd w:val="clear" w:color="auto" w:fill="auto"/>
          </w:tcPr>
          <w:p w14:paraId="31CD96DF"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3721AF4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c>
          <w:tcPr>
            <w:tcW w:w="0" w:type="auto"/>
            <w:tcBorders>
              <w:left w:val="single" w:sz="4" w:space="0" w:color="auto"/>
              <w:right w:val="single" w:sz="4" w:space="0" w:color="auto"/>
            </w:tcBorders>
            <w:shd w:val="clear" w:color="auto" w:fill="auto"/>
          </w:tcPr>
          <w:p w14:paraId="224EB8A0"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c>
          <w:tcPr>
            <w:tcW w:w="0" w:type="auto"/>
            <w:tcBorders>
              <w:left w:val="single" w:sz="4" w:space="0" w:color="auto"/>
              <w:right w:val="single" w:sz="12" w:space="0" w:color="auto"/>
            </w:tcBorders>
            <w:shd w:val="clear" w:color="auto" w:fill="auto"/>
          </w:tcPr>
          <w:p w14:paraId="410D869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(.013)</w:t>
            </w:r>
          </w:p>
        </w:tc>
      </w:tr>
      <w:tr w:rsidR="00CB1A04" w:rsidRPr="00115E7F" w14:paraId="63C1F65E" w14:textId="77777777" w:rsidTr="00E479EE">
        <w:tc>
          <w:tcPr>
            <w:tcW w:w="0" w:type="auto"/>
            <w:tcBorders>
              <w:left w:val="single" w:sz="12" w:space="0" w:color="auto"/>
              <w:right w:val="single" w:sz="4" w:space="0" w:color="auto"/>
            </w:tcBorders>
            <w:shd w:val="clear" w:color="auto" w:fill="auto"/>
          </w:tcPr>
          <w:p w14:paraId="2E8E855E" w14:textId="643CAB0A"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 xml:space="preserve">שיעור הורים שהם בעלי השכלה </w:t>
            </w:r>
            <w:r w:rsidR="00416DA1" w:rsidRPr="00416DA1">
              <w:rPr>
                <w:rFonts w:ascii="David" w:eastAsia="Calibri" w:hAnsi="David"/>
                <w:sz w:val="18"/>
                <w:szCs w:val="18"/>
                <w:rtl/>
              </w:rPr>
              <w:br/>
            </w:r>
            <w:r w:rsidRPr="00416DA1">
              <w:rPr>
                <w:rFonts w:ascii="David" w:eastAsia="Calibri" w:hAnsi="David"/>
                <w:sz w:val="18"/>
                <w:szCs w:val="18"/>
                <w:rtl/>
              </w:rPr>
              <w:t>על-תיכונית כלשהי או השכלה גבוהה</w:t>
            </w:r>
          </w:p>
        </w:tc>
        <w:tc>
          <w:tcPr>
            <w:tcW w:w="0" w:type="auto"/>
            <w:tcBorders>
              <w:left w:val="single" w:sz="4" w:space="0" w:color="auto"/>
              <w:right w:val="single" w:sz="4" w:space="0" w:color="auto"/>
            </w:tcBorders>
            <w:shd w:val="clear" w:color="auto" w:fill="auto"/>
          </w:tcPr>
          <w:p w14:paraId="2C9F3A3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2.601</w:t>
            </w:r>
          </w:p>
        </w:tc>
        <w:tc>
          <w:tcPr>
            <w:tcW w:w="0" w:type="auto"/>
            <w:tcBorders>
              <w:left w:val="single" w:sz="4" w:space="0" w:color="auto"/>
              <w:right w:val="single" w:sz="4" w:space="0" w:color="auto"/>
            </w:tcBorders>
            <w:shd w:val="clear" w:color="auto" w:fill="auto"/>
          </w:tcPr>
          <w:p w14:paraId="738A473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1.825</w:t>
            </w:r>
          </w:p>
        </w:tc>
        <w:tc>
          <w:tcPr>
            <w:tcW w:w="0" w:type="auto"/>
            <w:tcBorders>
              <w:left w:val="single" w:sz="4" w:space="0" w:color="auto"/>
              <w:right w:val="single" w:sz="12" w:space="0" w:color="auto"/>
            </w:tcBorders>
            <w:shd w:val="clear" w:color="auto" w:fill="auto"/>
          </w:tcPr>
          <w:p w14:paraId="1ADB225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4.238</w:t>
            </w:r>
          </w:p>
        </w:tc>
      </w:tr>
      <w:tr w:rsidR="00CB1A04" w:rsidRPr="00115E7F" w14:paraId="4FBA94A4" w14:textId="77777777" w:rsidTr="00E479EE">
        <w:tc>
          <w:tcPr>
            <w:tcW w:w="0" w:type="auto"/>
            <w:tcBorders>
              <w:left w:val="single" w:sz="12" w:space="0" w:color="auto"/>
              <w:right w:val="single" w:sz="4" w:space="0" w:color="auto"/>
            </w:tcBorders>
            <w:shd w:val="clear" w:color="auto" w:fill="auto"/>
          </w:tcPr>
          <w:p w14:paraId="231550E9"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03CDCF8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c>
          <w:tcPr>
            <w:tcW w:w="0" w:type="auto"/>
            <w:tcBorders>
              <w:left w:val="single" w:sz="4" w:space="0" w:color="auto"/>
              <w:right w:val="single" w:sz="4" w:space="0" w:color="auto"/>
            </w:tcBorders>
            <w:shd w:val="clear" w:color="auto" w:fill="auto"/>
          </w:tcPr>
          <w:p w14:paraId="099FB34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c>
          <w:tcPr>
            <w:tcW w:w="0" w:type="auto"/>
            <w:tcBorders>
              <w:left w:val="single" w:sz="4" w:space="0" w:color="auto"/>
              <w:right w:val="single" w:sz="12" w:space="0" w:color="auto"/>
            </w:tcBorders>
            <w:shd w:val="clear" w:color="auto" w:fill="auto"/>
          </w:tcPr>
          <w:p w14:paraId="4EACA17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r>
      <w:tr w:rsidR="00CB1A04" w:rsidRPr="00115E7F" w14:paraId="18EEC7C1" w14:textId="77777777" w:rsidTr="00E479EE">
        <w:tc>
          <w:tcPr>
            <w:tcW w:w="0" w:type="auto"/>
            <w:tcBorders>
              <w:left w:val="single" w:sz="12" w:space="0" w:color="auto"/>
              <w:right w:val="single" w:sz="4" w:space="0" w:color="auto"/>
            </w:tcBorders>
            <w:shd w:val="clear" w:color="auto" w:fill="auto"/>
          </w:tcPr>
          <w:p w14:paraId="43E52594" w14:textId="77777777" w:rsidR="00CB1A04" w:rsidRPr="00416DA1" w:rsidRDefault="00CB1A04" w:rsidP="004618F7">
            <w:pPr>
              <w:spacing w:before="20" w:after="40" w:line="220" w:lineRule="exact"/>
              <w:rPr>
                <w:rFonts w:ascii="David" w:eastAsia="Calibri" w:hAnsi="David"/>
                <w:sz w:val="18"/>
                <w:szCs w:val="18"/>
                <w:rtl/>
              </w:rPr>
            </w:pPr>
            <w:r w:rsidRPr="00416DA1">
              <w:rPr>
                <w:rFonts w:ascii="David" w:eastAsia="Calibri" w:hAnsi="David"/>
                <w:sz w:val="18"/>
                <w:szCs w:val="18"/>
                <w:rtl/>
              </w:rPr>
              <w:t>שכר משק בית חודשי (1,000 שקלים)</w:t>
            </w:r>
          </w:p>
        </w:tc>
        <w:tc>
          <w:tcPr>
            <w:tcW w:w="0" w:type="auto"/>
            <w:tcBorders>
              <w:left w:val="single" w:sz="4" w:space="0" w:color="auto"/>
              <w:right w:val="single" w:sz="4" w:space="0" w:color="auto"/>
            </w:tcBorders>
            <w:shd w:val="clear" w:color="auto" w:fill="auto"/>
          </w:tcPr>
          <w:p w14:paraId="48DF7BF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1.004</w:t>
            </w:r>
          </w:p>
        </w:tc>
        <w:tc>
          <w:tcPr>
            <w:tcW w:w="0" w:type="auto"/>
            <w:tcBorders>
              <w:left w:val="single" w:sz="4" w:space="0" w:color="auto"/>
              <w:right w:val="single" w:sz="4" w:space="0" w:color="auto"/>
            </w:tcBorders>
            <w:shd w:val="clear" w:color="auto" w:fill="auto"/>
          </w:tcPr>
          <w:p w14:paraId="40A3FE2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1.011</w:t>
            </w:r>
          </w:p>
        </w:tc>
        <w:tc>
          <w:tcPr>
            <w:tcW w:w="0" w:type="auto"/>
            <w:tcBorders>
              <w:left w:val="single" w:sz="4" w:space="0" w:color="auto"/>
              <w:right w:val="single" w:sz="12" w:space="0" w:color="auto"/>
            </w:tcBorders>
            <w:shd w:val="clear" w:color="auto" w:fill="auto"/>
          </w:tcPr>
          <w:p w14:paraId="6E5A4AA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1.019</w:t>
            </w:r>
          </w:p>
        </w:tc>
      </w:tr>
      <w:tr w:rsidR="00CB1A04" w:rsidRPr="00115E7F" w14:paraId="5233820C" w14:textId="77777777" w:rsidTr="00E479EE">
        <w:tc>
          <w:tcPr>
            <w:tcW w:w="0" w:type="auto"/>
            <w:tcBorders>
              <w:left w:val="single" w:sz="12" w:space="0" w:color="auto"/>
              <w:bottom w:val="single" w:sz="4" w:space="0" w:color="auto"/>
              <w:right w:val="single" w:sz="4" w:space="0" w:color="auto"/>
            </w:tcBorders>
            <w:shd w:val="clear" w:color="auto" w:fill="auto"/>
          </w:tcPr>
          <w:p w14:paraId="1B71FDEC"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bottom w:val="single" w:sz="4" w:space="0" w:color="auto"/>
              <w:right w:val="single" w:sz="4" w:space="0" w:color="auto"/>
            </w:tcBorders>
            <w:shd w:val="clear" w:color="auto" w:fill="auto"/>
          </w:tcPr>
          <w:p w14:paraId="7F27132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(.0003)</w:t>
            </w:r>
          </w:p>
        </w:tc>
        <w:tc>
          <w:tcPr>
            <w:tcW w:w="0" w:type="auto"/>
            <w:tcBorders>
              <w:left w:val="single" w:sz="4" w:space="0" w:color="auto"/>
              <w:bottom w:val="single" w:sz="4" w:space="0" w:color="auto"/>
              <w:right w:val="single" w:sz="4" w:space="0" w:color="auto"/>
            </w:tcBorders>
            <w:shd w:val="clear" w:color="auto" w:fill="auto"/>
          </w:tcPr>
          <w:p w14:paraId="1916F03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(.0003)</w:t>
            </w:r>
          </w:p>
        </w:tc>
        <w:tc>
          <w:tcPr>
            <w:tcW w:w="0" w:type="auto"/>
            <w:tcBorders>
              <w:left w:val="single" w:sz="4" w:space="0" w:color="auto"/>
              <w:bottom w:val="single" w:sz="4" w:space="0" w:color="auto"/>
              <w:right w:val="single" w:sz="12" w:space="0" w:color="auto"/>
            </w:tcBorders>
            <w:shd w:val="clear" w:color="auto" w:fill="auto"/>
          </w:tcPr>
          <w:p w14:paraId="200A9CF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(.0004)</w:t>
            </w:r>
          </w:p>
        </w:tc>
      </w:tr>
      <w:tr w:rsidR="00CB1A04" w:rsidRPr="00115E7F" w14:paraId="7B5D5B37" w14:textId="77777777" w:rsidTr="00E479EE">
        <w:tc>
          <w:tcPr>
            <w:tcW w:w="0" w:type="auto"/>
            <w:tcBorders>
              <w:top w:val="single" w:sz="4" w:space="0" w:color="auto"/>
              <w:left w:val="single" w:sz="12" w:space="0" w:color="auto"/>
              <w:right w:val="single" w:sz="4" w:space="0" w:color="auto"/>
            </w:tcBorders>
            <w:shd w:val="clear" w:color="auto" w:fill="auto"/>
          </w:tcPr>
          <w:p w14:paraId="1D10DE8D" w14:textId="77777777" w:rsidR="00CB1A04" w:rsidRPr="00416DA1" w:rsidRDefault="00CB1A04" w:rsidP="004618F7">
            <w:pPr>
              <w:spacing w:before="20" w:after="40" w:line="220" w:lineRule="exact"/>
              <w:rPr>
                <w:rFonts w:ascii="David" w:eastAsia="Calibri" w:hAnsi="David"/>
                <w:sz w:val="18"/>
                <w:szCs w:val="18"/>
                <w:vertAlign w:val="superscript"/>
              </w:rPr>
            </w:pPr>
            <w:r w:rsidRPr="00416DA1">
              <w:rPr>
                <w:rFonts w:ascii="David" w:eastAsia="Calibri" w:hAnsi="David"/>
                <w:sz w:val="18"/>
                <w:szCs w:val="18"/>
                <w:rtl/>
              </w:rPr>
              <w:lastRenderedPageBreak/>
              <w:t>אשכול חברתי-כלכלי בינוני</w:t>
            </w:r>
            <w:r w:rsidRPr="00416DA1">
              <w:rPr>
                <w:rFonts w:ascii="David" w:eastAsia="Calibri" w:hAnsi="David"/>
                <w:sz w:val="18"/>
                <w:szCs w:val="18"/>
                <w:vertAlign w:val="superscript"/>
                <w:rtl/>
              </w:rPr>
              <w:t>3</w:t>
            </w:r>
          </w:p>
        </w:tc>
        <w:tc>
          <w:tcPr>
            <w:tcW w:w="0" w:type="auto"/>
            <w:tcBorders>
              <w:top w:val="single" w:sz="4" w:space="0" w:color="auto"/>
              <w:left w:val="single" w:sz="4" w:space="0" w:color="auto"/>
              <w:right w:val="single" w:sz="4" w:space="0" w:color="auto"/>
            </w:tcBorders>
            <w:shd w:val="clear" w:color="auto" w:fill="auto"/>
          </w:tcPr>
          <w:p w14:paraId="2B36990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.951</w:t>
            </w:r>
          </w:p>
        </w:tc>
        <w:tc>
          <w:tcPr>
            <w:tcW w:w="0" w:type="auto"/>
            <w:tcBorders>
              <w:top w:val="single" w:sz="4" w:space="0" w:color="auto"/>
              <w:left w:val="single" w:sz="4" w:space="0" w:color="auto"/>
              <w:right w:val="single" w:sz="4" w:space="0" w:color="auto"/>
            </w:tcBorders>
            <w:shd w:val="clear" w:color="auto" w:fill="auto"/>
          </w:tcPr>
          <w:p w14:paraId="689A225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1.288</w:t>
            </w:r>
          </w:p>
        </w:tc>
        <w:tc>
          <w:tcPr>
            <w:tcW w:w="0" w:type="auto"/>
            <w:tcBorders>
              <w:top w:val="single" w:sz="4" w:space="0" w:color="auto"/>
              <w:left w:val="single" w:sz="4" w:space="0" w:color="auto"/>
              <w:right w:val="single" w:sz="12" w:space="0" w:color="auto"/>
            </w:tcBorders>
            <w:shd w:val="clear" w:color="auto" w:fill="auto"/>
          </w:tcPr>
          <w:p w14:paraId="7C239022"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.636</w:t>
            </w:r>
          </w:p>
        </w:tc>
      </w:tr>
      <w:tr w:rsidR="00CB1A04" w:rsidRPr="00115E7F" w14:paraId="7CF4AAB0" w14:textId="77777777" w:rsidTr="00E479EE">
        <w:tc>
          <w:tcPr>
            <w:tcW w:w="0" w:type="auto"/>
            <w:tcBorders>
              <w:left w:val="single" w:sz="12" w:space="0" w:color="auto"/>
              <w:right w:val="single" w:sz="4" w:space="0" w:color="auto"/>
            </w:tcBorders>
            <w:shd w:val="clear" w:color="auto" w:fill="auto"/>
          </w:tcPr>
          <w:p w14:paraId="4781385A"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35BB9C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(.007)</w:t>
            </w:r>
          </w:p>
        </w:tc>
        <w:tc>
          <w:tcPr>
            <w:tcW w:w="0" w:type="auto"/>
            <w:tcBorders>
              <w:left w:val="single" w:sz="4" w:space="0" w:color="auto"/>
              <w:right w:val="single" w:sz="4" w:space="0" w:color="auto"/>
            </w:tcBorders>
            <w:shd w:val="clear" w:color="auto" w:fill="auto"/>
          </w:tcPr>
          <w:p w14:paraId="30F2BC0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c>
          <w:tcPr>
            <w:tcW w:w="0" w:type="auto"/>
            <w:tcBorders>
              <w:left w:val="single" w:sz="4" w:space="0" w:color="auto"/>
              <w:right w:val="single" w:sz="12" w:space="0" w:color="auto"/>
            </w:tcBorders>
            <w:shd w:val="clear" w:color="auto" w:fill="auto"/>
          </w:tcPr>
          <w:p w14:paraId="6B24C70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r>
      <w:tr w:rsidR="00CB1A04" w:rsidRPr="00115E7F" w14:paraId="4194C533" w14:textId="77777777" w:rsidTr="00E479EE">
        <w:tc>
          <w:tcPr>
            <w:tcW w:w="0" w:type="auto"/>
            <w:tcBorders>
              <w:left w:val="single" w:sz="12" w:space="0" w:color="auto"/>
              <w:right w:val="single" w:sz="4" w:space="0" w:color="auto"/>
            </w:tcBorders>
            <w:shd w:val="clear" w:color="auto" w:fill="auto"/>
          </w:tcPr>
          <w:p w14:paraId="51451D0B" w14:textId="77777777" w:rsidR="00CB1A04" w:rsidRPr="00416DA1" w:rsidRDefault="00CB1A04" w:rsidP="004618F7">
            <w:pPr>
              <w:spacing w:before="20" w:after="40" w:line="220" w:lineRule="exact"/>
              <w:rPr>
                <w:rFonts w:ascii="David" w:eastAsia="Calibri" w:hAnsi="David"/>
                <w:sz w:val="18"/>
                <w:szCs w:val="18"/>
                <w:vertAlign w:val="superscript"/>
              </w:rPr>
            </w:pPr>
            <w:r w:rsidRPr="00416DA1">
              <w:rPr>
                <w:rFonts w:ascii="David" w:eastAsia="Calibri" w:hAnsi="David"/>
                <w:sz w:val="18"/>
                <w:szCs w:val="18"/>
                <w:rtl/>
              </w:rPr>
              <w:t>אשכול חברתי-כלכלי גבוה</w:t>
            </w:r>
            <w:r w:rsidRPr="00416DA1">
              <w:rPr>
                <w:rFonts w:ascii="David" w:eastAsia="Calibri" w:hAnsi="David"/>
                <w:sz w:val="18"/>
                <w:szCs w:val="18"/>
                <w:vertAlign w:val="superscript"/>
                <w:rtl/>
              </w:rPr>
              <w:t>3</w:t>
            </w:r>
          </w:p>
        </w:tc>
        <w:tc>
          <w:tcPr>
            <w:tcW w:w="0" w:type="auto"/>
            <w:tcBorders>
              <w:left w:val="single" w:sz="4" w:space="0" w:color="auto"/>
              <w:right w:val="single" w:sz="4" w:space="0" w:color="auto"/>
            </w:tcBorders>
            <w:shd w:val="clear" w:color="auto" w:fill="auto"/>
          </w:tcPr>
          <w:p w14:paraId="6378199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1.041</w:t>
            </w:r>
          </w:p>
        </w:tc>
        <w:tc>
          <w:tcPr>
            <w:tcW w:w="0" w:type="auto"/>
            <w:tcBorders>
              <w:left w:val="single" w:sz="4" w:space="0" w:color="auto"/>
              <w:right w:val="single" w:sz="4" w:space="0" w:color="auto"/>
            </w:tcBorders>
            <w:shd w:val="clear" w:color="auto" w:fill="auto"/>
          </w:tcPr>
          <w:p w14:paraId="117BAE7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1.318</w:t>
            </w:r>
          </w:p>
        </w:tc>
        <w:tc>
          <w:tcPr>
            <w:tcW w:w="0" w:type="auto"/>
            <w:tcBorders>
              <w:left w:val="single" w:sz="4" w:space="0" w:color="auto"/>
              <w:right w:val="single" w:sz="12" w:space="0" w:color="auto"/>
            </w:tcBorders>
            <w:shd w:val="clear" w:color="auto" w:fill="auto"/>
          </w:tcPr>
          <w:p w14:paraId="50E02268" w14:textId="77777777" w:rsidR="00CB1A04" w:rsidRPr="00416DA1" w:rsidRDefault="00CB1A04" w:rsidP="00B1768F">
            <w:pPr>
              <w:spacing w:before="20" w:after="40" w:line="220" w:lineRule="exact"/>
              <w:rPr>
                <w:rFonts w:ascii="David" w:eastAsia="Calibri" w:hAnsi="David"/>
                <w:sz w:val="18"/>
                <w:szCs w:val="18"/>
                <w:rtl/>
              </w:rPr>
            </w:pPr>
            <w:r w:rsidRPr="00416DA1">
              <w:rPr>
                <w:rFonts w:ascii="David" w:eastAsia="Calibri" w:hAnsi="David"/>
                <w:sz w:val="18"/>
                <w:szCs w:val="18"/>
              </w:rPr>
              <w:t>.93</w:t>
            </w:r>
          </w:p>
        </w:tc>
      </w:tr>
      <w:tr w:rsidR="00CB1A04" w:rsidRPr="00115E7F" w14:paraId="11ABF5BA" w14:textId="77777777" w:rsidTr="00E479EE">
        <w:tc>
          <w:tcPr>
            <w:tcW w:w="0" w:type="auto"/>
            <w:tcBorders>
              <w:left w:val="single" w:sz="12" w:space="0" w:color="auto"/>
              <w:right w:val="single" w:sz="4" w:space="0" w:color="auto"/>
            </w:tcBorders>
            <w:shd w:val="clear" w:color="auto" w:fill="auto"/>
          </w:tcPr>
          <w:p w14:paraId="035E1211"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AE7D62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c>
          <w:tcPr>
            <w:tcW w:w="0" w:type="auto"/>
            <w:tcBorders>
              <w:left w:val="single" w:sz="4" w:space="0" w:color="auto"/>
              <w:right w:val="single" w:sz="4" w:space="0" w:color="auto"/>
            </w:tcBorders>
            <w:shd w:val="clear" w:color="auto" w:fill="auto"/>
          </w:tcPr>
          <w:p w14:paraId="3B0FE7B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(.009)</w:t>
            </w:r>
          </w:p>
        </w:tc>
        <w:tc>
          <w:tcPr>
            <w:tcW w:w="0" w:type="auto"/>
            <w:tcBorders>
              <w:left w:val="single" w:sz="4" w:space="0" w:color="auto"/>
              <w:right w:val="single" w:sz="12" w:space="0" w:color="auto"/>
            </w:tcBorders>
            <w:shd w:val="clear" w:color="auto" w:fill="auto"/>
          </w:tcPr>
          <w:p w14:paraId="6C3A3FB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w:t>
            </w:r>
          </w:p>
        </w:tc>
      </w:tr>
      <w:tr w:rsidR="00CB1A04" w:rsidRPr="00115E7F" w14:paraId="5B3F3E0F" w14:textId="77777777" w:rsidTr="00E479EE">
        <w:tc>
          <w:tcPr>
            <w:tcW w:w="0" w:type="auto"/>
            <w:tcBorders>
              <w:left w:val="single" w:sz="12" w:space="0" w:color="auto"/>
              <w:right w:val="single" w:sz="4" w:space="0" w:color="auto"/>
            </w:tcBorders>
            <w:shd w:val="clear" w:color="auto" w:fill="auto"/>
          </w:tcPr>
          <w:p w14:paraId="0CFE9FBD" w14:textId="77777777" w:rsidR="00CB1A04" w:rsidRPr="00416DA1" w:rsidRDefault="00CB1A04" w:rsidP="004618F7">
            <w:pPr>
              <w:keepNext/>
              <w:keepLines/>
              <w:spacing w:before="20" w:after="40" w:line="220" w:lineRule="exact"/>
              <w:rPr>
                <w:rFonts w:ascii="David" w:eastAsia="Calibri" w:hAnsi="David"/>
                <w:sz w:val="18"/>
                <w:szCs w:val="18"/>
                <w:vertAlign w:val="superscript"/>
              </w:rPr>
            </w:pPr>
            <w:r w:rsidRPr="00416DA1">
              <w:rPr>
                <w:rFonts w:ascii="David" w:eastAsia="Calibri" w:hAnsi="David"/>
                <w:sz w:val="18"/>
                <w:szCs w:val="18"/>
                <w:rtl/>
              </w:rPr>
              <w:t>מרחק בינוני מערים גדולות</w:t>
            </w:r>
            <w:r w:rsidRPr="00416DA1">
              <w:rPr>
                <w:rFonts w:ascii="David" w:eastAsia="Calibri" w:hAnsi="David"/>
                <w:sz w:val="18"/>
                <w:szCs w:val="18"/>
                <w:vertAlign w:val="superscript"/>
                <w:rtl/>
              </w:rPr>
              <w:t>4</w:t>
            </w:r>
          </w:p>
        </w:tc>
        <w:tc>
          <w:tcPr>
            <w:tcW w:w="0" w:type="auto"/>
            <w:tcBorders>
              <w:left w:val="single" w:sz="4" w:space="0" w:color="auto"/>
              <w:right w:val="single" w:sz="4" w:space="0" w:color="auto"/>
            </w:tcBorders>
            <w:shd w:val="clear" w:color="auto" w:fill="auto"/>
          </w:tcPr>
          <w:p w14:paraId="1F42CDDC" w14:textId="77777777" w:rsidR="00CB1A04" w:rsidRPr="00416DA1" w:rsidRDefault="00CB1A04" w:rsidP="00B1768F">
            <w:pPr>
              <w:keepNext/>
              <w:keepLines/>
              <w:spacing w:before="20" w:after="40" w:line="220" w:lineRule="exact"/>
              <w:rPr>
                <w:rFonts w:ascii="David" w:eastAsia="Calibri" w:hAnsi="David"/>
                <w:sz w:val="18"/>
                <w:szCs w:val="18"/>
              </w:rPr>
            </w:pPr>
            <w:r w:rsidRPr="00416DA1">
              <w:rPr>
                <w:rFonts w:ascii="David" w:eastAsia="Calibri" w:hAnsi="David"/>
                <w:sz w:val="18"/>
                <w:szCs w:val="18"/>
              </w:rPr>
              <w:t>1.198</w:t>
            </w:r>
          </w:p>
        </w:tc>
        <w:tc>
          <w:tcPr>
            <w:tcW w:w="0" w:type="auto"/>
            <w:tcBorders>
              <w:left w:val="single" w:sz="4" w:space="0" w:color="auto"/>
              <w:right w:val="single" w:sz="4" w:space="0" w:color="auto"/>
            </w:tcBorders>
            <w:shd w:val="clear" w:color="auto" w:fill="auto"/>
          </w:tcPr>
          <w:p w14:paraId="60E02D3D" w14:textId="77777777" w:rsidR="00CB1A04" w:rsidRPr="00416DA1" w:rsidRDefault="00CB1A04" w:rsidP="00B1768F">
            <w:pPr>
              <w:keepNext/>
              <w:keepLines/>
              <w:spacing w:before="20" w:after="40" w:line="220" w:lineRule="exact"/>
              <w:rPr>
                <w:rFonts w:ascii="David" w:eastAsia="Calibri" w:hAnsi="David"/>
                <w:sz w:val="18"/>
                <w:szCs w:val="18"/>
              </w:rPr>
            </w:pPr>
            <w:r w:rsidRPr="00416DA1">
              <w:rPr>
                <w:rFonts w:ascii="David" w:eastAsia="Calibri" w:hAnsi="David"/>
                <w:sz w:val="18"/>
                <w:szCs w:val="18"/>
              </w:rPr>
              <w:t>.921</w:t>
            </w:r>
          </w:p>
        </w:tc>
        <w:tc>
          <w:tcPr>
            <w:tcW w:w="0" w:type="auto"/>
            <w:tcBorders>
              <w:left w:val="single" w:sz="4" w:space="0" w:color="auto"/>
              <w:right w:val="single" w:sz="12" w:space="0" w:color="auto"/>
            </w:tcBorders>
            <w:shd w:val="clear" w:color="auto" w:fill="auto"/>
          </w:tcPr>
          <w:p w14:paraId="13345F78" w14:textId="77777777" w:rsidR="00CB1A04" w:rsidRPr="00416DA1" w:rsidRDefault="00CB1A04" w:rsidP="00B1768F">
            <w:pPr>
              <w:keepNext/>
              <w:keepLines/>
              <w:spacing w:before="20" w:after="40" w:line="220" w:lineRule="exact"/>
              <w:rPr>
                <w:rFonts w:ascii="David" w:eastAsia="Calibri" w:hAnsi="David"/>
                <w:sz w:val="18"/>
                <w:szCs w:val="18"/>
              </w:rPr>
            </w:pPr>
            <w:r w:rsidRPr="00416DA1">
              <w:rPr>
                <w:rFonts w:ascii="David" w:eastAsia="Calibri" w:hAnsi="David"/>
                <w:sz w:val="18"/>
                <w:szCs w:val="18"/>
              </w:rPr>
              <w:t>1.033</w:t>
            </w:r>
          </w:p>
        </w:tc>
      </w:tr>
      <w:tr w:rsidR="00CB1A04" w:rsidRPr="00115E7F" w14:paraId="19C858B4" w14:textId="77777777" w:rsidTr="00E479EE">
        <w:tc>
          <w:tcPr>
            <w:tcW w:w="0" w:type="auto"/>
            <w:tcBorders>
              <w:left w:val="single" w:sz="12" w:space="0" w:color="auto"/>
              <w:right w:val="single" w:sz="4" w:space="0" w:color="auto"/>
            </w:tcBorders>
            <w:shd w:val="clear" w:color="auto" w:fill="auto"/>
          </w:tcPr>
          <w:p w14:paraId="243C9985"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43DA558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(.010)</w:t>
            </w:r>
          </w:p>
        </w:tc>
        <w:tc>
          <w:tcPr>
            <w:tcW w:w="0" w:type="auto"/>
            <w:tcBorders>
              <w:left w:val="single" w:sz="4" w:space="0" w:color="auto"/>
              <w:right w:val="single" w:sz="4" w:space="0" w:color="auto"/>
            </w:tcBorders>
            <w:shd w:val="clear" w:color="auto" w:fill="auto"/>
          </w:tcPr>
          <w:p w14:paraId="2A0F6665"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(.012)</w:t>
            </w:r>
          </w:p>
        </w:tc>
        <w:tc>
          <w:tcPr>
            <w:tcW w:w="0" w:type="auto"/>
            <w:tcBorders>
              <w:left w:val="single" w:sz="4" w:space="0" w:color="auto"/>
              <w:right w:val="single" w:sz="12" w:space="0" w:color="auto"/>
            </w:tcBorders>
            <w:shd w:val="clear" w:color="auto" w:fill="auto"/>
          </w:tcPr>
          <w:p w14:paraId="2BD8086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(.014)</w:t>
            </w:r>
          </w:p>
        </w:tc>
      </w:tr>
      <w:tr w:rsidR="00CB1A04" w:rsidRPr="00115E7F" w14:paraId="5EDD8B5A" w14:textId="77777777" w:rsidTr="00E479EE">
        <w:tc>
          <w:tcPr>
            <w:tcW w:w="0" w:type="auto"/>
            <w:tcBorders>
              <w:left w:val="single" w:sz="12" w:space="0" w:color="auto"/>
              <w:right w:val="single" w:sz="4" w:space="0" w:color="auto"/>
            </w:tcBorders>
            <w:shd w:val="clear" w:color="auto" w:fill="auto"/>
          </w:tcPr>
          <w:p w14:paraId="35FFA4B8" w14:textId="77777777" w:rsidR="00CB1A04" w:rsidRPr="00416DA1" w:rsidRDefault="00CB1A04" w:rsidP="004618F7">
            <w:pPr>
              <w:spacing w:before="20" w:after="40" w:line="220" w:lineRule="exact"/>
              <w:rPr>
                <w:rFonts w:ascii="David" w:eastAsia="Calibri" w:hAnsi="David"/>
                <w:sz w:val="18"/>
                <w:szCs w:val="18"/>
                <w:vertAlign w:val="superscript"/>
              </w:rPr>
            </w:pPr>
            <w:r w:rsidRPr="00416DA1">
              <w:rPr>
                <w:rFonts w:ascii="David" w:eastAsia="Calibri" w:hAnsi="David"/>
                <w:sz w:val="18"/>
                <w:szCs w:val="18"/>
                <w:rtl/>
              </w:rPr>
              <w:t>מרחק קצר מערים גדולות</w:t>
            </w:r>
            <w:r w:rsidRPr="00416DA1">
              <w:rPr>
                <w:rFonts w:ascii="David" w:eastAsia="Calibri" w:hAnsi="David"/>
                <w:sz w:val="18"/>
                <w:szCs w:val="18"/>
                <w:vertAlign w:val="superscript"/>
                <w:rtl/>
              </w:rPr>
              <w:t>4</w:t>
            </w:r>
          </w:p>
        </w:tc>
        <w:tc>
          <w:tcPr>
            <w:tcW w:w="0" w:type="auto"/>
            <w:tcBorders>
              <w:left w:val="single" w:sz="4" w:space="0" w:color="auto"/>
              <w:right w:val="single" w:sz="4" w:space="0" w:color="auto"/>
            </w:tcBorders>
            <w:shd w:val="clear" w:color="auto" w:fill="auto"/>
          </w:tcPr>
          <w:p w14:paraId="2B5EEA95"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1.084</w:t>
            </w:r>
          </w:p>
        </w:tc>
        <w:tc>
          <w:tcPr>
            <w:tcW w:w="0" w:type="auto"/>
            <w:tcBorders>
              <w:left w:val="single" w:sz="4" w:space="0" w:color="auto"/>
              <w:right w:val="single" w:sz="4" w:space="0" w:color="auto"/>
            </w:tcBorders>
            <w:shd w:val="clear" w:color="auto" w:fill="auto"/>
          </w:tcPr>
          <w:p w14:paraId="735A1165"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.949</w:t>
            </w:r>
          </w:p>
        </w:tc>
        <w:tc>
          <w:tcPr>
            <w:tcW w:w="0" w:type="auto"/>
            <w:tcBorders>
              <w:left w:val="single" w:sz="4" w:space="0" w:color="auto"/>
              <w:right w:val="single" w:sz="12" w:space="0" w:color="auto"/>
            </w:tcBorders>
            <w:shd w:val="clear" w:color="auto" w:fill="auto"/>
          </w:tcPr>
          <w:p w14:paraId="615A4387"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1.358</w:t>
            </w:r>
          </w:p>
        </w:tc>
      </w:tr>
      <w:tr w:rsidR="00CB1A04" w:rsidRPr="00115E7F" w14:paraId="373AFBD4" w14:textId="77777777" w:rsidTr="00E479EE">
        <w:tc>
          <w:tcPr>
            <w:tcW w:w="0" w:type="auto"/>
            <w:tcBorders>
              <w:left w:val="single" w:sz="12" w:space="0" w:color="auto"/>
              <w:right w:val="single" w:sz="4" w:space="0" w:color="auto"/>
            </w:tcBorders>
            <w:shd w:val="clear" w:color="auto" w:fill="auto"/>
          </w:tcPr>
          <w:p w14:paraId="7437D874"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1D77D56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(.010)</w:t>
            </w:r>
          </w:p>
        </w:tc>
        <w:tc>
          <w:tcPr>
            <w:tcW w:w="0" w:type="auto"/>
            <w:tcBorders>
              <w:left w:val="single" w:sz="4" w:space="0" w:color="auto"/>
              <w:right w:val="single" w:sz="4" w:space="0" w:color="auto"/>
            </w:tcBorders>
            <w:shd w:val="clear" w:color="auto" w:fill="auto"/>
          </w:tcPr>
          <w:p w14:paraId="19427C4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(.013)</w:t>
            </w:r>
          </w:p>
        </w:tc>
        <w:tc>
          <w:tcPr>
            <w:tcW w:w="0" w:type="auto"/>
            <w:tcBorders>
              <w:left w:val="single" w:sz="4" w:space="0" w:color="auto"/>
              <w:right w:val="single" w:sz="12" w:space="0" w:color="auto"/>
            </w:tcBorders>
            <w:shd w:val="clear" w:color="auto" w:fill="auto"/>
          </w:tcPr>
          <w:p w14:paraId="26A5870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(.015)</w:t>
            </w:r>
          </w:p>
        </w:tc>
      </w:tr>
      <w:tr w:rsidR="00CB1A04" w:rsidRPr="00115E7F" w14:paraId="18A02DEE" w14:textId="77777777" w:rsidTr="00E479EE">
        <w:tc>
          <w:tcPr>
            <w:tcW w:w="0" w:type="auto"/>
            <w:tcBorders>
              <w:left w:val="single" w:sz="12" w:space="0" w:color="auto"/>
              <w:right w:val="single" w:sz="4" w:space="0" w:color="auto"/>
            </w:tcBorders>
            <w:shd w:val="clear" w:color="auto" w:fill="auto"/>
          </w:tcPr>
          <w:p w14:paraId="6CDBC263" w14:textId="77777777" w:rsidR="00CB1A04" w:rsidRPr="00416DA1" w:rsidRDefault="00CB1A04" w:rsidP="004618F7">
            <w:pPr>
              <w:spacing w:before="20" w:after="40" w:line="220" w:lineRule="exact"/>
              <w:rPr>
                <w:rFonts w:ascii="David" w:eastAsia="Calibri" w:hAnsi="David"/>
                <w:sz w:val="18"/>
                <w:szCs w:val="18"/>
              </w:rPr>
            </w:pPr>
            <w:r w:rsidRPr="00416DA1">
              <w:rPr>
                <w:rFonts w:ascii="David" w:eastAsia="Calibri" w:hAnsi="David"/>
                <w:sz w:val="18"/>
                <w:szCs w:val="18"/>
                <w:rtl/>
              </w:rPr>
              <w:t>אזור כפרי</w:t>
            </w:r>
            <w:r w:rsidRPr="00416DA1">
              <w:rPr>
                <w:rFonts w:ascii="David" w:eastAsia="Calibri" w:hAnsi="David"/>
                <w:sz w:val="18"/>
                <w:szCs w:val="18"/>
              </w:rPr>
              <w:t xml:space="preserve"> </w:t>
            </w:r>
            <w:r w:rsidRPr="00416DA1">
              <w:rPr>
                <w:rFonts w:ascii="David" w:eastAsia="Calibri" w:hAnsi="David"/>
                <w:sz w:val="18"/>
                <w:szCs w:val="18"/>
                <w:rtl/>
              </w:rPr>
              <w:t>(ייחוס: אזור עירוני)</w:t>
            </w:r>
          </w:p>
        </w:tc>
        <w:tc>
          <w:tcPr>
            <w:tcW w:w="0" w:type="auto"/>
            <w:tcBorders>
              <w:left w:val="single" w:sz="4" w:space="0" w:color="auto"/>
              <w:right w:val="single" w:sz="4" w:space="0" w:color="auto"/>
            </w:tcBorders>
            <w:shd w:val="clear" w:color="auto" w:fill="auto"/>
          </w:tcPr>
          <w:p w14:paraId="45BD5004"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1.014</w:t>
            </w:r>
          </w:p>
        </w:tc>
        <w:tc>
          <w:tcPr>
            <w:tcW w:w="0" w:type="auto"/>
            <w:tcBorders>
              <w:left w:val="single" w:sz="4" w:space="0" w:color="auto"/>
              <w:right w:val="single" w:sz="4" w:space="0" w:color="auto"/>
            </w:tcBorders>
            <w:shd w:val="clear" w:color="auto" w:fill="auto"/>
          </w:tcPr>
          <w:p w14:paraId="0AB393A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1.148</w:t>
            </w:r>
          </w:p>
        </w:tc>
        <w:tc>
          <w:tcPr>
            <w:tcW w:w="0" w:type="auto"/>
            <w:tcBorders>
              <w:left w:val="single" w:sz="4" w:space="0" w:color="auto"/>
              <w:right w:val="single" w:sz="12" w:space="0" w:color="auto"/>
            </w:tcBorders>
            <w:shd w:val="clear" w:color="auto" w:fill="auto"/>
          </w:tcPr>
          <w:p w14:paraId="263349B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1.308</w:t>
            </w:r>
          </w:p>
        </w:tc>
      </w:tr>
      <w:tr w:rsidR="00CB1A04" w:rsidRPr="00115E7F" w14:paraId="340758CC" w14:textId="77777777" w:rsidTr="00E479EE">
        <w:tc>
          <w:tcPr>
            <w:tcW w:w="0" w:type="auto"/>
            <w:tcBorders>
              <w:left w:val="single" w:sz="12" w:space="0" w:color="auto"/>
              <w:right w:val="single" w:sz="4" w:space="0" w:color="auto"/>
            </w:tcBorders>
            <w:shd w:val="clear" w:color="auto" w:fill="auto"/>
          </w:tcPr>
          <w:p w14:paraId="540EB044"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right w:val="single" w:sz="4" w:space="0" w:color="auto"/>
            </w:tcBorders>
            <w:shd w:val="clear" w:color="auto" w:fill="auto"/>
          </w:tcPr>
          <w:p w14:paraId="528D125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(.006)</w:t>
            </w:r>
          </w:p>
        </w:tc>
        <w:tc>
          <w:tcPr>
            <w:tcW w:w="0" w:type="auto"/>
            <w:tcBorders>
              <w:left w:val="single" w:sz="4" w:space="0" w:color="auto"/>
              <w:right w:val="single" w:sz="4" w:space="0" w:color="auto"/>
            </w:tcBorders>
            <w:shd w:val="clear" w:color="auto" w:fill="auto"/>
          </w:tcPr>
          <w:p w14:paraId="09068F0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(.007)</w:t>
            </w:r>
          </w:p>
        </w:tc>
        <w:tc>
          <w:tcPr>
            <w:tcW w:w="0" w:type="auto"/>
            <w:tcBorders>
              <w:left w:val="single" w:sz="4" w:space="0" w:color="auto"/>
              <w:right w:val="single" w:sz="12" w:space="0" w:color="auto"/>
            </w:tcBorders>
            <w:shd w:val="clear" w:color="auto" w:fill="auto"/>
          </w:tcPr>
          <w:p w14:paraId="5BAA6C3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(.008)</w:t>
            </w:r>
          </w:p>
        </w:tc>
      </w:tr>
      <w:tr w:rsidR="00CB1A04" w:rsidRPr="00115E7F" w14:paraId="7ED2118C" w14:textId="77777777" w:rsidTr="00E479EE">
        <w:tc>
          <w:tcPr>
            <w:tcW w:w="0" w:type="auto"/>
            <w:tcBorders>
              <w:left w:val="single" w:sz="12" w:space="0" w:color="auto"/>
              <w:right w:val="single" w:sz="4" w:space="0" w:color="auto"/>
            </w:tcBorders>
            <w:shd w:val="clear" w:color="auto" w:fill="auto"/>
          </w:tcPr>
          <w:p w14:paraId="18E64E86" w14:textId="77777777" w:rsidR="00CB1A04" w:rsidRPr="00416DA1" w:rsidRDefault="00CB1A04" w:rsidP="004618F7">
            <w:pPr>
              <w:spacing w:before="20" w:after="40" w:line="220" w:lineRule="exact"/>
              <w:rPr>
                <w:rFonts w:ascii="David" w:eastAsia="Calibri" w:hAnsi="David"/>
                <w:sz w:val="18"/>
                <w:szCs w:val="18"/>
                <w:rtl/>
              </w:rPr>
            </w:pPr>
            <w:r w:rsidRPr="00416DA1">
              <w:rPr>
                <w:rFonts w:ascii="David" w:eastAsia="Calibri" w:hAnsi="David"/>
                <w:sz w:val="18"/>
                <w:szCs w:val="18"/>
                <w:rtl/>
              </w:rPr>
              <w:t>קבוע</w:t>
            </w:r>
          </w:p>
        </w:tc>
        <w:tc>
          <w:tcPr>
            <w:tcW w:w="0" w:type="auto"/>
            <w:tcBorders>
              <w:left w:val="single" w:sz="4" w:space="0" w:color="auto"/>
              <w:right w:val="single" w:sz="4" w:space="0" w:color="auto"/>
            </w:tcBorders>
            <w:shd w:val="clear" w:color="auto" w:fill="auto"/>
          </w:tcPr>
          <w:p w14:paraId="565F17E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2.03</w:t>
            </w:r>
          </w:p>
        </w:tc>
        <w:tc>
          <w:tcPr>
            <w:tcW w:w="0" w:type="auto"/>
            <w:tcBorders>
              <w:left w:val="single" w:sz="4" w:space="0" w:color="auto"/>
              <w:right w:val="single" w:sz="4" w:space="0" w:color="auto"/>
            </w:tcBorders>
            <w:shd w:val="clear" w:color="auto" w:fill="auto"/>
          </w:tcPr>
          <w:p w14:paraId="192620F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1.115</w:t>
            </w:r>
          </w:p>
        </w:tc>
        <w:tc>
          <w:tcPr>
            <w:tcW w:w="0" w:type="auto"/>
            <w:tcBorders>
              <w:left w:val="single" w:sz="4" w:space="0" w:color="auto"/>
              <w:right w:val="single" w:sz="12" w:space="0" w:color="auto"/>
            </w:tcBorders>
            <w:shd w:val="clear" w:color="auto" w:fill="auto"/>
          </w:tcPr>
          <w:p w14:paraId="66CA6D5A"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.907</w:t>
            </w:r>
          </w:p>
        </w:tc>
      </w:tr>
      <w:tr w:rsidR="00CB1A04" w:rsidRPr="00115E7F" w14:paraId="6F17FA5C" w14:textId="77777777" w:rsidTr="00E479EE">
        <w:tc>
          <w:tcPr>
            <w:tcW w:w="0" w:type="auto"/>
            <w:tcBorders>
              <w:left w:val="single" w:sz="12" w:space="0" w:color="auto"/>
              <w:bottom w:val="single" w:sz="12" w:space="0" w:color="auto"/>
              <w:right w:val="single" w:sz="4" w:space="0" w:color="auto"/>
            </w:tcBorders>
            <w:shd w:val="clear" w:color="auto" w:fill="auto"/>
          </w:tcPr>
          <w:p w14:paraId="5BF831BA" w14:textId="77777777" w:rsidR="00CB1A04" w:rsidRPr="00416DA1" w:rsidRDefault="00CB1A04" w:rsidP="004618F7">
            <w:pPr>
              <w:spacing w:before="20" w:after="40" w:line="220" w:lineRule="exact"/>
              <w:rPr>
                <w:rFonts w:ascii="David" w:eastAsia="Calibri" w:hAnsi="David"/>
                <w:sz w:val="18"/>
                <w:szCs w:val="18"/>
              </w:rPr>
            </w:pPr>
          </w:p>
        </w:tc>
        <w:tc>
          <w:tcPr>
            <w:tcW w:w="0" w:type="auto"/>
            <w:tcBorders>
              <w:left w:val="single" w:sz="4" w:space="0" w:color="auto"/>
              <w:bottom w:val="single" w:sz="12" w:space="0" w:color="auto"/>
              <w:right w:val="single" w:sz="4" w:space="0" w:color="auto"/>
            </w:tcBorders>
            <w:shd w:val="clear" w:color="auto" w:fill="auto"/>
          </w:tcPr>
          <w:p w14:paraId="5B988ECD"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(.033)</w:t>
            </w:r>
          </w:p>
        </w:tc>
        <w:tc>
          <w:tcPr>
            <w:tcW w:w="0" w:type="auto"/>
            <w:tcBorders>
              <w:left w:val="single" w:sz="4" w:space="0" w:color="auto"/>
              <w:bottom w:val="single" w:sz="12" w:space="0" w:color="auto"/>
              <w:right w:val="single" w:sz="4" w:space="0" w:color="auto"/>
            </w:tcBorders>
            <w:shd w:val="clear" w:color="auto" w:fill="auto"/>
          </w:tcPr>
          <w:p w14:paraId="06AB2D5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(.041)</w:t>
            </w:r>
          </w:p>
        </w:tc>
        <w:tc>
          <w:tcPr>
            <w:tcW w:w="0" w:type="auto"/>
            <w:tcBorders>
              <w:left w:val="single" w:sz="4" w:space="0" w:color="auto"/>
              <w:bottom w:val="single" w:sz="12" w:space="0" w:color="auto"/>
              <w:right w:val="single" w:sz="12" w:space="0" w:color="auto"/>
            </w:tcBorders>
            <w:shd w:val="clear" w:color="auto" w:fill="auto"/>
          </w:tcPr>
          <w:p w14:paraId="6FF6EE11"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(.045)</w:t>
            </w:r>
          </w:p>
        </w:tc>
      </w:tr>
      <w:tr w:rsidR="00CB1A04" w:rsidRPr="00115E7F" w14:paraId="57D1BE05" w14:textId="77777777" w:rsidTr="00E479EE">
        <w:tc>
          <w:tcPr>
            <w:tcW w:w="0" w:type="auto"/>
            <w:tcBorders>
              <w:top w:val="single" w:sz="12" w:space="0" w:color="auto"/>
              <w:left w:val="single" w:sz="12" w:space="0" w:color="auto"/>
              <w:right w:val="single" w:sz="4" w:space="0" w:color="auto"/>
            </w:tcBorders>
            <w:shd w:val="clear" w:color="auto" w:fill="auto"/>
          </w:tcPr>
          <w:p w14:paraId="05EC82C0" w14:textId="77777777" w:rsidR="00CB1A04" w:rsidRPr="00416DA1" w:rsidRDefault="00CB1A04" w:rsidP="00B1768F">
            <w:pPr>
              <w:spacing w:before="20" w:after="40" w:line="220" w:lineRule="exact"/>
              <w:rPr>
                <w:rFonts w:ascii="David" w:eastAsia="Calibri" w:hAnsi="David"/>
                <w:sz w:val="18"/>
                <w:szCs w:val="18"/>
                <w:rtl/>
              </w:rPr>
            </w:pPr>
            <w:r w:rsidRPr="00416DA1">
              <w:rPr>
                <w:rFonts w:ascii="David" w:eastAsia="Calibri" w:hAnsi="David"/>
                <w:sz w:val="18"/>
                <w:szCs w:val="18"/>
              </w:rPr>
              <w:t>R-squared</w:t>
            </w:r>
            <w:r w:rsidRPr="00416DA1">
              <w:rPr>
                <w:rFonts w:ascii="David" w:eastAsia="Calibri" w:hAnsi="David"/>
                <w:sz w:val="18"/>
                <w:szCs w:val="18"/>
                <w:rtl/>
              </w:rPr>
              <w:t xml:space="preserve"> </w:t>
            </w:r>
          </w:p>
        </w:tc>
        <w:tc>
          <w:tcPr>
            <w:tcW w:w="0" w:type="auto"/>
            <w:tcBorders>
              <w:top w:val="single" w:sz="12" w:space="0" w:color="auto"/>
              <w:left w:val="single" w:sz="4" w:space="0" w:color="auto"/>
              <w:right w:val="single" w:sz="4" w:space="0" w:color="auto"/>
            </w:tcBorders>
            <w:shd w:val="clear" w:color="auto" w:fill="auto"/>
          </w:tcPr>
          <w:p w14:paraId="5D60C5CE"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.155</w:t>
            </w:r>
          </w:p>
        </w:tc>
        <w:tc>
          <w:tcPr>
            <w:tcW w:w="0" w:type="auto"/>
            <w:tcBorders>
              <w:top w:val="single" w:sz="12" w:space="0" w:color="auto"/>
              <w:left w:val="single" w:sz="4" w:space="0" w:color="auto"/>
              <w:right w:val="single" w:sz="4" w:space="0" w:color="auto"/>
            </w:tcBorders>
            <w:shd w:val="clear" w:color="auto" w:fill="auto"/>
          </w:tcPr>
          <w:p w14:paraId="649169AB"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.144</w:t>
            </w:r>
          </w:p>
        </w:tc>
        <w:tc>
          <w:tcPr>
            <w:tcW w:w="0" w:type="auto"/>
            <w:tcBorders>
              <w:top w:val="single" w:sz="12" w:space="0" w:color="auto"/>
              <w:left w:val="single" w:sz="4" w:space="0" w:color="auto"/>
              <w:right w:val="single" w:sz="12" w:space="0" w:color="auto"/>
            </w:tcBorders>
            <w:shd w:val="clear" w:color="auto" w:fill="auto"/>
          </w:tcPr>
          <w:p w14:paraId="398FAC4C"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.319</w:t>
            </w:r>
          </w:p>
        </w:tc>
      </w:tr>
      <w:tr w:rsidR="00CB1A04" w:rsidRPr="00115E7F" w14:paraId="2E3D20D7" w14:textId="77777777" w:rsidTr="00E479EE">
        <w:tc>
          <w:tcPr>
            <w:tcW w:w="0" w:type="auto"/>
            <w:tcBorders>
              <w:left w:val="single" w:sz="12" w:space="0" w:color="auto"/>
              <w:right w:val="single" w:sz="4" w:space="0" w:color="auto"/>
            </w:tcBorders>
            <w:shd w:val="clear" w:color="auto" w:fill="auto"/>
          </w:tcPr>
          <w:p w14:paraId="24739A90" w14:textId="77777777" w:rsidR="00CB1A04" w:rsidRPr="00416DA1" w:rsidRDefault="00CB1A04" w:rsidP="00B1768F">
            <w:pPr>
              <w:spacing w:before="20" w:after="40" w:line="220" w:lineRule="exact"/>
              <w:rPr>
                <w:rFonts w:ascii="David" w:eastAsia="Calibri" w:hAnsi="David"/>
                <w:sz w:val="18"/>
                <w:szCs w:val="18"/>
                <w:rtl/>
              </w:rPr>
            </w:pPr>
            <w:r w:rsidRPr="00416DA1">
              <w:rPr>
                <w:rFonts w:ascii="David" w:eastAsia="Calibri" w:hAnsi="David"/>
                <w:sz w:val="18"/>
                <w:szCs w:val="18"/>
                <w:rtl/>
              </w:rPr>
              <w:t>ילדים</w:t>
            </w:r>
          </w:p>
        </w:tc>
        <w:tc>
          <w:tcPr>
            <w:tcW w:w="0" w:type="auto"/>
            <w:tcBorders>
              <w:left w:val="single" w:sz="4" w:space="0" w:color="auto"/>
              <w:right w:val="single" w:sz="4" w:space="0" w:color="auto"/>
            </w:tcBorders>
            <w:shd w:val="clear" w:color="auto" w:fill="auto"/>
          </w:tcPr>
          <w:p w14:paraId="01FD4A80"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3,105,245</w:t>
            </w:r>
          </w:p>
        </w:tc>
        <w:tc>
          <w:tcPr>
            <w:tcW w:w="0" w:type="auto"/>
            <w:tcBorders>
              <w:left w:val="single" w:sz="4" w:space="0" w:color="auto"/>
              <w:right w:val="single" w:sz="4" w:space="0" w:color="auto"/>
            </w:tcBorders>
            <w:shd w:val="clear" w:color="auto" w:fill="auto"/>
          </w:tcPr>
          <w:p w14:paraId="6D1FCF36"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2,135,587</w:t>
            </w:r>
          </w:p>
        </w:tc>
        <w:tc>
          <w:tcPr>
            <w:tcW w:w="0" w:type="auto"/>
            <w:tcBorders>
              <w:left w:val="single" w:sz="4" w:space="0" w:color="auto"/>
              <w:right w:val="single" w:sz="12" w:space="0" w:color="auto"/>
            </w:tcBorders>
            <w:shd w:val="clear" w:color="auto" w:fill="auto"/>
          </w:tcPr>
          <w:p w14:paraId="785D4C18"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2,135,587</w:t>
            </w:r>
          </w:p>
        </w:tc>
      </w:tr>
      <w:tr w:rsidR="00CB1A04" w:rsidRPr="00115E7F" w14:paraId="1B6DC396" w14:textId="77777777" w:rsidTr="00E479EE">
        <w:tc>
          <w:tcPr>
            <w:tcW w:w="0" w:type="auto"/>
            <w:tcBorders>
              <w:left w:val="single" w:sz="12" w:space="0" w:color="auto"/>
              <w:bottom w:val="single" w:sz="12" w:space="0" w:color="auto"/>
              <w:right w:val="single" w:sz="4" w:space="0" w:color="auto"/>
            </w:tcBorders>
            <w:shd w:val="clear" w:color="auto" w:fill="auto"/>
          </w:tcPr>
          <w:p w14:paraId="7A21B623"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tl/>
              </w:rPr>
              <w:t>משקי בית</w:t>
            </w:r>
          </w:p>
        </w:tc>
        <w:tc>
          <w:tcPr>
            <w:tcW w:w="0" w:type="auto"/>
            <w:tcBorders>
              <w:left w:val="single" w:sz="4" w:space="0" w:color="auto"/>
              <w:bottom w:val="single" w:sz="12" w:space="0" w:color="auto"/>
              <w:right w:val="single" w:sz="4" w:space="0" w:color="auto"/>
            </w:tcBorders>
            <w:shd w:val="clear" w:color="auto" w:fill="auto"/>
          </w:tcPr>
          <w:p w14:paraId="7A555B57"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1,278,474</w:t>
            </w:r>
          </w:p>
        </w:tc>
        <w:tc>
          <w:tcPr>
            <w:tcW w:w="0" w:type="auto"/>
            <w:tcBorders>
              <w:left w:val="single" w:sz="4" w:space="0" w:color="auto"/>
              <w:bottom w:val="single" w:sz="12" w:space="0" w:color="auto"/>
              <w:right w:val="single" w:sz="4" w:space="0" w:color="auto"/>
            </w:tcBorders>
            <w:shd w:val="clear" w:color="auto" w:fill="auto"/>
          </w:tcPr>
          <w:p w14:paraId="379E17E9"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875,907</w:t>
            </w:r>
          </w:p>
        </w:tc>
        <w:tc>
          <w:tcPr>
            <w:tcW w:w="0" w:type="auto"/>
            <w:tcBorders>
              <w:left w:val="single" w:sz="4" w:space="0" w:color="auto"/>
              <w:bottom w:val="single" w:sz="12" w:space="0" w:color="auto"/>
              <w:right w:val="single" w:sz="12" w:space="0" w:color="auto"/>
            </w:tcBorders>
            <w:shd w:val="clear" w:color="auto" w:fill="auto"/>
          </w:tcPr>
          <w:p w14:paraId="4708107F" w14:textId="77777777" w:rsidR="00CB1A04" w:rsidRPr="00416DA1" w:rsidRDefault="00CB1A04" w:rsidP="00B1768F">
            <w:pPr>
              <w:spacing w:before="20" w:after="40" w:line="220" w:lineRule="exact"/>
              <w:rPr>
                <w:rFonts w:ascii="David" w:eastAsia="Calibri" w:hAnsi="David"/>
                <w:sz w:val="18"/>
                <w:szCs w:val="18"/>
              </w:rPr>
            </w:pPr>
            <w:r w:rsidRPr="00416DA1">
              <w:rPr>
                <w:rFonts w:ascii="David" w:eastAsia="Calibri" w:hAnsi="David"/>
                <w:sz w:val="18"/>
                <w:szCs w:val="18"/>
              </w:rPr>
              <w:t>875,907</w:t>
            </w:r>
          </w:p>
        </w:tc>
      </w:tr>
    </w:tbl>
    <w:p w14:paraId="41841078" w14:textId="53BCB807" w:rsidR="00CB1A04" w:rsidRPr="000E2AAB" w:rsidRDefault="00B1768F" w:rsidP="000E2AAB">
      <w:pPr>
        <w:spacing w:before="120" w:line="200" w:lineRule="exact"/>
        <w:jc w:val="both"/>
        <w:rPr>
          <w:sz w:val="14"/>
          <w:szCs w:val="16"/>
          <w:rtl/>
        </w:rPr>
      </w:pPr>
      <w:r w:rsidRPr="000E2AAB">
        <w:rPr>
          <w:rFonts w:hint="cs"/>
          <w:sz w:val="14"/>
          <w:szCs w:val="16"/>
          <w:rtl/>
        </w:rPr>
        <w:t>*</w:t>
      </w:r>
      <w:r w:rsidRPr="000E2AAB">
        <w:rPr>
          <w:sz w:val="14"/>
          <w:szCs w:val="16"/>
          <w:rtl/>
        </w:rPr>
        <w:tab/>
      </w:r>
      <w:r w:rsidR="00CB1A04" w:rsidRPr="000E2AAB">
        <w:rPr>
          <w:sz w:val="14"/>
          <w:szCs w:val="16"/>
        </w:rPr>
        <w:t>Standard errors</w:t>
      </w:r>
      <w:r w:rsidR="00CB1A04" w:rsidRPr="000E2AAB">
        <w:rPr>
          <w:rFonts w:hint="cs"/>
          <w:sz w:val="14"/>
          <w:szCs w:val="16"/>
          <w:rtl/>
        </w:rPr>
        <w:t xml:space="preserve"> מופיעות בסוגריים.</w:t>
      </w:r>
    </w:p>
    <w:p w14:paraId="0278A523" w14:textId="4E37E0E1" w:rsidR="00CB1A04" w:rsidRPr="000E2AAB" w:rsidRDefault="00CB1A04" w:rsidP="000E2AAB">
      <w:pPr>
        <w:spacing w:line="200" w:lineRule="exact"/>
        <w:ind w:left="397" w:hanging="397"/>
        <w:jc w:val="both"/>
        <w:rPr>
          <w:sz w:val="14"/>
          <w:szCs w:val="16"/>
          <w:rtl/>
        </w:rPr>
      </w:pPr>
      <w:r w:rsidRPr="000E2AAB">
        <w:rPr>
          <w:rFonts w:hint="cs"/>
          <w:sz w:val="14"/>
          <w:szCs w:val="16"/>
          <w:rtl/>
        </w:rPr>
        <w:t xml:space="preserve">1. </w:t>
      </w:r>
      <w:r w:rsidR="00416DA1" w:rsidRPr="000E2AAB">
        <w:rPr>
          <w:sz w:val="14"/>
          <w:szCs w:val="16"/>
        </w:rPr>
        <w:tab/>
      </w:r>
      <w:r w:rsidRPr="000E2AAB">
        <w:rPr>
          <w:rFonts w:hint="cs"/>
          <w:sz w:val="14"/>
          <w:szCs w:val="16"/>
          <w:rtl/>
        </w:rPr>
        <w:t>מוגבל למשקי בית שביצעו בחירה פעילה.</w:t>
      </w:r>
    </w:p>
    <w:p w14:paraId="6963E583" w14:textId="50BAE510" w:rsidR="00CB1A04" w:rsidRPr="000E2AAB" w:rsidRDefault="00CB1A04" w:rsidP="000E2AAB">
      <w:pPr>
        <w:spacing w:line="200" w:lineRule="exact"/>
        <w:ind w:left="397" w:hanging="397"/>
        <w:jc w:val="both"/>
        <w:rPr>
          <w:sz w:val="14"/>
          <w:szCs w:val="16"/>
          <w:rtl/>
        </w:rPr>
      </w:pPr>
      <w:r w:rsidRPr="000E2AAB">
        <w:rPr>
          <w:rFonts w:hint="cs"/>
          <w:sz w:val="14"/>
          <w:szCs w:val="16"/>
          <w:rtl/>
        </w:rPr>
        <w:t xml:space="preserve">2. </w:t>
      </w:r>
      <w:r w:rsidR="00416DA1" w:rsidRPr="000E2AAB">
        <w:rPr>
          <w:sz w:val="14"/>
          <w:szCs w:val="16"/>
        </w:rPr>
        <w:tab/>
      </w:r>
      <w:r w:rsidRPr="000E2AAB">
        <w:rPr>
          <w:rFonts w:hint="cs"/>
          <w:sz w:val="14"/>
          <w:szCs w:val="16"/>
          <w:rtl/>
        </w:rPr>
        <w:t>קבוצת ייחוס: יהודים לא-חרדים.</w:t>
      </w:r>
    </w:p>
    <w:p w14:paraId="3868BC77" w14:textId="2CF28209" w:rsidR="00CB1A04" w:rsidRPr="000E2AAB" w:rsidRDefault="00CB1A04" w:rsidP="000E2AAB">
      <w:pPr>
        <w:spacing w:line="200" w:lineRule="exact"/>
        <w:ind w:left="397" w:hanging="397"/>
        <w:jc w:val="both"/>
        <w:rPr>
          <w:sz w:val="14"/>
          <w:szCs w:val="16"/>
          <w:rtl/>
        </w:rPr>
      </w:pPr>
      <w:r w:rsidRPr="000E2AAB">
        <w:rPr>
          <w:rFonts w:hint="cs"/>
          <w:sz w:val="14"/>
          <w:szCs w:val="16"/>
          <w:rtl/>
        </w:rPr>
        <w:t xml:space="preserve">3. </w:t>
      </w:r>
      <w:r w:rsidR="00416DA1" w:rsidRPr="000E2AAB">
        <w:rPr>
          <w:sz w:val="14"/>
          <w:szCs w:val="16"/>
        </w:rPr>
        <w:tab/>
      </w:r>
      <w:r w:rsidRPr="000E2AAB">
        <w:rPr>
          <w:rFonts w:hint="cs"/>
          <w:sz w:val="14"/>
          <w:szCs w:val="16"/>
          <w:rtl/>
        </w:rPr>
        <w:t>קבוצת ייחוס: אשכול חברתי-כלכלי נמוך.</w:t>
      </w:r>
    </w:p>
    <w:p w14:paraId="251304F6" w14:textId="6E736A55" w:rsidR="00CB1A04" w:rsidRPr="000E2AAB" w:rsidRDefault="00CB1A04" w:rsidP="000E2AAB">
      <w:pPr>
        <w:spacing w:after="240" w:line="200" w:lineRule="exact"/>
        <w:ind w:left="397" w:hanging="397"/>
        <w:jc w:val="both"/>
        <w:rPr>
          <w:sz w:val="14"/>
          <w:szCs w:val="16"/>
          <w:rtl/>
        </w:rPr>
      </w:pPr>
      <w:r w:rsidRPr="000E2AAB">
        <w:rPr>
          <w:rFonts w:hint="cs"/>
          <w:sz w:val="14"/>
          <w:szCs w:val="16"/>
          <w:rtl/>
        </w:rPr>
        <w:t xml:space="preserve">4. </w:t>
      </w:r>
      <w:r w:rsidR="00416DA1" w:rsidRPr="000E2AAB">
        <w:rPr>
          <w:sz w:val="14"/>
          <w:szCs w:val="16"/>
        </w:rPr>
        <w:tab/>
      </w:r>
      <w:r w:rsidRPr="000E2AAB">
        <w:rPr>
          <w:rFonts w:hint="cs"/>
          <w:sz w:val="14"/>
          <w:szCs w:val="16"/>
          <w:rtl/>
        </w:rPr>
        <w:t>קבוצת ייחוס: מרחק רב מערים גדולות.</w:t>
      </w:r>
    </w:p>
    <w:p w14:paraId="16DAE51D" w14:textId="77777777" w:rsidR="00D23AE9" w:rsidRPr="007F3859" w:rsidRDefault="00D23AE9" w:rsidP="00D23AE9">
      <w:pPr>
        <w:spacing w:after="180" w:line="280" w:lineRule="exact"/>
        <w:jc w:val="both"/>
        <w:rPr>
          <w:sz w:val="18"/>
          <w:szCs w:val="20"/>
          <w:rtl/>
        </w:rPr>
      </w:pPr>
      <w:r w:rsidRPr="007F3859">
        <w:rPr>
          <w:rFonts w:hint="cs"/>
          <w:sz w:val="18"/>
          <w:szCs w:val="20"/>
          <w:rtl/>
        </w:rPr>
        <w:t>קשר שלילי וחזק יחסית נמצא בין גיל הילד לבין ההשתתפות פעילה בתוכנית: עם כל עלייה של שנה בגיל הילד, ירדה הסבירות להצטרפות פעילה ב-7.1%. במילים אחרות, ילדים גדולים יותר צורפו בדרך כלל לתוכנית ברירת המחדל. בקרב הילדים שהצטרפו לתוכנית, ככל שגיל הילד היה גבוה יותר כך הסבירות להפקדת כספים בקרן השקעות, ולהפקדת 50 שקלים נוספים, הייתה נמוכה יותר; מקדמי הרגרסיה היו</w:t>
      </w:r>
      <w:r w:rsidRPr="007F3859">
        <w:rPr>
          <w:sz w:val="18"/>
          <w:szCs w:val="20"/>
          <w:rtl/>
        </w:rPr>
        <w:t xml:space="preserve"> </w:t>
      </w:r>
      <w:r w:rsidRPr="007F3859">
        <w:rPr>
          <w:rFonts w:hint="cs"/>
          <w:sz w:val="18"/>
          <w:szCs w:val="20"/>
          <w:rtl/>
        </w:rPr>
        <w:t>דומים</w:t>
      </w:r>
      <w:r w:rsidRPr="007F3859">
        <w:rPr>
          <w:sz w:val="18"/>
          <w:szCs w:val="20"/>
          <w:rtl/>
        </w:rPr>
        <w:t xml:space="preserve"> </w:t>
      </w:r>
      <w:r w:rsidRPr="007F3859">
        <w:rPr>
          <w:rFonts w:hint="cs"/>
          <w:sz w:val="18"/>
          <w:szCs w:val="20"/>
          <w:rtl/>
        </w:rPr>
        <w:t xml:space="preserve">במובהקותם. בהתחשב בעובדה שקרנות השקעה בעלות תשואה גבוהה יותר מתאפיינות בסיכון גבוה יותר בטווח הקצר, ממצא זה תואם לרתיעה הבסיסית מסיכון, שיכולה להסביר את נטיית ההורים לבחור בסיכון מצומצם ככל שהילדים גדלים. </w:t>
      </w:r>
    </w:p>
    <w:p w14:paraId="66943C8F" w14:textId="77777777" w:rsidR="00D23AE9" w:rsidRPr="007F3859" w:rsidRDefault="00D23AE9" w:rsidP="00D23AE9">
      <w:pPr>
        <w:spacing w:after="180" w:line="280" w:lineRule="exact"/>
        <w:jc w:val="both"/>
        <w:rPr>
          <w:sz w:val="18"/>
          <w:szCs w:val="20"/>
          <w:rtl/>
        </w:rPr>
      </w:pPr>
      <w:r w:rsidRPr="007F3859">
        <w:rPr>
          <w:rFonts w:hint="cs"/>
          <w:sz w:val="18"/>
          <w:szCs w:val="20"/>
          <w:rtl/>
        </w:rPr>
        <w:t xml:space="preserve">עובדה מעניינת היא שמקדם סדר הלידה של הילד במשפחה מצביע על מגמה הפוכה. הסבירות להצטרפות פעילה לתוכנית ירדה ב-9.7% עם כל עלייה בסדר הלידה (לדוגמה, הילד השני במשפחה לעומת הילד הראשון). בד בבד, הסבירות להפקדות של 50 שקלים נוספים ולבחירה בקרן השקעות ירדה עבור ילד נוסף (ב-4.1% וב-13.9%, בהתאמה), מה שמצביע </w:t>
      </w:r>
      <w:r w:rsidRPr="007F3859">
        <w:rPr>
          <w:rFonts w:hint="cs"/>
          <w:sz w:val="18"/>
          <w:szCs w:val="20"/>
          <w:rtl/>
        </w:rPr>
        <w:lastRenderedPageBreak/>
        <w:t>ככל הנראה על יחס מורכב יותר בין גיל הילד לגודל המשפחה. ההבדלים בהצטרפות ובהשתתפות לפי מגדר הילד היו קטנים במיוחד, אך מובהקים.</w:t>
      </w:r>
    </w:p>
    <w:p w14:paraId="5FE42E89" w14:textId="77777777" w:rsidR="00D23AE9" w:rsidRPr="007F3859" w:rsidRDefault="00D23AE9" w:rsidP="00D23AE9">
      <w:pPr>
        <w:spacing w:after="180" w:line="280" w:lineRule="exact"/>
        <w:jc w:val="both"/>
        <w:rPr>
          <w:sz w:val="18"/>
          <w:szCs w:val="20"/>
          <w:rtl/>
        </w:rPr>
      </w:pPr>
      <w:r w:rsidRPr="007F3859">
        <w:rPr>
          <w:rFonts w:hint="cs"/>
          <w:sz w:val="18"/>
          <w:szCs w:val="20"/>
          <w:rtl/>
        </w:rPr>
        <w:t>הממצאים מורים על קשר חיובי בין מספר הילדים במשק הבית לבין הסבירות להצטרפות פעילה. הורים עם מספר רב יותר של ילדים נטו יותר להפקיד את כספי התוכנית בחשבון השקעות, ונטו פחות להפקיד 50 שקלים נוספים. מקדם הרגרסיה הגבוה ביותר היה בעניין הבחירה באפיק החיסכון: כשכל המדדים האחרים שווים, התוספת של ילד אחד במשפחה העלתה ב-23.2% את הסבירות לבחירה בקרן השקעות. מצד אחד, משקי</w:t>
      </w:r>
      <w:r w:rsidRPr="007F3859">
        <w:rPr>
          <w:sz w:val="18"/>
          <w:szCs w:val="20"/>
          <w:rtl/>
        </w:rPr>
        <w:t xml:space="preserve"> </w:t>
      </w:r>
      <w:r w:rsidRPr="007F3859">
        <w:rPr>
          <w:rFonts w:hint="cs"/>
          <w:sz w:val="18"/>
          <w:szCs w:val="20"/>
          <w:rtl/>
        </w:rPr>
        <w:t>בית</w:t>
      </w:r>
      <w:r w:rsidRPr="007F3859">
        <w:rPr>
          <w:sz w:val="18"/>
          <w:szCs w:val="20"/>
          <w:rtl/>
        </w:rPr>
        <w:t xml:space="preserve"> </w:t>
      </w:r>
      <w:r w:rsidRPr="007F3859">
        <w:rPr>
          <w:rFonts w:hint="cs"/>
          <w:sz w:val="18"/>
          <w:szCs w:val="20"/>
          <w:rtl/>
        </w:rPr>
        <w:t>עם</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ילדים</w:t>
      </w:r>
      <w:r w:rsidRPr="007F3859">
        <w:rPr>
          <w:sz w:val="18"/>
          <w:szCs w:val="20"/>
          <w:rtl/>
        </w:rPr>
        <w:t xml:space="preserve"> </w:t>
      </w:r>
      <w:r w:rsidRPr="007F3859">
        <w:rPr>
          <w:rFonts w:hint="cs"/>
          <w:sz w:val="18"/>
          <w:szCs w:val="20"/>
          <w:rtl/>
        </w:rPr>
        <w:t>יכולים</w:t>
      </w:r>
      <w:r w:rsidRPr="007F3859">
        <w:rPr>
          <w:sz w:val="18"/>
          <w:szCs w:val="20"/>
          <w:rtl/>
        </w:rPr>
        <w:t xml:space="preserve"> </w:t>
      </w:r>
      <w:r w:rsidRPr="007F3859">
        <w:rPr>
          <w:rFonts w:hint="cs"/>
          <w:sz w:val="18"/>
          <w:szCs w:val="20"/>
          <w:rtl/>
        </w:rPr>
        <w:t>לצפות</w:t>
      </w:r>
      <w:r w:rsidRPr="007F3859">
        <w:rPr>
          <w:sz w:val="18"/>
          <w:szCs w:val="20"/>
          <w:rtl/>
        </w:rPr>
        <w:t xml:space="preserve"> </w:t>
      </w:r>
      <w:r w:rsidRPr="007F3859">
        <w:rPr>
          <w:rFonts w:hint="cs"/>
          <w:sz w:val="18"/>
          <w:szCs w:val="20"/>
          <w:rtl/>
        </w:rPr>
        <w:t>להפיק</w:t>
      </w:r>
      <w:r w:rsidRPr="007F3859">
        <w:rPr>
          <w:sz w:val="18"/>
          <w:szCs w:val="20"/>
          <w:rtl/>
        </w:rPr>
        <w:t xml:space="preserve"> </w:t>
      </w:r>
      <w:r w:rsidRPr="007F3859">
        <w:rPr>
          <w:rFonts w:hint="cs"/>
          <w:sz w:val="18"/>
          <w:szCs w:val="20"/>
          <w:rtl/>
        </w:rPr>
        <w:t>תועלת</w:t>
      </w:r>
      <w:r w:rsidRPr="007F3859">
        <w:rPr>
          <w:sz w:val="18"/>
          <w:szCs w:val="20"/>
          <w:rtl/>
        </w:rPr>
        <w:t xml:space="preserve"> </w:t>
      </w:r>
      <w:r w:rsidRPr="007F3859">
        <w:rPr>
          <w:rFonts w:hint="cs"/>
          <w:sz w:val="18"/>
          <w:szCs w:val="20"/>
          <w:rtl/>
        </w:rPr>
        <w:t>רבה</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מה</w:t>
      </w:r>
      <w:r w:rsidRPr="007F3859">
        <w:rPr>
          <w:rFonts w:hint="eastAsia"/>
          <w:sz w:val="18"/>
          <w:szCs w:val="20"/>
          <w:rtl/>
        </w:rPr>
        <w:t>תוכנית</w:t>
      </w:r>
      <w:r w:rsidRPr="007F3859">
        <w:rPr>
          <w:rFonts w:hint="cs"/>
          <w:sz w:val="18"/>
          <w:szCs w:val="20"/>
          <w:rtl/>
        </w:rPr>
        <w:t xml:space="preserve">. משפחות גדולות יותר עשויות גם להתמודד עם אילוצים פיננסיים שימנעו מהן להתחייב להפקדות חודשיות נוספות לכל ילד. מצד אחר, התועלות הפוטנציאליות שבהפקדות כספים לקרנות בעלות תשואה גבוהה יותר עשויות לסייע בקיזוז סכומי הפקדות נמוכים. </w:t>
      </w:r>
    </w:p>
    <w:p w14:paraId="4FDA2FE2" w14:textId="77777777" w:rsidR="00D23AE9" w:rsidRPr="007F3859" w:rsidRDefault="00D23AE9" w:rsidP="00D23AE9">
      <w:pPr>
        <w:spacing w:after="180" w:line="280" w:lineRule="exact"/>
        <w:jc w:val="both"/>
        <w:rPr>
          <w:sz w:val="18"/>
          <w:szCs w:val="20"/>
          <w:rtl/>
        </w:rPr>
      </w:pPr>
      <w:r w:rsidRPr="007F3859">
        <w:rPr>
          <w:rFonts w:hint="cs"/>
          <w:sz w:val="18"/>
          <w:szCs w:val="20"/>
          <w:rtl/>
        </w:rPr>
        <w:t xml:space="preserve">ההבדלים העדתיים במגמות ההשתתפות בתוכנית היו בולטים במיוחד כאשר השווינו בין ילדים ממשקי בית יהודיים חרדיים וערביים לבין ילדים ממשקי בית יהודיים לא-דתיים. הסבירות להצטרפות פעילה לתוכנית הייתה גבוהה פי 1.87 בקרב יהודים חרדים, ונמוכה פי 2.9 בקרב ערבים, מאשר הסבירות בקרב יהודים לא-חרדים. ההבדלים בסבירות היו אף גדולים יותר בנוגע לבחירות באפיקי החיסכון. משקי בית יהודיים חרדיים נטו לבחור בקרן השקעות הרבה יותר מאשר משקי בית יהודיים לא-חרדיים, ואילו משקי בית ערביים נטו לבחור באפשרות זו הרבה פחות ממשקי בית יהודיים לא-חרדיים (יחסי סבירות = 3.53 </w:t>
      </w:r>
      <w:r>
        <w:rPr>
          <w:sz w:val="18"/>
          <w:szCs w:val="20"/>
          <w:rtl/>
        </w:rPr>
        <w:br/>
      </w:r>
      <w:r w:rsidRPr="007F3859">
        <w:rPr>
          <w:rFonts w:hint="cs"/>
          <w:sz w:val="18"/>
          <w:szCs w:val="20"/>
          <w:rtl/>
        </w:rPr>
        <w:t>ו-07. בהתאמה). בה בעת, בקרב קבוצות מיעוט עדתיות, הסבירות שהורים יבחרו להפקיד 50 שקלים נוספים בתוכניות החיסכון של הילדים הייתה נמוכה מהסבירות שהורים ממשפחות שהן מקבוצות רוב עדתי יעשו זאת. הבדלים</w:t>
      </w:r>
      <w:r w:rsidRPr="007F3859">
        <w:rPr>
          <w:sz w:val="18"/>
          <w:szCs w:val="20"/>
          <w:rtl/>
        </w:rPr>
        <w:t xml:space="preserve"> </w:t>
      </w:r>
      <w:r w:rsidRPr="007F3859">
        <w:rPr>
          <w:rFonts w:hint="cs"/>
          <w:sz w:val="18"/>
          <w:szCs w:val="20"/>
          <w:rtl/>
        </w:rPr>
        <w:t>אלה</w:t>
      </w:r>
      <w:r w:rsidRPr="007F3859">
        <w:rPr>
          <w:sz w:val="18"/>
          <w:szCs w:val="20"/>
          <w:rtl/>
        </w:rPr>
        <w:t xml:space="preserve"> </w:t>
      </w:r>
      <w:r w:rsidRPr="007F3859">
        <w:rPr>
          <w:rFonts w:hint="cs"/>
          <w:sz w:val="18"/>
          <w:szCs w:val="20"/>
          <w:rtl/>
        </w:rPr>
        <w:t>נצפו לאחר בקרה</w:t>
      </w:r>
      <w:r w:rsidRPr="007F3859">
        <w:rPr>
          <w:sz w:val="18"/>
          <w:szCs w:val="20"/>
          <w:rtl/>
        </w:rPr>
        <w:t xml:space="preserve"> </w:t>
      </w:r>
      <w:r w:rsidRPr="007F3859">
        <w:rPr>
          <w:rFonts w:hint="cs"/>
          <w:sz w:val="18"/>
          <w:szCs w:val="20"/>
          <w:rtl/>
        </w:rPr>
        <w:t xml:space="preserve">על אינדיקטורים </w:t>
      </w:r>
      <w:r w:rsidRPr="007F3859">
        <w:rPr>
          <w:sz w:val="18"/>
          <w:szCs w:val="20"/>
          <w:rtl/>
        </w:rPr>
        <w:t>דמוגרפיים, השכלתיים וכלכליים</w:t>
      </w:r>
      <w:r w:rsidRPr="007F3859">
        <w:rPr>
          <w:rFonts w:hint="cs"/>
          <w:sz w:val="18"/>
          <w:szCs w:val="20"/>
          <w:rtl/>
        </w:rPr>
        <w:t xml:space="preserve">, והם </w:t>
      </w:r>
      <w:r w:rsidRPr="007F3859">
        <w:rPr>
          <w:sz w:val="18"/>
          <w:szCs w:val="20"/>
          <w:rtl/>
        </w:rPr>
        <w:t xml:space="preserve">מצביעים, ככל הנראה, </w:t>
      </w:r>
      <w:r w:rsidRPr="007F3859">
        <w:rPr>
          <w:rFonts w:hint="cs"/>
          <w:sz w:val="18"/>
          <w:szCs w:val="20"/>
          <w:rtl/>
        </w:rPr>
        <w:t>על</w:t>
      </w:r>
      <w:r w:rsidRPr="007F3859">
        <w:rPr>
          <w:sz w:val="18"/>
          <w:szCs w:val="20"/>
          <w:rtl/>
        </w:rPr>
        <w:t xml:space="preserve"> </w:t>
      </w:r>
      <w:r w:rsidRPr="007F3859">
        <w:rPr>
          <w:rFonts w:hint="cs"/>
          <w:sz w:val="18"/>
          <w:szCs w:val="20"/>
          <w:rtl/>
        </w:rPr>
        <w:t>חשיבותן</w:t>
      </w:r>
      <w:r w:rsidRPr="007F3859">
        <w:rPr>
          <w:sz w:val="18"/>
          <w:szCs w:val="20"/>
          <w:rtl/>
        </w:rPr>
        <w:t xml:space="preserve"> </w:t>
      </w:r>
      <w:r w:rsidRPr="007F3859">
        <w:rPr>
          <w:rFonts w:hint="cs"/>
          <w:sz w:val="18"/>
          <w:szCs w:val="20"/>
          <w:rtl/>
        </w:rPr>
        <w:t xml:space="preserve">של העדפות השקעה תלויות תרבות, </w:t>
      </w:r>
      <w:r w:rsidRPr="007F3859">
        <w:rPr>
          <w:sz w:val="18"/>
          <w:szCs w:val="20"/>
          <w:rtl/>
        </w:rPr>
        <w:t xml:space="preserve">או על העובדה ששתי הקבוצות מתמודדות עם אילוצים פיננסיים </w:t>
      </w:r>
      <w:r w:rsidRPr="007F3859">
        <w:rPr>
          <w:rFonts w:hint="cs"/>
          <w:sz w:val="18"/>
          <w:szCs w:val="20"/>
          <w:rtl/>
        </w:rPr>
        <w:t>מגבילים</w:t>
      </w:r>
      <w:r w:rsidRPr="007F3859">
        <w:rPr>
          <w:sz w:val="18"/>
          <w:szCs w:val="20"/>
          <w:rtl/>
        </w:rPr>
        <w:t xml:space="preserve"> יותר.</w:t>
      </w:r>
    </w:p>
    <w:p w14:paraId="006BE372" w14:textId="77777777" w:rsidR="00D23AE9" w:rsidRPr="007F3859" w:rsidRDefault="00D23AE9" w:rsidP="00D23AE9">
      <w:pPr>
        <w:spacing w:after="180" w:line="280" w:lineRule="exact"/>
        <w:jc w:val="both"/>
        <w:rPr>
          <w:sz w:val="18"/>
          <w:szCs w:val="20"/>
          <w:rtl/>
          <w:lang w:bidi="ar-SA"/>
        </w:rPr>
      </w:pPr>
      <w:r w:rsidRPr="007F3859">
        <w:rPr>
          <w:rFonts w:hint="cs"/>
          <w:sz w:val="18"/>
          <w:szCs w:val="20"/>
          <w:rtl/>
        </w:rPr>
        <w:t>מצאנו</w:t>
      </w:r>
      <w:r w:rsidRPr="007F3859">
        <w:rPr>
          <w:sz w:val="18"/>
          <w:szCs w:val="20"/>
          <w:rtl/>
        </w:rPr>
        <w:t xml:space="preserve"> שיש </w:t>
      </w:r>
      <w:r w:rsidRPr="007F3859">
        <w:rPr>
          <w:rFonts w:hint="cs"/>
          <w:sz w:val="18"/>
          <w:szCs w:val="20"/>
          <w:rtl/>
        </w:rPr>
        <w:t xml:space="preserve">קשרי גומלין חזקים וחיוביים בין הרקע ההשכלתי והמצב התעסוקתי של ההורים לבין הצטרפות פעילה לתוכנית (יחסי סבירות </w:t>
      </w:r>
      <w:r w:rsidRPr="00646C43">
        <w:rPr>
          <w:rFonts w:hint="cs"/>
          <w:sz w:val="18"/>
          <w:szCs w:val="20"/>
          <w:rtl/>
        </w:rPr>
        <w:t>=</w:t>
      </w:r>
      <w:r w:rsidRPr="007F3859">
        <w:rPr>
          <w:rFonts w:hint="cs"/>
          <w:sz w:val="18"/>
          <w:szCs w:val="20"/>
          <w:rtl/>
        </w:rPr>
        <w:t xml:space="preserve"> 2.60 ו-1.35 בהתאמה). קשרי גומלין חזקים וחיוביים נשמרים גם בין הרקע ההשכלתי של ההורים לבין הבחירה בקרן השקעות (יחס סבירות = 4.24), ואילו בקשר שבין מצב התעסוקה של ההורים לבין הבחירה בקרן השקעות נמצאה מגמה הפוכה (יחס סבירות = 80.). הממצא הראשון עשוי להוכיח שהשכלה מייצגת תחכום פיננסי וכללי של ההורים; הממצא השני עשוי להצביע על העדפות ברורות יותר לאפשרויות השקעה בטוחות יותר עם תגמול עתידי מובטח יותר (בטווח הקצר) בקרב הורים עובדים. הורים משכילים ועובדים נטו יותר להפקיד 50 שקלים נוספים בתוכניות של ילדיהם, וחשיבות</w:t>
      </w:r>
      <w:r w:rsidRPr="007F3859">
        <w:rPr>
          <w:sz w:val="18"/>
          <w:szCs w:val="20"/>
          <w:rtl/>
        </w:rPr>
        <w:t xml:space="preserve"> </w:t>
      </w:r>
      <w:r w:rsidRPr="007F3859">
        <w:rPr>
          <w:rFonts w:hint="cs"/>
          <w:sz w:val="18"/>
          <w:szCs w:val="20"/>
          <w:rtl/>
        </w:rPr>
        <w:t>יחסי</w:t>
      </w:r>
      <w:r w:rsidRPr="007F3859">
        <w:rPr>
          <w:sz w:val="18"/>
          <w:szCs w:val="20"/>
          <w:rtl/>
        </w:rPr>
        <w:t xml:space="preserve"> </w:t>
      </w:r>
      <w:r w:rsidRPr="007F3859">
        <w:rPr>
          <w:rFonts w:hint="cs"/>
          <w:sz w:val="18"/>
          <w:szCs w:val="20"/>
          <w:rtl/>
        </w:rPr>
        <w:t>הסבירות</w:t>
      </w:r>
      <w:r w:rsidRPr="007F3859">
        <w:rPr>
          <w:sz w:val="18"/>
          <w:szCs w:val="20"/>
          <w:rtl/>
        </w:rPr>
        <w:t xml:space="preserve"> </w:t>
      </w:r>
      <w:r w:rsidRPr="007F3859">
        <w:rPr>
          <w:rFonts w:hint="cs"/>
          <w:sz w:val="18"/>
          <w:szCs w:val="20"/>
          <w:rtl/>
        </w:rPr>
        <w:t>הייתה</w:t>
      </w:r>
      <w:r w:rsidRPr="007F3859">
        <w:rPr>
          <w:sz w:val="18"/>
          <w:szCs w:val="20"/>
          <w:rtl/>
        </w:rPr>
        <w:t xml:space="preserve"> </w:t>
      </w:r>
      <w:r w:rsidRPr="007F3859">
        <w:rPr>
          <w:rFonts w:hint="cs"/>
          <w:sz w:val="18"/>
          <w:szCs w:val="20"/>
          <w:rtl/>
        </w:rPr>
        <w:t>גדולה</w:t>
      </w:r>
      <w:r w:rsidRPr="007F3859">
        <w:rPr>
          <w:sz w:val="18"/>
          <w:szCs w:val="20"/>
          <w:rtl/>
        </w:rPr>
        <w:t xml:space="preserve"> </w:t>
      </w:r>
      <w:r w:rsidRPr="007F3859">
        <w:rPr>
          <w:rFonts w:hint="cs"/>
          <w:sz w:val="18"/>
          <w:szCs w:val="20"/>
          <w:rtl/>
        </w:rPr>
        <w:t>ובת</w:t>
      </w:r>
      <w:r w:rsidRPr="007F3859">
        <w:rPr>
          <w:sz w:val="18"/>
          <w:szCs w:val="20"/>
          <w:rtl/>
        </w:rPr>
        <w:t xml:space="preserve"> </w:t>
      </w:r>
      <w:r w:rsidRPr="007F3859">
        <w:rPr>
          <w:rFonts w:hint="cs"/>
          <w:sz w:val="18"/>
          <w:szCs w:val="20"/>
          <w:rtl/>
        </w:rPr>
        <w:t xml:space="preserve">השוואה (1.83 ו-1.85 בהתאמה). גם כאשר מדד ההכנסה הוחזק קבוע, התרומה של תעסוקת ההורים לבחירה לבצע הפקדה של 50 שקלים נוספים נשארה מובהקת. התרומה של משכורת נוספת במשק הבית הייתה חיובית </w:t>
      </w:r>
      <w:r w:rsidRPr="007F3859">
        <w:rPr>
          <w:rFonts w:hint="cs"/>
          <w:sz w:val="18"/>
          <w:szCs w:val="20"/>
          <w:rtl/>
        </w:rPr>
        <w:lastRenderedPageBreak/>
        <w:t>אך בעלת מובהקות</w:t>
      </w:r>
      <w:r w:rsidRPr="007F3859">
        <w:rPr>
          <w:sz w:val="18"/>
          <w:szCs w:val="20"/>
          <w:rtl/>
        </w:rPr>
        <w:t xml:space="preserve"> </w:t>
      </w:r>
      <w:r w:rsidRPr="007F3859">
        <w:rPr>
          <w:rFonts w:hint="cs"/>
          <w:sz w:val="18"/>
          <w:szCs w:val="20"/>
          <w:rtl/>
        </w:rPr>
        <w:t>לא</w:t>
      </w:r>
      <w:r w:rsidRPr="007F3859">
        <w:rPr>
          <w:sz w:val="18"/>
          <w:szCs w:val="20"/>
          <w:rtl/>
        </w:rPr>
        <w:t xml:space="preserve"> </w:t>
      </w:r>
      <w:r w:rsidRPr="007F3859">
        <w:rPr>
          <w:rFonts w:hint="cs"/>
          <w:sz w:val="18"/>
          <w:szCs w:val="20"/>
          <w:rtl/>
        </w:rPr>
        <w:t>גבוהה יחסית לממצאים אחרים, והייתה תלויה גם במשתנים</w:t>
      </w:r>
      <w:r w:rsidRPr="007F3859">
        <w:rPr>
          <w:sz w:val="18"/>
          <w:szCs w:val="20"/>
          <w:rtl/>
        </w:rPr>
        <w:t xml:space="preserve"> </w:t>
      </w:r>
      <w:r w:rsidRPr="007F3859">
        <w:rPr>
          <w:rFonts w:hint="cs"/>
          <w:sz w:val="18"/>
          <w:szCs w:val="20"/>
          <w:rtl/>
        </w:rPr>
        <w:t>נוספים. לדוגמה, הסבירות לביצוע הפקדה של 50 שקלים נוספים מדי חודש עלתה ב-1.1% עבור כל 1,000 שקלים נוספים בשכר החודשי של משק הבית.</w:t>
      </w:r>
    </w:p>
    <w:p w14:paraId="65B22223" w14:textId="77777777" w:rsidR="00CB1A04" w:rsidRPr="007F3859" w:rsidRDefault="00CB1A04" w:rsidP="00CB1A04">
      <w:pPr>
        <w:spacing w:after="180" w:line="280" w:lineRule="exact"/>
        <w:jc w:val="both"/>
        <w:rPr>
          <w:i/>
          <w:iCs/>
          <w:sz w:val="18"/>
          <w:szCs w:val="20"/>
          <w:lang w:bidi="ar-SA"/>
        </w:rPr>
      </w:pPr>
    </w:p>
    <w:p w14:paraId="7DD49192" w14:textId="77777777" w:rsidR="00CB1A04" w:rsidRPr="007A6EAC" w:rsidRDefault="00CB1A04" w:rsidP="00CB1A04">
      <w:pPr>
        <w:pStyle w:val="KOT5"/>
        <w:spacing w:after="0"/>
        <w:ind w:right="0"/>
        <w:outlineLvl w:val="2"/>
        <w:rPr>
          <w:rFonts w:cs="Guttman Aharoni"/>
          <w:color w:val="00B0F0"/>
        </w:rPr>
      </w:pPr>
      <w:r w:rsidRPr="007A6EAC">
        <w:rPr>
          <w:rFonts w:cs="Guttman Aharoni" w:hint="cs"/>
          <w:color w:val="00B0F0"/>
          <w:rtl/>
        </w:rPr>
        <w:t>ניתוח ההבדלים בין תתי</w:t>
      </w:r>
      <w:r w:rsidRPr="00E479EE">
        <w:rPr>
          <w:rFonts w:ascii="David" w:hAnsi="David" w:cs="David"/>
          <w:color w:val="00B0F0"/>
          <w:rtl/>
        </w:rPr>
        <w:t>-</w:t>
      </w:r>
      <w:r w:rsidRPr="007A6EAC">
        <w:rPr>
          <w:rFonts w:cs="Guttman Aharoni" w:hint="cs"/>
          <w:color w:val="00B0F0"/>
          <w:rtl/>
        </w:rPr>
        <w:t>אוכלוסיות</w:t>
      </w:r>
    </w:p>
    <w:p w14:paraId="5EE18DB7" w14:textId="77777777" w:rsidR="00CB1A04" w:rsidRPr="007F3859" w:rsidRDefault="00CB1A04" w:rsidP="00CB1A04">
      <w:pPr>
        <w:spacing w:after="180" w:line="280" w:lineRule="exact"/>
        <w:jc w:val="both"/>
        <w:rPr>
          <w:sz w:val="18"/>
          <w:szCs w:val="20"/>
          <w:rtl/>
        </w:rPr>
      </w:pPr>
      <w:r w:rsidRPr="007F3859">
        <w:rPr>
          <w:rFonts w:hint="cs"/>
          <w:sz w:val="18"/>
          <w:szCs w:val="20"/>
          <w:rtl/>
        </w:rPr>
        <w:t xml:space="preserve">כדי לבדוק את ההטרוגניות בתתי-אוכלוסיות, תרשים 2 מתאר את הבחירה באחת מאפשרויות ההפקדה שהתוכנית מאפשרת, לפי תת-אוכלוסייה. מקרב אלה שבחרו להצטרף לתוכנית באופן פעיל, 87% מהערבים הישראלים הפקידו את הכספים בחשבון בנק, 77% מהיהודים החרדים בחרו בקרנות השקעה דתיות ו-56% מהיהודים הלא-חרדים בחרו בקרן השקעות בעלת תשואה בינונית-גבוהה. תוצאות אלה מעניינות, משתי סיבות: האחת, אומנם הממצאים מראים שיהודים חרדים נטו לבחור בקרנות השקעה בשיעורים גבוהים יותר מאשר בחשבונות בנק, אך הם לא נטו לבחור קרנות בעלות שיעורי תשואה צפויים גבוהים. האחרת, שיעור ההצטרפות של הערבים הישראלים לקרנות הדתיות היה נמוך מאוד, למרות הסיכוי שיצטרפו </w:t>
      </w:r>
      <w:r w:rsidRPr="007F3859">
        <w:rPr>
          <w:rFonts w:hint="eastAsia"/>
          <w:sz w:val="18"/>
          <w:szCs w:val="20"/>
          <w:rtl/>
        </w:rPr>
        <w:t>לקרן</w:t>
      </w:r>
      <w:r w:rsidRPr="007F3859">
        <w:rPr>
          <w:sz w:val="18"/>
          <w:szCs w:val="20"/>
          <w:rtl/>
        </w:rPr>
        <w:t xml:space="preserve"> </w:t>
      </w:r>
      <w:r w:rsidRPr="007F3859">
        <w:rPr>
          <w:rFonts w:hint="eastAsia"/>
          <w:sz w:val="18"/>
          <w:szCs w:val="20"/>
          <w:rtl/>
        </w:rPr>
        <w:t>תואמת</w:t>
      </w:r>
      <w:r w:rsidRPr="007F3859">
        <w:rPr>
          <w:sz w:val="18"/>
          <w:szCs w:val="20"/>
          <w:rtl/>
        </w:rPr>
        <w:t xml:space="preserve"> </w:t>
      </w:r>
      <w:r w:rsidRPr="007F3859">
        <w:rPr>
          <w:rFonts w:hint="eastAsia"/>
          <w:sz w:val="18"/>
          <w:szCs w:val="20"/>
          <w:rtl/>
        </w:rPr>
        <w:t>לש</w:t>
      </w:r>
      <w:r w:rsidRPr="007F3859">
        <w:rPr>
          <w:rFonts w:hint="cs"/>
          <w:sz w:val="18"/>
          <w:szCs w:val="20"/>
          <w:rtl/>
        </w:rPr>
        <w:t>ריעה</w:t>
      </w:r>
      <w:r w:rsidRPr="007F3859">
        <w:rPr>
          <w:sz w:val="18"/>
          <w:szCs w:val="20"/>
          <w:rtl/>
        </w:rPr>
        <w:t>.</w:t>
      </w:r>
      <w:r w:rsidRPr="007F3859">
        <w:rPr>
          <w:rFonts w:hint="cs"/>
          <w:sz w:val="18"/>
          <w:szCs w:val="20"/>
          <w:rtl/>
        </w:rPr>
        <w:t xml:space="preserve"> </w:t>
      </w:r>
      <w:r w:rsidRPr="007F3859">
        <w:rPr>
          <w:rFonts w:hint="eastAsia"/>
          <w:sz w:val="18"/>
          <w:szCs w:val="20"/>
          <w:rtl/>
        </w:rPr>
        <w:t>ההבדלים</w:t>
      </w:r>
      <w:r w:rsidRPr="007F3859">
        <w:rPr>
          <w:sz w:val="18"/>
          <w:szCs w:val="20"/>
          <w:rtl/>
        </w:rPr>
        <w:t xml:space="preserve"> בבחירה של </w:t>
      </w:r>
      <w:r w:rsidRPr="007F3859">
        <w:rPr>
          <w:rFonts w:hint="eastAsia"/>
          <w:sz w:val="18"/>
          <w:szCs w:val="20"/>
          <w:rtl/>
        </w:rPr>
        <w:t>אפיק</w:t>
      </w:r>
      <w:r w:rsidRPr="007F3859">
        <w:rPr>
          <w:sz w:val="18"/>
          <w:szCs w:val="20"/>
          <w:rtl/>
        </w:rPr>
        <w:t xml:space="preserve"> </w:t>
      </w:r>
      <w:r w:rsidRPr="007F3859">
        <w:rPr>
          <w:rFonts w:hint="eastAsia"/>
          <w:sz w:val="18"/>
          <w:szCs w:val="20"/>
          <w:rtl/>
        </w:rPr>
        <w:t>החיסכון</w:t>
      </w:r>
      <w:r w:rsidRPr="007F3859">
        <w:rPr>
          <w:sz w:val="18"/>
          <w:szCs w:val="20"/>
          <w:rtl/>
        </w:rPr>
        <w:t xml:space="preserve"> </w:t>
      </w:r>
      <w:r w:rsidRPr="007F3859">
        <w:rPr>
          <w:rFonts w:hint="eastAsia"/>
          <w:sz w:val="18"/>
          <w:szCs w:val="20"/>
          <w:rtl/>
        </w:rPr>
        <w:t>מצביעים</w:t>
      </w:r>
      <w:r w:rsidRPr="007F3859">
        <w:rPr>
          <w:sz w:val="18"/>
          <w:szCs w:val="20"/>
          <w:rtl/>
        </w:rPr>
        <w:t xml:space="preserve"> על</w:t>
      </w:r>
      <w:r w:rsidRPr="007F3859">
        <w:rPr>
          <w:rFonts w:hint="cs"/>
          <w:sz w:val="18"/>
          <w:szCs w:val="20"/>
          <w:rtl/>
        </w:rPr>
        <w:t xml:space="preserve"> הבדלים ב</w:t>
      </w:r>
      <w:r w:rsidRPr="007F3859">
        <w:rPr>
          <w:sz w:val="18"/>
          <w:szCs w:val="20"/>
          <w:rtl/>
        </w:rPr>
        <w:t>העדפות פיננסיות הקשורות ל</w:t>
      </w:r>
      <w:r w:rsidRPr="007F3859">
        <w:rPr>
          <w:rFonts w:hint="cs"/>
          <w:sz w:val="18"/>
          <w:szCs w:val="20"/>
          <w:rtl/>
        </w:rPr>
        <w:t>מוצא אתני ול</w:t>
      </w:r>
      <w:r w:rsidRPr="007F3859">
        <w:rPr>
          <w:sz w:val="18"/>
          <w:szCs w:val="20"/>
          <w:rtl/>
        </w:rPr>
        <w:t xml:space="preserve">רקע </w:t>
      </w:r>
      <w:r w:rsidRPr="007F3859">
        <w:rPr>
          <w:rFonts w:hint="cs"/>
          <w:sz w:val="18"/>
          <w:szCs w:val="20"/>
          <w:rtl/>
        </w:rPr>
        <w:t>דתי</w:t>
      </w:r>
      <w:r w:rsidRPr="007F3859">
        <w:rPr>
          <w:sz w:val="18"/>
          <w:szCs w:val="20"/>
          <w:rtl/>
        </w:rPr>
        <w:t xml:space="preserve"> או תרבותי של משקי בית ישראלי</w:t>
      </w:r>
      <w:r w:rsidRPr="007F3859">
        <w:rPr>
          <w:rFonts w:hint="cs"/>
          <w:sz w:val="18"/>
          <w:szCs w:val="20"/>
          <w:rtl/>
        </w:rPr>
        <w:t>י</w:t>
      </w:r>
      <w:r w:rsidRPr="007F3859">
        <w:rPr>
          <w:sz w:val="18"/>
          <w:szCs w:val="20"/>
          <w:rtl/>
        </w:rPr>
        <w:t>ם</w:t>
      </w:r>
      <w:r w:rsidRPr="007F3859">
        <w:rPr>
          <w:rFonts w:hint="cs"/>
          <w:sz w:val="18"/>
          <w:szCs w:val="20"/>
          <w:rtl/>
        </w:rPr>
        <w:t>.</w:t>
      </w:r>
    </w:p>
    <w:p w14:paraId="0E06931B" w14:textId="77777777" w:rsidR="00CB1A04" w:rsidRPr="002050DC" w:rsidRDefault="00CB1A04" w:rsidP="002050DC">
      <w:pPr>
        <w:pStyle w:val="tab-name"/>
        <w:spacing w:before="300" w:line="260" w:lineRule="exact"/>
        <w:ind w:right="0"/>
        <w:rPr>
          <w:rFonts w:cs="Guttman Aharoni"/>
          <w:color w:val="auto"/>
          <w:sz w:val="20"/>
          <w:szCs w:val="20"/>
        </w:rPr>
      </w:pPr>
      <w:r w:rsidRPr="002050DC">
        <w:rPr>
          <w:rFonts w:cs="Guttman Aharoni" w:hint="cs"/>
          <w:color w:val="auto"/>
          <w:sz w:val="20"/>
          <w:szCs w:val="20"/>
          <w:rtl/>
        </w:rPr>
        <w:t>תרשים 2: אפיקי הפקדה בתוכנית חיסכון לכל ילד, לפי תת</w:t>
      </w:r>
      <w:r w:rsidRPr="002050DC">
        <w:rPr>
          <w:rFonts w:ascii="David" w:hAnsi="David" w:cs="David"/>
          <w:color w:val="auto"/>
          <w:sz w:val="20"/>
          <w:szCs w:val="20"/>
          <w:rtl/>
        </w:rPr>
        <w:t>-</w:t>
      </w:r>
      <w:r w:rsidRPr="002050DC">
        <w:rPr>
          <w:rFonts w:cs="Guttman Aharoni" w:hint="cs"/>
          <w:color w:val="auto"/>
          <w:sz w:val="20"/>
          <w:szCs w:val="20"/>
          <w:rtl/>
        </w:rPr>
        <w:t>אוכלוסייה</w:t>
      </w:r>
    </w:p>
    <w:p w14:paraId="2D461C52" w14:textId="3D3B776B" w:rsidR="00CB1A04" w:rsidRPr="007F3859" w:rsidRDefault="00130181" w:rsidP="00130181">
      <w:pPr>
        <w:spacing w:after="180" w:line="240" w:lineRule="atLeast"/>
        <w:jc w:val="both"/>
        <w:rPr>
          <w:sz w:val="18"/>
          <w:szCs w:val="20"/>
          <w:rtl/>
        </w:rPr>
      </w:pPr>
      <w:r>
        <w:rPr>
          <w:noProof/>
          <w:sz w:val="18"/>
          <w:szCs w:val="20"/>
          <w:rtl/>
        </w:rPr>
        <w:drawing>
          <wp:inline distT="0" distB="0" distL="0" distR="0" wp14:anchorId="2D6111DF" wp14:editId="5F57A87F">
            <wp:extent cx="4103370" cy="2263775"/>
            <wp:effectExtent l="0" t="0" r="0" b="3175"/>
            <wp:docPr id="5" name="Picture 5" descr="תרשים 2 מתאר את הבחירה באחד מאפיקי ההפקדה שהתוכנית מאפשרת, לפי תת אוכלוסייה. מקרב אלה שבחרו להצטרף לתוכנית באופן פעיל, 87% מהערבים הישראלים הפקידו את הכספים בחשבון בנק, 77% מהיהודים החרדים בחרו בקרן השקעה דתית, ו-56% מהיהודים הלאחרדים בחרו בקרן השקעות בעלת תשואה בינוניתגבוה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תרשים 2 מתאר את הבחירה באחד מאפיקי ההפקדה שהתוכנית מאפשרת, לפי תת אוכלוסייה. מקרב אלה שבחרו להצטרף לתוכנית באופן פעיל, 87% מהערבים הישראלים הפקידו את הכספים בחשבון בנק, 77% מהיהודים החרדים בחרו בקרן השקעה דתית, ו-56% מהיהודים הלאחרדים בחרו בקרן השקעות בעלת תשואה בינוניתגבוהה."/>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3370" cy="2263775"/>
                    </a:xfrm>
                    <a:prstGeom prst="rect">
                      <a:avLst/>
                    </a:prstGeom>
                  </pic:spPr>
                </pic:pic>
              </a:graphicData>
            </a:graphic>
          </wp:inline>
        </w:drawing>
      </w:r>
    </w:p>
    <w:p w14:paraId="75B94164" w14:textId="77777777" w:rsidR="00CB1A04" w:rsidRPr="007F3859" w:rsidRDefault="00CB1A04" w:rsidP="00CB1A04">
      <w:pPr>
        <w:spacing w:after="180" w:line="280" w:lineRule="exact"/>
        <w:jc w:val="both"/>
        <w:rPr>
          <w:sz w:val="18"/>
          <w:szCs w:val="20"/>
        </w:rPr>
      </w:pPr>
    </w:p>
    <w:p w14:paraId="5F0E7DBB"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6.</w:t>
      </w:r>
      <w:r>
        <w:rPr>
          <w:rFonts w:cs="Guttman Aharoni"/>
          <w:color w:val="00B0F0"/>
          <w:sz w:val="32"/>
          <w:szCs w:val="32"/>
          <w:rtl/>
        </w:rPr>
        <w:tab/>
      </w:r>
      <w:r w:rsidRPr="007A6EAC">
        <w:rPr>
          <w:rFonts w:cs="Guttman Aharoni" w:hint="cs"/>
          <w:color w:val="00B0F0"/>
          <w:sz w:val="32"/>
          <w:szCs w:val="32"/>
          <w:rtl/>
        </w:rPr>
        <w:t>דיון ומסקנות</w:t>
      </w:r>
    </w:p>
    <w:p w14:paraId="49FA580F" w14:textId="77777777" w:rsidR="00CB1A04" w:rsidRPr="007F3859" w:rsidRDefault="00CB1A04" w:rsidP="00CB1A04">
      <w:pPr>
        <w:spacing w:after="180" w:line="280" w:lineRule="exact"/>
        <w:jc w:val="both"/>
        <w:rPr>
          <w:sz w:val="18"/>
          <w:szCs w:val="20"/>
          <w:rtl/>
        </w:rPr>
      </w:pPr>
      <w:r w:rsidRPr="007F3859">
        <w:rPr>
          <w:sz w:val="18"/>
          <w:szCs w:val="20"/>
          <w:rtl/>
        </w:rPr>
        <w:t>מאמר זה</w:t>
      </w:r>
      <w:r w:rsidRPr="007F3859">
        <w:rPr>
          <w:rFonts w:hint="cs"/>
          <w:sz w:val="18"/>
          <w:szCs w:val="20"/>
          <w:rtl/>
        </w:rPr>
        <w:t xml:space="preserve"> בוחן את שיעור ההצטרפות לתוכנית חיסכון לכל ילד בישראל ואת אופן ההשתתפות בה במהלך ששת החודשים הראשונים ליישומה. התגובה הראשונית לתוכנית מעודדת. יותר משני שלישים ממשקי הבית הצטרפו באופן פעיל לתוכנית, ומתוכם כמעט שני שלישים בחרו להעביר 50 שקלים נוספים מקצבת הילדים שלהם לתוכנית החיסכון הסגורה. השיעור הגבוה של ההצטרפות הפעילה לתוכנית הוא תוצאה, ככל הנראה, של מאמצי הממשלה בישראל ליצירת מודעות אליה, באמצעות פרסום בעיתונות המסורתית, ברדיו ובטלוויזיה, וכן באמצעות רשתות חברתיות, כרזות של המוסד לביטוח לאומי בבתי חולים ושיתוף פעולה עם רשויות דתיות; כל אלה כדי לעודד כמה שיותר ממשקי הבית לקבל החלטות פעילות בדבר האופן שבו יקצו את כספי החיסכון בתוכנית.</w:t>
      </w:r>
    </w:p>
    <w:p w14:paraId="24110B39" w14:textId="77777777" w:rsidR="00CB1A04" w:rsidRPr="007F3859" w:rsidRDefault="00CB1A04" w:rsidP="00CB1A04">
      <w:pPr>
        <w:spacing w:after="180" w:line="280" w:lineRule="exact"/>
        <w:jc w:val="both"/>
        <w:rPr>
          <w:sz w:val="18"/>
          <w:szCs w:val="20"/>
          <w:rtl/>
        </w:rPr>
      </w:pPr>
      <w:r w:rsidRPr="007F3859">
        <w:rPr>
          <w:rFonts w:hint="cs"/>
          <w:sz w:val="18"/>
          <w:szCs w:val="20"/>
          <w:rtl/>
        </w:rPr>
        <w:t>נמצא</w:t>
      </w:r>
      <w:r w:rsidRPr="007F3859">
        <w:rPr>
          <w:sz w:val="18"/>
          <w:szCs w:val="20"/>
          <w:rtl/>
        </w:rPr>
        <w:t xml:space="preserve"> </w:t>
      </w:r>
      <w:r w:rsidRPr="007F3859">
        <w:rPr>
          <w:rFonts w:hint="cs"/>
          <w:sz w:val="18"/>
          <w:szCs w:val="20"/>
          <w:rtl/>
        </w:rPr>
        <w:t xml:space="preserve">שיותר מהכנסה, גיל, תעסוקה ומגוון רחב של מאפיינים אחרים, </w:t>
      </w:r>
      <w:r w:rsidRPr="007F3859">
        <w:rPr>
          <w:sz w:val="18"/>
          <w:szCs w:val="20"/>
          <w:rtl/>
        </w:rPr>
        <w:t xml:space="preserve">השכלתם של ההורים </w:t>
      </w:r>
      <w:r w:rsidRPr="007F3859">
        <w:rPr>
          <w:rFonts w:hint="cs"/>
          <w:sz w:val="18"/>
          <w:szCs w:val="20"/>
          <w:rtl/>
        </w:rPr>
        <w:t>וההשתייכות לתת-קבוצות מיעוט הן</w:t>
      </w:r>
      <w:r w:rsidRPr="007F3859">
        <w:rPr>
          <w:sz w:val="18"/>
          <w:szCs w:val="20"/>
          <w:rtl/>
        </w:rPr>
        <w:t xml:space="preserve"> </w:t>
      </w:r>
      <w:r w:rsidRPr="007F3859">
        <w:rPr>
          <w:rFonts w:hint="cs"/>
          <w:sz w:val="18"/>
          <w:szCs w:val="20"/>
          <w:rtl/>
        </w:rPr>
        <w:t>המנבאים</w:t>
      </w:r>
      <w:r w:rsidRPr="007F3859">
        <w:rPr>
          <w:sz w:val="18"/>
          <w:szCs w:val="20"/>
          <w:rtl/>
        </w:rPr>
        <w:t xml:space="preserve"> </w:t>
      </w:r>
      <w:r w:rsidRPr="007F3859">
        <w:rPr>
          <w:rFonts w:hint="cs"/>
          <w:sz w:val="18"/>
          <w:szCs w:val="20"/>
          <w:rtl/>
        </w:rPr>
        <w:t xml:space="preserve">החזקים ביותר של האופן שבו ההורים בוחרים להשקיע עבור ילדיהם. את התרומה הייחודית של השכלת ההורים לבחירת אפיק ההשקעה ניתן להסביר באמצעות הבדלים אפשריים בידע ובמיומנויות הפיננסיות הנדרשות כדי לקבל החלטה הנוגעת להשקעה פיננסית כמו זו שאפשר לבצע במסגרת השתתפות פעילה בתוכנית. חינוך פיננסי או התערבויות אחרות המכוונות לסייע למשקי הבית להרגיש נוח יותר לקבל החלטות בנוגע להשקעות (לדוגמה, לבחור להשקיע באופן פעיל עבור ילדיהם, ולהעדיף קרנות השקעה על פני </w:t>
      </w:r>
      <w:r w:rsidRPr="007F3859">
        <w:rPr>
          <w:sz w:val="18"/>
          <w:szCs w:val="20"/>
          <w:rtl/>
        </w:rPr>
        <w:t>חשבונות בנק) עשויים לסייע למשקי הבית האלה להפיק את המרב מתוכנית חיסכון לכל ילד.</w:t>
      </w:r>
    </w:p>
    <w:p w14:paraId="3CE84008" w14:textId="77777777" w:rsidR="00CB1A04" w:rsidRPr="007F3859" w:rsidRDefault="00CB1A04" w:rsidP="00CB1A04">
      <w:pPr>
        <w:spacing w:after="180" w:line="280" w:lineRule="exact"/>
        <w:jc w:val="both"/>
        <w:rPr>
          <w:sz w:val="18"/>
          <w:szCs w:val="20"/>
          <w:rtl/>
        </w:rPr>
      </w:pPr>
      <w:r w:rsidRPr="007F3859">
        <w:rPr>
          <w:sz w:val="18"/>
          <w:szCs w:val="20"/>
          <w:rtl/>
        </w:rPr>
        <w:t>יתרה מזאת: הממצאים מראים כי משקי הבית הישראליים מבקשים, בדרך כלל, ל</w:t>
      </w:r>
      <w:r w:rsidRPr="007F3859">
        <w:rPr>
          <w:rFonts w:hint="cs"/>
          <w:sz w:val="18"/>
          <w:szCs w:val="20"/>
          <w:rtl/>
        </w:rPr>
        <w:t xml:space="preserve">קבל החלטות כלכליות יעילות בדבר </w:t>
      </w:r>
      <w:r w:rsidRPr="007F3859">
        <w:rPr>
          <w:sz w:val="18"/>
          <w:szCs w:val="20"/>
          <w:rtl/>
        </w:rPr>
        <w:t xml:space="preserve">ההצטרפות שלהם </w:t>
      </w:r>
      <w:r w:rsidRPr="007F3859">
        <w:rPr>
          <w:rFonts w:hint="cs"/>
          <w:sz w:val="18"/>
          <w:szCs w:val="20"/>
          <w:rtl/>
        </w:rPr>
        <w:t xml:space="preserve">לתוכנית, </w:t>
      </w:r>
      <w:r w:rsidRPr="007F3859">
        <w:rPr>
          <w:sz w:val="18"/>
          <w:szCs w:val="20"/>
          <w:rtl/>
        </w:rPr>
        <w:t xml:space="preserve">על סמך מצב משק הבית והמצב הפיננסי הנוכחיים שלהם. כלומר, בקרב משקי הבית שיכולים להפיק מהתוכנית את המרב – כאלה עם ילדים צעירים יותר או עם ילדים רבים יותר – נמצאו שיעורים גבוהים יותר של הצטרפות פעילה לתוכנית, ושל הפקדת כספים בחשבונות השקעה ולא בחשבונות בנק. אף על פי כן, משקי הבית שבהם מספר רב יותר של ילדים, צפויים לבחור פחות להפקיד 50 שקלים נוספים. הדבר מצביע כנראה על חוסר רצון או קושי רב יותר </w:t>
      </w:r>
      <w:r w:rsidRPr="007F3859">
        <w:rPr>
          <w:rFonts w:hint="cs"/>
          <w:sz w:val="18"/>
          <w:szCs w:val="20"/>
          <w:rtl/>
        </w:rPr>
        <w:t>שלהם</w:t>
      </w:r>
      <w:r w:rsidRPr="007F3859">
        <w:rPr>
          <w:sz w:val="18"/>
          <w:szCs w:val="20"/>
          <w:rtl/>
        </w:rPr>
        <w:t xml:space="preserve"> לוותר על חלק מהתמיכה בצריכה הניתנת לכל אחד מילדיהם באמצעות קצבת הילדים. ייתכן גם שמשקי בית שההכנסות שלהם נמוכות יותר נוטים להעדיף את הצריכה השוטפת (ומעבירים 50 שקלים מקצבת הילדים שלהם בשיעור נמוך יותר ממשקי בית שהכנסתם גבוהה יותר), ואת היציבות של נכסיהם (מפקידים לקרנות השקעה בשיעור נמוך יותר ממשקי בית שהכנסתם גבוהה יותר), אף שתרומתם של משתנים אלו הייתה קטנה יותר. החלטות אלה עשויות להוריד את הסכום</w:t>
      </w:r>
      <w:r w:rsidRPr="007F3859">
        <w:rPr>
          <w:rFonts w:hint="cs"/>
          <w:sz w:val="18"/>
          <w:szCs w:val="20"/>
          <w:rtl/>
        </w:rPr>
        <w:t xml:space="preserve"> שיצטבר בתוכנית עבור משקי בית אלה, אך הן עשויות גם להיות תגובה לאילוצי ההכנסה והנזילות של משקי בית בעלי הכנסה נמוכה יותר. ככל</w:t>
      </w:r>
      <w:r w:rsidRPr="007F3859">
        <w:rPr>
          <w:sz w:val="18"/>
          <w:szCs w:val="20"/>
          <w:rtl/>
        </w:rPr>
        <w:t xml:space="preserve"> הנראה, משקי הבית מעדיפים </w:t>
      </w:r>
      <w:r w:rsidRPr="007F3859">
        <w:rPr>
          <w:rFonts w:hint="cs"/>
          <w:sz w:val="18"/>
          <w:szCs w:val="20"/>
          <w:rtl/>
        </w:rPr>
        <w:t>תזרים</w:t>
      </w:r>
      <w:r w:rsidRPr="007F3859">
        <w:rPr>
          <w:sz w:val="18"/>
          <w:szCs w:val="20"/>
          <w:rtl/>
        </w:rPr>
        <w:t xml:space="preserve"> </w:t>
      </w:r>
      <w:r w:rsidRPr="007F3859">
        <w:rPr>
          <w:rFonts w:hint="cs"/>
          <w:sz w:val="18"/>
          <w:szCs w:val="20"/>
          <w:rtl/>
        </w:rPr>
        <w:t>מזומנים</w:t>
      </w:r>
      <w:r w:rsidRPr="007F3859">
        <w:rPr>
          <w:sz w:val="18"/>
          <w:szCs w:val="20"/>
          <w:rtl/>
        </w:rPr>
        <w:t xml:space="preserve"> </w:t>
      </w:r>
      <w:r w:rsidRPr="007F3859">
        <w:rPr>
          <w:rFonts w:hint="cs"/>
          <w:sz w:val="18"/>
          <w:szCs w:val="20"/>
          <w:rtl/>
        </w:rPr>
        <w:t>שוטף</w:t>
      </w:r>
      <w:r w:rsidRPr="007F3859">
        <w:rPr>
          <w:sz w:val="18"/>
          <w:szCs w:val="20"/>
          <w:rtl/>
        </w:rPr>
        <w:t xml:space="preserve"> </w:t>
      </w:r>
      <w:r w:rsidRPr="007F3859">
        <w:rPr>
          <w:rFonts w:hint="cs"/>
          <w:sz w:val="18"/>
          <w:szCs w:val="20"/>
          <w:rtl/>
        </w:rPr>
        <w:t>גבוה</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ורווחים</w:t>
      </w:r>
      <w:r w:rsidRPr="007F3859">
        <w:rPr>
          <w:sz w:val="18"/>
          <w:szCs w:val="20"/>
          <w:rtl/>
        </w:rPr>
        <w:t xml:space="preserve"> </w:t>
      </w:r>
      <w:r w:rsidRPr="007F3859">
        <w:rPr>
          <w:rFonts w:hint="cs"/>
          <w:sz w:val="18"/>
          <w:szCs w:val="20"/>
          <w:rtl/>
        </w:rPr>
        <w:t>עתידיים</w:t>
      </w:r>
      <w:r w:rsidRPr="007F3859">
        <w:rPr>
          <w:sz w:val="18"/>
          <w:szCs w:val="20"/>
          <w:rtl/>
        </w:rPr>
        <w:t xml:space="preserve"> </w:t>
      </w:r>
      <w:r w:rsidRPr="007F3859">
        <w:rPr>
          <w:rFonts w:hint="cs"/>
          <w:sz w:val="18"/>
          <w:szCs w:val="20"/>
          <w:rtl/>
        </w:rPr>
        <w:t>ידועים מראש,</w:t>
      </w:r>
      <w:r w:rsidRPr="007F3859">
        <w:rPr>
          <w:sz w:val="18"/>
          <w:szCs w:val="20"/>
          <w:rtl/>
        </w:rPr>
        <w:t xml:space="preserve"> </w:t>
      </w:r>
      <w:r w:rsidRPr="007F3859">
        <w:rPr>
          <w:rFonts w:hint="cs"/>
          <w:sz w:val="18"/>
          <w:szCs w:val="20"/>
          <w:rtl/>
        </w:rPr>
        <w:t>על פני</w:t>
      </w:r>
      <w:r w:rsidRPr="007F3859">
        <w:rPr>
          <w:sz w:val="18"/>
          <w:szCs w:val="20"/>
          <w:rtl/>
        </w:rPr>
        <w:t xml:space="preserve"> </w:t>
      </w:r>
      <w:r w:rsidRPr="007F3859">
        <w:rPr>
          <w:rFonts w:hint="cs"/>
          <w:sz w:val="18"/>
          <w:szCs w:val="20"/>
          <w:rtl/>
        </w:rPr>
        <w:t>רווחים</w:t>
      </w:r>
      <w:r w:rsidRPr="007F3859">
        <w:rPr>
          <w:sz w:val="18"/>
          <w:szCs w:val="20"/>
          <w:rtl/>
        </w:rPr>
        <w:t xml:space="preserve"> </w:t>
      </w:r>
      <w:r w:rsidRPr="007F3859">
        <w:rPr>
          <w:rFonts w:hint="cs"/>
          <w:sz w:val="18"/>
          <w:szCs w:val="20"/>
          <w:rtl/>
        </w:rPr>
        <w:t>עתידיים</w:t>
      </w:r>
      <w:r w:rsidRPr="007F3859">
        <w:rPr>
          <w:sz w:val="18"/>
          <w:szCs w:val="20"/>
          <w:rtl/>
        </w:rPr>
        <w:t xml:space="preserve"> </w:t>
      </w:r>
      <w:r w:rsidRPr="007F3859">
        <w:rPr>
          <w:rFonts w:hint="cs"/>
          <w:sz w:val="18"/>
          <w:szCs w:val="20"/>
          <w:rtl/>
        </w:rPr>
        <w:t>גדולים</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אך</w:t>
      </w:r>
      <w:r w:rsidRPr="007F3859">
        <w:rPr>
          <w:sz w:val="18"/>
          <w:szCs w:val="20"/>
          <w:rtl/>
        </w:rPr>
        <w:t xml:space="preserve"> </w:t>
      </w:r>
      <w:r w:rsidRPr="007F3859">
        <w:rPr>
          <w:rFonts w:hint="cs"/>
          <w:sz w:val="18"/>
          <w:szCs w:val="20"/>
          <w:rtl/>
        </w:rPr>
        <w:t>פגיעים</w:t>
      </w:r>
      <w:r w:rsidRPr="007F3859">
        <w:rPr>
          <w:sz w:val="18"/>
          <w:szCs w:val="20"/>
          <w:rtl/>
        </w:rPr>
        <w:t xml:space="preserve"> </w:t>
      </w:r>
      <w:r w:rsidRPr="007F3859">
        <w:rPr>
          <w:rFonts w:hint="cs"/>
          <w:sz w:val="18"/>
          <w:szCs w:val="20"/>
          <w:rtl/>
        </w:rPr>
        <w:t xml:space="preserve">יותר. הסבר נוסף קשור לייצוג של אוכלוסיות החרדים והערבים </w:t>
      </w:r>
      <w:r w:rsidRPr="007F3859">
        <w:rPr>
          <w:rFonts w:hint="cs"/>
          <w:sz w:val="18"/>
          <w:szCs w:val="20"/>
          <w:rtl/>
        </w:rPr>
        <w:lastRenderedPageBreak/>
        <w:t>בקרב משקי הבית בעלי הכנסות נמוכות (</w:t>
      </w:r>
      <w:proofErr w:type="spellStart"/>
      <w:r w:rsidRPr="007F3859">
        <w:rPr>
          <w:rFonts w:hint="cs"/>
          <w:sz w:val="18"/>
          <w:szCs w:val="20"/>
          <w:rtl/>
        </w:rPr>
        <w:t>שטייר</w:t>
      </w:r>
      <w:proofErr w:type="spellEnd"/>
      <w:r w:rsidRPr="007F3859">
        <w:rPr>
          <w:rFonts w:hint="cs"/>
          <w:sz w:val="18"/>
          <w:szCs w:val="20"/>
          <w:rtl/>
        </w:rPr>
        <w:t xml:space="preserve"> ולוין, 2013). מאחר שאוכלוסיות אלו מתאפיינות בערכים תרבותיים </w:t>
      </w:r>
      <w:proofErr w:type="spellStart"/>
      <w:r w:rsidRPr="007F3859">
        <w:rPr>
          <w:rFonts w:hint="cs"/>
          <w:sz w:val="18"/>
          <w:szCs w:val="20"/>
          <w:rtl/>
        </w:rPr>
        <w:t>קולקטיביסטיים</w:t>
      </w:r>
      <w:proofErr w:type="spellEnd"/>
      <w:r w:rsidRPr="007F3859">
        <w:rPr>
          <w:rFonts w:hint="cs"/>
          <w:sz w:val="18"/>
          <w:szCs w:val="20"/>
          <w:rtl/>
        </w:rPr>
        <w:t>, הן נוטות להסתמך על המשפחה והקהילה בנוגע לעתידן החומרי, ולכן יעדיפו שלא להעביר 50 שקלים נוספים על חשבון קצבת הילדים במטרה להגדיל את החיסכון העתידי שהתוכנית מעניקה.</w:t>
      </w:r>
    </w:p>
    <w:p w14:paraId="34ED40D5" w14:textId="77777777" w:rsidR="00CB1A04" w:rsidRPr="007F3859" w:rsidRDefault="00CB1A04" w:rsidP="00CB1A04">
      <w:pPr>
        <w:spacing w:after="180" w:line="280" w:lineRule="exact"/>
        <w:jc w:val="both"/>
        <w:rPr>
          <w:sz w:val="18"/>
          <w:szCs w:val="20"/>
          <w:rtl/>
        </w:rPr>
      </w:pPr>
      <w:r w:rsidRPr="007F3859">
        <w:rPr>
          <w:rFonts w:hint="cs"/>
          <w:sz w:val="18"/>
          <w:szCs w:val="20"/>
          <w:rtl/>
        </w:rPr>
        <w:t xml:space="preserve">סביר להניח שהתוכנית תעלה את רמת הנכסים הכללית עבור משקי הבית בישראל, אולם ההשלכות על הרווחה עקב בחירות ההפקדה הפרטניות האלה של משקי הבית בישראל הן בבחינת שאלה פתוחה שתדרוש מחקר נוסף. מקרב אלה שהצטרפו באופן פעיל לתוכנית, 39% בחרו להשקיע את הכספים בחשבון בנק. בתנאי שוק נורמליים, יגדלו ההפקדות האלה בשיעור נמוך יותר </w:t>
      </w:r>
      <w:proofErr w:type="spellStart"/>
      <w:r w:rsidRPr="007F3859">
        <w:rPr>
          <w:rFonts w:hint="cs"/>
          <w:sz w:val="18"/>
          <w:szCs w:val="20"/>
          <w:rtl/>
        </w:rPr>
        <w:t>משיגדלו</w:t>
      </w:r>
      <w:proofErr w:type="spellEnd"/>
      <w:r w:rsidRPr="007F3859">
        <w:rPr>
          <w:rFonts w:hint="cs"/>
          <w:sz w:val="18"/>
          <w:szCs w:val="20"/>
          <w:rtl/>
        </w:rPr>
        <w:t xml:space="preserve"> הפקדות בקרנות השקעה, אך הן גם יהיו פחות פגיעות. שיקולים דומים חלים על ההחלטה להעביר 50 שקלים נוספים לתוכנית מקצבת הילדים. החלטה כזאת תגדיל את הנכסים העתידיים של הילד, בהנחה שכל התנאים האחרים שווים, אך העברת כספים מקצבת הילדים הנזילה לתוכנית חיסכון עתידי משמעותה שהכסף שיכול היה לשמש את משקי הבית יפחת. על כן, הציפייה היא שמשקי בית שאינם יכולים לספוג את ההפסד הקל הזה בהכנסתם יבחרו מראש שלא להפקיד את הסכום הנוסף. </w:t>
      </w:r>
    </w:p>
    <w:p w14:paraId="0CDD01A0" w14:textId="343D1971" w:rsidR="00CB1A04" w:rsidRDefault="00CB1A04" w:rsidP="00CB1A04">
      <w:pPr>
        <w:spacing w:after="180" w:line="280" w:lineRule="exact"/>
        <w:jc w:val="both"/>
        <w:rPr>
          <w:b/>
          <w:bCs/>
          <w:sz w:val="18"/>
          <w:szCs w:val="20"/>
          <w:rtl/>
        </w:rPr>
      </w:pPr>
    </w:p>
    <w:p w14:paraId="2705D8DF" w14:textId="77777777" w:rsidR="00B1768F" w:rsidRPr="007F3859" w:rsidRDefault="00B1768F" w:rsidP="00CB1A04">
      <w:pPr>
        <w:spacing w:after="180" w:line="280" w:lineRule="exact"/>
        <w:jc w:val="both"/>
        <w:rPr>
          <w:b/>
          <w:bCs/>
          <w:sz w:val="18"/>
          <w:szCs w:val="20"/>
          <w:rtl/>
        </w:rPr>
      </w:pPr>
    </w:p>
    <w:p w14:paraId="6BCC2317" w14:textId="77777777" w:rsidR="00CB1A04" w:rsidRPr="007A6EAC" w:rsidRDefault="00CB1A04" w:rsidP="00CB1A04">
      <w:pPr>
        <w:pStyle w:val="KOT4"/>
        <w:spacing w:after="0"/>
        <w:ind w:left="397" w:right="0" w:hanging="397"/>
        <w:rPr>
          <w:rFonts w:cs="Guttman Aharoni"/>
          <w:color w:val="00B0F0"/>
          <w:sz w:val="32"/>
          <w:szCs w:val="32"/>
          <w:rtl/>
        </w:rPr>
      </w:pPr>
      <w:r>
        <w:rPr>
          <w:rFonts w:cs="Guttman Aharoni" w:hint="cs"/>
          <w:color w:val="00B0F0"/>
          <w:sz w:val="32"/>
          <w:szCs w:val="32"/>
          <w:rtl/>
        </w:rPr>
        <w:t>7.</w:t>
      </w:r>
      <w:r>
        <w:rPr>
          <w:rFonts w:cs="Guttman Aharoni"/>
          <w:color w:val="00B0F0"/>
          <w:sz w:val="32"/>
          <w:szCs w:val="32"/>
          <w:rtl/>
        </w:rPr>
        <w:tab/>
      </w:r>
      <w:r w:rsidRPr="007A6EAC">
        <w:rPr>
          <w:rFonts w:cs="Guttman Aharoni" w:hint="cs"/>
          <w:color w:val="00B0F0"/>
          <w:sz w:val="32"/>
          <w:szCs w:val="32"/>
          <w:rtl/>
        </w:rPr>
        <w:t>השלכות למדיניות</w:t>
      </w:r>
    </w:p>
    <w:p w14:paraId="116B0BF7" w14:textId="1F4166A0" w:rsidR="00CB1A04" w:rsidRPr="00502134" w:rsidRDefault="00CB1A04" w:rsidP="00CB1A04">
      <w:pPr>
        <w:spacing w:after="180" w:line="280" w:lineRule="exact"/>
        <w:jc w:val="both"/>
        <w:rPr>
          <w:rFonts w:ascii="Georgia" w:hAnsi="Georgia"/>
          <w:sz w:val="18"/>
          <w:szCs w:val="20"/>
        </w:rPr>
      </w:pPr>
      <w:r w:rsidRPr="007F3859">
        <w:rPr>
          <w:rFonts w:hint="cs"/>
          <w:sz w:val="18"/>
          <w:szCs w:val="20"/>
          <w:rtl/>
        </w:rPr>
        <w:t xml:space="preserve">הממצאים שהוצגו לעיל מוכיחים שבחירות משקי הבית בנוגע לאפיקי ההשקעה ולביצוע הפקדה של 50 שקלים מקצבת הילדים בחיסכון עשויות להעמיק, ברמה מסוימת, את </w:t>
      </w:r>
      <w:r w:rsidR="001A7534">
        <w:rPr>
          <w:sz w:val="18"/>
          <w:szCs w:val="20"/>
          <w:rtl/>
        </w:rPr>
        <w:br/>
      </w:r>
      <w:r w:rsidRPr="007F3859">
        <w:rPr>
          <w:rFonts w:hint="cs"/>
          <w:sz w:val="18"/>
          <w:szCs w:val="20"/>
          <w:rtl/>
        </w:rPr>
        <w:t xml:space="preserve">אי-השוויון הקיים בין קבוצות בחברה הישראלית, מפני שקבוצות פגיעות יותר מבחינה כלכלית, בעלות הכנסה נמוכה והשכלה פחותה, נוטות להפקיד את הכספים לתוכנית באופן שיאפשר להן לצבור פחות נכסים ממקבילותיהן, הנהנות ממצב כלכלי אמיד ובטוח יותר. </w:t>
      </w:r>
      <w:r w:rsidRPr="00502134">
        <w:rPr>
          <w:rFonts w:ascii="Georgia" w:hAnsi="Georgia"/>
          <w:sz w:val="18"/>
          <w:szCs w:val="20"/>
          <w:rtl/>
        </w:rPr>
        <w:t>דפוס זה משקף מגמות הצטרפות דומות שנצפו בתוכניות מסוג זה (</w:t>
      </w:r>
      <w:r w:rsidRPr="00502134">
        <w:rPr>
          <w:rFonts w:ascii="Georgia" w:hAnsi="Georgia"/>
          <w:sz w:val="18"/>
          <w:szCs w:val="20"/>
        </w:rPr>
        <w:t>CDAs</w:t>
      </w:r>
      <w:r w:rsidRPr="00502134">
        <w:rPr>
          <w:rFonts w:ascii="Georgia" w:hAnsi="Georgia"/>
          <w:sz w:val="18"/>
          <w:szCs w:val="20"/>
          <w:rtl/>
        </w:rPr>
        <w:t>) ברחבי העולם (</w:t>
      </w:r>
      <w:r w:rsidRPr="00502134">
        <w:rPr>
          <w:rFonts w:ascii="Georgia" w:hAnsi="Georgia"/>
          <w:sz w:val="18"/>
          <w:szCs w:val="20"/>
        </w:rPr>
        <w:t xml:space="preserve">Han &amp; Chia, 2012; Imbeau, 2015; </w:t>
      </w:r>
      <w:proofErr w:type="spellStart"/>
      <w:r w:rsidRPr="00502134">
        <w:rPr>
          <w:rFonts w:ascii="Georgia" w:hAnsi="Georgia"/>
          <w:sz w:val="18"/>
          <w:szCs w:val="20"/>
        </w:rPr>
        <w:t>Kempson</w:t>
      </w:r>
      <w:proofErr w:type="spellEnd"/>
      <w:r w:rsidRPr="00502134">
        <w:rPr>
          <w:rFonts w:ascii="Georgia" w:hAnsi="Georgia"/>
          <w:sz w:val="18"/>
          <w:szCs w:val="20"/>
        </w:rPr>
        <w:t xml:space="preserve"> et al., 2011</w:t>
      </w:r>
      <w:r w:rsidRPr="00502134">
        <w:rPr>
          <w:rFonts w:ascii="Georgia" w:hAnsi="Georgia"/>
          <w:sz w:val="18"/>
          <w:szCs w:val="20"/>
          <w:rtl/>
        </w:rPr>
        <w:t xml:space="preserve">). </w:t>
      </w:r>
    </w:p>
    <w:p w14:paraId="52B6B7B4" w14:textId="77777777" w:rsidR="00CB1A04" w:rsidRPr="00502134" w:rsidRDefault="00CB1A04" w:rsidP="00CB1A04">
      <w:pPr>
        <w:spacing w:after="180" w:line="280" w:lineRule="exact"/>
        <w:jc w:val="both"/>
        <w:rPr>
          <w:rFonts w:ascii="Georgia" w:hAnsi="Georgia"/>
          <w:sz w:val="18"/>
          <w:szCs w:val="20"/>
          <w:rtl/>
        </w:rPr>
      </w:pPr>
      <w:r w:rsidRPr="007F3859">
        <w:rPr>
          <w:rFonts w:hint="cs"/>
          <w:sz w:val="18"/>
          <w:szCs w:val="20"/>
          <w:rtl/>
        </w:rPr>
        <w:t>לממצא זה כמה השלכות. ראשית, תוכנית חיסכון לכל ילד יכולה להתייחס</w:t>
      </w:r>
      <w:r w:rsidRPr="007F3859">
        <w:rPr>
          <w:sz w:val="18"/>
          <w:szCs w:val="20"/>
          <w:rtl/>
        </w:rPr>
        <w:t xml:space="preserve"> באופן </w:t>
      </w:r>
      <w:r w:rsidRPr="007F3859">
        <w:rPr>
          <w:rFonts w:hint="cs"/>
          <w:sz w:val="18"/>
          <w:szCs w:val="20"/>
          <w:rtl/>
        </w:rPr>
        <w:t>פ</w:t>
      </w:r>
      <w:r w:rsidRPr="007F3859">
        <w:rPr>
          <w:sz w:val="18"/>
          <w:szCs w:val="20"/>
          <w:rtl/>
        </w:rPr>
        <w:t>עיל</w:t>
      </w:r>
      <w:r w:rsidRPr="007F3859">
        <w:rPr>
          <w:rFonts w:hint="cs"/>
          <w:sz w:val="18"/>
          <w:szCs w:val="20"/>
          <w:rtl/>
        </w:rPr>
        <w:t xml:space="preserve"> יותר לפערים כלכליים אם היא תהיה פרוגרסיבית במהותה.</w:t>
      </w:r>
      <w:r w:rsidRPr="00FE5B5E">
        <w:rPr>
          <w:sz w:val="18"/>
          <w:szCs w:val="20"/>
          <w:vertAlign w:val="superscript"/>
          <w:rtl/>
        </w:rPr>
        <w:footnoteReference w:id="16"/>
      </w:r>
      <w:r w:rsidRPr="007F3859">
        <w:rPr>
          <w:rFonts w:hint="cs"/>
          <w:sz w:val="18"/>
          <w:szCs w:val="20"/>
          <w:rtl/>
        </w:rPr>
        <w:t xml:space="preserve"> לדוגמה, הענקת הפקדות</w:t>
      </w:r>
      <w:r w:rsidRPr="007F3859">
        <w:rPr>
          <w:sz w:val="18"/>
          <w:szCs w:val="20"/>
          <w:rtl/>
        </w:rPr>
        <w:t xml:space="preserve"> </w:t>
      </w:r>
      <w:r w:rsidRPr="007F3859">
        <w:rPr>
          <w:rFonts w:hint="cs"/>
          <w:sz w:val="18"/>
          <w:szCs w:val="20"/>
          <w:rtl/>
        </w:rPr>
        <w:t>משלימות למשפחות</w:t>
      </w:r>
      <w:r w:rsidRPr="007F3859">
        <w:rPr>
          <w:sz w:val="18"/>
          <w:szCs w:val="20"/>
          <w:rtl/>
        </w:rPr>
        <w:t xml:space="preserve"> </w:t>
      </w:r>
      <w:r w:rsidRPr="007F3859">
        <w:rPr>
          <w:rFonts w:hint="cs"/>
          <w:sz w:val="18"/>
          <w:szCs w:val="20"/>
          <w:rtl/>
        </w:rPr>
        <w:t>בעלות</w:t>
      </w:r>
      <w:r w:rsidRPr="007F3859">
        <w:rPr>
          <w:sz w:val="18"/>
          <w:szCs w:val="20"/>
          <w:rtl/>
        </w:rPr>
        <w:t xml:space="preserve"> </w:t>
      </w:r>
      <w:r w:rsidRPr="007F3859">
        <w:rPr>
          <w:rFonts w:hint="cs"/>
          <w:sz w:val="18"/>
          <w:szCs w:val="20"/>
          <w:rtl/>
        </w:rPr>
        <w:t>הכנסה</w:t>
      </w:r>
      <w:r w:rsidRPr="007F3859">
        <w:rPr>
          <w:sz w:val="18"/>
          <w:szCs w:val="20"/>
          <w:rtl/>
        </w:rPr>
        <w:t xml:space="preserve"> </w:t>
      </w:r>
      <w:r w:rsidRPr="007F3859">
        <w:rPr>
          <w:rFonts w:hint="cs"/>
          <w:sz w:val="18"/>
          <w:szCs w:val="20"/>
          <w:rtl/>
        </w:rPr>
        <w:t>נמוכה</w:t>
      </w:r>
      <w:r w:rsidRPr="007F3859">
        <w:rPr>
          <w:sz w:val="18"/>
          <w:szCs w:val="20"/>
          <w:rtl/>
        </w:rPr>
        <w:t xml:space="preserve"> </w:t>
      </w:r>
      <w:r w:rsidRPr="007F3859">
        <w:rPr>
          <w:rFonts w:hint="cs"/>
          <w:sz w:val="18"/>
          <w:szCs w:val="20"/>
          <w:rtl/>
        </w:rPr>
        <w:t>המחליטות</w:t>
      </w:r>
      <w:r w:rsidRPr="007F3859">
        <w:rPr>
          <w:sz w:val="18"/>
          <w:szCs w:val="20"/>
          <w:rtl/>
        </w:rPr>
        <w:t xml:space="preserve"> </w:t>
      </w:r>
      <w:r w:rsidRPr="007F3859">
        <w:rPr>
          <w:rFonts w:hint="cs"/>
          <w:sz w:val="18"/>
          <w:szCs w:val="20"/>
          <w:rtl/>
        </w:rPr>
        <w:t>לחסוך</w:t>
      </w:r>
      <w:r w:rsidRPr="007F3859">
        <w:rPr>
          <w:sz w:val="18"/>
          <w:szCs w:val="20"/>
          <w:rtl/>
        </w:rPr>
        <w:t xml:space="preserve"> </w:t>
      </w:r>
      <w:r w:rsidRPr="007F3859">
        <w:rPr>
          <w:rFonts w:hint="cs"/>
          <w:sz w:val="18"/>
          <w:szCs w:val="20"/>
          <w:rtl/>
        </w:rPr>
        <w:t>כספים</w:t>
      </w:r>
      <w:r w:rsidRPr="007F3859">
        <w:rPr>
          <w:sz w:val="18"/>
          <w:szCs w:val="20"/>
          <w:rtl/>
        </w:rPr>
        <w:t xml:space="preserve"> </w:t>
      </w:r>
      <w:r w:rsidRPr="007F3859">
        <w:rPr>
          <w:rFonts w:hint="cs"/>
          <w:sz w:val="18"/>
          <w:szCs w:val="20"/>
          <w:rtl/>
        </w:rPr>
        <w:t>נוספים</w:t>
      </w:r>
      <w:r w:rsidRPr="007F3859">
        <w:rPr>
          <w:sz w:val="18"/>
          <w:szCs w:val="20"/>
          <w:rtl/>
        </w:rPr>
        <w:t xml:space="preserve"> </w:t>
      </w:r>
      <w:r w:rsidRPr="007F3859">
        <w:rPr>
          <w:rFonts w:hint="cs"/>
          <w:sz w:val="18"/>
          <w:szCs w:val="20"/>
          <w:rtl/>
        </w:rPr>
        <w:t>בתוכנית</w:t>
      </w:r>
      <w:r w:rsidRPr="007F3859">
        <w:rPr>
          <w:sz w:val="18"/>
          <w:szCs w:val="20"/>
          <w:rtl/>
        </w:rPr>
        <w:t xml:space="preserve"> </w:t>
      </w:r>
      <w:r w:rsidRPr="007F3859">
        <w:rPr>
          <w:rFonts w:hint="cs"/>
          <w:sz w:val="18"/>
          <w:szCs w:val="20"/>
          <w:rtl/>
        </w:rPr>
        <w:t>תעזור</w:t>
      </w:r>
      <w:r w:rsidRPr="007F3859">
        <w:rPr>
          <w:sz w:val="18"/>
          <w:szCs w:val="20"/>
          <w:rtl/>
        </w:rPr>
        <w:t xml:space="preserve"> </w:t>
      </w:r>
      <w:r w:rsidRPr="007F3859">
        <w:rPr>
          <w:rFonts w:hint="cs"/>
          <w:sz w:val="18"/>
          <w:szCs w:val="20"/>
          <w:rtl/>
        </w:rPr>
        <w:t>למשקי בית</w:t>
      </w:r>
      <w:r w:rsidRPr="007F3859">
        <w:rPr>
          <w:sz w:val="18"/>
          <w:szCs w:val="20"/>
          <w:rtl/>
        </w:rPr>
        <w:t xml:space="preserve"> </w:t>
      </w:r>
      <w:r w:rsidRPr="007F3859">
        <w:rPr>
          <w:rFonts w:hint="cs"/>
          <w:sz w:val="18"/>
          <w:szCs w:val="20"/>
          <w:rtl/>
        </w:rPr>
        <w:t>בעלי</w:t>
      </w:r>
      <w:r w:rsidRPr="007F3859">
        <w:rPr>
          <w:sz w:val="18"/>
          <w:szCs w:val="20"/>
          <w:rtl/>
        </w:rPr>
        <w:t xml:space="preserve"> </w:t>
      </w:r>
      <w:r w:rsidRPr="007F3859">
        <w:rPr>
          <w:rFonts w:hint="cs"/>
          <w:sz w:val="18"/>
          <w:szCs w:val="20"/>
          <w:rtl/>
        </w:rPr>
        <w:t>הכנסה</w:t>
      </w:r>
      <w:r w:rsidRPr="007F3859">
        <w:rPr>
          <w:sz w:val="18"/>
          <w:szCs w:val="20"/>
          <w:rtl/>
        </w:rPr>
        <w:t xml:space="preserve"> </w:t>
      </w:r>
      <w:r w:rsidRPr="007F3859">
        <w:rPr>
          <w:rFonts w:hint="cs"/>
          <w:sz w:val="18"/>
          <w:szCs w:val="20"/>
          <w:rtl/>
        </w:rPr>
        <w:t>נמוכה</w:t>
      </w:r>
      <w:r w:rsidRPr="007F3859">
        <w:rPr>
          <w:sz w:val="18"/>
          <w:szCs w:val="20"/>
          <w:rtl/>
        </w:rPr>
        <w:t xml:space="preserve"> </w:t>
      </w:r>
      <w:r w:rsidRPr="007F3859">
        <w:rPr>
          <w:rFonts w:hint="cs"/>
          <w:sz w:val="18"/>
          <w:szCs w:val="20"/>
          <w:rtl/>
        </w:rPr>
        <w:t>לבנות</w:t>
      </w:r>
      <w:r w:rsidRPr="007F3859">
        <w:rPr>
          <w:sz w:val="18"/>
          <w:szCs w:val="20"/>
          <w:rtl/>
        </w:rPr>
        <w:t xml:space="preserve"> </w:t>
      </w:r>
      <w:r w:rsidRPr="007F3859">
        <w:rPr>
          <w:rFonts w:hint="cs"/>
          <w:sz w:val="18"/>
          <w:szCs w:val="20"/>
          <w:rtl/>
        </w:rPr>
        <w:t>נכסים</w:t>
      </w:r>
      <w:r w:rsidRPr="007F3859">
        <w:rPr>
          <w:sz w:val="18"/>
          <w:szCs w:val="20"/>
          <w:rtl/>
        </w:rPr>
        <w:t xml:space="preserve"> </w:t>
      </w:r>
      <w:r w:rsidRPr="007F3859">
        <w:rPr>
          <w:rFonts w:hint="cs"/>
          <w:sz w:val="18"/>
          <w:szCs w:val="20"/>
          <w:rtl/>
        </w:rPr>
        <w:t>בשיעורים</w:t>
      </w:r>
      <w:r w:rsidRPr="007F3859">
        <w:rPr>
          <w:sz w:val="18"/>
          <w:szCs w:val="20"/>
          <w:rtl/>
        </w:rPr>
        <w:t xml:space="preserve"> </w:t>
      </w:r>
      <w:r w:rsidRPr="007F3859">
        <w:rPr>
          <w:rFonts w:hint="cs"/>
          <w:sz w:val="18"/>
          <w:szCs w:val="20"/>
          <w:rtl/>
        </w:rPr>
        <w:t>דומים</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למשקי</w:t>
      </w:r>
      <w:r w:rsidRPr="007F3859">
        <w:rPr>
          <w:sz w:val="18"/>
          <w:szCs w:val="20"/>
          <w:rtl/>
        </w:rPr>
        <w:t xml:space="preserve"> </w:t>
      </w:r>
      <w:r w:rsidRPr="007F3859">
        <w:rPr>
          <w:rFonts w:hint="cs"/>
          <w:sz w:val="18"/>
          <w:szCs w:val="20"/>
          <w:rtl/>
        </w:rPr>
        <w:t>בית</w:t>
      </w:r>
      <w:r w:rsidRPr="007F3859">
        <w:rPr>
          <w:sz w:val="18"/>
          <w:szCs w:val="20"/>
          <w:rtl/>
        </w:rPr>
        <w:t xml:space="preserve"> </w:t>
      </w:r>
      <w:r w:rsidRPr="007F3859">
        <w:rPr>
          <w:rFonts w:hint="cs"/>
          <w:sz w:val="18"/>
          <w:szCs w:val="20"/>
          <w:rtl/>
        </w:rPr>
        <w:t>בעלי</w:t>
      </w:r>
      <w:r w:rsidRPr="007F3859">
        <w:rPr>
          <w:sz w:val="18"/>
          <w:szCs w:val="20"/>
          <w:rtl/>
        </w:rPr>
        <w:t xml:space="preserve"> </w:t>
      </w:r>
      <w:r w:rsidRPr="007F3859">
        <w:rPr>
          <w:rFonts w:hint="cs"/>
          <w:sz w:val="18"/>
          <w:szCs w:val="20"/>
          <w:rtl/>
        </w:rPr>
        <w:t>הכנסה</w:t>
      </w:r>
      <w:r w:rsidRPr="007F3859">
        <w:rPr>
          <w:sz w:val="18"/>
          <w:szCs w:val="20"/>
          <w:rtl/>
        </w:rPr>
        <w:t xml:space="preserve"> </w:t>
      </w:r>
      <w:r w:rsidRPr="007F3859">
        <w:rPr>
          <w:rFonts w:hint="cs"/>
          <w:sz w:val="18"/>
          <w:szCs w:val="20"/>
          <w:rtl/>
        </w:rPr>
        <w:t>גבוהה,</w:t>
      </w:r>
      <w:r w:rsidRPr="007F3859">
        <w:rPr>
          <w:sz w:val="18"/>
          <w:szCs w:val="20"/>
          <w:rtl/>
        </w:rPr>
        <w:t xml:space="preserve"> </w:t>
      </w:r>
      <w:r w:rsidRPr="007F3859">
        <w:rPr>
          <w:rFonts w:hint="cs"/>
          <w:sz w:val="18"/>
          <w:szCs w:val="20"/>
          <w:rtl/>
        </w:rPr>
        <w:t>בלי</w:t>
      </w:r>
      <w:r w:rsidRPr="007F3859">
        <w:rPr>
          <w:sz w:val="18"/>
          <w:szCs w:val="20"/>
          <w:rtl/>
        </w:rPr>
        <w:t xml:space="preserve"> </w:t>
      </w:r>
      <w:r w:rsidRPr="007F3859">
        <w:rPr>
          <w:rFonts w:hint="cs"/>
          <w:sz w:val="18"/>
          <w:szCs w:val="20"/>
          <w:rtl/>
        </w:rPr>
        <w:t>להקריב</w:t>
      </w:r>
      <w:r w:rsidRPr="007F3859">
        <w:rPr>
          <w:sz w:val="18"/>
          <w:szCs w:val="20"/>
          <w:rtl/>
        </w:rPr>
        <w:t xml:space="preserve"> </w:t>
      </w:r>
      <w:r w:rsidRPr="007F3859">
        <w:rPr>
          <w:rFonts w:hint="cs"/>
          <w:sz w:val="18"/>
          <w:szCs w:val="20"/>
          <w:rtl/>
        </w:rPr>
        <w:t>חלק</w:t>
      </w:r>
      <w:r w:rsidRPr="007F3859">
        <w:rPr>
          <w:sz w:val="18"/>
          <w:szCs w:val="20"/>
          <w:rtl/>
        </w:rPr>
        <w:t xml:space="preserve"> </w:t>
      </w:r>
      <w:r w:rsidRPr="007F3859">
        <w:rPr>
          <w:rFonts w:hint="cs"/>
          <w:sz w:val="18"/>
          <w:szCs w:val="20"/>
          <w:rtl/>
        </w:rPr>
        <w:t>מקצבת</w:t>
      </w:r>
      <w:r w:rsidRPr="007F3859">
        <w:rPr>
          <w:sz w:val="18"/>
          <w:szCs w:val="20"/>
          <w:rtl/>
        </w:rPr>
        <w:t xml:space="preserve"> </w:t>
      </w:r>
      <w:r w:rsidRPr="007F3859">
        <w:rPr>
          <w:rFonts w:hint="cs"/>
          <w:sz w:val="18"/>
          <w:szCs w:val="20"/>
          <w:rtl/>
        </w:rPr>
        <w:t>הילדים</w:t>
      </w:r>
      <w:r w:rsidRPr="007F3859">
        <w:rPr>
          <w:sz w:val="18"/>
          <w:szCs w:val="20"/>
          <w:rtl/>
        </w:rPr>
        <w:t xml:space="preserve"> </w:t>
      </w:r>
      <w:r w:rsidRPr="007F3859">
        <w:rPr>
          <w:rFonts w:hint="cs"/>
          <w:sz w:val="18"/>
          <w:szCs w:val="20"/>
          <w:rtl/>
        </w:rPr>
        <w:t xml:space="preserve">שלהם </w:t>
      </w:r>
      <w:bookmarkStart w:id="1" w:name="_Hlk88550186"/>
      <w:r w:rsidRPr="007F3859">
        <w:rPr>
          <w:rFonts w:eastAsia="David"/>
          <w:sz w:val="18"/>
          <w:szCs w:val="20"/>
          <w:rtl/>
        </w:rPr>
        <w:t>–</w:t>
      </w:r>
      <w:bookmarkEnd w:id="1"/>
      <w:r w:rsidRPr="007F3859">
        <w:rPr>
          <w:sz w:val="18"/>
          <w:szCs w:val="20"/>
          <w:rtl/>
        </w:rPr>
        <w:t xml:space="preserve"> </w:t>
      </w:r>
      <w:r w:rsidRPr="007F3859">
        <w:rPr>
          <w:rFonts w:hint="cs"/>
          <w:sz w:val="18"/>
          <w:szCs w:val="20"/>
          <w:rtl/>
        </w:rPr>
        <w:t>כמו</w:t>
      </w:r>
      <w:r w:rsidRPr="007F3859">
        <w:rPr>
          <w:sz w:val="18"/>
          <w:szCs w:val="20"/>
          <w:rtl/>
        </w:rPr>
        <w:t xml:space="preserve"> </w:t>
      </w:r>
      <w:r w:rsidRPr="007F3859">
        <w:rPr>
          <w:rFonts w:hint="cs"/>
          <w:sz w:val="18"/>
          <w:szCs w:val="20"/>
          <w:rtl/>
        </w:rPr>
        <w:t>במקרה</w:t>
      </w:r>
      <w:r w:rsidRPr="007F3859">
        <w:rPr>
          <w:sz w:val="18"/>
          <w:szCs w:val="20"/>
          <w:rtl/>
        </w:rPr>
        <w:t xml:space="preserve"> </w:t>
      </w:r>
      <w:r w:rsidRPr="007F3859">
        <w:rPr>
          <w:rFonts w:hint="cs"/>
          <w:sz w:val="18"/>
          <w:szCs w:val="20"/>
          <w:rtl/>
        </w:rPr>
        <w:t>של</w:t>
      </w:r>
      <w:r w:rsidRPr="007F3859">
        <w:rPr>
          <w:sz w:val="18"/>
          <w:szCs w:val="20"/>
          <w:rtl/>
        </w:rPr>
        <w:t xml:space="preserve"> </w:t>
      </w:r>
      <w:r w:rsidRPr="007F3859">
        <w:rPr>
          <w:rFonts w:hint="cs"/>
          <w:sz w:val="18"/>
          <w:szCs w:val="20"/>
          <w:rtl/>
        </w:rPr>
        <w:t>הפקדות</w:t>
      </w:r>
      <w:r w:rsidRPr="007F3859">
        <w:rPr>
          <w:sz w:val="18"/>
          <w:szCs w:val="20"/>
          <w:rtl/>
        </w:rPr>
        <w:t xml:space="preserve"> </w:t>
      </w:r>
      <w:r w:rsidRPr="007F3859">
        <w:rPr>
          <w:rFonts w:hint="cs"/>
          <w:sz w:val="18"/>
          <w:szCs w:val="20"/>
          <w:rtl/>
        </w:rPr>
        <w:t>ראשוניות</w:t>
      </w:r>
      <w:r w:rsidRPr="007F3859">
        <w:rPr>
          <w:sz w:val="18"/>
          <w:szCs w:val="20"/>
          <w:rtl/>
        </w:rPr>
        <w:t xml:space="preserve"> </w:t>
      </w:r>
      <w:r w:rsidRPr="007F3859">
        <w:rPr>
          <w:rFonts w:hint="cs"/>
          <w:sz w:val="18"/>
          <w:szCs w:val="20"/>
          <w:rtl/>
        </w:rPr>
        <w:t>גדולות</w:t>
      </w:r>
      <w:r w:rsidRPr="007F3859">
        <w:rPr>
          <w:sz w:val="18"/>
          <w:szCs w:val="20"/>
          <w:rtl/>
        </w:rPr>
        <w:t xml:space="preserve"> </w:t>
      </w:r>
      <w:r w:rsidRPr="007F3859">
        <w:rPr>
          <w:rFonts w:hint="cs"/>
          <w:sz w:val="18"/>
          <w:szCs w:val="20"/>
          <w:rtl/>
        </w:rPr>
        <w:t>יותר</w:t>
      </w:r>
      <w:r w:rsidRPr="007F3859">
        <w:rPr>
          <w:sz w:val="18"/>
          <w:szCs w:val="20"/>
          <w:rtl/>
        </w:rPr>
        <w:t xml:space="preserve"> </w:t>
      </w:r>
      <w:r w:rsidRPr="007F3859">
        <w:rPr>
          <w:rFonts w:hint="cs"/>
          <w:sz w:val="18"/>
          <w:szCs w:val="20"/>
          <w:rtl/>
        </w:rPr>
        <w:t>או</w:t>
      </w:r>
      <w:r w:rsidRPr="007F3859">
        <w:rPr>
          <w:sz w:val="18"/>
          <w:szCs w:val="20"/>
          <w:rtl/>
        </w:rPr>
        <w:t xml:space="preserve"> </w:t>
      </w:r>
      <w:r w:rsidRPr="007F3859">
        <w:rPr>
          <w:rFonts w:hint="cs"/>
          <w:sz w:val="18"/>
          <w:szCs w:val="20"/>
          <w:rtl/>
        </w:rPr>
        <w:t>הפקדות</w:t>
      </w:r>
      <w:r w:rsidRPr="007F3859">
        <w:rPr>
          <w:sz w:val="18"/>
          <w:szCs w:val="20"/>
          <w:rtl/>
        </w:rPr>
        <w:t xml:space="preserve"> </w:t>
      </w:r>
      <w:r w:rsidRPr="007F3859">
        <w:rPr>
          <w:rFonts w:hint="cs"/>
          <w:sz w:val="18"/>
          <w:szCs w:val="20"/>
          <w:rtl/>
        </w:rPr>
        <w:t>חוזרות</w:t>
      </w:r>
      <w:r w:rsidRPr="007F3859">
        <w:rPr>
          <w:sz w:val="18"/>
          <w:szCs w:val="20"/>
          <w:rtl/>
        </w:rPr>
        <w:t xml:space="preserve">. </w:t>
      </w:r>
      <w:r w:rsidRPr="007F3859">
        <w:rPr>
          <w:rFonts w:hint="cs"/>
          <w:sz w:val="18"/>
          <w:szCs w:val="20"/>
          <w:rtl/>
        </w:rPr>
        <w:t>שנית</w:t>
      </w:r>
      <w:r w:rsidRPr="007F3859">
        <w:rPr>
          <w:sz w:val="18"/>
          <w:szCs w:val="20"/>
          <w:rtl/>
        </w:rPr>
        <w:t xml:space="preserve">, </w:t>
      </w:r>
      <w:r w:rsidRPr="007F3859">
        <w:rPr>
          <w:rFonts w:hint="cs"/>
          <w:sz w:val="18"/>
          <w:szCs w:val="20"/>
          <w:rtl/>
        </w:rPr>
        <w:t xml:space="preserve">דרושים מאמצים נוספים המכוונים לעודד בקרב אוכלוסיות אלה </w:t>
      </w:r>
      <w:r w:rsidRPr="007F3859">
        <w:rPr>
          <w:sz w:val="18"/>
          <w:szCs w:val="20"/>
          <w:rtl/>
        </w:rPr>
        <w:lastRenderedPageBreak/>
        <w:t>דפוסי חיסכון והשקעה שיכולים להוביל לצמיחת נכסים מוגברת</w:t>
      </w:r>
      <w:r w:rsidRPr="007F3859">
        <w:rPr>
          <w:rFonts w:hint="cs"/>
          <w:sz w:val="18"/>
          <w:szCs w:val="20"/>
          <w:rtl/>
        </w:rPr>
        <w:t>. במחקר קודם נמצא כי פרסום</w:t>
      </w:r>
      <w:r w:rsidRPr="007F3859">
        <w:rPr>
          <w:sz w:val="18"/>
          <w:szCs w:val="20"/>
          <w:rtl/>
        </w:rPr>
        <w:t xml:space="preserve"> </w:t>
      </w:r>
      <w:r w:rsidRPr="007F3859">
        <w:rPr>
          <w:rFonts w:hint="cs"/>
          <w:sz w:val="18"/>
          <w:szCs w:val="20"/>
          <w:rtl/>
        </w:rPr>
        <w:t>ההשקעות</w:t>
      </w:r>
      <w:r w:rsidRPr="007F3859">
        <w:rPr>
          <w:sz w:val="18"/>
          <w:szCs w:val="20"/>
          <w:rtl/>
        </w:rPr>
        <w:t xml:space="preserve"> </w:t>
      </w:r>
      <w:r w:rsidRPr="007F3859">
        <w:rPr>
          <w:rFonts w:hint="cs"/>
          <w:sz w:val="18"/>
          <w:szCs w:val="20"/>
          <w:rtl/>
        </w:rPr>
        <w:t xml:space="preserve">ההלכתיות בקהילות החרדיות הוביל להשתתפות הפעילה של קהילות אלה </w:t>
      </w:r>
      <w:r w:rsidRPr="00502134">
        <w:rPr>
          <w:rFonts w:ascii="Georgia" w:hAnsi="Georgia"/>
          <w:sz w:val="18"/>
          <w:szCs w:val="20"/>
          <w:rtl/>
        </w:rPr>
        <w:t>בתוכנית, ועל כן יש טעם במאמצי פרסום המוכוונים לאוכלוסיות ייעודיות (</w:t>
      </w:r>
      <w:r w:rsidRPr="00502134">
        <w:rPr>
          <w:rFonts w:ascii="Georgia" w:hAnsi="Georgia"/>
          <w:sz w:val="18"/>
          <w:szCs w:val="20"/>
        </w:rPr>
        <w:t>Grinstein-Weiss et al., 2019</w:t>
      </w:r>
      <w:r w:rsidRPr="00502134">
        <w:rPr>
          <w:rFonts w:ascii="Georgia" w:hAnsi="Georgia"/>
          <w:sz w:val="18"/>
          <w:szCs w:val="20"/>
          <w:rtl/>
        </w:rPr>
        <w:t xml:space="preserve">). </w:t>
      </w:r>
    </w:p>
    <w:p w14:paraId="46B25E57" w14:textId="77777777" w:rsidR="00CB1A04" w:rsidRPr="00502134" w:rsidRDefault="00CB1A04" w:rsidP="00CB1A04">
      <w:pPr>
        <w:spacing w:after="180" w:line="280" w:lineRule="exact"/>
        <w:jc w:val="both"/>
        <w:rPr>
          <w:rFonts w:ascii="Georgia" w:hAnsi="Georgia"/>
          <w:sz w:val="18"/>
          <w:szCs w:val="20"/>
          <w:rtl/>
        </w:rPr>
      </w:pPr>
      <w:r w:rsidRPr="00502134">
        <w:rPr>
          <w:rFonts w:ascii="Georgia" w:hAnsi="Georgia"/>
          <w:sz w:val="18"/>
          <w:szCs w:val="20"/>
          <w:rtl/>
        </w:rPr>
        <w:t>על קובעי המדיניות לשקול גם מדיניות המכוונת לסייע להורים ולילדים לחשוב כיצד להשתמש בכספי החיסכון בצורה הטובה יותר כשהילדים יתבגרו. כיום אין כל מגבלה על השימוש בכספים בעת שהילדים יגיעו לגיל 21 – מאפיין המבדיל את תוכנית חיסכון לכל ילד מכמה תוכניות דומות ברחבי העולם (</w:t>
      </w:r>
      <w:r w:rsidRPr="00502134">
        <w:rPr>
          <w:rFonts w:ascii="Georgia" w:hAnsi="Georgia"/>
          <w:sz w:val="18"/>
          <w:szCs w:val="20"/>
        </w:rPr>
        <w:t xml:space="preserve">Loke &amp; </w:t>
      </w:r>
      <w:proofErr w:type="spellStart"/>
      <w:r w:rsidRPr="00502134">
        <w:rPr>
          <w:rFonts w:ascii="Georgia" w:hAnsi="Georgia"/>
          <w:sz w:val="18"/>
          <w:szCs w:val="20"/>
        </w:rPr>
        <w:t>Sherraden</w:t>
      </w:r>
      <w:proofErr w:type="spellEnd"/>
      <w:r w:rsidRPr="00502134">
        <w:rPr>
          <w:rFonts w:ascii="Georgia" w:hAnsi="Georgia"/>
          <w:sz w:val="18"/>
          <w:szCs w:val="20"/>
        </w:rPr>
        <w:t>, 2009</w:t>
      </w:r>
      <w:r w:rsidRPr="00502134">
        <w:rPr>
          <w:rFonts w:ascii="Georgia" w:hAnsi="Georgia"/>
          <w:sz w:val="18"/>
          <w:szCs w:val="20"/>
          <w:rtl/>
        </w:rPr>
        <w:t xml:space="preserve">). כדי לייעל את השפעת התוכנית לטווח ארוך מתוך התייחסות לעוני ולאי-שוויון, אפשר להגביל את השימוש בכספי החיסכון למטרות השקעה, כולל השכלה גבוהה, תשלום מקדמה לרכישת בית או פתיחת עסק – כפי שמציעים חוקרים שונים (גוטליב </w:t>
      </w:r>
      <w:proofErr w:type="spellStart"/>
      <w:r w:rsidRPr="00502134">
        <w:rPr>
          <w:rFonts w:ascii="Georgia" w:hAnsi="Georgia"/>
          <w:sz w:val="18"/>
          <w:szCs w:val="20"/>
          <w:rtl/>
        </w:rPr>
        <w:t>וטולדנו</w:t>
      </w:r>
      <w:proofErr w:type="spellEnd"/>
      <w:r w:rsidRPr="00502134">
        <w:rPr>
          <w:rFonts w:ascii="Georgia" w:hAnsi="Georgia"/>
          <w:sz w:val="18"/>
          <w:szCs w:val="20"/>
          <w:rtl/>
        </w:rPr>
        <w:t xml:space="preserve">, 2010; </w:t>
      </w:r>
      <w:proofErr w:type="spellStart"/>
      <w:r w:rsidRPr="00502134">
        <w:rPr>
          <w:rFonts w:ascii="Georgia" w:hAnsi="Georgia"/>
          <w:sz w:val="18"/>
          <w:szCs w:val="20"/>
          <w:rtl/>
        </w:rPr>
        <w:t>גרינשטיין</w:t>
      </w:r>
      <w:proofErr w:type="spellEnd"/>
      <w:r w:rsidRPr="00502134">
        <w:rPr>
          <w:rFonts w:ascii="Georgia" w:hAnsi="Georgia"/>
          <w:sz w:val="18"/>
          <w:szCs w:val="20"/>
          <w:rtl/>
        </w:rPr>
        <w:t xml:space="preserve">-וייס וצבע, 2010). </w:t>
      </w:r>
    </w:p>
    <w:p w14:paraId="43DA034D" w14:textId="77777777" w:rsidR="00CB1A04" w:rsidRPr="00502134" w:rsidRDefault="00CB1A04" w:rsidP="00CB1A04">
      <w:pPr>
        <w:spacing w:after="180" w:line="280" w:lineRule="exact"/>
        <w:jc w:val="both"/>
        <w:rPr>
          <w:rFonts w:ascii="Georgia" w:hAnsi="Georgia"/>
          <w:sz w:val="18"/>
          <w:szCs w:val="20"/>
          <w:rtl/>
        </w:rPr>
      </w:pPr>
      <w:r w:rsidRPr="00502134">
        <w:rPr>
          <w:rFonts w:ascii="Georgia" w:hAnsi="Georgia"/>
          <w:sz w:val="18"/>
          <w:szCs w:val="20"/>
          <w:rtl/>
        </w:rPr>
        <w:t>גם ללא הגבלת השימוש בכספים, קובעי המדיניות בישראל יכולים לנקוט צעדים שישלימו את התוכנית באמצעות חינוך או הכשרה פיננסיים, ולעודד צעירים לשקול בתבונה כיצד להשתמש בכספי התוכנית כשיגיעו לבגרות. אף שמטה-אנליזות של הספרות המחקרית בנושא השכלה פיננסית מורות כי ההשפעה הכוללת של תוכניות להשכלה פיננסית על התנהגויות פיננסיות נוטה עם הזמן להיות מוגבלת, הן עדיין יכולות להביא תועלת אם יינתנו בתקופות שבהן אנשים מקבלים החלטות פיננסיות מסוימות (</w:t>
      </w:r>
      <w:r w:rsidRPr="00502134">
        <w:rPr>
          <w:rFonts w:ascii="Georgia" w:hAnsi="Georgia"/>
          <w:sz w:val="18"/>
          <w:szCs w:val="20"/>
        </w:rPr>
        <w:t>Fernandes et al., 2014; Miller et al., 2015</w:t>
      </w:r>
      <w:r w:rsidRPr="00502134">
        <w:rPr>
          <w:rFonts w:ascii="Georgia" w:hAnsi="Georgia"/>
          <w:sz w:val="18"/>
          <w:szCs w:val="20"/>
          <w:rtl/>
        </w:rPr>
        <w:t>). גישות של אימון פיננסי אישי הראו גם הן הצלחה בשיפור התנהגויות ותוצאות פיננסיות (</w:t>
      </w:r>
      <w:r w:rsidRPr="00502134">
        <w:rPr>
          <w:rFonts w:ascii="Georgia" w:hAnsi="Georgia"/>
          <w:sz w:val="18"/>
          <w:szCs w:val="20"/>
        </w:rPr>
        <w:t xml:space="preserve">Moulton et al., 2015; </w:t>
      </w:r>
      <w:proofErr w:type="spellStart"/>
      <w:r w:rsidRPr="00502134">
        <w:rPr>
          <w:rFonts w:ascii="Georgia" w:hAnsi="Georgia"/>
          <w:sz w:val="18"/>
          <w:szCs w:val="20"/>
        </w:rPr>
        <w:t>Theodos</w:t>
      </w:r>
      <w:proofErr w:type="spellEnd"/>
      <w:r w:rsidRPr="00502134">
        <w:rPr>
          <w:rFonts w:ascii="Georgia" w:hAnsi="Georgia"/>
          <w:sz w:val="18"/>
          <w:szCs w:val="20"/>
        </w:rPr>
        <w:t xml:space="preserve"> et al., 2018</w:t>
      </w:r>
      <w:r w:rsidRPr="00502134">
        <w:rPr>
          <w:rFonts w:ascii="Georgia" w:hAnsi="Georgia"/>
          <w:sz w:val="18"/>
          <w:szCs w:val="20"/>
          <w:rtl/>
        </w:rPr>
        <w:t>). בהתבסס על ממצאים קיימים, כדאי יהיה לשלב בתוכניות דוגמת תוכנית חיסכון לכל ילד גם חינוך פיננסי בלימודי התיכון או השירות הצבאי – אז המוטבים מגיעים לגיל 18 ו-21 (בהתאמה) וזכאים לקבל גישה לכספים שנצברו, או להעניק לצעירים הכשרה פיננסית כאשר הם מושכים בפועל את הכספים מהתוכנית.</w:t>
      </w:r>
    </w:p>
    <w:p w14:paraId="1DBD76B1" w14:textId="265DAE2B" w:rsidR="00CB1A04" w:rsidRPr="007F3859" w:rsidRDefault="00CB1A04" w:rsidP="002E0E99">
      <w:pPr>
        <w:spacing w:after="180" w:line="280" w:lineRule="exact"/>
        <w:jc w:val="both"/>
        <w:rPr>
          <w:sz w:val="18"/>
          <w:szCs w:val="20"/>
          <w:rtl/>
        </w:rPr>
      </w:pPr>
      <w:r w:rsidRPr="007F3859">
        <w:rPr>
          <w:rFonts w:hint="cs"/>
          <w:sz w:val="18"/>
          <w:szCs w:val="20"/>
          <w:rtl/>
        </w:rPr>
        <w:t>ממצאי המחקר עשויים לסייע לקובעי מדיניות במדינות אחרות בתכנון וביישום תוכניות דומות. ההבדלים בהחלטותיהם הפיננסיות של משקי בית בעלי מאפיינים שונים ובהחלטותיהן של תתי-אוכלוסיות בחברה הישראלית במסגרת השתתפותם בתוכנית חיסכון לכל ילד, מצביעים על האפשרות כי השימוש בעקרונות של כלכלה התנהגותית, למשל הכנסת ברירת המחדל האוטומטית עבור מי שלא הצטרפו באופן פעיל, יכול לשמש דרך יעילה לעידוד ח</w:t>
      </w:r>
      <w:r w:rsidR="002E0E99">
        <w:rPr>
          <w:rFonts w:hint="cs"/>
          <w:sz w:val="18"/>
          <w:szCs w:val="20"/>
          <w:rtl/>
        </w:rPr>
        <w:t>י</w:t>
      </w:r>
      <w:r w:rsidRPr="007F3859">
        <w:rPr>
          <w:rFonts w:hint="cs"/>
          <w:sz w:val="18"/>
          <w:szCs w:val="20"/>
          <w:rtl/>
        </w:rPr>
        <w:t xml:space="preserve">סכון. זאת בלי להגביל מראש את הבחירות של משקי הבית, ותוך מתן אפשרויות בחירה מגוונות המותאמות גם למשקי בית הנוקטים גישה פיננסית שמרנית. </w:t>
      </w:r>
    </w:p>
    <w:p w14:paraId="087F365A" w14:textId="77777777" w:rsidR="00CB1A04" w:rsidRPr="007F3859" w:rsidRDefault="00CB1A04" w:rsidP="00CB1A04">
      <w:pPr>
        <w:spacing w:after="180" w:line="280" w:lineRule="exact"/>
        <w:jc w:val="both"/>
        <w:rPr>
          <w:sz w:val="18"/>
          <w:szCs w:val="20"/>
          <w:rtl/>
        </w:rPr>
      </w:pPr>
      <w:r w:rsidRPr="007F3859">
        <w:rPr>
          <w:rFonts w:hint="cs"/>
          <w:sz w:val="18"/>
          <w:szCs w:val="20"/>
          <w:rtl/>
        </w:rPr>
        <w:t xml:space="preserve">החלטת המוסד לביטוח לאומי לצרף את כל ילדי ישראל לתוכנית באופן אוניברסלי, גם ללא יוזמה שנוקטים הוריהם, מבטיחה שילדים בכל משקי הבית יוכלו ליהנות בבגרותם מצבירה של נכסים. זאת ועוד, מנגנון ברירת המחדל, אשר ממקם את הכספים בחשבון השקעות (במקום בחשבון השקעות) באופן רנדומלי, מאפשר גם למשקי בית אשר צורפו אוטומטית </w:t>
      </w:r>
      <w:r w:rsidRPr="007F3859">
        <w:rPr>
          <w:rFonts w:hint="cs"/>
          <w:sz w:val="18"/>
          <w:szCs w:val="20"/>
          <w:rtl/>
        </w:rPr>
        <w:lastRenderedPageBreak/>
        <w:t>ולא בחרו מסלול השקעה להפיק תועלת מהצמיחה הצפויה של קרן ההשקעות, וככל הנראה גם מדיבידנדים מניבים, אם החשבונות הללו יפעלו לאורך שנים.</w:t>
      </w:r>
    </w:p>
    <w:p w14:paraId="1354CA34" w14:textId="77777777" w:rsidR="00CB1A04" w:rsidRPr="007F3859" w:rsidRDefault="00CB1A04" w:rsidP="00CB1A04">
      <w:pPr>
        <w:spacing w:after="180" w:line="280" w:lineRule="exact"/>
        <w:jc w:val="both"/>
        <w:rPr>
          <w:sz w:val="18"/>
          <w:szCs w:val="20"/>
          <w:rtl/>
        </w:rPr>
      </w:pPr>
    </w:p>
    <w:p w14:paraId="36DDE683" w14:textId="77777777" w:rsidR="00CB1A04" w:rsidRPr="007F3859" w:rsidRDefault="00CB1A04" w:rsidP="00CB1A04">
      <w:pPr>
        <w:spacing w:after="180" w:line="280" w:lineRule="exact"/>
        <w:jc w:val="both"/>
        <w:rPr>
          <w:sz w:val="18"/>
          <w:szCs w:val="20"/>
        </w:rPr>
      </w:pPr>
    </w:p>
    <w:p w14:paraId="79E0FD36" w14:textId="05083EC7" w:rsidR="00CB1A04" w:rsidRPr="007A6EAC" w:rsidRDefault="00CB1A04" w:rsidP="00CB1A04">
      <w:pPr>
        <w:pStyle w:val="KOT4"/>
        <w:spacing w:after="0"/>
        <w:ind w:left="397" w:right="0" w:hanging="397"/>
        <w:rPr>
          <w:rFonts w:cs="Guttman Aharoni"/>
          <w:color w:val="00B0F0"/>
          <w:sz w:val="32"/>
          <w:szCs w:val="32"/>
        </w:rPr>
      </w:pPr>
      <w:r w:rsidRPr="007A6EAC">
        <w:rPr>
          <w:rFonts w:cs="Guttman Aharoni" w:hint="cs"/>
          <w:color w:val="00B0F0"/>
          <w:sz w:val="32"/>
          <w:szCs w:val="32"/>
          <w:rtl/>
        </w:rPr>
        <w:t>מקורות</w:t>
      </w:r>
    </w:p>
    <w:p w14:paraId="39BED915" w14:textId="77777777" w:rsidR="009C50E2" w:rsidRPr="00A73F79" w:rsidRDefault="009C50E2" w:rsidP="009C50E2">
      <w:pPr>
        <w:spacing w:after="120"/>
        <w:ind w:left="397" w:hanging="397"/>
        <w:jc w:val="both"/>
        <w:rPr>
          <w:rFonts w:ascii="David" w:eastAsia="Calibri" w:hAnsi="David"/>
          <w:sz w:val="20"/>
          <w:szCs w:val="20"/>
          <w:rtl/>
        </w:rPr>
      </w:pPr>
      <w:r w:rsidRPr="00A73F79">
        <w:rPr>
          <w:rFonts w:ascii="David" w:eastAsia="Calibri" w:hAnsi="David"/>
          <w:sz w:val="20"/>
          <w:szCs w:val="20"/>
          <w:rtl/>
        </w:rPr>
        <w:t xml:space="preserve">בן שחר, ר"נ ולב און, א' (2013). מגדר, דת וטכנולוגיה חדשה: תפיסות, עמדות, דפוסי התנהגות ושימוש באינטרנט בקרב נשים חרדיות העובדות בסביבות עבודה ממוחשבות. </w:t>
      </w:r>
      <w:r w:rsidRPr="00A73F79">
        <w:rPr>
          <w:rFonts w:ascii="David" w:eastAsia="Calibri" w:hAnsi="David"/>
          <w:b/>
          <w:bCs/>
          <w:sz w:val="20"/>
          <w:szCs w:val="20"/>
          <w:rtl/>
        </w:rPr>
        <w:t>מגמות</w:t>
      </w:r>
      <w:r w:rsidRPr="00A73F79">
        <w:rPr>
          <w:rFonts w:ascii="David" w:eastAsia="Calibri" w:hAnsi="David"/>
          <w:sz w:val="20"/>
          <w:szCs w:val="20"/>
          <w:rtl/>
        </w:rPr>
        <w:t xml:space="preserve">, </w:t>
      </w:r>
      <w:r w:rsidRPr="00A73F79">
        <w:rPr>
          <w:rFonts w:ascii="David" w:eastAsia="Calibri" w:hAnsi="David"/>
          <w:b/>
          <w:bCs/>
          <w:sz w:val="20"/>
          <w:szCs w:val="20"/>
          <w:rtl/>
        </w:rPr>
        <w:t>מט</w:t>
      </w:r>
      <w:r w:rsidRPr="00A73F79">
        <w:rPr>
          <w:rFonts w:ascii="David" w:eastAsia="Calibri" w:hAnsi="David"/>
          <w:sz w:val="20"/>
          <w:szCs w:val="20"/>
          <w:rtl/>
        </w:rPr>
        <w:t xml:space="preserve">(2), 272–306. </w:t>
      </w:r>
    </w:p>
    <w:p w14:paraId="699AC182" w14:textId="77777777" w:rsidR="009C50E2" w:rsidRPr="00A73F79" w:rsidRDefault="009C50E2" w:rsidP="009C50E2">
      <w:pPr>
        <w:spacing w:after="120"/>
        <w:ind w:left="397" w:hanging="397"/>
        <w:jc w:val="both"/>
        <w:rPr>
          <w:rFonts w:ascii="David" w:eastAsia="Calibri" w:hAnsi="David"/>
          <w:sz w:val="20"/>
          <w:szCs w:val="20"/>
          <w:rtl/>
        </w:rPr>
      </w:pPr>
      <w:r w:rsidRPr="00A73F79">
        <w:rPr>
          <w:rFonts w:ascii="David" w:eastAsia="Calibri" w:hAnsi="David"/>
          <w:sz w:val="20"/>
          <w:szCs w:val="20"/>
          <w:rtl/>
        </w:rPr>
        <w:t xml:space="preserve">גוטליב, ד' </w:t>
      </w:r>
      <w:proofErr w:type="spellStart"/>
      <w:r w:rsidRPr="00A73F79">
        <w:rPr>
          <w:rFonts w:ascii="David" w:eastAsia="Calibri" w:hAnsi="David"/>
          <w:sz w:val="20"/>
          <w:szCs w:val="20"/>
          <w:rtl/>
        </w:rPr>
        <w:t>וטולדנו</w:t>
      </w:r>
      <w:proofErr w:type="spellEnd"/>
      <w:r w:rsidRPr="00A73F79">
        <w:rPr>
          <w:rFonts w:ascii="David" w:eastAsia="Calibri" w:hAnsi="David"/>
          <w:sz w:val="20"/>
          <w:szCs w:val="20"/>
          <w:rtl/>
        </w:rPr>
        <w:t xml:space="preserve"> א' </w:t>
      </w:r>
      <w:r w:rsidRPr="00A73F79">
        <w:rPr>
          <w:rFonts w:ascii="David" w:hAnsi="David"/>
          <w:sz w:val="20"/>
          <w:szCs w:val="20"/>
          <w:rtl/>
        </w:rPr>
        <w:t xml:space="preserve">(2010). </w:t>
      </w:r>
      <w:r w:rsidRPr="00A73F79">
        <w:rPr>
          <w:rStyle w:val="CommentSubjectChar"/>
          <w:rFonts w:ascii="David" w:eastAsia="Calibri" w:hAnsi="David"/>
          <w:sz w:val="20"/>
          <w:szCs w:val="20"/>
          <w:rtl/>
        </w:rPr>
        <w:t>הצעה: מענק העצמה לילד</w:t>
      </w:r>
      <w:r w:rsidRPr="00A73F79">
        <w:rPr>
          <w:rFonts w:ascii="David" w:eastAsia="Calibri" w:hAnsi="David"/>
          <w:sz w:val="20"/>
          <w:szCs w:val="20"/>
          <w:rtl/>
        </w:rPr>
        <w:t xml:space="preserve">. המוסד לביטוח הלאומי. </w:t>
      </w:r>
    </w:p>
    <w:p w14:paraId="70FE91FB" w14:textId="77777777" w:rsidR="009C50E2" w:rsidRPr="00A73F79" w:rsidRDefault="009C50E2" w:rsidP="009C50E2">
      <w:pPr>
        <w:spacing w:after="120"/>
        <w:ind w:left="397" w:hanging="397"/>
        <w:jc w:val="both"/>
        <w:rPr>
          <w:rFonts w:ascii="David" w:hAnsi="David"/>
          <w:sz w:val="20"/>
          <w:szCs w:val="20"/>
          <w:rtl/>
        </w:rPr>
      </w:pPr>
      <w:r w:rsidRPr="00A73F79">
        <w:rPr>
          <w:rFonts w:ascii="David" w:hAnsi="David"/>
          <w:sz w:val="20"/>
          <w:szCs w:val="20"/>
          <w:rtl/>
        </w:rPr>
        <w:t xml:space="preserve">גל, ג', </w:t>
      </w:r>
      <w:proofErr w:type="spellStart"/>
      <w:r w:rsidRPr="00A73F79">
        <w:rPr>
          <w:rFonts w:ascii="David" w:hAnsi="David"/>
          <w:sz w:val="20"/>
          <w:szCs w:val="20"/>
          <w:rtl/>
        </w:rPr>
        <w:t>מדהלה-בריק,ש</w:t>
      </w:r>
      <w:proofErr w:type="spellEnd"/>
      <w:r w:rsidRPr="00A73F79">
        <w:rPr>
          <w:rFonts w:ascii="David" w:hAnsi="David"/>
          <w:sz w:val="20"/>
          <w:szCs w:val="20"/>
          <w:rtl/>
        </w:rPr>
        <w:t xml:space="preserve">', </w:t>
      </w:r>
      <w:proofErr w:type="spellStart"/>
      <w:r w:rsidRPr="00A73F79">
        <w:rPr>
          <w:rFonts w:ascii="David" w:hAnsi="David"/>
          <w:sz w:val="20"/>
          <w:szCs w:val="20"/>
          <w:rtl/>
        </w:rPr>
        <w:t>גרינשטיין</w:t>
      </w:r>
      <w:proofErr w:type="spellEnd"/>
      <w:r w:rsidRPr="00A73F79">
        <w:rPr>
          <w:rFonts w:ascii="David" w:hAnsi="David"/>
          <w:sz w:val="20"/>
          <w:szCs w:val="20"/>
          <w:rtl/>
        </w:rPr>
        <w:t xml:space="preserve">-וייס, מ' </w:t>
      </w:r>
      <w:proofErr w:type="spellStart"/>
      <w:r w:rsidRPr="00A73F79">
        <w:rPr>
          <w:rFonts w:ascii="David" w:hAnsi="David"/>
          <w:sz w:val="20"/>
          <w:szCs w:val="20"/>
          <w:rtl/>
        </w:rPr>
        <w:t>וקובינגטום</w:t>
      </w:r>
      <w:proofErr w:type="spellEnd"/>
      <w:r w:rsidRPr="00A73F79">
        <w:rPr>
          <w:rFonts w:ascii="David" w:hAnsi="David"/>
          <w:sz w:val="20"/>
          <w:szCs w:val="20"/>
          <w:rtl/>
        </w:rPr>
        <w:t xml:space="preserve">, מ' (2016). </w:t>
      </w:r>
      <w:r w:rsidRPr="00A73F79">
        <w:rPr>
          <w:rStyle w:val="CommentSubjectChar"/>
          <w:rFonts w:ascii="David" w:hAnsi="David"/>
          <w:sz w:val="20"/>
          <w:szCs w:val="20"/>
          <w:rtl/>
        </w:rPr>
        <w:t>תכנית חיסכון לילדים בישראל: רקע וסקירת חלופות</w:t>
      </w:r>
      <w:r w:rsidRPr="00A73F79">
        <w:rPr>
          <w:rFonts w:ascii="David" w:hAnsi="David"/>
          <w:sz w:val="20"/>
          <w:szCs w:val="20"/>
          <w:rtl/>
        </w:rPr>
        <w:t xml:space="preserve">. תקציר מדיניות, מרכז </w:t>
      </w:r>
      <w:proofErr w:type="spellStart"/>
      <w:r w:rsidRPr="00A73F79">
        <w:rPr>
          <w:rFonts w:ascii="David" w:hAnsi="David"/>
          <w:sz w:val="20"/>
          <w:szCs w:val="20"/>
          <w:rtl/>
        </w:rPr>
        <w:t>טאוב</w:t>
      </w:r>
      <w:proofErr w:type="spellEnd"/>
      <w:r w:rsidRPr="00A73F79">
        <w:rPr>
          <w:rFonts w:ascii="David" w:hAnsi="David"/>
          <w:sz w:val="20"/>
          <w:szCs w:val="20"/>
          <w:rtl/>
        </w:rPr>
        <w:t xml:space="preserve"> לחקר המדיניות החברתית בישראל</w:t>
      </w:r>
      <w:r w:rsidRPr="00A73F79">
        <w:rPr>
          <w:rFonts w:ascii="David" w:hAnsi="David"/>
          <w:sz w:val="20"/>
          <w:szCs w:val="20"/>
        </w:rPr>
        <w:t>.</w:t>
      </w:r>
    </w:p>
    <w:p w14:paraId="713350C1" w14:textId="77777777" w:rsidR="009C50E2" w:rsidRPr="00A73F79" w:rsidRDefault="009C50E2" w:rsidP="009C50E2">
      <w:pPr>
        <w:spacing w:after="120"/>
        <w:ind w:left="397" w:hanging="397"/>
        <w:jc w:val="both"/>
        <w:rPr>
          <w:rFonts w:ascii="David" w:eastAsia="Calibri" w:hAnsi="David"/>
          <w:sz w:val="20"/>
          <w:szCs w:val="20"/>
          <w:rtl/>
        </w:rPr>
      </w:pPr>
      <w:proofErr w:type="spellStart"/>
      <w:r w:rsidRPr="00A73F79">
        <w:rPr>
          <w:rFonts w:ascii="David" w:eastAsia="Calibri" w:hAnsi="David"/>
          <w:sz w:val="20"/>
          <w:szCs w:val="20"/>
          <w:rtl/>
        </w:rPr>
        <w:t>גרינשטיין</w:t>
      </w:r>
      <w:proofErr w:type="spellEnd"/>
      <w:r w:rsidRPr="00A73F79">
        <w:rPr>
          <w:rFonts w:ascii="David" w:eastAsia="Calibri" w:hAnsi="David"/>
          <w:sz w:val="20"/>
          <w:szCs w:val="20"/>
          <w:rtl/>
        </w:rPr>
        <w:t xml:space="preserve">-וייס, מ' וצבע, י' (2010). </w:t>
      </w:r>
      <w:r w:rsidRPr="00A73F79">
        <w:rPr>
          <w:rStyle w:val="CommentSubjectChar"/>
          <w:rFonts w:ascii="David" w:eastAsia="Calibri" w:hAnsi="David"/>
          <w:sz w:val="20"/>
          <w:szCs w:val="20"/>
          <w:rtl/>
        </w:rPr>
        <w:t>בשביל כבוד צריך גם לחסוך</w:t>
      </w:r>
      <w:r w:rsidRPr="00A73F79">
        <w:rPr>
          <w:rFonts w:ascii="David" w:eastAsia="Calibri" w:hAnsi="David"/>
          <w:sz w:val="20"/>
          <w:szCs w:val="20"/>
          <w:rtl/>
        </w:rPr>
        <w:t>. אתר משרד הרווחה.</w:t>
      </w:r>
    </w:p>
    <w:p w14:paraId="58ADDEA5" w14:textId="77777777" w:rsidR="009C50E2" w:rsidRPr="00A73F79" w:rsidRDefault="009C50E2" w:rsidP="009C50E2">
      <w:pPr>
        <w:spacing w:after="120"/>
        <w:ind w:left="397" w:hanging="397"/>
        <w:jc w:val="both"/>
        <w:rPr>
          <w:rFonts w:ascii="David" w:eastAsia="Calibri" w:hAnsi="David"/>
          <w:sz w:val="20"/>
          <w:szCs w:val="20"/>
        </w:rPr>
      </w:pPr>
      <w:r w:rsidRPr="00A73F79">
        <w:rPr>
          <w:rFonts w:ascii="David" w:eastAsia="Calibri" w:hAnsi="David"/>
          <w:sz w:val="20"/>
          <w:szCs w:val="20"/>
          <w:rtl/>
        </w:rPr>
        <w:t xml:space="preserve">המוסד לביטוח לאומי </w:t>
      </w:r>
      <w:r w:rsidRPr="00A73F79">
        <w:rPr>
          <w:rFonts w:ascii="David" w:hAnsi="David"/>
          <w:sz w:val="20"/>
          <w:szCs w:val="20"/>
          <w:rtl/>
        </w:rPr>
        <w:t xml:space="preserve">(2018). </w:t>
      </w:r>
      <w:r w:rsidRPr="00A73F79">
        <w:rPr>
          <w:rStyle w:val="CommentSubjectChar"/>
          <w:rFonts w:ascii="David" w:hAnsi="David"/>
          <w:sz w:val="20"/>
          <w:szCs w:val="20"/>
          <w:rtl/>
        </w:rPr>
        <w:t>תעריפי חיסכון לכל ילד</w:t>
      </w:r>
      <w:r w:rsidRPr="00A73F79">
        <w:rPr>
          <w:rFonts w:ascii="David" w:hAnsi="David"/>
          <w:sz w:val="20"/>
          <w:szCs w:val="20"/>
          <w:rtl/>
        </w:rPr>
        <w:t>.</w:t>
      </w:r>
    </w:p>
    <w:p w14:paraId="21433463" w14:textId="77777777" w:rsidR="009C50E2" w:rsidRPr="00687899" w:rsidRDefault="009C50E2" w:rsidP="009C50E2">
      <w:pPr>
        <w:spacing w:after="120"/>
        <w:ind w:left="397" w:hanging="397"/>
        <w:jc w:val="both"/>
        <w:rPr>
          <w:rFonts w:eastAsia="Calibri"/>
          <w:sz w:val="18"/>
          <w:szCs w:val="20"/>
          <w:rtl/>
        </w:rPr>
      </w:pPr>
      <w:proofErr w:type="spellStart"/>
      <w:r w:rsidRPr="00687899">
        <w:rPr>
          <w:rFonts w:eastAsia="Calibri"/>
          <w:sz w:val="18"/>
          <w:szCs w:val="20"/>
          <w:rtl/>
        </w:rPr>
        <w:t>שטייר</w:t>
      </w:r>
      <w:proofErr w:type="spellEnd"/>
      <w:r w:rsidRPr="00687899">
        <w:rPr>
          <w:rFonts w:eastAsia="Calibri"/>
          <w:sz w:val="18"/>
          <w:szCs w:val="20"/>
          <w:rtl/>
        </w:rPr>
        <w:t xml:space="preserve">, ח' ולוין, ע' (2013). מצוקות חומריות בישראל. בתוך ד׳ </w:t>
      </w:r>
      <w:proofErr w:type="spellStart"/>
      <w:r w:rsidRPr="00687899">
        <w:rPr>
          <w:rFonts w:eastAsia="Calibri"/>
          <w:sz w:val="18"/>
          <w:szCs w:val="20"/>
          <w:rtl/>
        </w:rPr>
        <w:t>בן־דוד</w:t>
      </w:r>
      <w:proofErr w:type="spellEnd"/>
      <w:r w:rsidRPr="00687899">
        <w:rPr>
          <w:rFonts w:eastAsia="Calibri"/>
          <w:sz w:val="18"/>
          <w:szCs w:val="20"/>
          <w:rtl/>
        </w:rPr>
        <w:t xml:space="preserve"> (עורך), </w:t>
      </w:r>
      <w:r w:rsidRPr="00A73F79">
        <w:rPr>
          <w:rFonts w:eastAsia="Calibri"/>
          <w:b/>
          <w:bCs/>
          <w:sz w:val="18"/>
          <w:szCs w:val="20"/>
          <w:rtl/>
        </w:rPr>
        <w:t>דוח מצב המדינה: חברה, כלכלה ומדיניות</w:t>
      </w:r>
      <w:r w:rsidRPr="00687899">
        <w:rPr>
          <w:rFonts w:eastAsia="Calibri" w:hint="cs"/>
          <w:b/>
          <w:bCs/>
          <w:sz w:val="18"/>
          <w:szCs w:val="20"/>
          <w:rtl/>
        </w:rPr>
        <w:t xml:space="preserve"> </w:t>
      </w:r>
      <w:r w:rsidRPr="00687899">
        <w:rPr>
          <w:rFonts w:eastAsia="Calibri" w:hint="cs"/>
          <w:sz w:val="18"/>
          <w:szCs w:val="20"/>
          <w:rtl/>
        </w:rPr>
        <w:t xml:space="preserve">(עמ' </w:t>
      </w:r>
      <w:r w:rsidRPr="00687899">
        <w:rPr>
          <w:rFonts w:eastAsia="Calibri"/>
          <w:sz w:val="18"/>
          <w:szCs w:val="20"/>
          <w:rtl/>
        </w:rPr>
        <w:t xml:space="preserve">285–302). מרכז </w:t>
      </w:r>
      <w:proofErr w:type="spellStart"/>
      <w:r w:rsidRPr="00687899">
        <w:rPr>
          <w:rFonts w:eastAsia="Calibri"/>
          <w:sz w:val="18"/>
          <w:szCs w:val="20"/>
          <w:rtl/>
        </w:rPr>
        <w:t>טאוב</w:t>
      </w:r>
      <w:proofErr w:type="spellEnd"/>
      <w:r w:rsidRPr="00687899">
        <w:rPr>
          <w:rFonts w:eastAsia="Calibri"/>
          <w:sz w:val="18"/>
          <w:szCs w:val="20"/>
          <w:rtl/>
        </w:rPr>
        <w:t xml:space="preserve"> לחקר המדיניות החברתית בישראל.</w:t>
      </w:r>
    </w:p>
    <w:p w14:paraId="2A3D88A4"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rPr>
      </w:pPr>
      <w:r w:rsidRPr="00502134">
        <w:rPr>
          <w:rFonts w:ascii="Georgia" w:hAnsi="Georgia" w:cs="Times New Roman"/>
          <w:sz w:val="18"/>
          <w:szCs w:val="18"/>
        </w:rPr>
        <w:t xml:space="preserve">Beverly, S. G., Clancy, M. M., &amp; </w:t>
      </w:r>
      <w:proofErr w:type="spellStart"/>
      <w:r w:rsidRPr="00502134">
        <w:rPr>
          <w:rFonts w:ascii="Georgia" w:hAnsi="Georgia" w:cs="Times New Roman"/>
          <w:sz w:val="18"/>
          <w:szCs w:val="18"/>
        </w:rPr>
        <w:t>Sherraden</w:t>
      </w:r>
      <w:proofErr w:type="spellEnd"/>
      <w:r w:rsidRPr="00502134">
        <w:rPr>
          <w:rFonts w:ascii="Georgia" w:hAnsi="Georgia" w:cs="Times New Roman"/>
          <w:sz w:val="18"/>
          <w:szCs w:val="18"/>
        </w:rPr>
        <w:t xml:space="preserve">, M. (2016). </w:t>
      </w:r>
      <w:r w:rsidRPr="00502134">
        <w:rPr>
          <w:rFonts w:ascii="Georgia" w:hAnsi="Georgia" w:cs="Times New Roman"/>
          <w:i/>
          <w:iCs/>
          <w:sz w:val="18"/>
          <w:szCs w:val="18"/>
        </w:rPr>
        <w:t>Universal accounts at birth: Results from SEED for Oklahoma kids</w:t>
      </w:r>
      <w:r w:rsidRPr="00502134">
        <w:rPr>
          <w:rFonts w:ascii="Georgia" w:hAnsi="Georgia" w:cs="Times New Roman"/>
          <w:sz w:val="18"/>
          <w:szCs w:val="18"/>
        </w:rPr>
        <w:t xml:space="preserve"> (CSD research summary no. 16–07). Washington University, Center for Social Development.</w:t>
      </w:r>
    </w:p>
    <w:p w14:paraId="15AFCAC8" w14:textId="77777777" w:rsidR="009C50E2" w:rsidRPr="00502134" w:rsidRDefault="009C50E2" w:rsidP="009C50E2">
      <w:pPr>
        <w:bidi w:val="0"/>
        <w:spacing w:after="120"/>
        <w:ind w:left="397" w:hanging="397"/>
        <w:jc w:val="both"/>
        <w:rPr>
          <w:rFonts w:ascii="Georgia" w:hAnsi="Georgia" w:cs="Times New Roman"/>
          <w:sz w:val="18"/>
          <w:szCs w:val="18"/>
        </w:rPr>
      </w:pPr>
      <w:r w:rsidRPr="00502134">
        <w:rPr>
          <w:rFonts w:ascii="Georgia" w:hAnsi="Georgia" w:cs="Times New Roman"/>
          <w:sz w:val="18"/>
          <w:szCs w:val="18"/>
        </w:rPr>
        <w:t xml:space="preserve">Boehm, T. P., &amp; </w:t>
      </w:r>
      <w:proofErr w:type="spellStart"/>
      <w:r w:rsidRPr="00502134">
        <w:rPr>
          <w:rFonts w:ascii="Georgia" w:hAnsi="Georgia" w:cs="Times New Roman"/>
          <w:sz w:val="18"/>
          <w:szCs w:val="18"/>
        </w:rPr>
        <w:t>Schlottman</w:t>
      </w:r>
      <w:proofErr w:type="spellEnd"/>
      <w:r w:rsidRPr="00502134">
        <w:rPr>
          <w:rFonts w:ascii="Georgia" w:hAnsi="Georgia" w:cs="Times New Roman"/>
          <w:sz w:val="18"/>
          <w:szCs w:val="18"/>
        </w:rPr>
        <w:t xml:space="preserve">, A. M. (1999). Does homeownership by parents have an economic impact on their children? </w:t>
      </w:r>
      <w:r w:rsidRPr="00502134">
        <w:rPr>
          <w:rFonts w:ascii="Georgia" w:hAnsi="Georgia" w:cs="Times New Roman"/>
          <w:i/>
          <w:sz w:val="18"/>
          <w:szCs w:val="18"/>
        </w:rPr>
        <w:t>Journal of Housing Economics</w:t>
      </w:r>
      <w:r w:rsidRPr="00502134">
        <w:rPr>
          <w:rFonts w:ascii="Georgia" w:hAnsi="Georgia" w:cs="Times New Roman"/>
          <w:iCs/>
          <w:sz w:val="18"/>
          <w:szCs w:val="18"/>
        </w:rPr>
        <w:t>,</w:t>
      </w:r>
      <w:r w:rsidRPr="00502134">
        <w:rPr>
          <w:rFonts w:ascii="Georgia" w:hAnsi="Georgia" w:cs="Times New Roman"/>
          <w:i/>
          <w:sz w:val="18"/>
          <w:szCs w:val="18"/>
        </w:rPr>
        <w:t xml:space="preserve"> 8</w:t>
      </w:r>
      <w:r w:rsidRPr="00502134">
        <w:rPr>
          <w:rFonts w:ascii="Georgia" w:hAnsi="Georgia" w:cs="Times New Roman"/>
          <w:sz w:val="18"/>
          <w:szCs w:val="18"/>
        </w:rPr>
        <w:t>(3), 217–232.</w:t>
      </w:r>
    </w:p>
    <w:p w14:paraId="14030DE9" w14:textId="77777777" w:rsidR="009C50E2" w:rsidRPr="00502134" w:rsidRDefault="009C50E2" w:rsidP="009C50E2">
      <w:pPr>
        <w:bidi w:val="0"/>
        <w:spacing w:after="120"/>
        <w:ind w:left="397" w:hanging="397"/>
        <w:jc w:val="both"/>
        <w:rPr>
          <w:rFonts w:ascii="Georgia" w:hAnsi="Georgia" w:cs="Times New Roman"/>
          <w:sz w:val="18"/>
          <w:szCs w:val="18"/>
        </w:rPr>
      </w:pPr>
      <w:proofErr w:type="spellStart"/>
      <w:r w:rsidRPr="00502134">
        <w:rPr>
          <w:rFonts w:ascii="Georgia" w:hAnsi="Georgia" w:cs="Times New Roman"/>
          <w:sz w:val="18"/>
          <w:szCs w:val="18"/>
        </w:rPr>
        <w:t>Butrica</w:t>
      </w:r>
      <w:proofErr w:type="spellEnd"/>
      <w:r w:rsidRPr="00502134">
        <w:rPr>
          <w:rFonts w:ascii="Georgia" w:hAnsi="Georgia" w:cs="Times New Roman"/>
          <w:sz w:val="18"/>
          <w:szCs w:val="18"/>
        </w:rPr>
        <w:t xml:space="preserve">, B. (2015, March). </w:t>
      </w:r>
      <w:r w:rsidRPr="00502134">
        <w:rPr>
          <w:rFonts w:ascii="Georgia" w:hAnsi="Georgia" w:cs="Times New Roman"/>
          <w:i/>
          <w:sz w:val="18"/>
          <w:szCs w:val="18"/>
        </w:rPr>
        <w:t xml:space="preserve">A Review of children’s bank accounts </w:t>
      </w:r>
      <w:r w:rsidRPr="00502134">
        <w:rPr>
          <w:rFonts w:ascii="Georgia" w:hAnsi="Georgia" w:cs="Times New Roman"/>
          <w:sz w:val="18"/>
          <w:szCs w:val="18"/>
        </w:rPr>
        <w:t>(Research report). Urban Institute.</w:t>
      </w:r>
    </w:p>
    <w:p w14:paraId="54396069"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rPr>
      </w:pPr>
      <w:r w:rsidRPr="00502134">
        <w:rPr>
          <w:rFonts w:ascii="Georgia" w:hAnsi="Georgia" w:cs="Times New Roman"/>
          <w:sz w:val="18"/>
          <w:szCs w:val="18"/>
          <w:shd w:val="clear" w:color="auto" w:fill="FFFFFF"/>
        </w:rPr>
        <w:t xml:space="preserve">Clancy, M. M., Beverly, S. G., </w:t>
      </w:r>
      <w:proofErr w:type="spellStart"/>
      <w:r w:rsidRPr="00502134">
        <w:rPr>
          <w:rFonts w:ascii="Georgia" w:hAnsi="Georgia" w:cs="Times New Roman"/>
          <w:sz w:val="18"/>
          <w:szCs w:val="18"/>
          <w:shd w:val="clear" w:color="auto" w:fill="FFFFFF"/>
        </w:rPr>
        <w:t>Sherraden</w:t>
      </w:r>
      <w:proofErr w:type="spellEnd"/>
      <w:r w:rsidRPr="00502134">
        <w:rPr>
          <w:rFonts w:ascii="Georgia" w:hAnsi="Georgia" w:cs="Times New Roman"/>
          <w:sz w:val="18"/>
          <w:szCs w:val="18"/>
          <w:shd w:val="clear" w:color="auto" w:fill="FFFFFF"/>
        </w:rPr>
        <w:t xml:space="preserve">, M., &amp; Huang, J. (2016). Testing universal child development accounts: Financial effects in a large social experiment. </w:t>
      </w:r>
      <w:r w:rsidRPr="00502134">
        <w:rPr>
          <w:rFonts w:ascii="Georgia" w:hAnsi="Georgia" w:cs="Times New Roman"/>
          <w:i/>
          <w:iCs/>
          <w:sz w:val="18"/>
          <w:szCs w:val="18"/>
          <w:shd w:val="clear" w:color="auto" w:fill="FFFFFF"/>
        </w:rPr>
        <w:t>Social Service Review</w:t>
      </w:r>
      <w:r w:rsidRPr="00502134">
        <w:rPr>
          <w:rFonts w:ascii="Georgia" w:hAnsi="Georgia" w:cs="Times New Roman"/>
          <w:sz w:val="18"/>
          <w:szCs w:val="18"/>
          <w:shd w:val="clear" w:color="auto" w:fill="FFFFFF"/>
        </w:rPr>
        <w:t xml:space="preserve">, </w:t>
      </w:r>
      <w:r w:rsidRPr="00502134">
        <w:rPr>
          <w:rFonts w:ascii="Georgia" w:hAnsi="Georgia" w:cs="Times New Roman"/>
          <w:i/>
          <w:iCs/>
          <w:sz w:val="18"/>
          <w:szCs w:val="18"/>
          <w:shd w:val="clear" w:color="auto" w:fill="FFFFFF"/>
        </w:rPr>
        <w:t>90</w:t>
      </w:r>
      <w:r w:rsidRPr="00502134">
        <w:rPr>
          <w:rFonts w:ascii="Georgia" w:hAnsi="Georgia" w:cs="Times New Roman"/>
          <w:sz w:val="18"/>
          <w:szCs w:val="18"/>
          <w:shd w:val="clear" w:color="auto" w:fill="FFFFFF"/>
        </w:rPr>
        <w:t>(4), 683</w:t>
      </w:r>
      <w:r w:rsidRPr="00502134">
        <w:rPr>
          <w:rFonts w:ascii="Georgia" w:hAnsi="Georgia" w:cs="Times New Roman"/>
          <w:sz w:val="18"/>
          <w:szCs w:val="18"/>
        </w:rPr>
        <w:t>–</w:t>
      </w:r>
      <w:r w:rsidRPr="00502134">
        <w:rPr>
          <w:rFonts w:ascii="Georgia" w:hAnsi="Georgia" w:cs="Times New Roman"/>
          <w:sz w:val="18"/>
          <w:szCs w:val="18"/>
          <w:shd w:val="clear" w:color="auto" w:fill="FFFFFF"/>
        </w:rPr>
        <w:t>708.</w:t>
      </w:r>
    </w:p>
    <w:p w14:paraId="383481E6" w14:textId="77777777" w:rsidR="009C50E2" w:rsidRPr="00502134" w:rsidRDefault="009C50E2" w:rsidP="009C50E2">
      <w:pPr>
        <w:bidi w:val="0"/>
        <w:spacing w:after="120"/>
        <w:ind w:left="397" w:hanging="397"/>
        <w:jc w:val="both"/>
        <w:rPr>
          <w:rFonts w:ascii="Georgia" w:hAnsi="Georgia" w:cs="Times New Roman"/>
          <w:sz w:val="18"/>
          <w:szCs w:val="18"/>
        </w:rPr>
      </w:pPr>
      <w:r w:rsidRPr="00502134">
        <w:rPr>
          <w:rFonts w:ascii="Georgia" w:hAnsi="Georgia" w:cs="Times New Roman"/>
          <w:sz w:val="18"/>
          <w:szCs w:val="18"/>
        </w:rPr>
        <w:t xml:space="preserve">Elliott, W., Destin, M., &amp; </w:t>
      </w:r>
      <w:proofErr w:type="spellStart"/>
      <w:r w:rsidRPr="00502134">
        <w:rPr>
          <w:rFonts w:ascii="Georgia" w:hAnsi="Georgia" w:cs="Times New Roman"/>
          <w:sz w:val="18"/>
          <w:szCs w:val="18"/>
        </w:rPr>
        <w:t>Friedline</w:t>
      </w:r>
      <w:proofErr w:type="spellEnd"/>
      <w:r w:rsidRPr="00502134">
        <w:rPr>
          <w:rFonts w:ascii="Georgia" w:hAnsi="Georgia" w:cs="Times New Roman"/>
          <w:sz w:val="18"/>
          <w:szCs w:val="18"/>
        </w:rPr>
        <w:t xml:space="preserve">, T. (2011). Taking stock of ten years of research on the relationship between assets and children's educational outcomes: Implications for theory, policy and intervention. </w:t>
      </w:r>
      <w:r w:rsidRPr="00502134">
        <w:rPr>
          <w:rFonts w:ascii="Georgia" w:hAnsi="Georgia" w:cs="Times New Roman"/>
          <w:i/>
          <w:sz w:val="18"/>
          <w:szCs w:val="18"/>
        </w:rPr>
        <w:t>Children and Youth Services Review</w:t>
      </w:r>
      <w:r w:rsidRPr="00502134">
        <w:rPr>
          <w:rFonts w:ascii="Georgia" w:hAnsi="Georgia" w:cs="Times New Roman"/>
          <w:iCs/>
          <w:sz w:val="18"/>
          <w:szCs w:val="18"/>
        </w:rPr>
        <w:t>,</w:t>
      </w:r>
      <w:r w:rsidRPr="00502134">
        <w:rPr>
          <w:rFonts w:ascii="Georgia" w:hAnsi="Georgia" w:cs="Times New Roman"/>
          <w:i/>
          <w:sz w:val="18"/>
          <w:szCs w:val="18"/>
        </w:rPr>
        <w:t xml:space="preserve"> 33</w:t>
      </w:r>
      <w:r w:rsidRPr="00502134">
        <w:rPr>
          <w:rFonts w:ascii="Georgia" w:hAnsi="Georgia" w:cs="Times New Roman"/>
          <w:sz w:val="18"/>
          <w:szCs w:val="18"/>
        </w:rPr>
        <w:t>(11), 2312–2328.</w:t>
      </w:r>
    </w:p>
    <w:p w14:paraId="516821A8" w14:textId="77777777" w:rsidR="009C50E2" w:rsidRPr="00502134" w:rsidRDefault="009C50E2" w:rsidP="009C50E2">
      <w:pPr>
        <w:bidi w:val="0"/>
        <w:spacing w:after="120"/>
        <w:ind w:left="397" w:hanging="397"/>
        <w:jc w:val="both"/>
        <w:rPr>
          <w:rFonts w:ascii="Georgia" w:hAnsi="Georgia" w:cs="Times New Roman"/>
          <w:sz w:val="18"/>
          <w:szCs w:val="18"/>
        </w:rPr>
      </w:pPr>
      <w:r w:rsidRPr="00502134">
        <w:rPr>
          <w:rFonts w:ascii="Georgia" w:hAnsi="Georgia" w:cs="Times New Roman"/>
          <w:sz w:val="18"/>
          <w:szCs w:val="18"/>
        </w:rPr>
        <w:lastRenderedPageBreak/>
        <w:t xml:space="preserve">Fernandes, D., Lynch Jr, J. G., &amp; </w:t>
      </w:r>
      <w:proofErr w:type="spellStart"/>
      <w:r w:rsidRPr="00502134">
        <w:rPr>
          <w:rFonts w:ascii="Georgia" w:hAnsi="Georgia" w:cs="Times New Roman"/>
          <w:sz w:val="18"/>
          <w:szCs w:val="18"/>
        </w:rPr>
        <w:t>Netemeyer</w:t>
      </w:r>
      <w:proofErr w:type="spellEnd"/>
      <w:r w:rsidRPr="00502134">
        <w:rPr>
          <w:rFonts w:ascii="Georgia" w:hAnsi="Georgia" w:cs="Times New Roman"/>
          <w:sz w:val="18"/>
          <w:szCs w:val="18"/>
        </w:rPr>
        <w:t xml:space="preserve">, R. G. (2014). Financial literacy, financial education, and downstream financial behaviors. </w:t>
      </w:r>
      <w:r w:rsidRPr="00502134">
        <w:rPr>
          <w:rFonts w:ascii="Georgia" w:hAnsi="Georgia" w:cs="Times New Roman"/>
          <w:i/>
          <w:sz w:val="18"/>
          <w:szCs w:val="18"/>
        </w:rPr>
        <w:t>Management Science</w:t>
      </w:r>
      <w:r w:rsidRPr="00502134">
        <w:rPr>
          <w:rFonts w:ascii="Georgia" w:hAnsi="Georgia" w:cs="Times New Roman"/>
          <w:iCs/>
          <w:sz w:val="18"/>
          <w:szCs w:val="18"/>
        </w:rPr>
        <w:t>,</w:t>
      </w:r>
      <w:r w:rsidRPr="00502134">
        <w:rPr>
          <w:rFonts w:ascii="Georgia" w:hAnsi="Georgia" w:cs="Times New Roman"/>
          <w:i/>
          <w:sz w:val="18"/>
          <w:szCs w:val="18"/>
        </w:rPr>
        <w:t xml:space="preserve"> 60</w:t>
      </w:r>
      <w:r w:rsidRPr="00502134">
        <w:rPr>
          <w:rFonts w:ascii="Georgia" w:hAnsi="Georgia" w:cs="Times New Roman"/>
          <w:sz w:val="18"/>
          <w:szCs w:val="18"/>
        </w:rPr>
        <w:t xml:space="preserve">(8), 1861–1883. </w:t>
      </w:r>
    </w:p>
    <w:p w14:paraId="22E0005A"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rPr>
      </w:pPr>
      <w:proofErr w:type="spellStart"/>
      <w:r w:rsidRPr="00502134">
        <w:rPr>
          <w:rFonts w:ascii="Georgia" w:hAnsi="Georgia" w:cs="Times New Roman"/>
          <w:sz w:val="18"/>
          <w:szCs w:val="18"/>
          <w:shd w:val="clear" w:color="auto" w:fill="FFFFFF"/>
        </w:rPr>
        <w:t>Figueiredo</w:t>
      </w:r>
      <w:proofErr w:type="spellEnd"/>
      <w:r w:rsidRPr="00502134">
        <w:rPr>
          <w:rFonts w:ascii="Georgia" w:hAnsi="Georgia" w:cs="Times New Roman"/>
          <w:sz w:val="18"/>
          <w:szCs w:val="18"/>
          <w:shd w:val="clear" w:color="auto" w:fill="FFFFFF"/>
        </w:rPr>
        <w:t xml:space="preserve"> Filho, D. B., </w:t>
      </w:r>
      <w:proofErr w:type="spellStart"/>
      <w:r w:rsidRPr="00502134">
        <w:rPr>
          <w:rFonts w:ascii="Georgia" w:hAnsi="Georgia" w:cs="Times New Roman"/>
          <w:sz w:val="18"/>
          <w:szCs w:val="18"/>
          <w:shd w:val="clear" w:color="auto" w:fill="FFFFFF"/>
        </w:rPr>
        <w:t>Paranhos</w:t>
      </w:r>
      <w:proofErr w:type="spellEnd"/>
      <w:r w:rsidRPr="00502134">
        <w:rPr>
          <w:rFonts w:ascii="Georgia" w:hAnsi="Georgia" w:cs="Times New Roman"/>
          <w:sz w:val="18"/>
          <w:szCs w:val="18"/>
          <w:shd w:val="clear" w:color="auto" w:fill="FFFFFF"/>
        </w:rPr>
        <w:t xml:space="preserve">, R., Rocha, E. C. D., Batista, M., Silva Jr, J. A. D., Santos, M. L. W. D., &amp; Marino, J. G. (2013). When is statistical significance not significant? </w:t>
      </w:r>
      <w:r w:rsidRPr="00502134">
        <w:rPr>
          <w:rFonts w:ascii="Georgia" w:hAnsi="Georgia" w:cs="Times New Roman"/>
          <w:i/>
          <w:iCs/>
          <w:sz w:val="18"/>
          <w:szCs w:val="18"/>
          <w:shd w:val="clear" w:color="auto" w:fill="FFFFFF"/>
        </w:rPr>
        <w:t>Brazilian Political Science Review</w:t>
      </w:r>
      <w:r w:rsidRPr="00502134">
        <w:rPr>
          <w:rFonts w:ascii="Georgia" w:hAnsi="Georgia" w:cs="Times New Roman"/>
          <w:sz w:val="18"/>
          <w:szCs w:val="18"/>
          <w:shd w:val="clear" w:color="auto" w:fill="FFFFFF"/>
        </w:rPr>
        <w:t xml:space="preserve">, </w:t>
      </w:r>
      <w:r w:rsidRPr="00502134">
        <w:rPr>
          <w:rFonts w:ascii="Georgia" w:hAnsi="Georgia" w:cs="Times New Roman"/>
          <w:i/>
          <w:iCs/>
          <w:sz w:val="18"/>
          <w:szCs w:val="18"/>
          <w:shd w:val="clear" w:color="auto" w:fill="FFFFFF"/>
        </w:rPr>
        <w:t>7</w:t>
      </w:r>
      <w:r w:rsidRPr="00502134">
        <w:rPr>
          <w:rFonts w:ascii="Georgia" w:hAnsi="Georgia" w:cs="Times New Roman"/>
          <w:sz w:val="18"/>
          <w:szCs w:val="18"/>
          <w:shd w:val="clear" w:color="auto" w:fill="FFFFFF"/>
        </w:rPr>
        <w:t>(1), 31</w:t>
      </w:r>
      <w:r w:rsidRPr="00502134">
        <w:rPr>
          <w:rFonts w:ascii="Georgia" w:hAnsi="Georgia" w:cs="Times New Roman"/>
          <w:sz w:val="18"/>
          <w:szCs w:val="18"/>
        </w:rPr>
        <w:t>–</w:t>
      </w:r>
      <w:r w:rsidRPr="00502134">
        <w:rPr>
          <w:rFonts w:ascii="Georgia" w:hAnsi="Georgia" w:cs="Times New Roman"/>
          <w:sz w:val="18"/>
          <w:szCs w:val="18"/>
          <w:shd w:val="clear" w:color="auto" w:fill="FFFFFF"/>
        </w:rPr>
        <w:t>55.</w:t>
      </w:r>
    </w:p>
    <w:p w14:paraId="067A39C4" w14:textId="77777777" w:rsidR="009C50E2" w:rsidRPr="00502134" w:rsidRDefault="009C50E2" w:rsidP="009C50E2">
      <w:pPr>
        <w:bidi w:val="0"/>
        <w:spacing w:after="120"/>
        <w:ind w:left="397" w:hanging="397"/>
        <w:jc w:val="both"/>
        <w:rPr>
          <w:rFonts w:ascii="Georgia" w:hAnsi="Georgia" w:cs="Times New Roman"/>
          <w:sz w:val="18"/>
          <w:szCs w:val="18"/>
        </w:rPr>
      </w:pPr>
      <w:proofErr w:type="spellStart"/>
      <w:r w:rsidRPr="00502134">
        <w:rPr>
          <w:rFonts w:ascii="Georgia" w:hAnsi="Georgia" w:cs="Times New Roman"/>
          <w:sz w:val="18"/>
          <w:szCs w:val="18"/>
        </w:rPr>
        <w:t>Frenette</w:t>
      </w:r>
      <w:proofErr w:type="spellEnd"/>
      <w:r w:rsidRPr="00502134">
        <w:rPr>
          <w:rFonts w:ascii="Georgia" w:hAnsi="Georgia" w:cs="Times New Roman"/>
          <w:sz w:val="18"/>
          <w:szCs w:val="18"/>
        </w:rPr>
        <w:t xml:space="preserve">, M. (2017, April). </w:t>
      </w:r>
      <w:r w:rsidRPr="00502134">
        <w:rPr>
          <w:rFonts w:ascii="Georgia" w:hAnsi="Georgia" w:cs="Times New Roman"/>
          <w:iCs/>
          <w:sz w:val="18"/>
          <w:szCs w:val="18"/>
        </w:rPr>
        <w:t>Investments in registered education savings plans and postsecondary attendance</w:t>
      </w:r>
      <w:r w:rsidRPr="00502134">
        <w:rPr>
          <w:rFonts w:ascii="Georgia" w:hAnsi="Georgia" w:cs="Times New Roman"/>
          <w:i/>
          <w:sz w:val="18"/>
          <w:szCs w:val="18"/>
        </w:rPr>
        <w:t>.</w:t>
      </w:r>
      <w:r w:rsidRPr="00502134">
        <w:rPr>
          <w:rFonts w:ascii="Georgia" w:hAnsi="Georgia" w:cs="Times New Roman"/>
          <w:sz w:val="18"/>
          <w:szCs w:val="18"/>
        </w:rPr>
        <w:t xml:space="preserve"> </w:t>
      </w:r>
      <w:r w:rsidRPr="00502134">
        <w:rPr>
          <w:rFonts w:ascii="Georgia" w:hAnsi="Georgia" w:cs="Times New Roman"/>
          <w:i/>
          <w:iCs/>
          <w:sz w:val="18"/>
          <w:szCs w:val="18"/>
        </w:rPr>
        <w:t>Economic Insights</w:t>
      </w:r>
      <w:r w:rsidRPr="00502134">
        <w:rPr>
          <w:rFonts w:ascii="Georgia" w:hAnsi="Georgia" w:cs="Times New Roman"/>
          <w:sz w:val="18"/>
          <w:szCs w:val="18"/>
        </w:rPr>
        <w:t>,</w:t>
      </w:r>
      <w:r w:rsidRPr="00502134">
        <w:rPr>
          <w:rFonts w:ascii="Georgia" w:hAnsi="Georgia" w:cs="Times New Roman"/>
          <w:i/>
          <w:iCs/>
          <w:sz w:val="18"/>
          <w:szCs w:val="18"/>
        </w:rPr>
        <w:t xml:space="preserve"> 71</w:t>
      </w:r>
      <w:r w:rsidRPr="00502134">
        <w:rPr>
          <w:rFonts w:ascii="Georgia" w:hAnsi="Georgia" w:cs="Times New Roman"/>
          <w:sz w:val="18"/>
          <w:szCs w:val="18"/>
        </w:rPr>
        <w:t>. Statistics Canada, catalogue no. 11-626-X.</w:t>
      </w:r>
    </w:p>
    <w:p w14:paraId="1A06C91B" w14:textId="77777777" w:rsidR="009C50E2" w:rsidRPr="00502134" w:rsidRDefault="009C50E2" w:rsidP="009C50E2">
      <w:pPr>
        <w:bidi w:val="0"/>
        <w:spacing w:after="120"/>
        <w:ind w:left="397" w:hanging="397"/>
        <w:jc w:val="both"/>
        <w:rPr>
          <w:rFonts w:ascii="Georgia" w:hAnsi="Georgia" w:cs="Times New Roman"/>
          <w:sz w:val="18"/>
          <w:szCs w:val="18"/>
        </w:rPr>
      </w:pPr>
      <w:proofErr w:type="spellStart"/>
      <w:r w:rsidRPr="00502134">
        <w:rPr>
          <w:rFonts w:ascii="Georgia" w:hAnsi="Georgia" w:cs="Times New Roman"/>
          <w:sz w:val="18"/>
          <w:szCs w:val="18"/>
        </w:rPr>
        <w:t>Gjertson</w:t>
      </w:r>
      <w:proofErr w:type="spellEnd"/>
      <w:r w:rsidRPr="00502134">
        <w:rPr>
          <w:rFonts w:ascii="Georgia" w:hAnsi="Georgia" w:cs="Times New Roman"/>
          <w:sz w:val="18"/>
          <w:szCs w:val="18"/>
        </w:rPr>
        <w:t>, L. (2016). Emergency saving and household hardship. </w:t>
      </w:r>
      <w:r w:rsidRPr="00502134">
        <w:rPr>
          <w:rFonts w:ascii="Georgia" w:hAnsi="Georgia" w:cs="Times New Roman"/>
          <w:i/>
          <w:iCs/>
          <w:sz w:val="18"/>
          <w:szCs w:val="18"/>
        </w:rPr>
        <w:t>Journal of Family and Economic Issues</w:t>
      </w:r>
      <w:r w:rsidRPr="00502134">
        <w:rPr>
          <w:rFonts w:ascii="Georgia" w:hAnsi="Georgia" w:cs="Times New Roman"/>
          <w:sz w:val="18"/>
          <w:szCs w:val="18"/>
        </w:rPr>
        <w:t xml:space="preserve">, </w:t>
      </w:r>
      <w:r w:rsidRPr="00502134">
        <w:rPr>
          <w:rFonts w:ascii="Georgia" w:hAnsi="Georgia" w:cs="Times New Roman"/>
          <w:i/>
          <w:sz w:val="18"/>
          <w:szCs w:val="18"/>
        </w:rPr>
        <w:t>37</w:t>
      </w:r>
      <w:r w:rsidRPr="00502134">
        <w:rPr>
          <w:rFonts w:ascii="Georgia" w:hAnsi="Georgia" w:cs="Times New Roman"/>
          <w:sz w:val="18"/>
          <w:szCs w:val="18"/>
        </w:rPr>
        <w:t>(1), 1–17.</w:t>
      </w:r>
    </w:p>
    <w:p w14:paraId="115DCD6E" w14:textId="77777777" w:rsidR="009C50E2" w:rsidRPr="00502134" w:rsidRDefault="009C50E2" w:rsidP="009C50E2">
      <w:pPr>
        <w:bidi w:val="0"/>
        <w:spacing w:after="120"/>
        <w:ind w:left="397" w:hanging="397"/>
        <w:jc w:val="both"/>
        <w:rPr>
          <w:rFonts w:ascii="Georgia" w:hAnsi="Georgia" w:cs="Times New Roman"/>
          <w:sz w:val="18"/>
          <w:szCs w:val="18"/>
        </w:rPr>
      </w:pPr>
      <w:r w:rsidRPr="00502134">
        <w:rPr>
          <w:rFonts w:ascii="Georgia" w:hAnsi="Georgia" w:cs="Times New Roman"/>
          <w:sz w:val="18"/>
          <w:szCs w:val="18"/>
        </w:rPr>
        <w:t xml:space="preserve">Green, R., K., &amp; White, M. J. (1997). Measuring the benefits of homeowning: Effects on children. </w:t>
      </w:r>
      <w:r w:rsidRPr="00502134">
        <w:rPr>
          <w:rFonts w:ascii="Georgia" w:hAnsi="Georgia" w:cs="Times New Roman"/>
          <w:i/>
          <w:sz w:val="18"/>
          <w:szCs w:val="18"/>
        </w:rPr>
        <w:t>Journal of Urban Economics</w:t>
      </w:r>
      <w:r w:rsidRPr="00502134">
        <w:rPr>
          <w:rFonts w:ascii="Georgia" w:hAnsi="Georgia" w:cs="Times New Roman"/>
          <w:iCs/>
          <w:sz w:val="18"/>
          <w:szCs w:val="18"/>
        </w:rPr>
        <w:t>,</w:t>
      </w:r>
      <w:r w:rsidRPr="00502134">
        <w:rPr>
          <w:rFonts w:ascii="Georgia" w:hAnsi="Georgia" w:cs="Times New Roman"/>
          <w:i/>
          <w:sz w:val="18"/>
          <w:szCs w:val="18"/>
        </w:rPr>
        <w:t xml:space="preserve"> 41</w:t>
      </w:r>
      <w:r w:rsidRPr="00502134">
        <w:rPr>
          <w:rFonts w:ascii="Georgia" w:hAnsi="Georgia" w:cs="Times New Roman"/>
          <w:sz w:val="18"/>
          <w:szCs w:val="18"/>
        </w:rPr>
        <w:t>(3), 441–461.</w:t>
      </w:r>
    </w:p>
    <w:p w14:paraId="569EA66A"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lang w:val="es-ES"/>
        </w:rPr>
      </w:pPr>
      <w:r w:rsidRPr="00502134">
        <w:rPr>
          <w:rFonts w:ascii="Georgia" w:hAnsi="Georgia" w:cs="Times New Roman"/>
          <w:color w:val="222222"/>
          <w:sz w:val="18"/>
          <w:szCs w:val="18"/>
          <w:shd w:val="clear" w:color="auto" w:fill="FFFFFF"/>
        </w:rPr>
        <w:t xml:space="preserve">Grinstein-Weiss, M., </w:t>
      </w:r>
      <w:proofErr w:type="spellStart"/>
      <w:r w:rsidRPr="00502134">
        <w:rPr>
          <w:rFonts w:ascii="Georgia" w:hAnsi="Georgia" w:cs="Times New Roman"/>
          <w:color w:val="222222"/>
          <w:sz w:val="18"/>
          <w:szCs w:val="18"/>
          <w:shd w:val="clear" w:color="auto" w:fill="FFFFFF"/>
        </w:rPr>
        <w:t>Kondratjeva</w:t>
      </w:r>
      <w:proofErr w:type="spellEnd"/>
      <w:r w:rsidRPr="00502134">
        <w:rPr>
          <w:rFonts w:ascii="Georgia" w:hAnsi="Georgia" w:cs="Times New Roman"/>
          <w:color w:val="222222"/>
          <w:sz w:val="18"/>
          <w:szCs w:val="18"/>
          <w:shd w:val="clear" w:color="auto" w:fill="FFFFFF"/>
        </w:rPr>
        <w:t>, O., Roll, S. P., Pinto, O., &amp; Gottlieb, D. (2019). The Saving for Every Child Program in Israel: An overview of a universal asset-building policy.</w:t>
      </w:r>
      <w:r w:rsidRPr="00502134" w:rsidDel="00017329">
        <w:rPr>
          <w:rFonts w:ascii="Georgia" w:hAnsi="Georgia" w:cs="Times New Roman"/>
          <w:color w:val="222222"/>
          <w:sz w:val="18"/>
          <w:szCs w:val="18"/>
          <w:shd w:val="clear" w:color="auto" w:fill="FFFFFF"/>
        </w:rPr>
        <w:t xml:space="preserve"> </w:t>
      </w:r>
      <w:r w:rsidRPr="00502134">
        <w:rPr>
          <w:rFonts w:ascii="Georgia" w:hAnsi="Georgia" w:cs="Times New Roman"/>
          <w:i/>
          <w:iCs/>
          <w:color w:val="222222"/>
          <w:sz w:val="18"/>
          <w:szCs w:val="18"/>
          <w:shd w:val="clear" w:color="auto" w:fill="FFFFFF"/>
        </w:rPr>
        <w:t>Asia Pacific journal of social work and development</w:t>
      </w:r>
      <w:r w:rsidRPr="00502134">
        <w:rPr>
          <w:rFonts w:ascii="Georgia" w:hAnsi="Georgia" w:cs="Times New Roman"/>
          <w:color w:val="222222"/>
          <w:sz w:val="18"/>
          <w:szCs w:val="18"/>
          <w:shd w:val="clear" w:color="auto" w:fill="FFFFFF"/>
        </w:rPr>
        <w:t xml:space="preserve">, </w:t>
      </w:r>
      <w:r w:rsidRPr="00502134">
        <w:rPr>
          <w:rFonts w:ascii="Georgia" w:hAnsi="Georgia" w:cs="Times New Roman"/>
          <w:i/>
          <w:iCs/>
          <w:color w:val="222222"/>
          <w:sz w:val="18"/>
          <w:szCs w:val="18"/>
          <w:shd w:val="clear" w:color="auto" w:fill="FFFFFF"/>
        </w:rPr>
        <w:t>29</w:t>
      </w:r>
      <w:r w:rsidRPr="00502134">
        <w:rPr>
          <w:rFonts w:ascii="Georgia" w:hAnsi="Georgia" w:cs="Times New Roman"/>
          <w:color w:val="222222"/>
          <w:sz w:val="18"/>
          <w:szCs w:val="18"/>
          <w:shd w:val="clear" w:color="auto" w:fill="FFFFFF"/>
        </w:rPr>
        <w:t>(1), 20</w:t>
      </w:r>
      <w:r w:rsidRPr="00502134">
        <w:rPr>
          <w:rFonts w:ascii="Georgia" w:hAnsi="Georgia" w:cs="Times New Roman"/>
          <w:sz w:val="18"/>
          <w:szCs w:val="18"/>
        </w:rPr>
        <w:t>–</w:t>
      </w:r>
      <w:r w:rsidRPr="00502134">
        <w:rPr>
          <w:rFonts w:ascii="Georgia" w:hAnsi="Georgia" w:cs="Times New Roman"/>
          <w:color w:val="222222"/>
          <w:sz w:val="18"/>
          <w:szCs w:val="18"/>
          <w:shd w:val="clear" w:color="auto" w:fill="FFFFFF"/>
        </w:rPr>
        <w:t>33.</w:t>
      </w:r>
      <w:r w:rsidRPr="00502134">
        <w:rPr>
          <w:rFonts w:ascii="Georgia" w:hAnsi="Georgia" w:cs="Times New Roman"/>
          <w:sz w:val="18"/>
          <w:szCs w:val="18"/>
          <w:shd w:val="clear" w:color="auto" w:fill="FFFFFF"/>
          <w:lang w:val="es-ES"/>
        </w:rPr>
        <w:t xml:space="preserve"> </w:t>
      </w:r>
    </w:p>
    <w:p w14:paraId="1F6305DA"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rPr>
      </w:pPr>
      <w:r w:rsidRPr="00502134">
        <w:rPr>
          <w:rFonts w:ascii="Georgia" w:hAnsi="Georgia" w:cs="Times New Roman"/>
          <w:sz w:val="18"/>
          <w:szCs w:val="18"/>
          <w:shd w:val="clear" w:color="auto" w:fill="FFFFFF"/>
          <w:lang w:val="es-ES"/>
        </w:rPr>
        <w:t>Han, C.</w:t>
      </w:r>
      <w:r w:rsidRPr="00502134" w:rsidDel="004F214F">
        <w:rPr>
          <w:rFonts w:ascii="Georgia" w:hAnsi="Georgia" w:cs="Times New Roman"/>
          <w:sz w:val="18"/>
          <w:szCs w:val="18"/>
          <w:shd w:val="clear" w:color="auto" w:fill="FFFFFF"/>
          <w:lang w:val="es-ES"/>
        </w:rPr>
        <w:t xml:space="preserve"> </w:t>
      </w:r>
      <w:r w:rsidRPr="00502134">
        <w:rPr>
          <w:rFonts w:ascii="Georgia" w:hAnsi="Georgia" w:cs="Times New Roman"/>
          <w:sz w:val="18"/>
          <w:szCs w:val="18"/>
          <w:shd w:val="clear" w:color="auto" w:fill="FFFFFF"/>
          <w:lang w:val="es-ES"/>
        </w:rPr>
        <w:t xml:space="preserve">K., &amp; </w:t>
      </w:r>
      <w:proofErr w:type="spellStart"/>
      <w:r w:rsidRPr="00502134">
        <w:rPr>
          <w:rFonts w:ascii="Georgia" w:hAnsi="Georgia" w:cs="Times New Roman"/>
          <w:sz w:val="18"/>
          <w:szCs w:val="18"/>
          <w:shd w:val="clear" w:color="auto" w:fill="FFFFFF"/>
          <w:lang w:val="es-ES"/>
        </w:rPr>
        <w:t>Chia</w:t>
      </w:r>
      <w:proofErr w:type="spellEnd"/>
      <w:r w:rsidRPr="00502134">
        <w:rPr>
          <w:rFonts w:ascii="Georgia" w:hAnsi="Georgia" w:cs="Times New Roman"/>
          <w:sz w:val="18"/>
          <w:szCs w:val="18"/>
          <w:shd w:val="clear" w:color="auto" w:fill="FFFFFF"/>
          <w:lang w:val="es-ES"/>
        </w:rPr>
        <w:t xml:space="preserve">, A. (2012). </w:t>
      </w:r>
      <w:r w:rsidRPr="00502134">
        <w:rPr>
          <w:rFonts w:ascii="Georgia" w:hAnsi="Georgia" w:cs="Times New Roman"/>
          <w:sz w:val="18"/>
          <w:szCs w:val="18"/>
          <w:shd w:val="clear" w:color="auto" w:fill="FFFFFF"/>
        </w:rPr>
        <w:t xml:space="preserve">A preliminary study on parents saving in the child development account in Singapore. </w:t>
      </w:r>
      <w:r w:rsidRPr="00502134">
        <w:rPr>
          <w:rFonts w:ascii="Georgia" w:hAnsi="Georgia" w:cs="Times New Roman"/>
          <w:i/>
          <w:sz w:val="18"/>
          <w:szCs w:val="18"/>
          <w:shd w:val="clear" w:color="auto" w:fill="FFFFFF"/>
        </w:rPr>
        <w:t>Children and Youth Services Review</w:t>
      </w:r>
      <w:r w:rsidRPr="00502134">
        <w:rPr>
          <w:rFonts w:ascii="Georgia" w:hAnsi="Georgia" w:cs="Times New Roman"/>
          <w:iCs/>
          <w:sz w:val="18"/>
          <w:szCs w:val="18"/>
          <w:shd w:val="clear" w:color="auto" w:fill="FFFFFF"/>
        </w:rPr>
        <w:t>,</w:t>
      </w:r>
      <w:r w:rsidRPr="00502134">
        <w:rPr>
          <w:rFonts w:ascii="Georgia" w:hAnsi="Georgia" w:cs="Times New Roman"/>
          <w:i/>
          <w:sz w:val="18"/>
          <w:szCs w:val="18"/>
          <w:shd w:val="clear" w:color="auto" w:fill="FFFFFF"/>
        </w:rPr>
        <w:t xml:space="preserve"> 34</w:t>
      </w:r>
      <w:r w:rsidRPr="00502134">
        <w:rPr>
          <w:rFonts w:ascii="Georgia" w:hAnsi="Georgia" w:cs="Times New Roman"/>
          <w:sz w:val="18"/>
          <w:szCs w:val="18"/>
          <w:shd w:val="clear" w:color="auto" w:fill="FFFFFF"/>
        </w:rPr>
        <w:t>(9), 1583</w:t>
      </w:r>
      <w:r w:rsidRPr="00502134">
        <w:rPr>
          <w:rFonts w:ascii="Georgia" w:hAnsi="Georgia" w:cs="Times New Roman"/>
          <w:sz w:val="18"/>
          <w:szCs w:val="18"/>
        </w:rPr>
        <w:t>–</w:t>
      </w:r>
      <w:r w:rsidRPr="00502134">
        <w:rPr>
          <w:rFonts w:ascii="Georgia" w:hAnsi="Georgia" w:cs="Times New Roman"/>
          <w:sz w:val="18"/>
          <w:szCs w:val="18"/>
          <w:shd w:val="clear" w:color="auto" w:fill="FFFFFF"/>
        </w:rPr>
        <w:t xml:space="preserve">1589. </w:t>
      </w:r>
    </w:p>
    <w:p w14:paraId="34E451C4" w14:textId="77777777" w:rsidR="009C50E2" w:rsidRPr="00502134" w:rsidRDefault="009C50E2" w:rsidP="009C50E2">
      <w:pPr>
        <w:bidi w:val="0"/>
        <w:spacing w:after="120"/>
        <w:ind w:left="397" w:hanging="397"/>
        <w:jc w:val="both"/>
        <w:rPr>
          <w:rFonts w:ascii="Georgia" w:hAnsi="Georgia" w:cs="Times New Roman"/>
          <w:sz w:val="18"/>
          <w:szCs w:val="18"/>
          <w:shd w:val="clear" w:color="auto" w:fill="FFFFFF"/>
        </w:rPr>
      </w:pPr>
      <w:proofErr w:type="spellStart"/>
      <w:r w:rsidRPr="00502134">
        <w:rPr>
          <w:rFonts w:ascii="Georgia" w:hAnsi="Georgia" w:cs="Times New Roman"/>
          <w:sz w:val="18"/>
          <w:szCs w:val="18"/>
          <w:shd w:val="clear" w:color="auto" w:fill="FFFFFF"/>
        </w:rPr>
        <w:t>Haurin</w:t>
      </w:r>
      <w:proofErr w:type="spellEnd"/>
      <w:r w:rsidRPr="00502134">
        <w:rPr>
          <w:rFonts w:ascii="Georgia" w:hAnsi="Georgia" w:cs="Times New Roman"/>
          <w:sz w:val="18"/>
          <w:szCs w:val="18"/>
          <w:shd w:val="clear" w:color="auto" w:fill="FFFFFF"/>
        </w:rPr>
        <w:t xml:space="preserve">, D. R., Parcel, T. L., &amp; </w:t>
      </w:r>
      <w:proofErr w:type="spellStart"/>
      <w:r w:rsidRPr="00502134">
        <w:rPr>
          <w:rFonts w:ascii="Georgia" w:hAnsi="Georgia" w:cs="Times New Roman"/>
          <w:sz w:val="18"/>
          <w:szCs w:val="18"/>
          <w:shd w:val="clear" w:color="auto" w:fill="FFFFFF"/>
        </w:rPr>
        <w:t>Haurin</w:t>
      </w:r>
      <w:proofErr w:type="spellEnd"/>
      <w:r w:rsidRPr="00502134">
        <w:rPr>
          <w:rFonts w:ascii="Georgia" w:hAnsi="Georgia" w:cs="Times New Roman"/>
          <w:sz w:val="18"/>
          <w:szCs w:val="18"/>
          <w:shd w:val="clear" w:color="auto" w:fill="FFFFFF"/>
        </w:rPr>
        <w:t xml:space="preserve">, R. J. (2002). Does homeownership affect child outcomes? </w:t>
      </w:r>
      <w:r w:rsidRPr="00502134">
        <w:rPr>
          <w:rFonts w:ascii="Georgia" w:hAnsi="Georgia" w:cs="Times New Roman"/>
          <w:i/>
          <w:sz w:val="18"/>
          <w:szCs w:val="18"/>
          <w:shd w:val="clear" w:color="auto" w:fill="FFFFFF"/>
        </w:rPr>
        <w:t>Real Estate Economics</w:t>
      </w:r>
      <w:r w:rsidRPr="00502134">
        <w:rPr>
          <w:rFonts w:ascii="Georgia" w:hAnsi="Georgia" w:cs="Times New Roman"/>
          <w:iCs/>
          <w:sz w:val="18"/>
          <w:szCs w:val="18"/>
          <w:shd w:val="clear" w:color="auto" w:fill="FFFFFF"/>
        </w:rPr>
        <w:t>,</w:t>
      </w:r>
      <w:r w:rsidRPr="00502134">
        <w:rPr>
          <w:rFonts w:ascii="Georgia" w:hAnsi="Georgia" w:cs="Times New Roman"/>
          <w:i/>
          <w:sz w:val="18"/>
          <w:szCs w:val="18"/>
          <w:shd w:val="clear" w:color="auto" w:fill="FFFFFF"/>
        </w:rPr>
        <w:t xml:space="preserve"> 30</w:t>
      </w:r>
      <w:r w:rsidRPr="00502134">
        <w:rPr>
          <w:rFonts w:ascii="Georgia" w:hAnsi="Georgia" w:cs="Times New Roman"/>
          <w:sz w:val="18"/>
          <w:szCs w:val="18"/>
          <w:shd w:val="clear" w:color="auto" w:fill="FFFFFF"/>
        </w:rPr>
        <w:t>(4), 635</w:t>
      </w:r>
      <w:r w:rsidRPr="00502134">
        <w:rPr>
          <w:rFonts w:ascii="Georgia" w:hAnsi="Georgia" w:cs="Times New Roman"/>
          <w:sz w:val="18"/>
          <w:szCs w:val="18"/>
        </w:rPr>
        <w:t>–</w:t>
      </w:r>
      <w:r w:rsidRPr="00502134">
        <w:rPr>
          <w:rFonts w:ascii="Georgia" w:hAnsi="Georgia" w:cs="Times New Roman"/>
          <w:sz w:val="18"/>
          <w:szCs w:val="18"/>
          <w:shd w:val="clear" w:color="auto" w:fill="FFFFFF"/>
        </w:rPr>
        <w:t>666.</w:t>
      </w:r>
    </w:p>
    <w:p w14:paraId="36219050"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Huang, J., Beverly, S., Clancy, M., </w:t>
      </w:r>
      <w:proofErr w:type="spellStart"/>
      <w:r w:rsidRPr="009C50E2">
        <w:rPr>
          <w:rFonts w:ascii="Georgia" w:hAnsi="Georgia" w:cs="Times New Roman"/>
          <w:sz w:val="18"/>
          <w:szCs w:val="18"/>
        </w:rPr>
        <w:t>Lassar</w:t>
      </w:r>
      <w:proofErr w:type="spellEnd"/>
      <w:r w:rsidRPr="009C50E2">
        <w:rPr>
          <w:rFonts w:ascii="Georgia" w:hAnsi="Georgia" w:cs="Times New Roman"/>
          <w:sz w:val="18"/>
          <w:szCs w:val="18"/>
        </w:rPr>
        <w:t xml:space="preserve">, T., &amp;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(2013). Early program enrollment in a statewide child development account program. </w:t>
      </w:r>
      <w:r w:rsidRPr="009C50E2">
        <w:rPr>
          <w:rFonts w:ascii="Georgia" w:hAnsi="Georgia" w:cs="Times New Roman"/>
          <w:i/>
          <w:sz w:val="18"/>
          <w:szCs w:val="18"/>
        </w:rPr>
        <w:t>Journal of Policy Practice</w:t>
      </w:r>
      <w:r w:rsidRPr="009C50E2">
        <w:rPr>
          <w:rFonts w:ascii="Georgia" w:hAnsi="Georgia" w:cs="Times New Roman"/>
          <w:sz w:val="18"/>
          <w:szCs w:val="18"/>
        </w:rPr>
        <w:t xml:space="preserve">, </w:t>
      </w:r>
      <w:r w:rsidRPr="009C50E2">
        <w:rPr>
          <w:rFonts w:ascii="Georgia" w:hAnsi="Georgia" w:cs="Times New Roman"/>
          <w:i/>
          <w:iCs/>
          <w:sz w:val="18"/>
          <w:szCs w:val="18"/>
        </w:rPr>
        <w:t>12</w:t>
      </w:r>
      <w:r w:rsidRPr="009C50E2">
        <w:rPr>
          <w:rFonts w:ascii="Georgia" w:hAnsi="Georgia" w:cs="Times New Roman"/>
          <w:sz w:val="18"/>
          <w:szCs w:val="18"/>
        </w:rPr>
        <w:t>(1), 62–81.</w:t>
      </w:r>
    </w:p>
    <w:p w14:paraId="40AA2B2C" w14:textId="77777777" w:rsidR="009C50E2" w:rsidRPr="009C50E2" w:rsidRDefault="009C50E2" w:rsidP="009C50E2">
      <w:pPr>
        <w:bidi w:val="0"/>
        <w:spacing w:after="120"/>
        <w:ind w:left="397" w:hanging="397"/>
        <w:jc w:val="both"/>
        <w:rPr>
          <w:rFonts w:ascii="Georgia" w:hAnsi="Georgia" w:cs="Times New Roman"/>
          <w:sz w:val="18"/>
          <w:szCs w:val="18"/>
          <w:shd w:val="clear" w:color="auto" w:fill="FFFFFF"/>
        </w:rPr>
      </w:pPr>
      <w:r w:rsidRPr="009C50E2">
        <w:rPr>
          <w:rFonts w:ascii="Georgia" w:hAnsi="Georgia" w:cs="Times New Roman"/>
          <w:sz w:val="18"/>
          <w:szCs w:val="18"/>
          <w:shd w:val="clear" w:color="auto" w:fill="FFFFFF"/>
        </w:rPr>
        <w:t xml:space="preserve">Huang, J., Kim, Y., &amp; </w:t>
      </w:r>
      <w:proofErr w:type="spellStart"/>
      <w:r w:rsidRPr="009C50E2">
        <w:rPr>
          <w:rFonts w:ascii="Georgia" w:hAnsi="Georgia" w:cs="Times New Roman"/>
          <w:sz w:val="18"/>
          <w:szCs w:val="18"/>
          <w:shd w:val="clear" w:color="auto" w:fill="FFFFFF"/>
        </w:rPr>
        <w:t>Sherraden</w:t>
      </w:r>
      <w:proofErr w:type="spellEnd"/>
      <w:r w:rsidRPr="009C50E2">
        <w:rPr>
          <w:rFonts w:ascii="Georgia" w:hAnsi="Georgia" w:cs="Times New Roman"/>
          <w:sz w:val="18"/>
          <w:szCs w:val="18"/>
          <w:shd w:val="clear" w:color="auto" w:fill="FFFFFF"/>
        </w:rPr>
        <w:t>, M. (2017). Material hardship and children’s social</w:t>
      </w:r>
      <w:r w:rsidRPr="009C50E2">
        <w:rPr>
          <w:rFonts w:cs="Times New Roman"/>
          <w:sz w:val="18"/>
          <w:szCs w:val="18"/>
          <w:shd w:val="clear" w:color="auto" w:fill="FFFFFF"/>
        </w:rPr>
        <w:t>‐</w:t>
      </w:r>
      <w:r w:rsidRPr="009C50E2">
        <w:rPr>
          <w:rFonts w:ascii="Georgia" w:hAnsi="Georgia" w:cs="Times New Roman"/>
          <w:sz w:val="18"/>
          <w:szCs w:val="18"/>
          <w:shd w:val="clear" w:color="auto" w:fill="FFFFFF"/>
        </w:rPr>
        <w:t>emotional development: Testing mitigating effects of child development accounts in a randomized experiment.</w:t>
      </w:r>
      <w:r w:rsidRPr="009C50E2">
        <w:rPr>
          <w:rFonts w:ascii="Georgia" w:hAnsi="Georgia" w:cs="Georgia"/>
          <w:sz w:val="18"/>
          <w:szCs w:val="18"/>
          <w:shd w:val="clear" w:color="auto" w:fill="FFFFFF"/>
        </w:rPr>
        <w:t> </w:t>
      </w:r>
      <w:r w:rsidRPr="009C50E2">
        <w:rPr>
          <w:rFonts w:ascii="Georgia" w:hAnsi="Georgia" w:cs="Times New Roman"/>
          <w:i/>
          <w:iCs/>
          <w:sz w:val="18"/>
          <w:szCs w:val="18"/>
          <w:shd w:val="clear" w:color="auto" w:fill="FFFFFF"/>
        </w:rPr>
        <w:t>Child: Care, Health and Development</w:t>
      </w:r>
      <w:r w:rsidRPr="009C50E2">
        <w:rPr>
          <w:rFonts w:ascii="Georgia" w:hAnsi="Georgia" w:cs="Times New Roman"/>
          <w:sz w:val="18"/>
          <w:szCs w:val="18"/>
          <w:shd w:val="clear" w:color="auto" w:fill="FFFFFF"/>
        </w:rPr>
        <w:t xml:space="preserve">, </w:t>
      </w:r>
      <w:r w:rsidRPr="009C50E2">
        <w:rPr>
          <w:rFonts w:ascii="Georgia" w:hAnsi="Georgia" w:cs="Times New Roman"/>
          <w:i/>
          <w:iCs/>
          <w:sz w:val="18"/>
          <w:szCs w:val="18"/>
          <w:shd w:val="clear" w:color="auto" w:fill="FFFFFF"/>
        </w:rPr>
        <w:t>43</w:t>
      </w:r>
      <w:r w:rsidRPr="009C50E2">
        <w:rPr>
          <w:rFonts w:ascii="Georgia" w:hAnsi="Georgia" w:cs="Times New Roman"/>
          <w:sz w:val="18"/>
          <w:szCs w:val="18"/>
          <w:shd w:val="clear" w:color="auto" w:fill="FFFFFF"/>
        </w:rPr>
        <w:t>(1), 89</w:t>
      </w:r>
      <w:r w:rsidRPr="009C50E2">
        <w:rPr>
          <w:rFonts w:ascii="Georgia" w:hAnsi="Georgia" w:cs="Times New Roman"/>
          <w:sz w:val="18"/>
          <w:szCs w:val="18"/>
        </w:rPr>
        <w:t>–</w:t>
      </w:r>
      <w:r w:rsidRPr="009C50E2">
        <w:rPr>
          <w:rFonts w:ascii="Georgia" w:hAnsi="Georgia" w:cs="Times New Roman"/>
          <w:sz w:val="18"/>
          <w:szCs w:val="18"/>
          <w:shd w:val="clear" w:color="auto" w:fill="FFFFFF"/>
        </w:rPr>
        <w:t>96.</w:t>
      </w:r>
    </w:p>
    <w:p w14:paraId="5B471638"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Huang, J., Kim, Y.,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&amp; Clancy, M. M. (2014). </w:t>
      </w:r>
      <w:r w:rsidRPr="009C50E2">
        <w:rPr>
          <w:rFonts w:ascii="Georgia" w:hAnsi="Georgia" w:cs="Times New Roman"/>
          <w:i/>
          <w:iCs/>
          <w:sz w:val="18"/>
          <w:szCs w:val="18"/>
        </w:rPr>
        <w:t>Material hardship and maternal depressive symptoms: Testing buffering effects of child development accounts in a randomized experiment</w:t>
      </w:r>
      <w:r w:rsidRPr="009C50E2">
        <w:rPr>
          <w:rFonts w:ascii="Georgia" w:hAnsi="Georgia" w:cs="Times New Roman"/>
          <w:sz w:val="18"/>
          <w:szCs w:val="18"/>
        </w:rPr>
        <w:t xml:space="preserve">. Manuscript submitted for publication, Center for Social Development, Washington University, St. Louis, MO. </w:t>
      </w:r>
    </w:p>
    <w:p w14:paraId="512C3703"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Huang, J., Nam, Y., &amp;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S. (2013). Financial knowledge and child development account policy: A test of financial capability. </w:t>
      </w:r>
      <w:r w:rsidRPr="009C50E2">
        <w:rPr>
          <w:rFonts w:ascii="Georgia" w:hAnsi="Georgia" w:cs="Times New Roman"/>
          <w:i/>
          <w:iCs/>
          <w:sz w:val="18"/>
          <w:szCs w:val="18"/>
        </w:rPr>
        <w:t>Journal of Consumer Affairs</w:t>
      </w:r>
      <w:r w:rsidRPr="009C50E2">
        <w:rPr>
          <w:rFonts w:ascii="Georgia" w:hAnsi="Georgia" w:cs="Times New Roman"/>
          <w:sz w:val="18"/>
          <w:szCs w:val="18"/>
        </w:rPr>
        <w:t xml:space="preserve">, </w:t>
      </w:r>
      <w:r w:rsidRPr="009C50E2">
        <w:rPr>
          <w:rFonts w:ascii="Georgia" w:hAnsi="Georgia" w:cs="Times New Roman"/>
          <w:i/>
          <w:iCs/>
          <w:sz w:val="18"/>
          <w:szCs w:val="18"/>
        </w:rPr>
        <w:t>47</w:t>
      </w:r>
      <w:r w:rsidRPr="009C50E2">
        <w:rPr>
          <w:rFonts w:ascii="Georgia" w:hAnsi="Georgia" w:cs="Times New Roman"/>
          <w:sz w:val="18"/>
          <w:szCs w:val="18"/>
        </w:rPr>
        <w:t>(1), 1–26.</w:t>
      </w:r>
      <w:r w:rsidRPr="009C50E2">
        <w:rPr>
          <w:rFonts w:ascii="Georgia" w:hAnsi="Georgia" w:cs="Times New Roman"/>
          <w:sz w:val="18"/>
          <w:szCs w:val="18"/>
          <w:rtl/>
        </w:rPr>
        <w:t>‏</w:t>
      </w:r>
    </w:p>
    <w:p w14:paraId="284751AC"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lastRenderedPageBreak/>
        <w:t xml:space="preserve">Huang, J., Nam, Y.,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&amp; Clancy. (2019). Impacts of child development accounts on parenting practices: evidence from a randomized statewide experiment. </w:t>
      </w:r>
      <w:r w:rsidRPr="009C50E2">
        <w:rPr>
          <w:rFonts w:ascii="Georgia" w:hAnsi="Georgia" w:cs="Times New Roman"/>
          <w:i/>
          <w:sz w:val="18"/>
          <w:szCs w:val="18"/>
        </w:rPr>
        <w:t>Asia Pacific Journal of Social Work and Development</w:t>
      </w:r>
      <w:r w:rsidRPr="009C50E2">
        <w:rPr>
          <w:rFonts w:ascii="Georgia" w:hAnsi="Georgia" w:cs="Times New Roman"/>
          <w:iCs/>
          <w:sz w:val="18"/>
          <w:szCs w:val="18"/>
        </w:rPr>
        <w:t>,</w:t>
      </w:r>
      <w:r w:rsidRPr="009C50E2">
        <w:rPr>
          <w:rFonts w:ascii="Georgia" w:hAnsi="Georgia" w:cs="Times New Roman"/>
          <w:i/>
          <w:sz w:val="18"/>
          <w:szCs w:val="18"/>
        </w:rPr>
        <w:t xml:space="preserve"> 29</w:t>
      </w:r>
      <w:r w:rsidRPr="009C50E2">
        <w:rPr>
          <w:rFonts w:ascii="Georgia" w:hAnsi="Georgia" w:cs="Times New Roman"/>
          <w:sz w:val="18"/>
          <w:szCs w:val="18"/>
        </w:rPr>
        <w:t>(1), 34–47.</w:t>
      </w:r>
      <w:r w:rsidRPr="009C50E2">
        <w:rPr>
          <w:rFonts w:ascii="Georgia" w:hAnsi="Georgia" w:cs="Times New Roman"/>
          <w:sz w:val="18"/>
          <w:szCs w:val="18"/>
          <w:rtl/>
        </w:rPr>
        <w:t xml:space="preserve"> </w:t>
      </w:r>
    </w:p>
    <w:p w14:paraId="5314F652"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Huang, J.,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Kim, Y., &amp; Clancy, M. M. (2014). Effects of child development accounts on early social-emotional development: An experimental test. </w:t>
      </w:r>
      <w:r w:rsidRPr="009C50E2">
        <w:rPr>
          <w:rFonts w:ascii="Georgia" w:hAnsi="Georgia" w:cs="Times New Roman"/>
          <w:i/>
          <w:sz w:val="18"/>
          <w:szCs w:val="18"/>
        </w:rPr>
        <w:t>JAMA Pediatrics</w:t>
      </w:r>
      <w:r w:rsidRPr="009C50E2">
        <w:rPr>
          <w:rFonts w:ascii="Georgia" w:hAnsi="Georgia" w:cs="Times New Roman"/>
          <w:iCs/>
          <w:sz w:val="18"/>
          <w:szCs w:val="18"/>
        </w:rPr>
        <w:t>,</w:t>
      </w:r>
      <w:r w:rsidRPr="009C50E2">
        <w:rPr>
          <w:rFonts w:ascii="Georgia" w:hAnsi="Georgia" w:cs="Times New Roman"/>
          <w:i/>
          <w:sz w:val="18"/>
          <w:szCs w:val="18"/>
        </w:rPr>
        <w:t xml:space="preserve"> 168</w:t>
      </w:r>
      <w:r w:rsidRPr="009C50E2">
        <w:rPr>
          <w:rFonts w:ascii="Georgia" w:hAnsi="Georgia" w:cs="Times New Roman"/>
          <w:sz w:val="18"/>
          <w:szCs w:val="18"/>
        </w:rPr>
        <w:t>(3), 265–271.</w:t>
      </w:r>
    </w:p>
    <w:p w14:paraId="663A8286"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Huang, J.,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&amp; Purnell, J. Q. (2014). Impacts of child development accounts on maternal depressive symptoms: Evidence from a randomized statewide policy experiment. </w:t>
      </w:r>
      <w:r w:rsidRPr="009C50E2">
        <w:rPr>
          <w:rFonts w:ascii="Georgia" w:hAnsi="Georgia" w:cs="Times New Roman"/>
          <w:i/>
          <w:sz w:val="18"/>
          <w:szCs w:val="18"/>
        </w:rPr>
        <w:t>Social Science &amp; Medicine</w:t>
      </w:r>
      <w:r w:rsidRPr="009C50E2">
        <w:rPr>
          <w:rFonts w:ascii="Georgia" w:hAnsi="Georgia" w:cs="Times New Roman"/>
          <w:iCs/>
          <w:sz w:val="18"/>
          <w:szCs w:val="18"/>
        </w:rPr>
        <w:t>,</w:t>
      </w:r>
      <w:r w:rsidRPr="009C50E2">
        <w:rPr>
          <w:rFonts w:ascii="Georgia" w:hAnsi="Georgia" w:cs="Times New Roman"/>
          <w:i/>
          <w:sz w:val="18"/>
          <w:szCs w:val="18"/>
        </w:rPr>
        <w:t xml:space="preserve"> 112</w:t>
      </w:r>
      <w:r w:rsidRPr="009C50E2">
        <w:rPr>
          <w:rFonts w:ascii="Georgia" w:hAnsi="Georgia" w:cs="Times New Roman"/>
          <w:sz w:val="18"/>
          <w:szCs w:val="18"/>
        </w:rPr>
        <w:t>, 30–38.</w:t>
      </w:r>
    </w:p>
    <w:p w14:paraId="6DAE4D9B"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Imbeau, E. (2015). </w:t>
      </w:r>
      <w:r w:rsidRPr="009C50E2">
        <w:rPr>
          <w:rStyle w:val="CommentSubjectChar"/>
          <w:rFonts w:ascii="Georgia" w:hAnsi="Georgia" w:cs="Times New Roman"/>
          <w:b w:val="0"/>
          <w:bCs w:val="0"/>
          <w:i/>
          <w:sz w:val="18"/>
          <w:szCs w:val="18"/>
        </w:rPr>
        <w:t>Analysis of the Canada education savings program participation and expenditures for different income groups</w:t>
      </w:r>
      <w:r w:rsidRPr="009C50E2">
        <w:rPr>
          <w:rFonts w:ascii="Georgia" w:hAnsi="Georgia" w:cs="Times New Roman"/>
          <w:b/>
          <w:bCs/>
          <w:i/>
          <w:sz w:val="18"/>
          <w:szCs w:val="18"/>
        </w:rPr>
        <w:t>.</w:t>
      </w:r>
      <w:r w:rsidRPr="009C50E2">
        <w:rPr>
          <w:rFonts w:ascii="Georgia" w:hAnsi="Georgia" w:cs="Times New Roman"/>
          <w:sz w:val="18"/>
          <w:szCs w:val="18"/>
        </w:rPr>
        <w:t xml:space="preserve"> Technical report prepared for the Canada education savings program summative evaluation. Employment and social development of Canada. </w:t>
      </w:r>
    </w:p>
    <w:p w14:paraId="52E427F9"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Kempson</w:t>
      </w:r>
      <w:proofErr w:type="spellEnd"/>
      <w:r w:rsidRPr="009C50E2">
        <w:rPr>
          <w:rFonts w:ascii="Georgia" w:hAnsi="Georgia" w:cs="Times New Roman"/>
          <w:sz w:val="18"/>
          <w:szCs w:val="18"/>
        </w:rPr>
        <w:t xml:space="preserve">, E., Finney, A., &amp; Davies, S. (2011). </w:t>
      </w:r>
      <w:r w:rsidRPr="009C50E2">
        <w:rPr>
          <w:rStyle w:val="CommentSubjectChar"/>
          <w:rFonts w:ascii="Georgia" w:hAnsi="Georgia" w:cs="Times New Roman"/>
          <w:b w:val="0"/>
          <w:bCs w:val="0"/>
          <w:i/>
          <w:sz w:val="18"/>
          <w:szCs w:val="18"/>
        </w:rPr>
        <w:t>The child trust fund: Findings from the wave 2 evaluation</w:t>
      </w:r>
      <w:r w:rsidRPr="009C50E2">
        <w:rPr>
          <w:rFonts w:ascii="Georgia" w:hAnsi="Georgia" w:cs="Times New Roman"/>
          <w:iCs/>
          <w:sz w:val="18"/>
          <w:szCs w:val="18"/>
        </w:rPr>
        <w:t>. HM Revenue and Customs Research Report 143.</w:t>
      </w:r>
      <w:r w:rsidRPr="009C50E2">
        <w:rPr>
          <w:rFonts w:ascii="Georgia" w:hAnsi="Georgia" w:cs="Times New Roman"/>
          <w:sz w:val="18"/>
          <w:szCs w:val="18"/>
        </w:rPr>
        <w:t xml:space="preserve"> Personal Finance Research Centre, University of Bristol. </w:t>
      </w:r>
    </w:p>
    <w:p w14:paraId="15DE4E41"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Kim, Y., &amp;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(2011). Do parental assets matter for children’s educational attainment? Evidence from mediation tests. </w:t>
      </w:r>
      <w:r w:rsidRPr="009C50E2">
        <w:rPr>
          <w:rFonts w:ascii="Georgia" w:hAnsi="Georgia" w:cs="Times New Roman"/>
          <w:i/>
          <w:sz w:val="18"/>
          <w:szCs w:val="18"/>
        </w:rPr>
        <w:t>Children and Youth Services Review</w:t>
      </w:r>
      <w:r w:rsidRPr="009C50E2">
        <w:rPr>
          <w:rFonts w:ascii="Georgia" w:hAnsi="Georgia" w:cs="Times New Roman"/>
          <w:iCs/>
          <w:sz w:val="18"/>
          <w:szCs w:val="18"/>
        </w:rPr>
        <w:t>,</w:t>
      </w:r>
      <w:r w:rsidRPr="009C50E2">
        <w:rPr>
          <w:rFonts w:ascii="Georgia" w:hAnsi="Georgia" w:cs="Times New Roman"/>
          <w:i/>
          <w:sz w:val="18"/>
          <w:szCs w:val="18"/>
        </w:rPr>
        <w:t xml:space="preserve"> 33</w:t>
      </w:r>
      <w:r w:rsidRPr="009C50E2">
        <w:rPr>
          <w:rFonts w:ascii="Georgia" w:hAnsi="Georgia" w:cs="Times New Roman"/>
          <w:sz w:val="18"/>
          <w:szCs w:val="18"/>
        </w:rPr>
        <w:t>(6), 969–979.</w:t>
      </w:r>
    </w:p>
    <w:p w14:paraId="0C6CE271"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Kim, Y.,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M., Huang, J., &amp; Clancy, M. M. (2015). Child development accounts and parental educational expectations for young children: Early evidence from a statewide social experiment</w:t>
      </w:r>
      <w:r w:rsidRPr="009C50E2">
        <w:rPr>
          <w:rFonts w:ascii="Georgia" w:hAnsi="Georgia" w:cs="Times New Roman"/>
          <w:i/>
          <w:sz w:val="18"/>
          <w:szCs w:val="18"/>
        </w:rPr>
        <w:t>. Social Service Review</w:t>
      </w:r>
      <w:r w:rsidRPr="009C50E2">
        <w:rPr>
          <w:rFonts w:ascii="Georgia" w:hAnsi="Georgia" w:cs="Times New Roman"/>
          <w:iCs/>
          <w:sz w:val="18"/>
          <w:szCs w:val="18"/>
        </w:rPr>
        <w:t>,</w:t>
      </w:r>
      <w:r w:rsidRPr="009C50E2">
        <w:rPr>
          <w:rFonts w:ascii="Georgia" w:hAnsi="Georgia" w:cs="Times New Roman"/>
          <w:i/>
          <w:sz w:val="18"/>
          <w:szCs w:val="18"/>
        </w:rPr>
        <w:t xml:space="preserve"> 89</w:t>
      </w:r>
      <w:r w:rsidRPr="009C50E2">
        <w:rPr>
          <w:rFonts w:ascii="Georgia" w:hAnsi="Georgia" w:cs="Times New Roman"/>
          <w:sz w:val="18"/>
          <w:szCs w:val="18"/>
        </w:rPr>
        <w:t>(1), 99–137.</w:t>
      </w:r>
    </w:p>
    <w:p w14:paraId="4837BFD3" w14:textId="77777777" w:rsidR="009C50E2" w:rsidRPr="009C50E2" w:rsidRDefault="009C50E2" w:rsidP="009C50E2">
      <w:pPr>
        <w:bidi w:val="0"/>
        <w:spacing w:after="120"/>
        <w:ind w:left="397" w:hanging="397"/>
        <w:jc w:val="both"/>
        <w:rPr>
          <w:rFonts w:ascii="Georgia" w:hAnsi="Georgia" w:cs="Times New Roman"/>
          <w:sz w:val="18"/>
          <w:szCs w:val="18"/>
          <w:shd w:val="clear" w:color="auto" w:fill="FFFFFF"/>
        </w:rPr>
      </w:pPr>
      <w:r w:rsidRPr="009C50E2">
        <w:rPr>
          <w:rFonts w:ascii="Georgia" w:hAnsi="Georgia" w:cs="Times New Roman"/>
          <w:sz w:val="18"/>
          <w:szCs w:val="18"/>
          <w:shd w:val="clear" w:color="auto" w:fill="FFFFFF"/>
        </w:rPr>
        <w:t xml:space="preserve">Loke, V., &amp; </w:t>
      </w:r>
      <w:proofErr w:type="spellStart"/>
      <w:r w:rsidRPr="009C50E2">
        <w:rPr>
          <w:rFonts w:ascii="Georgia" w:hAnsi="Georgia" w:cs="Times New Roman"/>
          <w:sz w:val="18"/>
          <w:szCs w:val="18"/>
          <w:shd w:val="clear" w:color="auto" w:fill="FFFFFF"/>
        </w:rPr>
        <w:t>Sherraden</w:t>
      </w:r>
      <w:proofErr w:type="spellEnd"/>
      <w:r w:rsidRPr="009C50E2">
        <w:rPr>
          <w:rFonts w:ascii="Georgia" w:hAnsi="Georgia" w:cs="Times New Roman"/>
          <w:sz w:val="18"/>
          <w:szCs w:val="18"/>
          <w:shd w:val="clear" w:color="auto" w:fill="FFFFFF"/>
        </w:rPr>
        <w:t>, M. (2009). Building assets from birth: A global comparison of child development account policies. </w:t>
      </w:r>
      <w:r w:rsidRPr="009C50E2">
        <w:rPr>
          <w:rFonts w:ascii="Georgia" w:hAnsi="Georgia" w:cs="Times New Roman"/>
          <w:i/>
          <w:iCs/>
          <w:sz w:val="18"/>
          <w:szCs w:val="18"/>
          <w:shd w:val="clear" w:color="auto" w:fill="FFFFFF"/>
        </w:rPr>
        <w:t>International Journal of Social Welfare</w:t>
      </w:r>
      <w:r w:rsidRPr="009C50E2">
        <w:rPr>
          <w:rFonts w:ascii="Georgia" w:hAnsi="Georgia" w:cs="Times New Roman"/>
          <w:sz w:val="18"/>
          <w:szCs w:val="18"/>
          <w:shd w:val="clear" w:color="auto" w:fill="FFFFFF"/>
        </w:rPr>
        <w:t>, </w:t>
      </w:r>
      <w:r w:rsidRPr="009C50E2">
        <w:rPr>
          <w:rFonts w:ascii="Georgia" w:hAnsi="Georgia" w:cs="Times New Roman"/>
          <w:i/>
          <w:iCs/>
          <w:sz w:val="18"/>
          <w:szCs w:val="18"/>
          <w:shd w:val="clear" w:color="auto" w:fill="FFFFFF"/>
        </w:rPr>
        <w:t>18</w:t>
      </w:r>
      <w:r w:rsidRPr="009C50E2">
        <w:rPr>
          <w:rFonts w:ascii="Georgia" w:hAnsi="Georgia" w:cs="Times New Roman"/>
          <w:sz w:val="18"/>
          <w:szCs w:val="18"/>
          <w:shd w:val="clear" w:color="auto" w:fill="FFFFFF"/>
        </w:rPr>
        <w:t>(2), 119</w:t>
      </w:r>
      <w:r w:rsidRPr="009C50E2">
        <w:rPr>
          <w:rFonts w:ascii="Georgia" w:hAnsi="Georgia" w:cs="Times New Roman"/>
          <w:sz w:val="18"/>
          <w:szCs w:val="18"/>
        </w:rPr>
        <w:t>–</w:t>
      </w:r>
      <w:r w:rsidRPr="009C50E2">
        <w:rPr>
          <w:rFonts w:ascii="Georgia" w:hAnsi="Georgia" w:cs="Times New Roman"/>
          <w:sz w:val="18"/>
          <w:szCs w:val="18"/>
          <w:shd w:val="clear" w:color="auto" w:fill="FFFFFF"/>
        </w:rPr>
        <w:t>129.</w:t>
      </w:r>
    </w:p>
    <w:p w14:paraId="1DC6D307"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Mani, A., Mullainathan, S., </w:t>
      </w:r>
      <w:proofErr w:type="spellStart"/>
      <w:r w:rsidRPr="009C50E2">
        <w:rPr>
          <w:rFonts w:ascii="Georgia" w:hAnsi="Georgia" w:cs="Times New Roman"/>
          <w:sz w:val="18"/>
          <w:szCs w:val="18"/>
        </w:rPr>
        <w:t>Shafir</w:t>
      </w:r>
      <w:proofErr w:type="spellEnd"/>
      <w:r w:rsidRPr="009C50E2">
        <w:rPr>
          <w:rFonts w:ascii="Georgia" w:hAnsi="Georgia" w:cs="Times New Roman"/>
          <w:sz w:val="18"/>
          <w:szCs w:val="18"/>
        </w:rPr>
        <w:t xml:space="preserve">, E., &amp; Zhao, J. (2013). Poverty impedes cognitive function. </w:t>
      </w:r>
      <w:r w:rsidRPr="009C50E2">
        <w:rPr>
          <w:rFonts w:ascii="Georgia" w:hAnsi="Georgia" w:cs="Times New Roman"/>
          <w:i/>
          <w:sz w:val="18"/>
          <w:szCs w:val="18"/>
        </w:rPr>
        <w:t>Science</w:t>
      </w:r>
      <w:r w:rsidRPr="009C50E2">
        <w:rPr>
          <w:rFonts w:ascii="Georgia" w:hAnsi="Georgia" w:cs="Times New Roman"/>
          <w:iCs/>
          <w:sz w:val="18"/>
          <w:szCs w:val="18"/>
        </w:rPr>
        <w:t>,</w:t>
      </w:r>
      <w:r w:rsidRPr="009C50E2">
        <w:rPr>
          <w:rFonts w:ascii="Georgia" w:hAnsi="Georgia" w:cs="Times New Roman"/>
          <w:i/>
          <w:sz w:val="18"/>
          <w:szCs w:val="18"/>
        </w:rPr>
        <w:t xml:space="preserve"> 341</w:t>
      </w:r>
      <w:r w:rsidRPr="009C50E2">
        <w:rPr>
          <w:rFonts w:ascii="Georgia" w:hAnsi="Georgia" w:cs="Times New Roman"/>
          <w:sz w:val="18"/>
          <w:szCs w:val="18"/>
        </w:rPr>
        <w:t>(6149), 976–980.</w:t>
      </w:r>
    </w:p>
    <w:p w14:paraId="6F9A710E"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McKernan, S., M, Ratcliffe, C., &amp; </w:t>
      </w:r>
      <w:proofErr w:type="spellStart"/>
      <w:r w:rsidRPr="009C50E2">
        <w:rPr>
          <w:rFonts w:ascii="Georgia" w:hAnsi="Georgia" w:cs="Times New Roman"/>
          <w:sz w:val="18"/>
          <w:szCs w:val="18"/>
        </w:rPr>
        <w:t>Vinopal</w:t>
      </w:r>
      <w:proofErr w:type="spellEnd"/>
      <w:r w:rsidRPr="009C50E2">
        <w:rPr>
          <w:rFonts w:ascii="Georgia" w:hAnsi="Georgia" w:cs="Times New Roman"/>
          <w:sz w:val="18"/>
          <w:szCs w:val="18"/>
        </w:rPr>
        <w:t xml:space="preserve">, K. (2009, November). </w:t>
      </w:r>
      <w:r w:rsidRPr="009C50E2">
        <w:rPr>
          <w:rFonts w:ascii="Georgia" w:hAnsi="Georgia" w:cs="Times New Roman"/>
          <w:i/>
          <w:sz w:val="18"/>
          <w:szCs w:val="18"/>
        </w:rPr>
        <w:t>Do assets help families cope with adverse events?</w:t>
      </w:r>
      <w:r w:rsidRPr="009C50E2">
        <w:rPr>
          <w:rFonts w:ascii="Georgia" w:hAnsi="Georgia" w:cs="Times New Roman"/>
          <w:sz w:val="18"/>
          <w:szCs w:val="18"/>
        </w:rPr>
        <w:t xml:space="preserve"> </w:t>
      </w:r>
      <w:r w:rsidRPr="009C50E2">
        <w:rPr>
          <w:rFonts w:ascii="Georgia" w:hAnsi="Georgia" w:cs="Times New Roman"/>
          <w:i/>
          <w:iCs/>
          <w:sz w:val="18"/>
          <w:szCs w:val="18"/>
        </w:rPr>
        <w:t>Perspectives on Low-Income Working Families Brief 10</w:t>
      </w:r>
      <w:r w:rsidRPr="009C50E2">
        <w:rPr>
          <w:rFonts w:ascii="Georgia" w:hAnsi="Georgia" w:cs="Times New Roman"/>
          <w:sz w:val="18"/>
          <w:szCs w:val="18"/>
        </w:rPr>
        <w:t xml:space="preserve">. Urban Institute. </w:t>
      </w:r>
    </w:p>
    <w:p w14:paraId="12F02B29"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Miller, M., </w:t>
      </w:r>
      <w:proofErr w:type="spellStart"/>
      <w:r w:rsidRPr="009C50E2">
        <w:rPr>
          <w:rFonts w:ascii="Georgia" w:hAnsi="Georgia" w:cs="Times New Roman"/>
          <w:sz w:val="18"/>
          <w:szCs w:val="18"/>
        </w:rPr>
        <w:t>Reichelstein</w:t>
      </w:r>
      <w:proofErr w:type="spellEnd"/>
      <w:r w:rsidRPr="009C50E2">
        <w:rPr>
          <w:rFonts w:ascii="Georgia" w:hAnsi="Georgia" w:cs="Times New Roman"/>
          <w:sz w:val="18"/>
          <w:szCs w:val="18"/>
        </w:rPr>
        <w:t xml:space="preserve">, J., Salas, C., &amp; Zia, B. (2015). Can you help someone become ﬁnancially capable? A meta-analysis of the literature. </w:t>
      </w:r>
      <w:r w:rsidRPr="009C50E2">
        <w:rPr>
          <w:rFonts w:ascii="Georgia" w:hAnsi="Georgia" w:cs="Times New Roman"/>
          <w:i/>
          <w:sz w:val="18"/>
          <w:szCs w:val="18"/>
        </w:rPr>
        <w:t>The World Bank Research Observer</w:t>
      </w:r>
      <w:r w:rsidRPr="009C50E2">
        <w:rPr>
          <w:rFonts w:ascii="Georgia" w:hAnsi="Georgia" w:cs="Times New Roman"/>
          <w:iCs/>
          <w:sz w:val="18"/>
          <w:szCs w:val="18"/>
        </w:rPr>
        <w:t>,</w:t>
      </w:r>
      <w:r w:rsidRPr="009C50E2">
        <w:rPr>
          <w:rFonts w:ascii="Georgia" w:hAnsi="Georgia" w:cs="Times New Roman"/>
          <w:i/>
          <w:sz w:val="18"/>
          <w:szCs w:val="18"/>
        </w:rPr>
        <w:t xml:space="preserve"> 30</w:t>
      </w:r>
      <w:r w:rsidRPr="009C50E2">
        <w:rPr>
          <w:rFonts w:ascii="Georgia" w:hAnsi="Georgia" w:cs="Times New Roman"/>
          <w:sz w:val="18"/>
          <w:szCs w:val="18"/>
        </w:rPr>
        <w:t>(2), 220–246.</w:t>
      </w:r>
    </w:p>
    <w:p w14:paraId="22B48E27"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lastRenderedPageBreak/>
        <w:t xml:space="preserve">Moulton, S., Collins, J. M., </w:t>
      </w:r>
      <w:proofErr w:type="spellStart"/>
      <w:r w:rsidRPr="009C50E2">
        <w:rPr>
          <w:rFonts w:ascii="Georgia" w:hAnsi="Georgia" w:cs="Times New Roman"/>
          <w:sz w:val="18"/>
          <w:szCs w:val="18"/>
        </w:rPr>
        <w:t>Loibl</w:t>
      </w:r>
      <w:proofErr w:type="spellEnd"/>
      <w:r w:rsidRPr="009C50E2">
        <w:rPr>
          <w:rFonts w:ascii="Georgia" w:hAnsi="Georgia" w:cs="Times New Roman"/>
          <w:sz w:val="18"/>
          <w:szCs w:val="18"/>
        </w:rPr>
        <w:t xml:space="preserve">, C., &amp; </w:t>
      </w:r>
      <w:proofErr w:type="spellStart"/>
      <w:r w:rsidRPr="009C50E2">
        <w:rPr>
          <w:rFonts w:ascii="Georgia" w:hAnsi="Georgia" w:cs="Times New Roman"/>
          <w:sz w:val="18"/>
          <w:szCs w:val="18"/>
        </w:rPr>
        <w:t>Samek</w:t>
      </w:r>
      <w:proofErr w:type="spellEnd"/>
      <w:r w:rsidRPr="009C50E2">
        <w:rPr>
          <w:rFonts w:ascii="Georgia" w:hAnsi="Georgia" w:cs="Times New Roman"/>
          <w:sz w:val="18"/>
          <w:szCs w:val="18"/>
        </w:rPr>
        <w:t xml:space="preserve">, A. (2015). Effects of monitoring on mortgage delinquency: Evidence from a randomized field study. </w:t>
      </w:r>
      <w:r w:rsidRPr="009C50E2">
        <w:rPr>
          <w:rFonts w:ascii="Georgia" w:hAnsi="Georgia" w:cs="Times New Roman"/>
          <w:i/>
          <w:sz w:val="18"/>
          <w:szCs w:val="18"/>
        </w:rPr>
        <w:t>Journal of Policy Analysis and Management</w:t>
      </w:r>
      <w:r w:rsidRPr="009C50E2">
        <w:rPr>
          <w:rFonts w:ascii="Georgia" w:hAnsi="Georgia" w:cs="Times New Roman"/>
          <w:iCs/>
          <w:sz w:val="18"/>
          <w:szCs w:val="18"/>
        </w:rPr>
        <w:t>,</w:t>
      </w:r>
      <w:r w:rsidRPr="009C50E2">
        <w:rPr>
          <w:rFonts w:ascii="Georgia" w:hAnsi="Georgia" w:cs="Times New Roman"/>
          <w:i/>
          <w:sz w:val="18"/>
          <w:szCs w:val="18"/>
        </w:rPr>
        <w:t xml:space="preserve"> 34</w:t>
      </w:r>
      <w:r w:rsidRPr="009C50E2">
        <w:rPr>
          <w:rFonts w:ascii="Georgia" w:hAnsi="Georgia" w:cs="Times New Roman"/>
          <w:sz w:val="18"/>
          <w:szCs w:val="18"/>
        </w:rPr>
        <w:t>(1), 184–207.</w:t>
      </w:r>
    </w:p>
    <w:p w14:paraId="03BE21DF"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Mullainathan, S., &amp; </w:t>
      </w:r>
      <w:proofErr w:type="spellStart"/>
      <w:r w:rsidRPr="009C50E2">
        <w:rPr>
          <w:rFonts w:ascii="Georgia" w:hAnsi="Georgia" w:cs="Times New Roman"/>
          <w:sz w:val="18"/>
          <w:szCs w:val="18"/>
        </w:rPr>
        <w:t>Shafir</w:t>
      </w:r>
      <w:proofErr w:type="spellEnd"/>
      <w:r w:rsidRPr="009C50E2">
        <w:rPr>
          <w:rFonts w:ascii="Georgia" w:hAnsi="Georgia" w:cs="Times New Roman"/>
          <w:sz w:val="18"/>
          <w:szCs w:val="18"/>
        </w:rPr>
        <w:t xml:space="preserve">, E. (2013). </w:t>
      </w:r>
      <w:r w:rsidRPr="009C50E2">
        <w:rPr>
          <w:rFonts w:ascii="Georgia" w:hAnsi="Georgia" w:cs="Times New Roman"/>
          <w:i/>
          <w:sz w:val="18"/>
          <w:szCs w:val="18"/>
        </w:rPr>
        <w:t>Scarcity: Why having too little means so much.</w:t>
      </w:r>
      <w:r w:rsidRPr="009C50E2">
        <w:rPr>
          <w:rFonts w:ascii="Georgia" w:hAnsi="Georgia" w:cs="Times New Roman"/>
          <w:sz w:val="18"/>
          <w:szCs w:val="18"/>
        </w:rPr>
        <w:t xml:space="preserve"> Times Books, Henry Holt and company.</w:t>
      </w:r>
    </w:p>
    <w:p w14:paraId="3026283A"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National Insurance Institute of Israel. (2018).</w:t>
      </w:r>
      <w:r w:rsidRPr="009C50E2">
        <w:rPr>
          <w:rFonts w:ascii="Georgia" w:hAnsi="Georgia" w:cs="Times New Roman"/>
          <w:b/>
          <w:bCs/>
          <w:sz w:val="18"/>
          <w:szCs w:val="18"/>
        </w:rPr>
        <w:t xml:space="preserve"> </w:t>
      </w:r>
      <w:r w:rsidRPr="009C50E2">
        <w:rPr>
          <w:rStyle w:val="CommentSubjectChar"/>
          <w:rFonts w:ascii="Georgia" w:hAnsi="Georgia" w:cs="Times New Roman"/>
          <w:b w:val="0"/>
          <w:bCs w:val="0"/>
          <w:i/>
          <w:sz w:val="18"/>
          <w:szCs w:val="18"/>
        </w:rPr>
        <w:t>Children – child allowance rates</w:t>
      </w:r>
      <w:r w:rsidRPr="009C50E2">
        <w:rPr>
          <w:rFonts w:ascii="Georgia" w:hAnsi="Georgia" w:cs="Times New Roman"/>
          <w:sz w:val="18"/>
          <w:szCs w:val="18"/>
        </w:rPr>
        <w:t xml:space="preserve">. </w:t>
      </w:r>
    </w:p>
    <w:p w14:paraId="42E20619" w14:textId="77777777" w:rsidR="009C50E2" w:rsidRPr="009C50E2" w:rsidRDefault="009C50E2" w:rsidP="009C50E2">
      <w:pPr>
        <w:bidi w:val="0"/>
        <w:spacing w:after="120"/>
        <w:ind w:left="397" w:hanging="397"/>
        <w:jc w:val="both"/>
        <w:rPr>
          <w:rStyle w:val="Date2"/>
          <w:rFonts w:ascii="Georgia" w:hAnsi="Georgia" w:cs="Times New Roman"/>
          <w:sz w:val="18"/>
          <w:szCs w:val="18"/>
          <w:shd w:val="clear" w:color="auto" w:fill="FFFFFF"/>
        </w:rPr>
      </w:pPr>
      <w:r w:rsidRPr="009C50E2">
        <w:rPr>
          <w:rStyle w:val="Date1"/>
          <w:rFonts w:ascii="Georgia" w:hAnsi="Georgia" w:cs="Times New Roman"/>
          <w:sz w:val="18"/>
          <w:szCs w:val="18"/>
          <w:shd w:val="clear" w:color="auto" w:fill="FFFFFF"/>
        </w:rPr>
        <w:t>Shanks, T. R.</w:t>
      </w:r>
      <w:r w:rsidRPr="009C50E2">
        <w:rPr>
          <w:rFonts w:ascii="Georgia" w:hAnsi="Georgia" w:cs="Times New Roman"/>
          <w:sz w:val="18"/>
          <w:szCs w:val="18"/>
          <w:shd w:val="clear" w:color="auto" w:fill="FFFFFF"/>
        </w:rPr>
        <w:t xml:space="preserve"> W. </w:t>
      </w:r>
      <w:r w:rsidRPr="009C50E2">
        <w:rPr>
          <w:rStyle w:val="arttitle"/>
          <w:rFonts w:ascii="Georgia" w:hAnsi="Georgia" w:cs="Times New Roman"/>
          <w:sz w:val="18"/>
          <w:szCs w:val="18"/>
          <w:shd w:val="clear" w:color="auto" w:fill="FFFFFF"/>
        </w:rPr>
        <w:t>(2007).</w:t>
      </w:r>
      <w:r w:rsidRPr="009C50E2">
        <w:rPr>
          <w:rFonts w:ascii="Georgia" w:hAnsi="Georgia" w:cs="Times New Roman"/>
          <w:sz w:val="18"/>
          <w:szCs w:val="18"/>
          <w:shd w:val="clear" w:color="auto" w:fill="FFFFFF"/>
        </w:rPr>
        <w:t xml:space="preserve"> </w:t>
      </w:r>
      <w:r w:rsidRPr="009C50E2">
        <w:rPr>
          <w:rStyle w:val="serialtitle"/>
          <w:rFonts w:ascii="Georgia" w:hAnsi="Georgia" w:cs="Times New Roman"/>
          <w:sz w:val="18"/>
          <w:szCs w:val="18"/>
          <w:shd w:val="clear" w:color="auto" w:fill="FFFFFF"/>
        </w:rPr>
        <w:t>The impacts of household wealth on child development.</w:t>
      </w:r>
      <w:r w:rsidRPr="009C50E2">
        <w:rPr>
          <w:rFonts w:ascii="Georgia" w:hAnsi="Georgia" w:cs="Times New Roman"/>
          <w:sz w:val="18"/>
          <w:szCs w:val="18"/>
          <w:shd w:val="clear" w:color="auto" w:fill="FFFFFF"/>
        </w:rPr>
        <w:t xml:space="preserve"> </w:t>
      </w:r>
      <w:r w:rsidRPr="009C50E2">
        <w:rPr>
          <w:rStyle w:val="volumeissue"/>
          <w:rFonts w:ascii="Georgia" w:hAnsi="Georgia" w:cs="Times New Roman"/>
          <w:i/>
          <w:sz w:val="18"/>
          <w:szCs w:val="18"/>
          <w:shd w:val="clear" w:color="auto" w:fill="FFFFFF"/>
        </w:rPr>
        <w:t>Journal of Poverty</w:t>
      </w:r>
      <w:r w:rsidRPr="009C50E2">
        <w:rPr>
          <w:rStyle w:val="volumeissue"/>
          <w:rFonts w:ascii="Georgia" w:hAnsi="Georgia" w:cs="Times New Roman"/>
          <w:iCs/>
          <w:sz w:val="18"/>
          <w:szCs w:val="18"/>
          <w:shd w:val="clear" w:color="auto" w:fill="FFFFFF"/>
        </w:rPr>
        <w:t>,</w:t>
      </w:r>
      <w:r w:rsidRPr="009C50E2">
        <w:rPr>
          <w:rFonts w:ascii="Georgia" w:hAnsi="Georgia" w:cs="Times New Roman"/>
          <w:i/>
          <w:sz w:val="18"/>
          <w:szCs w:val="18"/>
          <w:shd w:val="clear" w:color="auto" w:fill="FFFFFF"/>
        </w:rPr>
        <w:t xml:space="preserve"> </w:t>
      </w:r>
      <w:r w:rsidRPr="009C50E2">
        <w:rPr>
          <w:rStyle w:val="pagerange"/>
          <w:rFonts w:ascii="Georgia" w:hAnsi="Georgia" w:cs="Times New Roman"/>
          <w:i/>
          <w:sz w:val="18"/>
          <w:szCs w:val="18"/>
          <w:shd w:val="clear" w:color="auto" w:fill="FFFFFF"/>
        </w:rPr>
        <w:t>11</w:t>
      </w:r>
      <w:r w:rsidRPr="009C50E2">
        <w:rPr>
          <w:rStyle w:val="pagerange"/>
          <w:rFonts w:ascii="Georgia" w:hAnsi="Georgia" w:cs="Times New Roman"/>
          <w:sz w:val="18"/>
          <w:szCs w:val="18"/>
          <w:shd w:val="clear" w:color="auto" w:fill="FFFFFF"/>
        </w:rPr>
        <w:t>(2),</w:t>
      </w:r>
      <w:r w:rsidRPr="009C50E2">
        <w:rPr>
          <w:rFonts w:ascii="Georgia" w:hAnsi="Georgia" w:cs="Times New Roman"/>
          <w:sz w:val="18"/>
          <w:szCs w:val="18"/>
          <w:shd w:val="clear" w:color="auto" w:fill="FFFFFF"/>
        </w:rPr>
        <w:t> </w:t>
      </w:r>
      <w:r w:rsidRPr="009C50E2">
        <w:rPr>
          <w:rStyle w:val="Date2"/>
          <w:rFonts w:ascii="Georgia" w:hAnsi="Georgia" w:cs="Times New Roman"/>
          <w:sz w:val="18"/>
          <w:szCs w:val="18"/>
          <w:shd w:val="clear" w:color="auto" w:fill="FFFFFF"/>
        </w:rPr>
        <w:t>93</w:t>
      </w:r>
      <w:r w:rsidRPr="009C50E2">
        <w:rPr>
          <w:rFonts w:ascii="Georgia" w:hAnsi="Georgia" w:cs="Times New Roman"/>
          <w:sz w:val="18"/>
          <w:szCs w:val="18"/>
        </w:rPr>
        <w:t>–</w:t>
      </w:r>
      <w:r w:rsidRPr="009C50E2">
        <w:rPr>
          <w:rStyle w:val="Date2"/>
          <w:rFonts w:ascii="Georgia" w:hAnsi="Georgia" w:cs="Times New Roman"/>
          <w:sz w:val="18"/>
          <w:szCs w:val="18"/>
          <w:shd w:val="clear" w:color="auto" w:fill="FFFFFF"/>
        </w:rPr>
        <w:t>11.</w:t>
      </w:r>
    </w:p>
    <w:p w14:paraId="7410BC6E" w14:textId="77777777" w:rsidR="009C50E2" w:rsidRPr="009C50E2" w:rsidRDefault="009C50E2" w:rsidP="009C50E2">
      <w:pPr>
        <w:bidi w:val="0"/>
        <w:spacing w:after="120"/>
        <w:ind w:left="397" w:hanging="397"/>
        <w:jc w:val="both"/>
        <w:rPr>
          <w:rFonts w:ascii="Georgia" w:hAnsi="Georgia" w:cs="Times New Roman"/>
          <w:sz w:val="18"/>
          <w:szCs w:val="18"/>
          <w:shd w:val="clear" w:color="auto" w:fill="FFFFFF"/>
        </w:rPr>
      </w:pPr>
      <w:r w:rsidRPr="009C50E2">
        <w:rPr>
          <w:rFonts w:ascii="Georgia" w:hAnsi="Georgia" w:cs="Times New Roman"/>
          <w:sz w:val="18"/>
          <w:szCs w:val="18"/>
          <w:shd w:val="clear" w:color="auto" w:fill="FFFFFF"/>
        </w:rPr>
        <w:t xml:space="preserve">Shanks, T. R. W., &amp; Destin, M. (2009). Parental expectations and educational outcomes for young African American adults: Do household assets matter? </w:t>
      </w:r>
      <w:r w:rsidRPr="009C50E2">
        <w:rPr>
          <w:rFonts w:ascii="Georgia" w:hAnsi="Georgia" w:cs="Times New Roman"/>
          <w:i/>
          <w:sz w:val="18"/>
          <w:szCs w:val="18"/>
          <w:shd w:val="clear" w:color="auto" w:fill="FFFFFF"/>
        </w:rPr>
        <w:t>Race and Social Problems</w:t>
      </w:r>
      <w:r w:rsidRPr="009C50E2">
        <w:rPr>
          <w:rFonts w:ascii="Georgia" w:hAnsi="Georgia" w:cs="Times New Roman"/>
          <w:iCs/>
          <w:sz w:val="18"/>
          <w:szCs w:val="18"/>
          <w:shd w:val="clear" w:color="auto" w:fill="FFFFFF"/>
        </w:rPr>
        <w:t>,</w:t>
      </w:r>
      <w:r w:rsidRPr="009C50E2">
        <w:rPr>
          <w:rFonts w:ascii="Georgia" w:hAnsi="Georgia" w:cs="Times New Roman"/>
          <w:i/>
          <w:sz w:val="18"/>
          <w:szCs w:val="18"/>
          <w:shd w:val="clear" w:color="auto" w:fill="FFFFFF"/>
        </w:rPr>
        <w:t xml:space="preserve"> 1</w:t>
      </w:r>
      <w:r w:rsidRPr="009C50E2">
        <w:rPr>
          <w:rFonts w:ascii="Georgia" w:hAnsi="Georgia" w:cs="Times New Roman"/>
          <w:sz w:val="18"/>
          <w:szCs w:val="18"/>
          <w:shd w:val="clear" w:color="auto" w:fill="FFFFFF"/>
        </w:rPr>
        <w:t>(1), 27</w:t>
      </w:r>
      <w:r w:rsidRPr="009C50E2">
        <w:rPr>
          <w:rFonts w:ascii="Georgia" w:hAnsi="Georgia" w:cs="Times New Roman"/>
          <w:sz w:val="18"/>
          <w:szCs w:val="18"/>
        </w:rPr>
        <w:t>–</w:t>
      </w:r>
      <w:r w:rsidRPr="009C50E2">
        <w:rPr>
          <w:rFonts w:ascii="Georgia" w:hAnsi="Georgia" w:cs="Times New Roman"/>
          <w:sz w:val="18"/>
          <w:szCs w:val="18"/>
          <w:shd w:val="clear" w:color="auto" w:fill="FFFFFF"/>
        </w:rPr>
        <w:t>35.</w:t>
      </w:r>
    </w:p>
    <w:p w14:paraId="4119AF83"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(1990). </w:t>
      </w:r>
      <w:proofErr w:type="spellStart"/>
      <w:r w:rsidRPr="009C50E2">
        <w:rPr>
          <w:rFonts w:ascii="Georgia" w:hAnsi="Georgia" w:cs="Times New Roman"/>
          <w:sz w:val="18"/>
          <w:szCs w:val="18"/>
        </w:rPr>
        <w:t>Stakeholding</w:t>
      </w:r>
      <w:proofErr w:type="spellEnd"/>
      <w:r w:rsidRPr="009C50E2">
        <w:rPr>
          <w:rFonts w:ascii="Georgia" w:hAnsi="Georgia" w:cs="Times New Roman"/>
          <w:sz w:val="18"/>
          <w:szCs w:val="18"/>
        </w:rPr>
        <w:t xml:space="preserve">: Notes on a theory of welfare based on assets. </w:t>
      </w:r>
      <w:r w:rsidRPr="009C50E2">
        <w:rPr>
          <w:rFonts w:ascii="Georgia" w:hAnsi="Georgia" w:cs="Times New Roman"/>
          <w:i/>
          <w:sz w:val="18"/>
          <w:szCs w:val="18"/>
        </w:rPr>
        <w:t>Social Service Review</w:t>
      </w:r>
      <w:r w:rsidRPr="009C50E2">
        <w:rPr>
          <w:rFonts w:ascii="Georgia" w:hAnsi="Georgia" w:cs="Times New Roman"/>
          <w:iCs/>
          <w:sz w:val="18"/>
          <w:szCs w:val="18"/>
        </w:rPr>
        <w:t>,</w:t>
      </w:r>
      <w:r w:rsidRPr="009C50E2">
        <w:rPr>
          <w:rFonts w:ascii="Georgia" w:hAnsi="Georgia" w:cs="Times New Roman"/>
          <w:i/>
          <w:sz w:val="18"/>
          <w:szCs w:val="18"/>
        </w:rPr>
        <w:t xml:space="preserve"> 64</w:t>
      </w:r>
      <w:r w:rsidRPr="009C50E2">
        <w:rPr>
          <w:rFonts w:ascii="Georgia" w:hAnsi="Georgia" w:cs="Times New Roman"/>
          <w:sz w:val="18"/>
          <w:szCs w:val="18"/>
        </w:rPr>
        <w:t>(4), 580–601.</w:t>
      </w:r>
    </w:p>
    <w:p w14:paraId="116F0FA2"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(1991). </w:t>
      </w:r>
      <w:r w:rsidRPr="009C50E2">
        <w:rPr>
          <w:rFonts w:ascii="Georgia" w:hAnsi="Georgia" w:cs="Times New Roman"/>
          <w:i/>
          <w:sz w:val="18"/>
          <w:szCs w:val="18"/>
        </w:rPr>
        <w:t>Assets and the poor: A new American welfare policy</w:t>
      </w:r>
      <w:r w:rsidRPr="009C50E2">
        <w:rPr>
          <w:rFonts w:ascii="Georgia" w:hAnsi="Georgia" w:cs="Times New Roman"/>
          <w:sz w:val="18"/>
          <w:szCs w:val="18"/>
        </w:rPr>
        <w:t>. ME Sharpe.</w:t>
      </w:r>
    </w:p>
    <w:p w14:paraId="6CB76190"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M., Cheng, L.</w:t>
      </w:r>
      <w:r w:rsidRPr="009C50E2" w:rsidDel="00EB32F4">
        <w:rPr>
          <w:rFonts w:ascii="Georgia" w:hAnsi="Georgia" w:cs="Times New Roman"/>
          <w:sz w:val="18"/>
          <w:szCs w:val="18"/>
        </w:rPr>
        <w:t xml:space="preserve"> </w:t>
      </w:r>
      <w:r w:rsidRPr="009C50E2">
        <w:rPr>
          <w:rFonts w:ascii="Georgia" w:hAnsi="Georgia" w:cs="Times New Roman"/>
          <w:sz w:val="18"/>
          <w:szCs w:val="18"/>
        </w:rPr>
        <w:t xml:space="preserve">C., </w:t>
      </w:r>
      <w:proofErr w:type="spellStart"/>
      <w:r w:rsidRPr="009C50E2">
        <w:rPr>
          <w:rFonts w:ascii="Georgia" w:hAnsi="Georgia" w:cs="Times New Roman"/>
          <w:sz w:val="18"/>
          <w:szCs w:val="18"/>
        </w:rPr>
        <w:t>Ssewamala</w:t>
      </w:r>
      <w:proofErr w:type="spellEnd"/>
      <w:r w:rsidRPr="009C50E2">
        <w:rPr>
          <w:rFonts w:ascii="Georgia" w:hAnsi="Georgia" w:cs="Times New Roman"/>
          <w:sz w:val="18"/>
          <w:szCs w:val="18"/>
        </w:rPr>
        <w:t>, F. M., Kim, Y., Loke, V., Zou, L., … Han, C. K. (201</w:t>
      </w:r>
      <w:r w:rsidRPr="009C50E2">
        <w:rPr>
          <w:rFonts w:ascii="Georgia" w:hAnsi="Georgia" w:cs="Times New Roman"/>
          <w:sz w:val="18"/>
          <w:szCs w:val="18"/>
          <w:rtl/>
        </w:rPr>
        <w:t>6</w:t>
      </w:r>
      <w:r w:rsidRPr="009C50E2">
        <w:rPr>
          <w:rFonts w:ascii="Georgia" w:hAnsi="Georgia" w:cs="Times New Roman"/>
          <w:sz w:val="18"/>
          <w:szCs w:val="18"/>
        </w:rPr>
        <w:t xml:space="preserve">). </w:t>
      </w:r>
      <w:hyperlink r:id="rId11" w:history="1">
        <w:r w:rsidRPr="009C50E2">
          <w:rPr>
            <w:rFonts w:ascii="Georgia" w:hAnsi="Georgia" w:cs="Times New Roman"/>
            <w:sz w:val="18"/>
            <w:szCs w:val="18"/>
          </w:rPr>
          <w:t>International child development accounts</w:t>
        </w:r>
      </w:hyperlink>
      <w:r w:rsidRPr="009C50E2">
        <w:rPr>
          <w:rFonts w:ascii="Georgia" w:hAnsi="Georgia" w:cs="Times New Roman"/>
          <w:sz w:val="18"/>
          <w:szCs w:val="18"/>
        </w:rPr>
        <w:t xml:space="preserve">. In C. Franklin et al. (Eds.), </w:t>
      </w:r>
      <w:r w:rsidRPr="009C50E2">
        <w:rPr>
          <w:rFonts w:ascii="Georgia" w:hAnsi="Georgia" w:cs="Times New Roman"/>
          <w:i/>
          <w:sz w:val="18"/>
          <w:szCs w:val="18"/>
        </w:rPr>
        <w:t>Encyclopedia of social work.</w:t>
      </w:r>
      <w:r w:rsidRPr="009C50E2">
        <w:rPr>
          <w:rFonts w:ascii="Georgia" w:hAnsi="Georgia" w:cs="Times New Roman"/>
          <w:sz w:val="18"/>
          <w:szCs w:val="18"/>
          <w:rtl/>
        </w:rPr>
        <w:t xml:space="preserve"> </w:t>
      </w:r>
    </w:p>
    <w:p w14:paraId="5226B57E"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Shobe</w:t>
      </w:r>
      <w:proofErr w:type="spellEnd"/>
      <w:r w:rsidRPr="009C50E2">
        <w:rPr>
          <w:rFonts w:ascii="Georgia" w:hAnsi="Georgia" w:cs="Times New Roman"/>
          <w:sz w:val="18"/>
          <w:szCs w:val="18"/>
        </w:rPr>
        <w:t xml:space="preserve">, M., &amp; Page-Adams, D. (2001). Assets, future orientation, and well-being: Exploring and extending </w:t>
      </w:r>
      <w:proofErr w:type="spellStart"/>
      <w:r w:rsidRPr="009C50E2">
        <w:rPr>
          <w:rFonts w:ascii="Georgia" w:hAnsi="Georgia" w:cs="Times New Roman"/>
          <w:sz w:val="18"/>
          <w:szCs w:val="18"/>
        </w:rPr>
        <w:t>Sherraden's</w:t>
      </w:r>
      <w:proofErr w:type="spellEnd"/>
      <w:r w:rsidRPr="009C50E2">
        <w:rPr>
          <w:rFonts w:ascii="Georgia" w:hAnsi="Georgia" w:cs="Times New Roman"/>
          <w:sz w:val="18"/>
          <w:szCs w:val="18"/>
        </w:rPr>
        <w:t xml:space="preserve"> framework.</w:t>
      </w:r>
      <w:r w:rsidRPr="009C50E2" w:rsidDel="008E0B3E">
        <w:rPr>
          <w:rFonts w:ascii="Georgia" w:hAnsi="Georgia" w:cs="Times New Roman"/>
          <w:sz w:val="18"/>
          <w:szCs w:val="18"/>
        </w:rPr>
        <w:t xml:space="preserve"> </w:t>
      </w:r>
      <w:r w:rsidRPr="009C50E2">
        <w:rPr>
          <w:rFonts w:ascii="Georgia" w:hAnsi="Georgia" w:cs="Times New Roman"/>
          <w:i/>
          <w:iCs/>
          <w:sz w:val="18"/>
          <w:szCs w:val="18"/>
        </w:rPr>
        <w:t>Journal of Sociology and Social Welfare</w:t>
      </w:r>
      <w:r w:rsidRPr="009C50E2">
        <w:rPr>
          <w:rFonts w:ascii="Georgia" w:hAnsi="Georgia" w:cs="Times New Roman"/>
          <w:sz w:val="18"/>
          <w:szCs w:val="18"/>
        </w:rPr>
        <w:t xml:space="preserve">, </w:t>
      </w:r>
      <w:r w:rsidRPr="009C50E2">
        <w:rPr>
          <w:rFonts w:ascii="Georgia" w:hAnsi="Georgia" w:cs="Times New Roman"/>
          <w:i/>
          <w:sz w:val="18"/>
          <w:szCs w:val="18"/>
        </w:rPr>
        <w:t>28</w:t>
      </w:r>
      <w:r w:rsidRPr="009C50E2">
        <w:rPr>
          <w:rFonts w:ascii="Georgia" w:hAnsi="Georgia" w:cs="Times New Roman"/>
          <w:sz w:val="18"/>
          <w:szCs w:val="18"/>
        </w:rPr>
        <w:t>(3), 109–128.</w:t>
      </w:r>
    </w:p>
    <w:p w14:paraId="320D7712" w14:textId="77777777" w:rsidR="009C50E2" w:rsidRPr="009C50E2" w:rsidRDefault="009C50E2" w:rsidP="009C50E2">
      <w:pPr>
        <w:bidi w:val="0"/>
        <w:spacing w:after="120"/>
        <w:ind w:left="397" w:hanging="397"/>
        <w:jc w:val="both"/>
        <w:rPr>
          <w:rFonts w:ascii="Georgia" w:hAnsi="Georgia" w:cs="Times New Roman"/>
          <w:sz w:val="18"/>
          <w:szCs w:val="18"/>
        </w:rPr>
      </w:pPr>
      <w:proofErr w:type="spellStart"/>
      <w:r w:rsidRPr="009C50E2">
        <w:rPr>
          <w:rFonts w:ascii="Georgia" w:hAnsi="Georgia" w:cs="Times New Roman"/>
          <w:sz w:val="18"/>
          <w:szCs w:val="18"/>
        </w:rPr>
        <w:t>Theodos</w:t>
      </w:r>
      <w:proofErr w:type="spellEnd"/>
      <w:r w:rsidRPr="009C50E2">
        <w:rPr>
          <w:rFonts w:ascii="Georgia" w:hAnsi="Georgia" w:cs="Times New Roman"/>
          <w:sz w:val="18"/>
          <w:szCs w:val="18"/>
        </w:rPr>
        <w:t xml:space="preserve">, B., Stacy, C. P., &amp; Daniels, R. (2018). Client led coaching: A random assignment evaluation of the impacts of ﬁnancial coaching programs. </w:t>
      </w:r>
      <w:r w:rsidRPr="009C50E2">
        <w:rPr>
          <w:rFonts w:ascii="Georgia" w:hAnsi="Georgia" w:cs="Times New Roman"/>
          <w:i/>
          <w:sz w:val="18"/>
          <w:szCs w:val="18"/>
        </w:rPr>
        <w:t>Journal of Economic Behavior and Organization</w:t>
      </w:r>
      <w:r w:rsidRPr="009C50E2">
        <w:rPr>
          <w:rFonts w:ascii="Georgia" w:hAnsi="Georgia" w:cs="Times New Roman"/>
          <w:iCs/>
          <w:sz w:val="18"/>
          <w:szCs w:val="18"/>
        </w:rPr>
        <w:t>,</w:t>
      </w:r>
      <w:r w:rsidRPr="009C50E2">
        <w:rPr>
          <w:rFonts w:ascii="Georgia" w:hAnsi="Georgia" w:cs="Times New Roman"/>
          <w:sz w:val="18"/>
          <w:szCs w:val="18"/>
        </w:rPr>
        <w:t xml:space="preserve"> </w:t>
      </w:r>
      <w:r w:rsidRPr="009C50E2">
        <w:rPr>
          <w:rFonts w:ascii="Georgia" w:hAnsi="Georgia" w:cs="Times New Roman"/>
          <w:i/>
          <w:iCs/>
          <w:sz w:val="18"/>
          <w:szCs w:val="18"/>
        </w:rPr>
        <w:t>155</w:t>
      </w:r>
      <w:r w:rsidRPr="009C50E2">
        <w:rPr>
          <w:rFonts w:ascii="Georgia" w:hAnsi="Georgia" w:cs="Times New Roman"/>
          <w:sz w:val="18"/>
          <w:szCs w:val="18"/>
        </w:rPr>
        <w:t>, 140–158.</w:t>
      </w:r>
    </w:p>
    <w:p w14:paraId="499DAE47"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Zager, R., Kim, Y., Nam, Y., Clancy,</w:t>
      </w:r>
      <w:r w:rsidRPr="009C50E2">
        <w:rPr>
          <w:rFonts w:ascii="Georgia" w:hAnsi="Georgia" w:cs="Times New Roman"/>
          <w:sz w:val="18"/>
          <w:szCs w:val="18"/>
          <w:rtl/>
        </w:rPr>
        <w:t xml:space="preserve"> </w:t>
      </w:r>
      <w:r w:rsidRPr="009C50E2">
        <w:rPr>
          <w:rFonts w:ascii="Georgia" w:hAnsi="Georgia" w:cs="Times New Roman"/>
          <w:sz w:val="18"/>
          <w:szCs w:val="18"/>
        </w:rPr>
        <w:t xml:space="preserve">M., &amp;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M. (2010). The SEED for Oklahoma Kids Experiment: Initial account opening and savings (CSD Research Report 10–14). Washington University, Center for Social Development.</w:t>
      </w:r>
    </w:p>
    <w:p w14:paraId="4133B13C" w14:textId="77777777" w:rsidR="009C50E2" w:rsidRPr="009C50E2" w:rsidRDefault="009C50E2" w:rsidP="009C50E2">
      <w:pPr>
        <w:bidi w:val="0"/>
        <w:spacing w:after="120"/>
        <w:ind w:left="397" w:hanging="397"/>
        <w:jc w:val="both"/>
        <w:rPr>
          <w:rFonts w:ascii="Georgia" w:hAnsi="Georgia" w:cs="Times New Roman"/>
          <w:sz w:val="18"/>
          <w:szCs w:val="18"/>
        </w:rPr>
      </w:pPr>
      <w:r w:rsidRPr="009C50E2">
        <w:rPr>
          <w:rFonts w:ascii="Georgia" w:hAnsi="Georgia" w:cs="Times New Roman"/>
          <w:sz w:val="18"/>
          <w:szCs w:val="18"/>
        </w:rPr>
        <w:t xml:space="preserve">Zhan, M. (2006). Assets, parental expectations and involvement, and children's educational performance. </w:t>
      </w:r>
      <w:r w:rsidRPr="009C50E2">
        <w:rPr>
          <w:rFonts w:ascii="Georgia" w:hAnsi="Georgia" w:cs="Times New Roman"/>
          <w:i/>
          <w:sz w:val="18"/>
          <w:szCs w:val="18"/>
        </w:rPr>
        <w:t>Children and Youth Services Review</w:t>
      </w:r>
      <w:r w:rsidRPr="009C50E2">
        <w:rPr>
          <w:rFonts w:ascii="Georgia" w:hAnsi="Georgia" w:cs="Times New Roman"/>
          <w:iCs/>
          <w:sz w:val="18"/>
          <w:szCs w:val="18"/>
        </w:rPr>
        <w:t>,</w:t>
      </w:r>
      <w:r w:rsidRPr="009C50E2">
        <w:rPr>
          <w:rFonts w:ascii="Georgia" w:hAnsi="Georgia" w:cs="Times New Roman"/>
          <w:i/>
          <w:sz w:val="18"/>
          <w:szCs w:val="18"/>
        </w:rPr>
        <w:t xml:space="preserve"> 28</w:t>
      </w:r>
      <w:r w:rsidRPr="009C50E2">
        <w:rPr>
          <w:rFonts w:ascii="Georgia" w:hAnsi="Georgia" w:cs="Times New Roman"/>
          <w:sz w:val="18"/>
          <w:szCs w:val="18"/>
        </w:rPr>
        <w:t xml:space="preserve">(8), </w:t>
      </w:r>
      <w:r w:rsidRPr="009C50E2">
        <w:rPr>
          <w:rFonts w:ascii="Georgia" w:hAnsi="Georgia" w:cs="Times New Roman"/>
          <w:sz w:val="18"/>
          <w:szCs w:val="18"/>
        </w:rPr>
        <w:br/>
        <w:t>961–975.</w:t>
      </w:r>
    </w:p>
    <w:p w14:paraId="59A0D650" w14:textId="772323A9" w:rsidR="00CB1A04" w:rsidRPr="009C50E2" w:rsidRDefault="009C50E2" w:rsidP="009C50E2">
      <w:pPr>
        <w:bidi w:val="0"/>
        <w:spacing w:after="120"/>
        <w:ind w:left="397" w:hanging="397"/>
        <w:jc w:val="both"/>
        <w:rPr>
          <w:rFonts w:ascii="Georgia" w:hAnsi="Georgia" w:cs="Times New Roman"/>
          <w:b/>
          <w:sz w:val="18"/>
          <w:szCs w:val="18"/>
        </w:rPr>
      </w:pPr>
      <w:r w:rsidRPr="009C50E2">
        <w:rPr>
          <w:rFonts w:ascii="Georgia" w:hAnsi="Georgia" w:cs="Times New Roman"/>
          <w:sz w:val="18"/>
          <w:szCs w:val="18"/>
        </w:rPr>
        <w:t xml:space="preserve">Zhan, M., &amp; </w:t>
      </w:r>
      <w:proofErr w:type="spellStart"/>
      <w:r w:rsidRPr="009C50E2">
        <w:rPr>
          <w:rFonts w:ascii="Georgia" w:hAnsi="Georgia" w:cs="Times New Roman"/>
          <w:sz w:val="18"/>
          <w:szCs w:val="18"/>
        </w:rPr>
        <w:t>Sherraden</w:t>
      </w:r>
      <w:proofErr w:type="spellEnd"/>
      <w:r w:rsidRPr="009C50E2">
        <w:rPr>
          <w:rFonts w:ascii="Georgia" w:hAnsi="Georgia" w:cs="Times New Roman"/>
          <w:sz w:val="18"/>
          <w:szCs w:val="18"/>
        </w:rPr>
        <w:t xml:space="preserve">, M. (2003). </w:t>
      </w:r>
      <w:hyperlink r:id="rId12" w:history="1">
        <w:r w:rsidRPr="009C50E2">
          <w:rPr>
            <w:rFonts w:ascii="Georgia" w:hAnsi="Georgia" w:cs="Times New Roman"/>
            <w:sz w:val="18"/>
            <w:szCs w:val="18"/>
          </w:rPr>
          <w:t>Assets, expectations, and children’s educational achievement in female</w:t>
        </w:r>
        <w:r w:rsidRPr="009C50E2">
          <w:rPr>
            <w:rFonts w:cs="Times New Roman"/>
            <w:sz w:val="18"/>
            <w:szCs w:val="18"/>
          </w:rPr>
          <w:t>‐</w:t>
        </w:r>
        <w:r w:rsidRPr="009C50E2">
          <w:rPr>
            <w:rFonts w:ascii="Georgia" w:hAnsi="Georgia" w:cs="Times New Roman"/>
            <w:sz w:val="18"/>
            <w:szCs w:val="18"/>
          </w:rPr>
          <w:t>headed households</w:t>
        </w:r>
      </w:hyperlink>
      <w:r w:rsidRPr="009C50E2">
        <w:rPr>
          <w:rFonts w:ascii="Georgia" w:hAnsi="Georgia" w:cs="Times New Roman"/>
          <w:sz w:val="18"/>
          <w:szCs w:val="18"/>
        </w:rPr>
        <w:t xml:space="preserve">. </w:t>
      </w:r>
      <w:r w:rsidRPr="009C50E2">
        <w:rPr>
          <w:rFonts w:ascii="Georgia" w:hAnsi="Georgia" w:cs="Times New Roman"/>
          <w:i/>
          <w:sz w:val="18"/>
          <w:szCs w:val="18"/>
        </w:rPr>
        <w:t>Social Service Review</w:t>
      </w:r>
      <w:r w:rsidRPr="009C50E2">
        <w:rPr>
          <w:rFonts w:ascii="Georgia" w:hAnsi="Georgia" w:cs="Times New Roman"/>
          <w:iCs/>
          <w:sz w:val="18"/>
          <w:szCs w:val="18"/>
        </w:rPr>
        <w:t>,</w:t>
      </w:r>
      <w:r w:rsidRPr="009C50E2">
        <w:rPr>
          <w:rFonts w:ascii="Georgia" w:hAnsi="Georgia" w:cs="Times New Roman"/>
          <w:i/>
          <w:sz w:val="18"/>
          <w:szCs w:val="18"/>
        </w:rPr>
        <w:t xml:space="preserve"> 77</w:t>
      </w:r>
      <w:r w:rsidRPr="009C50E2">
        <w:rPr>
          <w:rFonts w:ascii="Georgia" w:hAnsi="Georgia" w:cs="Times New Roman"/>
          <w:sz w:val="18"/>
          <w:szCs w:val="18"/>
        </w:rPr>
        <w:t>(2), 191–211.</w:t>
      </w:r>
    </w:p>
    <w:p w14:paraId="3A17582C" w14:textId="77777777" w:rsidR="006B43B0" w:rsidRDefault="006B43B0" w:rsidP="00FB4B8A">
      <w:pPr>
        <w:spacing w:after="120" w:line="300" w:lineRule="exact"/>
        <w:jc w:val="both"/>
        <w:rPr>
          <w:rFonts w:cs="Times New Roman"/>
          <w:sz w:val="18"/>
          <w:szCs w:val="20"/>
          <w:rtl/>
        </w:rPr>
        <w:sectPr w:rsidR="006B43B0" w:rsidSect="006B43B0">
          <w:headerReference w:type="even" r:id="rId13"/>
          <w:headerReference w:type="default" r:id="rId14"/>
          <w:footerReference w:type="even" r:id="rId15"/>
          <w:footerReference w:type="default" r:id="rId16"/>
          <w:headerReference w:type="first" r:id="rId17"/>
          <w:footerReference w:type="first" r:id="rId18"/>
          <w:pgSz w:w="11906" w:h="16838" w:code="9"/>
          <w:pgMar w:top="3515" w:right="2722" w:bottom="2948" w:left="2722" w:header="2665" w:footer="2665" w:gutter="0"/>
          <w:pgNumType w:start="27"/>
          <w:cols w:space="708"/>
          <w:titlePg/>
          <w:docGrid w:linePitch="360"/>
        </w:sectPr>
      </w:pPr>
    </w:p>
    <w:p w14:paraId="3E6EC20E" w14:textId="77777777" w:rsidR="006B43B0" w:rsidRPr="00CD593B" w:rsidRDefault="006B43B0" w:rsidP="00FB4B8A">
      <w:pPr>
        <w:spacing w:after="120" w:line="300" w:lineRule="exact"/>
        <w:jc w:val="both"/>
        <w:rPr>
          <w:rFonts w:cs="Times New Roman"/>
          <w:sz w:val="18"/>
          <w:szCs w:val="20"/>
          <w:rtl/>
        </w:rPr>
      </w:pPr>
    </w:p>
    <w:sectPr w:rsidR="006B43B0" w:rsidRPr="00CD593B" w:rsidSect="006B43B0">
      <w:footerReference w:type="first" r:id="rId1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78FED" w14:textId="77777777" w:rsidR="00763BE0" w:rsidRDefault="00763BE0">
      <w:pPr>
        <w:spacing w:line="240" w:lineRule="auto"/>
      </w:pPr>
      <w:r>
        <w:separator/>
      </w:r>
    </w:p>
  </w:endnote>
  <w:endnote w:type="continuationSeparator" w:id="0">
    <w:p w14:paraId="0E66F3B5" w14:textId="77777777" w:rsidR="00763BE0" w:rsidRDefault="00763B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5E753" w14:textId="77777777" w:rsidR="00CB79C7" w:rsidRDefault="00CB7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F08" w14:textId="77777777" w:rsidR="00CB79C7" w:rsidRDefault="00CB79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5BEC784" w:rsidR="0080406E" w:rsidRDefault="0080406E" w:rsidP="00D50DA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116</w:t>
    </w:r>
    <w:r w:rsidRPr="0090645A">
      <w:rPr>
        <w:rFonts w:hint="cs"/>
        <w:sz w:val="16"/>
        <w:szCs w:val="16"/>
        <w:rtl/>
      </w:rPr>
      <w:t xml:space="preserve">, </w:t>
    </w:r>
    <w:r>
      <w:rPr>
        <w:rFonts w:hint="cs"/>
        <w:sz w:val="16"/>
        <w:szCs w:val="16"/>
        <w:rtl/>
      </w:rPr>
      <w:t xml:space="preserve">פברואר </w:t>
    </w:r>
    <w:r w:rsidRPr="0090645A">
      <w:rPr>
        <w:rFonts w:hint="cs"/>
        <w:sz w:val="16"/>
        <w:szCs w:val="16"/>
        <w:rtl/>
      </w:rPr>
      <w:t>20</w:t>
    </w:r>
    <w:r>
      <w:rPr>
        <w:rFonts w:hint="cs"/>
        <w:sz w:val="16"/>
        <w:szCs w:val="16"/>
        <w:rtl/>
      </w:rPr>
      <w:t>22</w:t>
    </w:r>
    <w:r w:rsidR="006B43B0">
      <w:rPr>
        <w:rFonts w:hint="cs"/>
        <w:sz w:val="16"/>
        <w:szCs w:val="16"/>
        <w:rtl/>
      </w:rPr>
      <w:t>: 47-27</w:t>
    </w:r>
  </w:p>
  <w:p w14:paraId="078F03E4" w14:textId="77777777" w:rsidR="0080406E" w:rsidRPr="00A17DA2" w:rsidRDefault="0080406E"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C688" w14:textId="77777777" w:rsidR="006B43B0" w:rsidRPr="00A17DA2" w:rsidRDefault="006B43B0"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79BF" w14:textId="77777777" w:rsidR="00763BE0" w:rsidRDefault="00763BE0" w:rsidP="00A04D35">
      <w:pPr>
        <w:spacing w:before="120" w:after="80"/>
        <w:rPr>
          <w:rFonts w:cs="FrankRuehl"/>
          <w:sz w:val="18"/>
          <w:szCs w:val="18"/>
        </w:rPr>
      </w:pPr>
      <w:r>
        <w:rPr>
          <w:rFonts w:cs="FrankRuehl" w:hint="cs"/>
          <w:sz w:val="18"/>
          <w:szCs w:val="18"/>
          <w:rtl/>
        </w:rPr>
        <w:t>_____________</w:t>
      </w:r>
    </w:p>
  </w:footnote>
  <w:footnote w:type="continuationSeparator" w:id="0">
    <w:p w14:paraId="37081649" w14:textId="77777777" w:rsidR="00763BE0" w:rsidRDefault="00763BE0">
      <w:r>
        <w:continuationSeparator/>
      </w:r>
    </w:p>
  </w:footnote>
  <w:footnote w:type="continuationNotice" w:id="1">
    <w:p w14:paraId="1204A697" w14:textId="77777777" w:rsidR="00763BE0" w:rsidRDefault="00763BE0">
      <w:pPr>
        <w:rPr>
          <w:rtl/>
        </w:rPr>
      </w:pPr>
    </w:p>
  </w:footnote>
  <w:footnote w:id="2">
    <w:p w14:paraId="1881553B" w14:textId="08526940" w:rsidR="0086520B" w:rsidRPr="004618F7" w:rsidRDefault="0086520B" w:rsidP="003313BB">
      <w:pPr>
        <w:keepLines/>
        <w:spacing w:line="200" w:lineRule="exact"/>
        <w:jc w:val="both"/>
        <w:rPr>
          <w:rFonts w:ascii="Georgia" w:hAnsi="Georgia"/>
          <w:sz w:val="14"/>
          <w:szCs w:val="16"/>
        </w:rPr>
      </w:pPr>
      <w:r w:rsidRPr="0086520B">
        <w:rPr>
          <w:rFonts w:ascii="Georgia" w:hAnsi="Georgia"/>
          <w:sz w:val="14"/>
          <w:szCs w:val="16"/>
          <w:rtl/>
        </w:rPr>
        <w:t xml:space="preserve">מאמר זה הוא גרסה מתורגמת לעברית של המאמר </w:t>
      </w:r>
      <w:r w:rsidRPr="0086520B">
        <w:rPr>
          <w:rFonts w:ascii="Georgia" w:hAnsi="Georgia"/>
          <w:sz w:val="14"/>
          <w:szCs w:val="16"/>
        </w:rPr>
        <w:t>Enrollment and participation in a universal child savings program: Evidence from the rollout of Israel's National Program</w:t>
      </w:r>
      <w:r>
        <w:rPr>
          <w:rFonts w:ascii="Georgia" w:hAnsi="Georgia" w:hint="cs"/>
          <w:sz w:val="14"/>
          <w:szCs w:val="16"/>
          <w:rtl/>
        </w:rPr>
        <w:t xml:space="preserve"> </w:t>
      </w:r>
      <w:r w:rsidRPr="0086520B">
        <w:rPr>
          <w:rFonts w:ascii="Georgia" w:hAnsi="Georgia"/>
          <w:sz w:val="14"/>
          <w:szCs w:val="16"/>
          <w:rtl/>
        </w:rPr>
        <w:t xml:space="preserve">שפורסם ב-2019 בכתב העת </w:t>
      </w:r>
      <w:r w:rsidRPr="003313BB">
        <w:rPr>
          <w:rFonts w:ascii="Georgia" w:hAnsi="Georgia"/>
          <w:i/>
          <w:iCs/>
          <w:sz w:val="14"/>
          <w:szCs w:val="16"/>
        </w:rPr>
        <w:t>Children and Youth Services Review</w:t>
      </w:r>
      <w:r w:rsidRPr="0086520B">
        <w:rPr>
          <w:rFonts w:ascii="Georgia" w:hAnsi="Georgia"/>
          <w:sz w:val="14"/>
          <w:szCs w:val="16"/>
          <w:rtl/>
        </w:rPr>
        <w:t>, גיליון 101, והוא מפורסם כאן באישורו</w:t>
      </w:r>
    </w:p>
    <w:p w14:paraId="3F70CC4D" w14:textId="77777777" w:rsidR="0080406E" w:rsidRPr="007F3859" w:rsidRDefault="0080406E" w:rsidP="00CB1A04">
      <w:pPr>
        <w:keepLines/>
        <w:spacing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Pr="007F3859">
        <w:rPr>
          <w:rFonts w:hint="cs"/>
          <w:sz w:val="14"/>
          <w:szCs w:val="16"/>
          <w:rtl/>
        </w:rPr>
        <w:t xml:space="preserve">מנהלת מכון המחקר למדיניות חברתית, </w:t>
      </w:r>
      <w:r w:rsidRPr="007F3859">
        <w:rPr>
          <w:sz w:val="14"/>
          <w:szCs w:val="16"/>
          <w:rtl/>
        </w:rPr>
        <w:t>אוניברסיטת וושינגטון בסנט לואיס</w:t>
      </w:r>
      <w:r w:rsidRPr="007F3859">
        <w:rPr>
          <w:rFonts w:hint="cs"/>
          <w:sz w:val="14"/>
          <w:szCs w:val="16"/>
          <w:rtl/>
        </w:rPr>
        <w:t>, ארצות הברית</w:t>
      </w:r>
    </w:p>
  </w:footnote>
  <w:footnote w:id="3">
    <w:p w14:paraId="6434CD2B" w14:textId="55785A87" w:rsidR="0086520B" w:rsidRPr="007F3859" w:rsidRDefault="0080406E" w:rsidP="0086520B">
      <w:pPr>
        <w:keepLines/>
        <w:spacing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0086520B" w:rsidRPr="0086520B">
        <w:rPr>
          <w:sz w:val="14"/>
          <w:szCs w:val="16"/>
          <w:rtl/>
        </w:rPr>
        <w:t>סמנכ"ל מחקר ותכנון, שירות התעסוקה הישראלי</w:t>
      </w:r>
    </w:p>
  </w:footnote>
  <w:footnote w:id="4">
    <w:p w14:paraId="58A485BD" w14:textId="77777777" w:rsidR="0080406E" w:rsidRPr="007F3859" w:rsidRDefault="0080406E" w:rsidP="00CB1A04">
      <w:pPr>
        <w:keepLines/>
        <w:spacing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Pr="007F3859">
        <w:rPr>
          <w:rFonts w:hint="cs"/>
          <w:sz w:val="14"/>
          <w:szCs w:val="16"/>
          <w:rtl/>
        </w:rPr>
        <w:t xml:space="preserve">חוקרת בכירה, המכון למדיניות חברתית, </w:t>
      </w:r>
      <w:r w:rsidRPr="007F3859">
        <w:rPr>
          <w:sz w:val="14"/>
          <w:szCs w:val="16"/>
          <w:rtl/>
        </w:rPr>
        <w:t>אוניברסיטת וושינגטון בסנט לואיס</w:t>
      </w:r>
      <w:r w:rsidRPr="007F3859">
        <w:rPr>
          <w:rFonts w:hint="cs"/>
          <w:sz w:val="14"/>
          <w:szCs w:val="16"/>
          <w:rtl/>
        </w:rPr>
        <w:t xml:space="preserve">, ארצות הברית </w:t>
      </w:r>
    </w:p>
  </w:footnote>
  <w:footnote w:id="5">
    <w:p w14:paraId="3AAB82E5" w14:textId="77777777" w:rsidR="0080406E" w:rsidRPr="007F3859" w:rsidRDefault="0080406E" w:rsidP="00CB1A04">
      <w:pPr>
        <w:keepLines/>
        <w:spacing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Pr="007F3859">
        <w:rPr>
          <w:rFonts w:hint="cs"/>
          <w:sz w:val="14"/>
          <w:szCs w:val="16"/>
          <w:rtl/>
        </w:rPr>
        <w:t xml:space="preserve">חוקר בכיר, המכון למדיניות חברתית, </w:t>
      </w:r>
      <w:r w:rsidRPr="007F3859">
        <w:rPr>
          <w:sz w:val="14"/>
          <w:szCs w:val="16"/>
          <w:rtl/>
        </w:rPr>
        <w:t>אוניברסיטת וושינגטון בסנט לואיס</w:t>
      </w:r>
      <w:r w:rsidRPr="007F3859">
        <w:rPr>
          <w:rFonts w:hint="cs"/>
          <w:sz w:val="14"/>
          <w:szCs w:val="16"/>
          <w:rtl/>
        </w:rPr>
        <w:t>, ארצות הברית</w:t>
      </w:r>
    </w:p>
  </w:footnote>
  <w:footnote w:id="6">
    <w:p w14:paraId="60C95FDC" w14:textId="77777777" w:rsidR="0080406E" w:rsidRPr="007F3859" w:rsidRDefault="0080406E" w:rsidP="00CB1A04">
      <w:pPr>
        <w:keepLines/>
        <w:spacing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Pr="007F3859">
        <w:rPr>
          <w:rFonts w:hint="cs"/>
          <w:sz w:val="14"/>
          <w:szCs w:val="16"/>
          <w:rtl/>
        </w:rPr>
        <w:t xml:space="preserve">אנליסט, המכון למדיניות חברתית, </w:t>
      </w:r>
      <w:r w:rsidRPr="007F3859">
        <w:rPr>
          <w:sz w:val="14"/>
          <w:szCs w:val="16"/>
          <w:rtl/>
        </w:rPr>
        <w:t>אוניברסיטת וושינגטון בסנט לואיס</w:t>
      </w:r>
      <w:r w:rsidRPr="007F3859">
        <w:rPr>
          <w:rFonts w:hint="cs"/>
          <w:sz w:val="14"/>
          <w:szCs w:val="16"/>
          <w:rtl/>
        </w:rPr>
        <w:t>, ארצות הברית</w:t>
      </w:r>
    </w:p>
  </w:footnote>
  <w:footnote w:id="7">
    <w:p w14:paraId="286F5E81" w14:textId="5CB8F505" w:rsidR="0080406E" w:rsidRPr="007F3859" w:rsidRDefault="0080406E" w:rsidP="00F06589">
      <w:pPr>
        <w:keepLines/>
        <w:spacing w:after="120" w:line="200" w:lineRule="exact"/>
        <w:ind w:left="397" w:hanging="397"/>
        <w:jc w:val="both"/>
        <w:rPr>
          <w:sz w:val="14"/>
          <w:szCs w:val="16"/>
        </w:rPr>
      </w:pPr>
      <w:r w:rsidRPr="007F3859">
        <w:rPr>
          <w:sz w:val="14"/>
          <w:szCs w:val="16"/>
        </w:rPr>
        <w:footnoteRef/>
      </w:r>
      <w:r w:rsidRPr="007F3859">
        <w:rPr>
          <w:sz w:val="14"/>
          <w:szCs w:val="16"/>
          <w:rtl/>
        </w:rPr>
        <w:t xml:space="preserve"> </w:t>
      </w:r>
      <w:r w:rsidRPr="007F3859">
        <w:rPr>
          <w:sz w:val="14"/>
          <w:szCs w:val="16"/>
          <w:rtl/>
        </w:rPr>
        <w:tab/>
      </w:r>
      <w:r w:rsidR="0086520B" w:rsidRPr="0086520B">
        <w:rPr>
          <w:sz w:val="14"/>
          <w:szCs w:val="16"/>
          <w:rtl/>
        </w:rPr>
        <w:t>חברת סגל, המחלקה לעבודה סוציאלית על שם שפיצר, אוניברסיטת בן גוריון בנגב; עמיתת מחקר, מכון המחקר למדיניות חברתית, אוניברסיטת וושינגטון בסנט לואיס, ארצות הברית</w:t>
      </w:r>
    </w:p>
  </w:footnote>
  <w:footnote w:id="8">
    <w:p w14:paraId="53893DB3"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חשבונות</w:t>
      </w:r>
      <w:r w:rsidRPr="00FE5B5E">
        <w:rPr>
          <w:sz w:val="14"/>
          <w:szCs w:val="16"/>
          <w:rtl/>
        </w:rPr>
        <w:t xml:space="preserve"> ההשקעה מתוארים במונחים של מסלולים בעלי סיכון נמוך, בינוני וגבוה. בהתחשב בעובדה שהכספים המושקעים צפויים להישאר בחשבונות ההשקעות </w:t>
      </w:r>
      <w:r w:rsidRPr="00FE5B5E">
        <w:rPr>
          <w:rFonts w:hint="cs"/>
          <w:sz w:val="14"/>
          <w:szCs w:val="16"/>
          <w:rtl/>
        </w:rPr>
        <w:t>ל</w:t>
      </w:r>
      <w:r w:rsidRPr="00FE5B5E">
        <w:rPr>
          <w:sz w:val="14"/>
          <w:szCs w:val="16"/>
          <w:rtl/>
        </w:rPr>
        <w:t xml:space="preserve">תקופה של 18 שנים, </w:t>
      </w:r>
      <w:r w:rsidRPr="00FE5B5E">
        <w:rPr>
          <w:rFonts w:hint="cs"/>
          <w:sz w:val="14"/>
          <w:szCs w:val="16"/>
          <w:rtl/>
        </w:rPr>
        <w:t>אפשר</w:t>
      </w:r>
      <w:r w:rsidRPr="00FE5B5E">
        <w:rPr>
          <w:sz w:val="14"/>
          <w:szCs w:val="16"/>
          <w:rtl/>
        </w:rPr>
        <w:t xml:space="preserve"> </w:t>
      </w:r>
      <w:r w:rsidRPr="00FE5B5E">
        <w:rPr>
          <w:rFonts w:hint="cs"/>
          <w:sz w:val="14"/>
          <w:szCs w:val="16"/>
          <w:rtl/>
        </w:rPr>
        <w:t>להניח</w:t>
      </w:r>
      <w:r w:rsidRPr="00FE5B5E">
        <w:rPr>
          <w:sz w:val="14"/>
          <w:szCs w:val="16"/>
          <w:rtl/>
        </w:rPr>
        <w:t xml:space="preserve"> </w:t>
      </w:r>
      <w:r w:rsidRPr="00FE5B5E">
        <w:rPr>
          <w:rFonts w:hint="cs"/>
          <w:sz w:val="14"/>
          <w:szCs w:val="16"/>
          <w:rtl/>
        </w:rPr>
        <w:t>שכולם</w:t>
      </w:r>
      <w:r w:rsidRPr="00FE5B5E">
        <w:rPr>
          <w:sz w:val="14"/>
          <w:szCs w:val="16"/>
          <w:rtl/>
        </w:rPr>
        <w:t xml:space="preserve"> </w:t>
      </w:r>
      <w:r w:rsidRPr="00FE5B5E">
        <w:rPr>
          <w:rFonts w:hint="cs"/>
          <w:sz w:val="14"/>
          <w:szCs w:val="16"/>
          <w:rtl/>
        </w:rPr>
        <w:t>בעלי</w:t>
      </w:r>
      <w:r w:rsidRPr="00FE5B5E">
        <w:rPr>
          <w:sz w:val="14"/>
          <w:szCs w:val="16"/>
          <w:rtl/>
        </w:rPr>
        <w:t xml:space="preserve"> </w:t>
      </w:r>
      <w:r w:rsidRPr="00FE5B5E">
        <w:rPr>
          <w:rFonts w:hint="cs"/>
          <w:sz w:val="14"/>
          <w:szCs w:val="16"/>
          <w:rtl/>
        </w:rPr>
        <w:t>סיכון</w:t>
      </w:r>
      <w:r w:rsidRPr="00FE5B5E">
        <w:rPr>
          <w:sz w:val="14"/>
          <w:szCs w:val="16"/>
          <w:rtl/>
        </w:rPr>
        <w:t xml:space="preserve"> </w:t>
      </w:r>
      <w:r w:rsidRPr="00FE5B5E">
        <w:rPr>
          <w:rFonts w:hint="cs"/>
          <w:sz w:val="14"/>
          <w:szCs w:val="16"/>
          <w:rtl/>
        </w:rPr>
        <w:t>נמוך</w:t>
      </w:r>
      <w:r w:rsidRPr="00FE5B5E">
        <w:rPr>
          <w:sz w:val="14"/>
          <w:szCs w:val="16"/>
          <w:rtl/>
        </w:rPr>
        <w:t xml:space="preserve"> </w:t>
      </w:r>
      <w:r w:rsidRPr="00FE5B5E">
        <w:rPr>
          <w:rFonts w:hint="cs"/>
          <w:sz w:val="14"/>
          <w:szCs w:val="16"/>
          <w:rtl/>
        </w:rPr>
        <w:t>לטווח</w:t>
      </w:r>
      <w:r w:rsidRPr="00FE5B5E">
        <w:rPr>
          <w:sz w:val="14"/>
          <w:szCs w:val="16"/>
          <w:rtl/>
        </w:rPr>
        <w:t xml:space="preserve"> </w:t>
      </w:r>
      <w:r w:rsidRPr="00FE5B5E">
        <w:rPr>
          <w:rFonts w:hint="cs"/>
          <w:sz w:val="14"/>
          <w:szCs w:val="16"/>
          <w:rtl/>
        </w:rPr>
        <w:t>ארוך,</w:t>
      </w:r>
      <w:r w:rsidRPr="00FE5B5E">
        <w:rPr>
          <w:sz w:val="14"/>
          <w:szCs w:val="16"/>
          <w:rtl/>
        </w:rPr>
        <w:t xml:space="preserve"> </w:t>
      </w:r>
      <w:r w:rsidRPr="00FE5B5E">
        <w:rPr>
          <w:rFonts w:hint="cs"/>
          <w:sz w:val="14"/>
          <w:szCs w:val="16"/>
          <w:rtl/>
        </w:rPr>
        <w:t>אך</w:t>
      </w:r>
      <w:r w:rsidRPr="00FE5B5E">
        <w:rPr>
          <w:sz w:val="14"/>
          <w:szCs w:val="16"/>
          <w:rtl/>
        </w:rPr>
        <w:t xml:space="preserve"> </w:t>
      </w:r>
      <w:r w:rsidRPr="00FE5B5E">
        <w:rPr>
          <w:rFonts w:hint="cs"/>
          <w:sz w:val="14"/>
          <w:szCs w:val="16"/>
          <w:rtl/>
        </w:rPr>
        <w:t>שיעורי</w:t>
      </w:r>
      <w:r w:rsidRPr="00FE5B5E">
        <w:rPr>
          <w:sz w:val="14"/>
          <w:szCs w:val="16"/>
          <w:rtl/>
        </w:rPr>
        <w:t xml:space="preserve"> </w:t>
      </w:r>
      <w:r w:rsidRPr="00FE5B5E">
        <w:rPr>
          <w:rFonts w:hint="cs"/>
          <w:sz w:val="14"/>
          <w:szCs w:val="16"/>
          <w:rtl/>
        </w:rPr>
        <w:t>התשואה</w:t>
      </w:r>
      <w:r w:rsidRPr="00FE5B5E">
        <w:rPr>
          <w:sz w:val="14"/>
          <w:szCs w:val="16"/>
          <w:rtl/>
        </w:rPr>
        <w:t xml:space="preserve"> </w:t>
      </w:r>
      <w:r w:rsidRPr="00FE5B5E">
        <w:rPr>
          <w:rFonts w:hint="cs"/>
          <w:sz w:val="14"/>
          <w:szCs w:val="16"/>
          <w:rtl/>
        </w:rPr>
        <w:t>הצפויים</w:t>
      </w:r>
      <w:r w:rsidRPr="00FE5B5E">
        <w:rPr>
          <w:sz w:val="14"/>
          <w:szCs w:val="16"/>
          <w:rtl/>
        </w:rPr>
        <w:t xml:space="preserve"> </w:t>
      </w:r>
      <w:r w:rsidRPr="00FE5B5E">
        <w:rPr>
          <w:rFonts w:hint="cs"/>
          <w:sz w:val="14"/>
          <w:szCs w:val="16"/>
          <w:rtl/>
        </w:rPr>
        <w:t>שונים</w:t>
      </w:r>
      <w:r w:rsidRPr="00FE5B5E">
        <w:rPr>
          <w:sz w:val="14"/>
          <w:szCs w:val="16"/>
          <w:rtl/>
        </w:rPr>
        <w:t xml:space="preserve"> </w:t>
      </w:r>
      <w:r w:rsidRPr="00FE5B5E">
        <w:rPr>
          <w:rFonts w:hint="cs"/>
          <w:sz w:val="14"/>
          <w:szCs w:val="16"/>
          <w:rtl/>
        </w:rPr>
        <w:t>לטווח</w:t>
      </w:r>
      <w:r w:rsidRPr="00FE5B5E">
        <w:rPr>
          <w:sz w:val="14"/>
          <w:szCs w:val="16"/>
          <w:rtl/>
        </w:rPr>
        <w:t xml:space="preserve"> </w:t>
      </w:r>
      <w:r w:rsidRPr="00FE5B5E">
        <w:rPr>
          <w:rFonts w:hint="cs"/>
          <w:sz w:val="14"/>
          <w:szCs w:val="16"/>
          <w:rtl/>
        </w:rPr>
        <w:t>ארוך</w:t>
      </w:r>
      <w:r w:rsidRPr="00FE5B5E">
        <w:rPr>
          <w:sz w:val="14"/>
          <w:szCs w:val="16"/>
          <w:rtl/>
        </w:rPr>
        <w:t>.</w:t>
      </w:r>
    </w:p>
  </w:footnote>
  <w:footnote w:id="9">
    <w:p w14:paraId="5310D6C4" w14:textId="12F64D56" w:rsidR="0080406E" w:rsidRPr="00FE5B5E" w:rsidRDefault="0080406E" w:rsidP="001701E3">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t>חלק זה</w:t>
      </w:r>
      <w:r w:rsidRPr="00FE5B5E">
        <w:rPr>
          <w:rFonts w:hint="cs"/>
          <w:sz w:val="14"/>
          <w:szCs w:val="16"/>
          <w:rtl/>
        </w:rPr>
        <w:t>, הדן ב</w:t>
      </w:r>
      <w:r w:rsidRPr="00FE5B5E">
        <w:rPr>
          <w:sz w:val="14"/>
          <w:szCs w:val="16"/>
          <w:rtl/>
        </w:rPr>
        <w:t>מערכת היחסים בין נכסים לבין אינדיקטורים של רווחה כלכלית</w:t>
      </w:r>
      <w:r w:rsidRPr="00FE5B5E">
        <w:rPr>
          <w:rFonts w:hint="cs"/>
          <w:sz w:val="14"/>
          <w:szCs w:val="16"/>
          <w:rtl/>
        </w:rPr>
        <w:t>,</w:t>
      </w:r>
      <w:r w:rsidRPr="00FE5B5E">
        <w:rPr>
          <w:sz w:val="14"/>
          <w:szCs w:val="16"/>
          <w:rtl/>
        </w:rPr>
        <w:t xml:space="preserve"> מבוסס </w:t>
      </w:r>
      <w:r w:rsidRPr="00FE5B5E">
        <w:rPr>
          <w:rFonts w:hint="cs"/>
          <w:sz w:val="14"/>
          <w:szCs w:val="16"/>
          <w:rtl/>
        </w:rPr>
        <w:t xml:space="preserve">ברובו </w:t>
      </w:r>
      <w:r w:rsidRPr="00FE5B5E">
        <w:rPr>
          <w:sz w:val="14"/>
          <w:szCs w:val="16"/>
          <w:rtl/>
        </w:rPr>
        <w:t xml:space="preserve">על </w:t>
      </w:r>
      <w:r w:rsidRPr="00FE5B5E">
        <w:rPr>
          <w:rFonts w:hint="cs"/>
          <w:sz w:val="14"/>
          <w:szCs w:val="16"/>
          <w:rtl/>
        </w:rPr>
        <w:t>מחקרים קודמים</w:t>
      </w:r>
      <w:r w:rsidRPr="00FE5B5E">
        <w:rPr>
          <w:sz w:val="14"/>
          <w:szCs w:val="16"/>
          <w:rtl/>
        </w:rPr>
        <w:t xml:space="preserve"> שבוצע</w:t>
      </w:r>
      <w:r w:rsidRPr="00FE5B5E">
        <w:rPr>
          <w:rFonts w:hint="cs"/>
          <w:sz w:val="14"/>
          <w:szCs w:val="16"/>
          <w:rtl/>
        </w:rPr>
        <w:t>ו</w:t>
      </w:r>
      <w:r w:rsidRPr="00FE5B5E">
        <w:rPr>
          <w:sz w:val="14"/>
          <w:szCs w:val="16"/>
          <w:rtl/>
        </w:rPr>
        <w:t xml:space="preserve"> מחוץ לישראל. </w:t>
      </w:r>
      <w:r w:rsidRPr="00FE5B5E">
        <w:rPr>
          <w:rFonts w:hint="cs"/>
          <w:sz w:val="14"/>
          <w:szCs w:val="16"/>
          <w:rtl/>
        </w:rPr>
        <w:t>אומנם</w:t>
      </w:r>
      <w:r w:rsidRPr="00FE5B5E">
        <w:rPr>
          <w:sz w:val="14"/>
          <w:szCs w:val="16"/>
          <w:rtl/>
        </w:rPr>
        <w:t xml:space="preserve"> </w:t>
      </w:r>
      <w:r w:rsidRPr="00FE5B5E">
        <w:rPr>
          <w:rFonts w:hint="cs"/>
          <w:sz w:val="14"/>
          <w:szCs w:val="16"/>
          <w:rtl/>
        </w:rPr>
        <w:t>אנחנו</w:t>
      </w:r>
      <w:r w:rsidRPr="00FE5B5E">
        <w:rPr>
          <w:sz w:val="14"/>
          <w:szCs w:val="16"/>
          <w:rtl/>
        </w:rPr>
        <w:t xml:space="preserve"> </w:t>
      </w:r>
      <w:r>
        <w:rPr>
          <w:rFonts w:hint="cs"/>
          <w:sz w:val="14"/>
          <w:szCs w:val="16"/>
          <w:rtl/>
        </w:rPr>
        <w:t xml:space="preserve">מעריכים כי </w:t>
      </w:r>
      <w:r w:rsidRPr="00FE5B5E">
        <w:rPr>
          <w:sz w:val="14"/>
          <w:szCs w:val="16"/>
          <w:rtl/>
        </w:rPr>
        <w:t xml:space="preserve">רוב ההשפעות שנצפו במחקר זה הן תוצאה של מערכות יחסים הניתנות להכללה יחסית, </w:t>
      </w:r>
      <w:r w:rsidRPr="00FE5B5E">
        <w:rPr>
          <w:rFonts w:hint="cs"/>
          <w:sz w:val="14"/>
          <w:szCs w:val="16"/>
          <w:rtl/>
        </w:rPr>
        <w:t>אך</w:t>
      </w:r>
      <w:r w:rsidRPr="00FE5B5E">
        <w:rPr>
          <w:sz w:val="14"/>
          <w:szCs w:val="16"/>
          <w:rtl/>
        </w:rPr>
        <w:t xml:space="preserve"> </w:t>
      </w:r>
      <w:r w:rsidRPr="00FE5B5E">
        <w:rPr>
          <w:rFonts w:hint="cs"/>
          <w:sz w:val="14"/>
          <w:szCs w:val="16"/>
          <w:rtl/>
        </w:rPr>
        <w:t>אנחנו</w:t>
      </w:r>
      <w:r w:rsidRPr="00FE5B5E">
        <w:rPr>
          <w:sz w:val="14"/>
          <w:szCs w:val="16"/>
          <w:rtl/>
        </w:rPr>
        <w:t xml:space="preserve"> גם מכירים ב</w:t>
      </w:r>
      <w:r w:rsidRPr="00FE5B5E">
        <w:rPr>
          <w:rFonts w:hint="cs"/>
          <w:sz w:val="14"/>
          <w:szCs w:val="16"/>
          <w:rtl/>
        </w:rPr>
        <w:t>כך ש</w:t>
      </w:r>
      <w:r w:rsidRPr="00FE5B5E">
        <w:rPr>
          <w:sz w:val="14"/>
          <w:szCs w:val="16"/>
          <w:rtl/>
        </w:rPr>
        <w:t xml:space="preserve">גורמים מוסדיים, תרבותיים וכלכליים ייחודיים לישראל עשויים </w:t>
      </w:r>
      <w:r w:rsidRPr="00FE5B5E">
        <w:rPr>
          <w:rFonts w:hint="cs"/>
          <w:sz w:val="14"/>
          <w:szCs w:val="16"/>
          <w:rtl/>
        </w:rPr>
        <w:t>לשנות את מידת ישימותם</w:t>
      </w:r>
      <w:r w:rsidRPr="00FE5B5E">
        <w:rPr>
          <w:sz w:val="14"/>
          <w:szCs w:val="16"/>
          <w:rtl/>
        </w:rPr>
        <w:t xml:space="preserve"> </w:t>
      </w:r>
      <w:r w:rsidRPr="00FE5B5E">
        <w:rPr>
          <w:rFonts w:hint="cs"/>
          <w:sz w:val="14"/>
          <w:szCs w:val="16"/>
          <w:rtl/>
        </w:rPr>
        <w:t>של ממצאים</w:t>
      </w:r>
      <w:r w:rsidRPr="00FE5B5E">
        <w:rPr>
          <w:sz w:val="14"/>
          <w:szCs w:val="16"/>
          <w:rtl/>
        </w:rPr>
        <w:t xml:space="preserve"> </w:t>
      </w:r>
      <w:r w:rsidRPr="00FE5B5E">
        <w:rPr>
          <w:rFonts w:hint="cs"/>
          <w:sz w:val="14"/>
          <w:szCs w:val="16"/>
          <w:rtl/>
        </w:rPr>
        <w:t>אלה</w:t>
      </w:r>
      <w:r w:rsidRPr="00FE5B5E">
        <w:rPr>
          <w:sz w:val="14"/>
          <w:szCs w:val="16"/>
          <w:rtl/>
        </w:rPr>
        <w:t>.</w:t>
      </w:r>
    </w:p>
  </w:footnote>
  <w:footnote w:id="10">
    <w:p w14:paraId="480BF5C5" w14:textId="77777777" w:rsidR="0080406E" w:rsidRPr="004618F7" w:rsidRDefault="0080406E" w:rsidP="00CB1A04">
      <w:pPr>
        <w:keepLines/>
        <w:spacing w:line="200" w:lineRule="exact"/>
        <w:ind w:left="397" w:hanging="397"/>
        <w:jc w:val="both"/>
        <w:rPr>
          <w:rFonts w:ascii="Georgia" w:hAnsi="Georgia"/>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בריטניה</w:t>
      </w:r>
      <w:r w:rsidRPr="00FE5B5E">
        <w:rPr>
          <w:sz w:val="14"/>
          <w:szCs w:val="16"/>
          <w:rtl/>
        </w:rPr>
        <w:t xml:space="preserve"> </w:t>
      </w:r>
      <w:r w:rsidRPr="00FE5B5E">
        <w:rPr>
          <w:rFonts w:hint="cs"/>
          <w:sz w:val="14"/>
          <w:szCs w:val="16"/>
          <w:rtl/>
        </w:rPr>
        <w:t>הפסיקה</w:t>
      </w:r>
      <w:r w:rsidRPr="00FE5B5E">
        <w:rPr>
          <w:sz w:val="14"/>
          <w:szCs w:val="16"/>
          <w:rtl/>
        </w:rPr>
        <w:t xml:space="preserve"> </w:t>
      </w:r>
      <w:r w:rsidRPr="004618F7">
        <w:rPr>
          <w:rFonts w:ascii="Georgia" w:hAnsi="Georgia"/>
          <w:sz w:val="14"/>
          <w:szCs w:val="16"/>
          <w:rtl/>
        </w:rPr>
        <w:t xml:space="preserve">להפקיד כספים לתוכניות </w:t>
      </w:r>
      <w:r w:rsidRPr="004618F7">
        <w:rPr>
          <w:rFonts w:ascii="Georgia" w:hAnsi="Georgia"/>
          <w:sz w:val="14"/>
          <w:szCs w:val="16"/>
        </w:rPr>
        <w:t>CDA</w:t>
      </w:r>
      <w:r w:rsidRPr="004618F7">
        <w:rPr>
          <w:rFonts w:ascii="Georgia" w:hAnsi="Georgia"/>
          <w:sz w:val="14"/>
          <w:szCs w:val="16"/>
          <w:rtl/>
        </w:rPr>
        <w:t xml:space="preserve"> ב-2011.</w:t>
      </w:r>
    </w:p>
  </w:footnote>
  <w:footnote w:id="11">
    <w:p w14:paraId="0DE054DF" w14:textId="77777777" w:rsidR="0080406E" w:rsidRPr="004618F7" w:rsidRDefault="0080406E" w:rsidP="00CB1A04">
      <w:pPr>
        <w:keepLines/>
        <w:spacing w:line="200" w:lineRule="exact"/>
        <w:ind w:left="397" w:hanging="397"/>
        <w:jc w:val="both"/>
        <w:rPr>
          <w:rFonts w:ascii="Georgia" w:hAnsi="Georgia"/>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לסקירת</w:t>
      </w:r>
      <w:r w:rsidRPr="00FE5B5E">
        <w:rPr>
          <w:sz w:val="14"/>
          <w:szCs w:val="16"/>
          <w:rtl/>
        </w:rPr>
        <w:t xml:space="preserve"> </w:t>
      </w:r>
      <w:r w:rsidRPr="00FE5B5E">
        <w:rPr>
          <w:rFonts w:hint="cs"/>
          <w:sz w:val="14"/>
          <w:szCs w:val="16"/>
          <w:rtl/>
        </w:rPr>
        <w:t>התוצאות</w:t>
      </w:r>
      <w:r w:rsidRPr="00FE5B5E">
        <w:rPr>
          <w:sz w:val="14"/>
          <w:szCs w:val="16"/>
          <w:rtl/>
        </w:rPr>
        <w:t xml:space="preserve"> </w:t>
      </w:r>
      <w:r w:rsidRPr="004618F7">
        <w:rPr>
          <w:rFonts w:ascii="Georgia" w:hAnsi="Georgia"/>
          <w:sz w:val="14"/>
          <w:szCs w:val="16"/>
          <w:rtl/>
        </w:rPr>
        <w:t xml:space="preserve">המלאה ראו </w:t>
      </w:r>
      <w:r w:rsidRPr="004618F7">
        <w:rPr>
          <w:rFonts w:ascii="Georgia" w:hAnsi="Georgia"/>
          <w:sz w:val="14"/>
          <w:szCs w:val="16"/>
        </w:rPr>
        <w:t>Beverly et al., 2016</w:t>
      </w:r>
      <w:r w:rsidRPr="004618F7">
        <w:rPr>
          <w:rFonts w:ascii="Georgia" w:hAnsi="Georgia"/>
          <w:sz w:val="14"/>
          <w:szCs w:val="16"/>
          <w:rtl/>
        </w:rPr>
        <w:t>.</w:t>
      </w:r>
    </w:p>
  </w:footnote>
  <w:footnote w:id="12">
    <w:p w14:paraId="72249B5E"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למידע</w:t>
      </w:r>
      <w:r w:rsidRPr="00FE5B5E">
        <w:rPr>
          <w:sz w:val="14"/>
          <w:szCs w:val="16"/>
          <w:rtl/>
        </w:rPr>
        <w:t xml:space="preserve"> </w:t>
      </w:r>
      <w:r w:rsidRPr="00FE5B5E">
        <w:rPr>
          <w:rFonts w:hint="cs"/>
          <w:sz w:val="14"/>
          <w:szCs w:val="16"/>
          <w:rtl/>
        </w:rPr>
        <w:t>נוסף</w:t>
      </w:r>
      <w:r w:rsidRPr="00FE5B5E">
        <w:rPr>
          <w:sz w:val="14"/>
          <w:szCs w:val="16"/>
          <w:rtl/>
        </w:rPr>
        <w:t xml:space="preserve"> </w:t>
      </w:r>
      <w:r w:rsidRPr="00FE5B5E">
        <w:rPr>
          <w:rFonts w:hint="cs"/>
          <w:sz w:val="14"/>
          <w:szCs w:val="16"/>
          <w:rtl/>
        </w:rPr>
        <w:t>על</w:t>
      </w:r>
      <w:r w:rsidRPr="00FE5B5E">
        <w:rPr>
          <w:sz w:val="14"/>
          <w:szCs w:val="16"/>
          <w:rtl/>
        </w:rPr>
        <w:t xml:space="preserve"> </w:t>
      </w:r>
      <w:r w:rsidRPr="00FE5B5E">
        <w:rPr>
          <w:rFonts w:hint="cs"/>
          <w:sz w:val="14"/>
          <w:szCs w:val="16"/>
          <w:rtl/>
        </w:rPr>
        <w:t>תוכנית</w:t>
      </w:r>
      <w:r w:rsidRPr="00FE5B5E">
        <w:rPr>
          <w:sz w:val="14"/>
          <w:szCs w:val="16"/>
          <w:rtl/>
        </w:rPr>
        <w:t xml:space="preserve"> </w:t>
      </w:r>
      <w:r w:rsidRPr="00FE5B5E">
        <w:rPr>
          <w:rFonts w:hint="cs"/>
          <w:sz w:val="14"/>
          <w:szCs w:val="16"/>
          <w:rtl/>
        </w:rPr>
        <w:t>חיסכון</w:t>
      </w:r>
      <w:r w:rsidRPr="00FE5B5E">
        <w:rPr>
          <w:sz w:val="14"/>
          <w:szCs w:val="16"/>
          <w:rtl/>
        </w:rPr>
        <w:t xml:space="preserve"> </w:t>
      </w:r>
      <w:r w:rsidRPr="00FE5B5E">
        <w:rPr>
          <w:rFonts w:hint="cs"/>
          <w:sz w:val="14"/>
          <w:szCs w:val="16"/>
          <w:rtl/>
        </w:rPr>
        <w:t>לכל</w:t>
      </w:r>
      <w:r w:rsidRPr="00FE5B5E">
        <w:rPr>
          <w:sz w:val="14"/>
          <w:szCs w:val="16"/>
          <w:rtl/>
        </w:rPr>
        <w:t xml:space="preserve"> </w:t>
      </w:r>
      <w:r w:rsidRPr="00FE5B5E">
        <w:rPr>
          <w:rFonts w:hint="cs"/>
          <w:sz w:val="14"/>
          <w:szCs w:val="16"/>
          <w:rtl/>
        </w:rPr>
        <w:t>ילד</w:t>
      </w:r>
      <w:r w:rsidRPr="00FE5B5E">
        <w:rPr>
          <w:sz w:val="14"/>
          <w:szCs w:val="16"/>
          <w:rtl/>
        </w:rPr>
        <w:t xml:space="preserve"> </w:t>
      </w:r>
      <w:r w:rsidRPr="00FE5B5E">
        <w:rPr>
          <w:rFonts w:hint="cs"/>
          <w:sz w:val="14"/>
          <w:szCs w:val="16"/>
          <w:rtl/>
        </w:rPr>
        <w:t>ולדיון</w:t>
      </w:r>
      <w:r w:rsidRPr="00FE5B5E">
        <w:rPr>
          <w:sz w:val="14"/>
          <w:szCs w:val="16"/>
          <w:rtl/>
        </w:rPr>
        <w:t xml:space="preserve"> </w:t>
      </w:r>
      <w:r w:rsidRPr="00FE5B5E">
        <w:rPr>
          <w:rFonts w:hint="cs"/>
          <w:sz w:val="14"/>
          <w:szCs w:val="16"/>
          <w:rtl/>
        </w:rPr>
        <w:t>על</w:t>
      </w:r>
      <w:r w:rsidRPr="00FE5B5E">
        <w:rPr>
          <w:sz w:val="14"/>
          <w:szCs w:val="16"/>
          <w:rtl/>
        </w:rPr>
        <w:t xml:space="preserve"> </w:t>
      </w:r>
      <w:r w:rsidRPr="00FE5B5E">
        <w:rPr>
          <w:rFonts w:hint="cs"/>
          <w:sz w:val="14"/>
          <w:szCs w:val="16"/>
          <w:rtl/>
        </w:rPr>
        <w:t>שיקולי</w:t>
      </w:r>
      <w:r w:rsidRPr="00FE5B5E">
        <w:rPr>
          <w:sz w:val="14"/>
          <w:szCs w:val="16"/>
          <w:rtl/>
        </w:rPr>
        <w:t xml:space="preserve"> </w:t>
      </w:r>
      <w:r w:rsidRPr="00FE5B5E">
        <w:rPr>
          <w:rFonts w:hint="cs"/>
          <w:sz w:val="14"/>
          <w:szCs w:val="16"/>
          <w:rtl/>
        </w:rPr>
        <w:t>התכנון</w:t>
      </w:r>
      <w:r w:rsidRPr="00FE5B5E">
        <w:rPr>
          <w:sz w:val="14"/>
          <w:szCs w:val="16"/>
          <w:rtl/>
        </w:rPr>
        <w:t xml:space="preserve"> </w:t>
      </w:r>
      <w:r w:rsidRPr="00FE5B5E">
        <w:rPr>
          <w:rFonts w:hint="cs"/>
          <w:sz w:val="14"/>
          <w:szCs w:val="16"/>
          <w:rtl/>
        </w:rPr>
        <w:t>השונים</w:t>
      </w:r>
      <w:r w:rsidRPr="00FE5B5E">
        <w:rPr>
          <w:sz w:val="14"/>
          <w:szCs w:val="16"/>
          <w:rtl/>
        </w:rPr>
        <w:t xml:space="preserve"> </w:t>
      </w:r>
      <w:r w:rsidRPr="00FE5B5E">
        <w:rPr>
          <w:rFonts w:hint="cs"/>
          <w:sz w:val="14"/>
          <w:szCs w:val="16"/>
          <w:rtl/>
        </w:rPr>
        <w:t>בנוגע</w:t>
      </w:r>
      <w:r w:rsidRPr="00FE5B5E">
        <w:rPr>
          <w:sz w:val="14"/>
          <w:szCs w:val="16"/>
          <w:rtl/>
        </w:rPr>
        <w:t xml:space="preserve"> </w:t>
      </w:r>
      <w:r w:rsidRPr="00FE5B5E">
        <w:rPr>
          <w:rFonts w:hint="cs"/>
          <w:sz w:val="14"/>
          <w:szCs w:val="16"/>
          <w:rtl/>
        </w:rPr>
        <w:t>לחשבונות</w:t>
      </w:r>
      <w:r w:rsidRPr="00FE5B5E">
        <w:rPr>
          <w:sz w:val="14"/>
          <w:szCs w:val="16"/>
          <w:rtl/>
        </w:rPr>
        <w:t xml:space="preserve">, </w:t>
      </w:r>
      <w:r w:rsidRPr="00FE5B5E">
        <w:rPr>
          <w:rFonts w:hint="cs"/>
          <w:sz w:val="14"/>
          <w:szCs w:val="16"/>
          <w:rtl/>
        </w:rPr>
        <w:t xml:space="preserve">ראו אצל גל ואחרים (2016). </w:t>
      </w:r>
    </w:p>
  </w:footnote>
  <w:footnote w:id="13">
    <w:p w14:paraId="0169535F"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 xml:space="preserve">המידע על כל אחת מקרנות ההשקעה מופיע באתר המוסד לביטוח לאומי. </w:t>
      </w:r>
    </w:p>
  </w:footnote>
  <w:footnote w:id="14">
    <w:p w14:paraId="40B01E7B"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עם</w:t>
      </w:r>
      <w:r w:rsidRPr="00FE5B5E">
        <w:rPr>
          <w:sz w:val="14"/>
          <w:szCs w:val="16"/>
          <w:rtl/>
        </w:rPr>
        <w:t xml:space="preserve"> </w:t>
      </w:r>
      <w:r w:rsidRPr="00FE5B5E">
        <w:rPr>
          <w:rFonts w:hint="cs"/>
          <w:sz w:val="14"/>
          <w:szCs w:val="16"/>
          <w:rtl/>
        </w:rPr>
        <w:t>יישומה</w:t>
      </w:r>
      <w:r w:rsidRPr="00FE5B5E">
        <w:rPr>
          <w:sz w:val="14"/>
          <w:szCs w:val="16"/>
          <w:rtl/>
        </w:rPr>
        <w:t xml:space="preserve"> העניקה</w:t>
      </w:r>
      <w:r w:rsidRPr="00FE5B5E" w:rsidDel="003E151E">
        <w:rPr>
          <w:sz w:val="14"/>
          <w:szCs w:val="16"/>
          <w:rtl/>
        </w:rPr>
        <w:t xml:space="preserve"> </w:t>
      </w:r>
      <w:r w:rsidRPr="00FE5B5E">
        <w:rPr>
          <w:rFonts w:hint="cs"/>
          <w:sz w:val="14"/>
          <w:szCs w:val="16"/>
          <w:rtl/>
        </w:rPr>
        <w:t>תוכנית</w:t>
      </w:r>
      <w:r w:rsidRPr="00FE5B5E">
        <w:rPr>
          <w:sz w:val="14"/>
          <w:szCs w:val="16"/>
          <w:rtl/>
        </w:rPr>
        <w:t xml:space="preserve"> </w:t>
      </w:r>
      <w:r w:rsidRPr="00FE5B5E">
        <w:rPr>
          <w:rFonts w:hint="cs"/>
          <w:sz w:val="14"/>
          <w:szCs w:val="16"/>
          <w:rtl/>
        </w:rPr>
        <w:t>חיסכון</w:t>
      </w:r>
      <w:r w:rsidRPr="00FE5B5E">
        <w:rPr>
          <w:sz w:val="14"/>
          <w:szCs w:val="16"/>
          <w:rtl/>
        </w:rPr>
        <w:t xml:space="preserve"> </w:t>
      </w:r>
      <w:r w:rsidRPr="00FE5B5E">
        <w:rPr>
          <w:rFonts w:hint="cs"/>
          <w:sz w:val="14"/>
          <w:szCs w:val="16"/>
          <w:rtl/>
        </w:rPr>
        <w:t>לכל</w:t>
      </w:r>
      <w:r w:rsidRPr="00FE5B5E">
        <w:rPr>
          <w:sz w:val="14"/>
          <w:szCs w:val="16"/>
          <w:rtl/>
        </w:rPr>
        <w:t xml:space="preserve"> </w:t>
      </w:r>
      <w:r w:rsidRPr="00FE5B5E">
        <w:rPr>
          <w:rFonts w:hint="cs"/>
          <w:sz w:val="14"/>
          <w:szCs w:val="16"/>
          <w:rtl/>
        </w:rPr>
        <w:t>ילד</w:t>
      </w:r>
      <w:r w:rsidRPr="00FE5B5E">
        <w:rPr>
          <w:sz w:val="14"/>
          <w:szCs w:val="16"/>
          <w:rtl/>
        </w:rPr>
        <w:t xml:space="preserve"> 50 </w:t>
      </w:r>
      <w:r w:rsidRPr="00FE5B5E">
        <w:rPr>
          <w:rFonts w:hint="cs"/>
          <w:sz w:val="14"/>
          <w:szCs w:val="16"/>
          <w:rtl/>
        </w:rPr>
        <w:t>שקלים</w:t>
      </w:r>
      <w:r w:rsidRPr="00FE5B5E">
        <w:rPr>
          <w:sz w:val="14"/>
          <w:szCs w:val="16"/>
          <w:rtl/>
        </w:rPr>
        <w:t xml:space="preserve"> </w:t>
      </w:r>
      <w:r w:rsidRPr="00FE5B5E">
        <w:rPr>
          <w:rFonts w:hint="cs"/>
          <w:sz w:val="14"/>
          <w:szCs w:val="16"/>
          <w:rtl/>
        </w:rPr>
        <w:t>בחודש,</w:t>
      </w:r>
      <w:r w:rsidRPr="00FE5B5E">
        <w:rPr>
          <w:sz w:val="14"/>
          <w:szCs w:val="16"/>
          <w:rtl/>
        </w:rPr>
        <w:t xml:space="preserve"> </w:t>
      </w:r>
      <w:r w:rsidRPr="00FE5B5E">
        <w:rPr>
          <w:rFonts w:hint="cs"/>
          <w:sz w:val="14"/>
          <w:szCs w:val="16"/>
          <w:rtl/>
        </w:rPr>
        <w:t>וכן שתי</w:t>
      </w:r>
      <w:r w:rsidRPr="00FE5B5E">
        <w:rPr>
          <w:sz w:val="14"/>
          <w:szCs w:val="16"/>
          <w:rtl/>
        </w:rPr>
        <w:t xml:space="preserve"> </w:t>
      </w:r>
      <w:r w:rsidRPr="00FE5B5E">
        <w:rPr>
          <w:rFonts w:hint="cs"/>
          <w:sz w:val="14"/>
          <w:szCs w:val="16"/>
          <w:rtl/>
        </w:rPr>
        <w:t>הפקדות</w:t>
      </w:r>
      <w:r w:rsidRPr="00FE5B5E">
        <w:rPr>
          <w:sz w:val="14"/>
          <w:szCs w:val="16"/>
          <w:rtl/>
        </w:rPr>
        <w:t xml:space="preserve"> </w:t>
      </w:r>
      <w:r w:rsidRPr="00FE5B5E">
        <w:rPr>
          <w:rFonts w:hint="cs"/>
          <w:sz w:val="14"/>
          <w:szCs w:val="16"/>
          <w:rtl/>
        </w:rPr>
        <w:t>נוספות</w:t>
      </w:r>
      <w:r w:rsidRPr="00FE5B5E">
        <w:rPr>
          <w:sz w:val="14"/>
          <w:szCs w:val="16"/>
          <w:rtl/>
        </w:rPr>
        <w:t xml:space="preserve"> </w:t>
      </w:r>
      <w:r w:rsidRPr="00FE5B5E">
        <w:rPr>
          <w:rFonts w:hint="cs"/>
          <w:sz w:val="14"/>
          <w:szCs w:val="16"/>
          <w:rtl/>
        </w:rPr>
        <w:t>של</w:t>
      </w:r>
      <w:r w:rsidRPr="00FE5B5E">
        <w:rPr>
          <w:sz w:val="14"/>
          <w:szCs w:val="16"/>
          <w:rtl/>
        </w:rPr>
        <w:t xml:space="preserve"> 500 </w:t>
      </w:r>
      <w:r w:rsidRPr="00FE5B5E">
        <w:rPr>
          <w:rFonts w:hint="cs"/>
          <w:sz w:val="14"/>
          <w:szCs w:val="16"/>
          <w:rtl/>
        </w:rPr>
        <w:t>שקלים</w:t>
      </w:r>
      <w:r w:rsidRPr="00FE5B5E">
        <w:rPr>
          <w:sz w:val="14"/>
          <w:szCs w:val="16"/>
          <w:rtl/>
        </w:rPr>
        <w:t xml:space="preserve"> –</w:t>
      </w:r>
      <w:r w:rsidRPr="00FE5B5E">
        <w:rPr>
          <w:rFonts w:hint="cs"/>
          <w:sz w:val="14"/>
          <w:szCs w:val="16"/>
          <w:rtl/>
        </w:rPr>
        <w:t xml:space="preserve"> בגיל</w:t>
      </w:r>
      <w:r w:rsidRPr="00FE5B5E">
        <w:rPr>
          <w:sz w:val="14"/>
          <w:szCs w:val="16"/>
          <w:rtl/>
        </w:rPr>
        <w:t xml:space="preserve"> 18 </w:t>
      </w:r>
      <w:r w:rsidRPr="00FE5B5E">
        <w:rPr>
          <w:rFonts w:hint="cs"/>
          <w:sz w:val="14"/>
          <w:szCs w:val="16"/>
          <w:rtl/>
        </w:rPr>
        <w:t>ובגיל</w:t>
      </w:r>
      <w:r w:rsidRPr="00FE5B5E">
        <w:rPr>
          <w:sz w:val="14"/>
          <w:szCs w:val="16"/>
          <w:rtl/>
        </w:rPr>
        <w:t xml:space="preserve"> 21.</w:t>
      </w:r>
    </w:p>
  </w:footnote>
  <w:footnote w:id="15">
    <w:p w14:paraId="3F8E2CA7"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אשכול חברתי-כלכלי</w:t>
      </w:r>
      <w:r w:rsidRPr="00FE5B5E">
        <w:rPr>
          <w:sz w:val="14"/>
          <w:szCs w:val="16"/>
          <w:rtl/>
        </w:rPr>
        <w:t xml:space="preserve"> </w:t>
      </w:r>
      <w:r w:rsidRPr="00FE5B5E">
        <w:rPr>
          <w:rFonts w:hint="cs"/>
          <w:sz w:val="14"/>
          <w:szCs w:val="16"/>
          <w:rtl/>
        </w:rPr>
        <w:t>אזורי</w:t>
      </w:r>
      <w:r w:rsidRPr="00FE5B5E">
        <w:rPr>
          <w:sz w:val="14"/>
          <w:szCs w:val="16"/>
          <w:rtl/>
        </w:rPr>
        <w:t xml:space="preserve"> </w:t>
      </w:r>
      <w:r w:rsidRPr="00FE5B5E">
        <w:rPr>
          <w:rFonts w:hint="cs"/>
          <w:sz w:val="14"/>
          <w:szCs w:val="16"/>
          <w:rtl/>
        </w:rPr>
        <w:t>נע</w:t>
      </w:r>
      <w:r w:rsidRPr="00FE5B5E">
        <w:rPr>
          <w:sz w:val="14"/>
          <w:szCs w:val="16"/>
          <w:rtl/>
        </w:rPr>
        <w:t xml:space="preserve"> </w:t>
      </w:r>
      <w:r w:rsidRPr="00FE5B5E">
        <w:rPr>
          <w:rFonts w:hint="cs"/>
          <w:sz w:val="14"/>
          <w:szCs w:val="16"/>
          <w:rtl/>
        </w:rPr>
        <w:t>בין</w:t>
      </w:r>
      <w:r w:rsidRPr="00FE5B5E">
        <w:rPr>
          <w:sz w:val="14"/>
          <w:szCs w:val="16"/>
          <w:rtl/>
        </w:rPr>
        <w:t xml:space="preserve"> 1 </w:t>
      </w:r>
      <w:r w:rsidRPr="00FE5B5E">
        <w:rPr>
          <w:rFonts w:hint="cs"/>
          <w:sz w:val="14"/>
          <w:szCs w:val="16"/>
          <w:rtl/>
        </w:rPr>
        <w:t>ל-</w:t>
      </w:r>
      <w:r w:rsidRPr="00FE5B5E">
        <w:rPr>
          <w:sz w:val="14"/>
          <w:szCs w:val="16"/>
          <w:rtl/>
        </w:rPr>
        <w:t>10 (</w:t>
      </w:r>
      <w:r w:rsidRPr="00FE5B5E">
        <w:rPr>
          <w:rFonts w:hint="cs"/>
          <w:sz w:val="14"/>
          <w:szCs w:val="16"/>
          <w:rtl/>
        </w:rPr>
        <w:t>האשכול</w:t>
      </w:r>
      <w:r w:rsidRPr="00FE5B5E">
        <w:rPr>
          <w:sz w:val="14"/>
          <w:szCs w:val="16"/>
          <w:rtl/>
        </w:rPr>
        <w:t xml:space="preserve"> </w:t>
      </w:r>
      <w:r w:rsidRPr="00FE5B5E">
        <w:rPr>
          <w:rFonts w:hint="cs"/>
          <w:sz w:val="14"/>
          <w:szCs w:val="16"/>
          <w:rtl/>
        </w:rPr>
        <w:t>החברתי-כלכלי</w:t>
      </w:r>
      <w:r w:rsidRPr="00FE5B5E">
        <w:rPr>
          <w:sz w:val="14"/>
          <w:szCs w:val="16"/>
          <w:rtl/>
        </w:rPr>
        <w:t xml:space="preserve"> </w:t>
      </w:r>
      <w:r w:rsidRPr="00FE5B5E">
        <w:rPr>
          <w:rFonts w:hint="cs"/>
          <w:sz w:val="14"/>
          <w:szCs w:val="16"/>
          <w:rtl/>
        </w:rPr>
        <w:t>הגבוה</w:t>
      </w:r>
      <w:r w:rsidRPr="00FE5B5E">
        <w:rPr>
          <w:sz w:val="14"/>
          <w:szCs w:val="16"/>
          <w:rtl/>
        </w:rPr>
        <w:t xml:space="preserve"> </w:t>
      </w:r>
      <w:r w:rsidRPr="00FE5B5E">
        <w:rPr>
          <w:rFonts w:hint="cs"/>
          <w:sz w:val="14"/>
          <w:szCs w:val="16"/>
          <w:rtl/>
        </w:rPr>
        <w:t>ביותר</w:t>
      </w:r>
      <w:r w:rsidRPr="00FE5B5E">
        <w:rPr>
          <w:sz w:val="14"/>
          <w:szCs w:val="16"/>
          <w:rtl/>
        </w:rPr>
        <w:t xml:space="preserve">=10). </w:t>
      </w:r>
      <w:r w:rsidRPr="00FE5B5E">
        <w:rPr>
          <w:rFonts w:hint="cs"/>
          <w:sz w:val="14"/>
          <w:szCs w:val="16"/>
          <w:rtl/>
        </w:rPr>
        <w:t>המדד</w:t>
      </w:r>
      <w:r w:rsidRPr="00FE5B5E">
        <w:rPr>
          <w:sz w:val="14"/>
          <w:szCs w:val="16"/>
          <w:rtl/>
        </w:rPr>
        <w:t xml:space="preserve"> </w:t>
      </w:r>
      <w:r w:rsidRPr="00FE5B5E">
        <w:rPr>
          <w:rFonts w:hint="cs"/>
          <w:sz w:val="14"/>
          <w:szCs w:val="16"/>
          <w:rtl/>
        </w:rPr>
        <w:t>משלב</w:t>
      </w:r>
      <w:r w:rsidRPr="00FE5B5E">
        <w:rPr>
          <w:sz w:val="14"/>
          <w:szCs w:val="16"/>
          <w:rtl/>
        </w:rPr>
        <w:t xml:space="preserve"> </w:t>
      </w:r>
      <w:r w:rsidRPr="00FE5B5E">
        <w:rPr>
          <w:rFonts w:hint="cs"/>
          <w:sz w:val="14"/>
          <w:szCs w:val="16"/>
          <w:rtl/>
        </w:rPr>
        <w:t>אינדיקטורים</w:t>
      </w:r>
      <w:r w:rsidRPr="00FE5B5E">
        <w:rPr>
          <w:sz w:val="14"/>
          <w:szCs w:val="16"/>
          <w:rtl/>
        </w:rPr>
        <w:t xml:space="preserve"> </w:t>
      </w:r>
      <w:r w:rsidRPr="00FE5B5E">
        <w:rPr>
          <w:rFonts w:hint="cs"/>
          <w:sz w:val="14"/>
          <w:szCs w:val="16"/>
          <w:rtl/>
        </w:rPr>
        <w:t>דמוגרפיים</w:t>
      </w:r>
      <w:r w:rsidRPr="00FE5B5E">
        <w:rPr>
          <w:sz w:val="14"/>
          <w:szCs w:val="16"/>
          <w:rtl/>
        </w:rPr>
        <w:t xml:space="preserve">, </w:t>
      </w:r>
      <w:r w:rsidRPr="00FE5B5E">
        <w:rPr>
          <w:rFonts w:hint="cs"/>
          <w:sz w:val="14"/>
          <w:szCs w:val="16"/>
          <w:rtl/>
        </w:rPr>
        <w:t>השכלתיים</w:t>
      </w:r>
      <w:r w:rsidRPr="00FE5B5E">
        <w:rPr>
          <w:sz w:val="14"/>
          <w:szCs w:val="16"/>
          <w:rtl/>
        </w:rPr>
        <w:t xml:space="preserve">, </w:t>
      </w:r>
      <w:r w:rsidRPr="00FE5B5E">
        <w:rPr>
          <w:rFonts w:hint="cs"/>
          <w:sz w:val="14"/>
          <w:szCs w:val="16"/>
          <w:rtl/>
        </w:rPr>
        <w:t>תעסוקתיים</w:t>
      </w:r>
      <w:r w:rsidRPr="00FE5B5E">
        <w:rPr>
          <w:sz w:val="14"/>
          <w:szCs w:val="16"/>
          <w:rtl/>
        </w:rPr>
        <w:t xml:space="preserve"> </w:t>
      </w:r>
      <w:r w:rsidRPr="00FE5B5E">
        <w:rPr>
          <w:rFonts w:hint="cs"/>
          <w:sz w:val="14"/>
          <w:szCs w:val="16"/>
          <w:rtl/>
        </w:rPr>
        <w:t>וכלכליים</w:t>
      </w:r>
      <w:r w:rsidRPr="00FE5B5E">
        <w:rPr>
          <w:sz w:val="14"/>
          <w:szCs w:val="16"/>
          <w:rtl/>
        </w:rPr>
        <w:t xml:space="preserve"> </w:t>
      </w:r>
      <w:r w:rsidRPr="00FE5B5E">
        <w:rPr>
          <w:rFonts w:hint="cs"/>
          <w:sz w:val="14"/>
          <w:szCs w:val="16"/>
          <w:rtl/>
        </w:rPr>
        <w:t>ברמה</w:t>
      </w:r>
      <w:r w:rsidRPr="00FE5B5E">
        <w:rPr>
          <w:sz w:val="14"/>
          <w:szCs w:val="16"/>
          <w:rtl/>
        </w:rPr>
        <w:t xml:space="preserve"> </w:t>
      </w:r>
      <w:r w:rsidRPr="00FE5B5E">
        <w:rPr>
          <w:rFonts w:hint="cs"/>
          <w:sz w:val="14"/>
          <w:szCs w:val="16"/>
          <w:rtl/>
        </w:rPr>
        <w:t>המקומית</w:t>
      </w:r>
      <w:r w:rsidRPr="00FE5B5E">
        <w:rPr>
          <w:sz w:val="14"/>
          <w:szCs w:val="16"/>
          <w:rtl/>
        </w:rPr>
        <w:t>.</w:t>
      </w:r>
    </w:p>
  </w:footnote>
  <w:footnote w:id="16">
    <w:p w14:paraId="4C53CB0C" w14:textId="77777777" w:rsidR="0080406E" w:rsidRPr="00FE5B5E" w:rsidRDefault="0080406E" w:rsidP="00CB1A04">
      <w:pPr>
        <w:keepLines/>
        <w:spacing w:line="200" w:lineRule="exact"/>
        <w:ind w:left="397" w:hanging="397"/>
        <w:jc w:val="both"/>
        <w:rPr>
          <w:sz w:val="14"/>
          <w:szCs w:val="16"/>
          <w:rtl/>
        </w:rPr>
      </w:pPr>
      <w:r w:rsidRPr="00FE5B5E">
        <w:rPr>
          <w:sz w:val="14"/>
          <w:szCs w:val="16"/>
        </w:rPr>
        <w:footnoteRef/>
      </w:r>
      <w:r w:rsidRPr="00FE5B5E">
        <w:rPr>
          <w:sz w:val="14"/>
          <w:szCs w:val="16"/>
          <w:rtl/>
        </w:rPr>
        <w:t xml:space="preserve"> </w:t>
      </w:r>
      <w:r w:rsidRPr="00FE5B5E">
        <w:rPr>
          <w:sz w:val="14"/>
          <w:szCs w:val="16"/>
          <w:rtl/>
        </w:rPr>
        <w:tab/>
      </w:r>
      <w:r w:rsidRPr="00FE5B5E">
        <w:rPr>
          <w:rFonts w:hint="cs"/>
          <w:sz w:val="14"/>
          <w:szCs w:val="16"/>
          <w:rtl/>
        </w:rPr>
        <w:t>לסקירה</w:t>
      </w:r>
      <w:r w:rsidRPr="00FE5B5E">
        <w:rPr>
          <w:sz w:val="14"/>
          <w:szCs w:val="16"/>
          <w:rtl/>
        </w:rPr>
        <w:t xml:space="preserve"> </w:t>
      </w:r>
      <w:r w:rsidRPr="00FE5B5E">
        <w:rPr>
          <w:rFonts w:hint="cs"/>
          <w:sz w:val="14"/>
          <w:szCs w:val="16"/>
          <w:rtl/>
        </w:rPr>
        <w:t>של הצעות למבנה</w:t>
      </w:r>
      <w:r w:rsidRPr="00FE5B5E">
        <w:rPr>
          <w:sz w:val="14"/>
          <w:szCs w:val="16"/>
          <w:rtl/>
        </w:rPr>
        <w:t xml:space="preserve"> </w:t>
      </w:r>
      <w:r w:rsidRPr="00FE5B5E">
        <w:rPr>
          <w:rFonts w:hint="cs"/>
          <w:sz w:val="14"/>
          <w:szCs w:val="16"/>
          <w:rtl/>
        </w:rPr>
        <w:t>תוכנית</w:t>
      </w:r>
      <w:r w:rsidRPr="00FE5B5E">
        <w:rPr>
          <w:sz w:val="14"/>
          <w:szCs w:val="16"/>
          <w:rtl/>
        </w:rPr>
        <w:t xml:space="preserve"> </w:t>
      </w:r>
      <w:r w:rsidRPr="00FE5B5E">
        <w:rPr>
          <w:rFonts w:hint="cs"/>
          <w:sz w:val="14"/>
          <w:szCs w:val="16"/>
          <w:rtl/>
        </w:rPr>
        <w:t>פרוגרסיבית ראו</w:t>
      </w:r>
      <w:r w:rsidRPr="00FE5B5E">
        <w:rPr>
          <w:sz w:val="14"/>
          <w:szCs w:val="16"/>
          <w:rtl/>
        </w:rPr>
        <w:t xml:space="preserve"> </w:t>
      </w:r>
      <w:r w:rsidRPr="00FE5B5E">
        <w:rPr>
          <w:rFonts w:hint="cs"/>
          <w:sz w:val="14"/>
          <w:szCs w:val="16"/>
          <w:rtl/>
        </w:rPr>
        <w:t xml:space="preserve">גוטליב </w:t>
      </w:r>
      <w:proofErr w:type="spellStart"/>
      <w:r w:rsidRPr="00FE5B5E">
        <w:rPr>
          <w:rFonts w:hint="cs"/>
          <w:sz w:val="14"/>
          <w:szCs w:val="16"/>
          <w:rtl/>
        </w:rPr>
        <w:t>וטולדנו</w:t>
      </w:r>
      <w:proofErr w:type="spellEnd"/>
      <w:r w:rsidRPr="00FE5B5E">
        <w:rPr>
          <w:rFonts w:hint="cs"/>
          <w:sz w:val="14"/>
          <w:szCs w:val="16"/>
          <w:rtl/>
        </w:rPr>
        <w:t xml:space="preserve"> (2010); גל ואחרים (2016); </w:t>
      </w:r>
      <w:proofErr w:type="spellStart"/>
      <w:r w:rsidRPr="00FE5B5E">
        <w:rPr>
          <w:rFonts w:hint="cs"/>
          <w:sz w:val="14"/>
          <w:szCs w:val="16"/>
          <w:rtl/>
        </w:rPr>
        <w:t>גרינשטיין</w:t>
      </w:r>
      <w:proofErr w:type="spellEnd"/>
      <w:r w:rsidRPr="00FE5B5E">
        <w:rPr>
          <w:rFonts w:hint="cs"/>
          <w:sz w:val="14"/>
          <w:szCs w:val="16"/>
          <w:rtl/>
        </w:rPr>
        <w:t>-וייס וצבע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F3AEA8D" w:rsidR="0080406E" w:rsidRPr="00A6479A" w:rsidRDefault="0080406E"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ED7910">
      <w:rPr>
        <w:rFonts w:ascii="David" w:hAnsi="David" w:cs="David"/>
        <w:noProof/>
        <w:sz w:val="24"/>
        <w:szCs w:val="24"/>
        <w:rtl/>
      </w:rPr>
      <w:t>18</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346A1A7E" w:rsidR="0080406E" w:rsidRPr="00CA633F" w:rsidRDefault="00CB79C7" w:rsidP="00446E1E">
    <w:pPr>
      <w:pStyle w:val="Heading1"/>
      <w:tabs>
        <w:tab w:val="center" w:pos="4536"/>
        <w:tab w:val="right" w:pos="9072"/>
      </w:tabs>
      <w:jc w:val="right"/>
      <w:rPr>
        <w:rFonts w:ascii="David" w:hAnsi="David" w:cs="David"/>
        <w:b w:val="0"/>
        <w:bCs w:val="0"/>
        <w:noProof/>
        <w:color w:val="A6A6A6"/>
        <w:sz w:val="20"/>
        <w:szCs w:val="20"/>
      </w:rPr>
    </w:pPr>
    <w:r w:rsidRPr="00CB79C7">
      <w:rPr>
        <w:rFonts w:ascii="David" w:hAnsi="David" w:cs="David"/>
        <w:b w:val="0"/>
        <w:bCs w:val="0"/>
        <w:noProof/>
        <w:sz w:val="18"/>
        <w:szCs w:val="18"/>
        <w:rtl/>
      </w:rPr>
      <w:t>הצטרפות מוקדמת והשתתפות בתוכנית חיסכון לכל ילד: עדויות מהפעלת התוכנית</w:t>
    </w:r>
    <w:r w:rsidR="0080406E" w:rsidRPr="001403E5">
      <w:rPr>
        <w:rFonts w:ascii="David" w:hAnsi="David" w:cs="David"/>
        <w:b w:val="0"/>
        <w:bCs w:val="0"/>
        <w:noProof/>
        <w:sz w:val="18"/>
        <w:szCs w:val="18"/>
        <w:rtl/>
      </w:rPr>
      <w:t xml:space="preserve">  |  </w:t>
    </w:r>
    <w:r w:rsidR="0080406E" w:rsidRPr="00A17DA2">
      <w:rPr>
        <w:rFonts w:ascii="David" w:hAnsi="David" w:cs="David"/>
        <w:noProof/>
        <w:sz w:val="24"/>
        <w:szCs w:val="24"/>
      </w:rPr>
      <w:fldChar w:fldCharType="begin"/>
    </w:r>
    <w:r w:rsidR="0080406E" w:rsidRPr="00A17DA2">
      <w:rPr>
        <w:rFonts w:ascii="David" w:hAnsi="David" w:cs="David"/>
        <w:noProof/>
        <w:sz w:val="24"/>
        <w:szCs w:val="24"/>
      </w:rPr>
      <w:instrText xml:space="preserve"> PAGE   \* MERGEFORMAT </w:instrText>
    </w:r>
    <w:r w:rsidR="0080406E" w:rsidRPr="00A17DA2">
      <w:rPr>
        <w:rFonts w:ascii="David" w:hAnsi="David" w:cs="David"/>
        <w:noProof/>
        <w:sz w:val="24"/>
        <w:szCs w:val="24"/>
      </w:rPr>
      <w:fldChar w:fldCharType="separate"/>
    </w:r>
    <w:r w:rsidR="00ED7910">
      <w:rPr>
        <w:rFonts w:ascii="David" w:hAnsi="David" w:cs="David"/>
        <w:noProof/>
        <w:sz w:val="24"/>
        <w:szCs w:val="24"/>
        <w:rtl/>
      </w:rPr>
      <w:t>19</w:t>
    </w:r>
    <w:r w:rsidR="0080406E"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3CECA7D" w:rsidR="0080406E" w:rsidRPr="00CA633F" w:rsidRDefault="0080406E"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C060F1"/>
    <w:multiLevelType w:val="hybridMultilevel"/>
    <w:tmpl w:val="E6FE5584"/>
    <w:lvl w:ilvl="0" w:tplc="04090005">
      <w:start w:val="1"/>
      <w:numFmt w:val="bullet"/>
      <w:lvlText w:val=""/>
      <w:lvlJc w:val="left"/>
      <w:pPr>
        <w:ind w:left="6999" w:hanging="360"/>
      </w:pPr>
      <w:rPr>
        <w:rFonts w:ascii="Wingdings" w:hAnsi="Wingdings" w:hint="default"/>
      </w:rPr>
    </w:lvl>
    <w:lvl w:ilvl="1" w:tplc="04090003" w:tentative="1">
      <w:start w:val="1"/>
      <w:numFmt w:val="bullet"/>
      <w:lvlText w:val="o"/>
      <w:lvlJc w:val="left"/>
      <w:pPr>
        <w:ind w:left="7719" w:hanging="360"/>
      </w:pPr>
      <w:rPr>
        <w:rFonts w:ascii="Courier New" w:hAnsi="Courier New" w:cs="Courier New" w:hint="default"/>
      </w:rPr>
    </w:lvl>
    <w:lvl w:ilvl="2" w:tplc="04090005" w:tentative="1">
      <w:start w:val="1"/>
      <w:numFmt w:val="bullet"/>
      <w:lvlText w:val=""/>
      <w:lvlJc w:val="left"/>
      <w:pPr>
        <w:ind w:left="8439" w:hanging="360"/>
      </w:pPr>
      <w:rPr>
        <w:rFonts w:ascii="Wingdings" w:hAnsi="Wingdings" w:hint="default"/>
      </w:rPr>
    </w:lvl>
    <w:lvl w:ilvl="3" w:tplc="04090001" w:tentative="1">
      <w:start w:val="1"/>
      <w:numFmt w:val="bullet"/>
      <w:lvlText w:val=""/>
      <w:lvlJc w:val="left"/>
      <w:pPr>
        <w:ind w:left="9159" w:hanging="360"/>
      </w:pPr>
      <w:rPr>
        <w:rFonts w:ascii="Symbol" w:hAnsi="Symbol" w:hint="default"/>
      </w:rPr>
    </w:lvl>
    <w:lvl w:ilvl="4" w:tplc="04090003" w:tentative="1">
      <w:start w:val="1"/>
      <w:numFmt w:val="bullet"/>
      <w:lvlText w:val="o"/>
      <w:lvlJc w:val="left"/>
      <w:pPr>
        <w:ind w:left="9879" w:hanging="360"/>
      </w:pPr>
      <w:rPr>
        <w:rFonts w:ascii="Courier New" w:hAnsi="Courier New" w:cs="Courier New" w:hint="default"/>
      </w:rPr>
    </w:lvl>
    <w:lvl w:ilvl="5" w:tplc="04090005" w:tentative="1">
      <w:start w:val="1"/>
      <w:numFmt w:val="bullet"/>
      <w:lvlText w:val=""/>
      <w:lvlJc w:val="left"/>
      <w:pPr>
        <w:ind w:left="10599" w:hanging="360"/>
      </w:pPr>
      <w:rPr>
        <w:rFonts w:ascii="Wingdings" w:hAnsi="Wingdings" w:hint="default"/>
      </w:rPr>
    </w:lvl>
    <w:lvl w:ilvl="6" w:tplc="04090001" w:tentative="1">
      <w:start w:val="1"/>
      <w:numFmt w:val="bullet"/>
      <w:lvlText w:val=""/>
      <w:lvlJc w:val="left"/>
      <w:pPr>
        <w:ind w:left="11319" w:hanging="360"/>
      </w:pPr>
      <w:rPr>
        <w:rFonts w:ascii="Symbol" w:hAnsi="Symbol" w:hint="default"/>
      </w:rPr>
    </w:lvl>
    <w:lvl w:ilvl="7" w:tplc="04090003" w:tentative="1">
      <w:start w:val="1"/>
      <w:numFmt w:val="bullet"/>
      <w:lvlText w:val="o"/>
      <w:lvlJc w:val="left"/>
      <w:pPr>
        <w:ind w:left="12039" w:hanging="360"/>
      </w:pPr>
      <w:rPr>
        <w:rFonts w:ascii="Courier New" w:hAnsi="Courier New" w:cs="Courier New" w:hint="default"/>
      </w:rPr>
    </w:lvl>
    <w:lvl w:ilvl="8" w:tplc="04090005" w:tentative="1">
      <w:start w:val="1"/>
      <w:numFmt w:val="bullet"/>
      <w:lvlText w:val=""/>
      <w:lvlJc w:val="left"/>
      <w:pPr>
        <w:ind w:left="12759" w:hanging="360"/>
      </w:pPr>
      <w:rPr>
        <w:rFonts w:ascii="Wingdings" w:hAnsi="Wingdings" w:hint="default"/>
      </w:r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4"/>
  </w:num>
  <w:num w:numId="4">
    <w:abstractNumId w:val="20"/>
  </w:num>
  <w:num w:numId="5">
    <w:abstractNumId w:val="7"/>
  </w:num>
  <w:num w:numId="6">
    <w:abstractNumId w:val="19"/>
  </w:num>
  <w:num w:numId="7">
    <w:abstractNumId w:val="13"/>
  </w:num>
  <w:num w:numId="8">
    <w:abstractNumId w:val="0"/>
  </w:num>
  <w:num w:numId="9">
    <w:abstractNumId w:val="6"/>
  </w:num>
  <w:num w:numId="10">
    <w:abstractNumId w:val="23"/>
  </w:num>
  <w:num w:numId="11">
    <w:abstractNumId w:val="21"/>
  </w:num>
  <w:num w:numId="12">
    <w:abstractNumId w:val="17"/>
  </w:num>
  <w:num w:numId="13">
    <w:abstractNumId w:val="10"/>
  </w:num>
  <w:num w:numId="14">
    <w:abstractNumId w:val="5"/>
  </w:num>
  <w:num w:numId="15">
    <w:abstractNumId w:val="9"/>
  </w:num>
  <w:num w:numId="16">
    <w:abstractNumId w:val="3"/>
  </w:num>
  <w:num w:numId="17">
    <w:abstractNumId w:val="25"/>
  </w:num>
  <w:num w:numId="18">
    <w:abstractNumId w:val="18"/>
  </w:num>
  <w:num w:numId="19">
    <w:abstractNumId w:val="8"/>
  </w:num>
  <w:num w:numId="20">
    <w:abstractNumId w:val="2"/>
  </w:num>
  <w:num w:numId="21">
    <w:abstractNumId w:val="1"/>
  </w:num>
  <w:num w:numId="22">
    <w:abstractNumId w:val="4"/>
  </w:num>
  <w:num w:numId="23">
    <w:abstractNumId w:val="15"/>
  </w:num>
  <w:num w:numId="24">
    <w:abstractNumId w:val="11"/>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2201D"/>
    <w:rsid w:val="00042A45"/>
    <w:rsid w:val="00050BA5"/>
    <w:rsid w:val="00053FEE"/>
    <w:rsid w:val="000552ED"/>
    <w:rsid w:val="000622FB"/>
    <w:rsid w:val="000660A4"/>
    <w:rsid w:val="00074526"/>
    <w:rsid w:val="000A2C51"/>
    <w:rsid w:val="000A3731"/>
    <w:rsid w:val="000C13C4"/>
    <w:rsid w:val="000C236E"/>
    <w:rsid w:val="000C32F6"/>
    <w:rsid w:val="000E2AAB"/>
    <w:rsid w:val="000E38FA"/>
    <w:rsid w:val="000E730A"/>
    <w:rsid w:val="000F1382"/>
    <w:rsid w:val="000F7FCC"/>
    <w:rsid w:val="00111FEC"/>
    <w:rsid w:val="00126BBB"/>
    <w:rsid w:val="00130181"/>
    <w:rsid w:val="0014028E"/>
    <w:rsid w:val="001403E5"/>
    <w:rsid w:val="00152DDF"/>
    <w:rsid w:val="00153F64"/>
    <w:rsid w:val="00156B97"/>
    <w:rsid w:val="00160BCD"/>
    <w:rsid w:val="00160C2C"/>
    <w:rsid w:val="00164AB3"/>
    <w:rsid w:val="001701E3"/>
    <w:rsid w:val="0017571C"/>
    <w:rsid w:val="0018721E"/>
    <w:rsid w:val="00192386"/>
    <w:rsid w:val="001A0002"/>
    <w:rsid w:val="001A7534"/>
    <w:rsid w:val="001B2AF0"/>
    <w:rsid w:val="001C1C2A"/>
    <w:rsid w:val="001D2C96"/>
    <w:rsid w:val="002044C6"/>
    <w:rsid w:val="002050DC"/>
    <w:rsid w:val="00224C6A"/>
    <w:rsid w:val="00227591"/>
    <w:rsid w:val="00234C6B"/>
    <w:rsid w:val="0024188F"/>
    <w:rsid w:val="002519BC"/>
    <w:rsid w:val="00272B00"/>
    <w:rsid w:val="0028157D"/>
    <w:rsid w:val="002C45DF"/>
    <w:rsid w:val="002D1E69"/>
    <w:rsid w:val="002D284F"/>
    <w:rsid w:val="002E0E99"/>
    <w:rsid w:val="002F0EE3"/>
    <w:rsid w:val="00303665"/>
    <w:rsid w:val="003151B1"/>
    <w:rsid w:val="00317DCD"/>
    <w:rsid w:val="00324F92"/>
    <w:rsid w:val="003273F1"/>
    <w:rsid w:val="003313BB"/>
    <w:rsid w:val="00336EF9"/>
    <w:rsid w:val="00351AF7"/>
    <w:rsid w:val="00355440"/>
    <w:rsid w:val="00360F01"/>
    <w:rsid w:val="00374196"/>
    <w:rsid w:val="0037460D"/>
    <w:rsid w:val="00395EC5"/>
    <w:rsid w:val="003A3A15"/>
    <w:rsid w:val="003B537C"/>
    <w:rsid w:val="003C255E"/>
    <w:rsid w:val="003C3C55"/>
    <w:rsid w:val="003D1152"/>
    <w:rsid w:val="003D16D1"/>
    <w:rsid w:val="003D4AF9"/>
    <w:rsid w:val="00401641"/>
    <w:rsid w:val="00405788"/>
    <w:rsid w:val="004112B2"/>
    <w:rsid w:val="00416142"/>
    <w:rsid w:val="00416DA1"/>
    <w:rsid w:val="00424C06"/>
    <w:rsid w:val="00433DFB"/>
    <w:rsid w:val="00435B04"/>
    <w:rsid w:val="00446E1E"/>
    <w:rsid w:val="004543DB"/>
    <w:rsid w:val="0045651F"/>
    <w:rsid w:val="004618F7"/>
    <w:rsid w:val="0046547D"/>
    <w:rsid w:val="00466666"/>
    <w:rsid w:val="00471658"/>
    <w:rsid w:val="004735F5"/>
    <w:rsid w:val="00480439"/>
    <w:rsid w:val="004A71EC"/>
    <w:rsid w:val="004C47F0"/>
    <w:rsid w:val="004D0529"/>
    <w:rsid w:val="004D7974"/>
    <w:rsid w:val="00502134"/>
    <w:rsid w:val="00502662"/>
    <w:rsid w:val="00512B59"/>
    <w:rsid w:val="00514F6D"/>
    <w:rsid w:val="00527001"/>
    <w:rsid w:val="005368B8"/>
    <w:rsid w:val="005416E9"/>
    <w:rsid w:val="005579CB"/>
    <w:rsid w:val="005619D8"/>
    <w:rsid w:val="0057714A"/>
    <w:rsid w:val="005934CD"/>
    <w:rsid w:val="0059386B"/>
    <w:rsid w:val="005B6002"/>
    <w:rsid w:val="005D5F14"/>
    <w:rsid w:val="005F635C"/>
    <w:rsid w:val="00602FED"/>
    <w:rsid w:val="00606992"/>
    <w:rsid w:val="006131D1"/>
    <w:rsid w:val="006154FA"/>
    <w:rsid w:val="0062321C"/>
    <w:rsid w:val="00634C5C"/>
    <w:rsid w:val="006358E3"/>
    <w:rsid w:val="00646C43"/>
    <w:rsid w:val="0065160D"/>
    <w:rsid w:val="00652D7C"/>
    <w:rsid w:val="0065797B"/>
    <w:rsid w:val="00657997"/>
    <w:rsid w:val="00671EDF"/>
    <w:rsid w:val="0068136A"/>
    <w:rsid w:val="006824DB"/>
    <w:rsid w:val="00683B19"/>
    <w:rsid w:val="006A07E8"/>
    <w:rsid w:val="006A5C0E"/>
    <w:rsid w:val="006B39AB"/>
    <w:rsid w:val="006B43B0"/>
    <w:rsid w:val="006C5BE6"/>
    <w:rsid w:val="006D0F89"/>
    <w:rsid w:val="006D270A"/>
    <w:rsid w:val="006E0F39"/>
    <w:rsid w:val="006E15CB"/>
    <w:rsid w:val="006F062C"/>
    <w:rsid w:val="00707EC7"/>
    <w:rsid w:val="007178F3"/>
    <w:rsid w:val="00721527"/>
    <w:rsid w:val="007240DD"/>
    <w:rsid w:val="00733272"/>
    <w:rsid w:val="007377A3"/>
    <w:rsid w:val="00761780"/>
    <w:rsid w:val="00763BE0"/>
    <w:rsid w:val="007667D8"/>
    <w:rsid w:val="00776EE2"/>
    <w:rsid w:val="00782E0D"/>
    <w:rsid w:val="00796021"/>
    <w:rsid w:val="007A3EF6"/>
    <w:rsid w:val="007A5214"/>
    <w:rsid w:val="007A6CDA"/>
    <w:rsid w:val="007B7399"/>
    <w:rsid w:val="007C7168"/>
    <w:rsid w:val="007C726C"/>
    <w:rsid w:val="007D59DF"/>
    <w:rsid w:val="007F29C9"/>
    <w:rsid w:val="0080406E"/>
    <w:rsid w:val="008063F7"/>
    <w:rsid w:val="00816479"/>
    <w:rsid w:val="008217EB"/>
    <w:rsid w:val="008243A6"/>
    <w:rsid w:val="00827A5F"/>
    <w:rsid w:val="00837F2F"/>
    <w:rsid w:val="00840D01"/>
    <w:rsid w:val="0084161C"/>
    <w:rsid w:val="008438E0"/>
    <w:rsid w:val="0086520B"/>
    <w:rsid w:val="00892FFF"/>
    <w:rsid w:val="00896281"/>
    <w:rsid w:val="008A4FAD"/>
    <w:rsid w:val="008B3485"/>
    <w:rsid w:val="008C7A7C"/>
    <w:rsid w:val="008F7821"/>
    <w:rsid w:val="009023FC"/>
    <w:rsid w:val="009041F4"/>
    <w:rsid w:val="0090645A"/>
    <w:rsid w:val="00913099"/>
    <w:rsid w:val="00916371"/>
    <w:rsid w:val="00921795"/>
    <w:rsid w:val="009465AD"/>
    <w:rsid w:val="00947ACD"/>
    <w:rsid w:val="009522CA"/>
    <w:rsid w:val="009533A1"/>
    <w:rsid w:val="00954C3E"/>
    <w:rsid w:val="00956C10"/>
    <w:rsid w:val="00962694"/>
    <w:rsid w:val="009A6938"/>
    <w:rsid w:val="009B0512"/>
    <w:rsid w:val="009B0A0E"/>
    <w:rsid w:val="009B163E"/>
    <w:rsid w:val="009B53E8"/>
    <w:rsid w:val="009C50E2"/>
    <w:rsid w:val="009C5E89"/>
    <w:rsid w:val="009D7325"/>
    <w:rsid w:val="009E30A1"/>
    <w:rsid w:val="009F13A2"/>
    <w:rsid w:val="00A04D35"/>
    <w:rsid w:val="00A15616"/>
    <w:rsid w:val="00A16ADD"/>
    <w:rsid w:val="00A17DA2"/>
    <w:rsid w:val="00A241C5"/>
    <w:rsid w:val="00A27C04"/>
    <w:rsid w:val="00A36D7F"/>
    <w:rsid w:val="00A41FB6"/>
    <w:rsid w:val="00A6479A"/>
    <w:rsid w:val="00A73CF4"/>
    <w:rsid w:val="00A910EE"/>
    <w:rsid w:val="00A953FC"/>
    <w:rsid w:val="00A95A19"/>
    <w:rsid w:val="00A95F73"/>
    <w:rsid w:val="00AA7654"/>
    <w:rsid w:val="00AC3F0C"/>
    <w:rsid w:val="00AC78A2"/>
    <w:rsid w:val="00AE03A0"/>
    <w:rsid w:val="00AE0A3D"/>
    <w:rsid w:val="00AE31E1"/>
    <w:rsid w:val="00AF6170"/>
    <w:rsid w:val="00AF7379"/>
    <w:rsid w:val="00B045C9"/>
    <w:rsid w:val="00B17017"/>
    <w:rsid w:val="00B1768F"/>
    <w:rsid w:val="00B23956"/>
    <w:rsid w:val="00B26A21"/>
    <w:rsid w:val="00B468E5"/>
    <w:rsid w:val="00B548EB"/>
    <w:rsid w:val="00B56F6D"/>
    <w:rsid w:val="00B65652"/>
    <w:rsid w:val="00B81818"/>
    <w:rsid w:val="00B86148"/>
    <w:rsid w:val="00BC1FB3"/>
    <w:rsid w:val="00C16E03"/>
    <w:rsid w:val="00C2342E"/>
    <w:rsid w:val="00C36CE5"/>
    <w:rsid w:val="00C44CE1"/>
    <w:rsid w:val="00C456EB"/>
    <w:rsid w:val="00C517A2"/>
    <w:rsid w:val="00C73AE8"/>
    <w:rsid w:val="00C93533"/>
    <w:rsid w:val="00CA56D2"/>
    <w:rsid w:val="00CA5B5A"/>
    <w:rsid w:val="00CA633F"/>
    <w:rsid w:val="00CA7399"/>
    <w:rsid w:val="00CA7495"/>
    <w:rsid w:val="00CB1A04"/>
    <w:rsid w:val="00CB5329"/>
    <w:rsid w:val="00CB79C7"/>
    <w:rsid w:val="00CD593B"/>
    <w:rsid w:val="00CF5FCA"/>
    <w:rsid w:val="00CF7A4A"/>
    <w:rsid w:val="00D055CA"/>
    <w:rsid w:val="00D179F9"/>
    <w:rsid w:val="00D20154"/>
    <w:rsid w:val="00D20DE5"/>
    <w:rsid w:val="00D21D40"/>
    <w:rsid w:val="00D23AE9"/>
    <w:rsid w:val="00D23CEB"/>
    <w:rsid w:val="00D50DAA"/>
    <w:rsid w:val="00D614D3"/>
    <w:rsid w:val="00D73C8D"/>
    <w:rsid w:val="00D92080"/>
    <w:rsid w:val="00D9338F"/>
    <w:rsid w:val="00D94E6C"/>
    <w:rsid w:val="00DA1730"/>
    <w:rsid w:val="00DA26AC"/>
    <w:rsid w:val="00DB2F51"/>
    <w:rsid w:val="00DB57A0"/>
    <w:rsid w:val="00DD08CB"/>
    <w:rsid w:val="00DF30C9"/>
    <w:rsid w:val="00DF330D"/>
    <w:rsid w:val="00E14513"/>
    <w:rsid w:val="00E479EE"/>
    <w:rsid w:val="00E61D38"/>
    <w:rsid w:val="00E63B78"/>
    <w:rsid w:val="00E94167"/>
    <w:rsid w:val="00E95DB4"/>
    <w:rsid w:val="00EB001A"/>
    <w:rsid w:val="00ED10AC"/>
    <w:rsid w:val="00ED3C01"/>
    <w:rsid w:val="00ED6F02"/>
    <w:rsid w:val="00ED7910"/>
    <w:rsid w:val="00EF07B4"/>
    <w:rsid w:val="00F007B2"/>
    <w:rsid w:val="00F0418C"/>
    <w:rsid w:val="00F06589"/>
    <w:rsid w:val="00F20863"/>
    <w:rsid w:val="00F20E96"/>
    <w:rsid w:val="00F216E0"/>
    <w:rsid w:val="00F22E88"/>
    <w:rsid w:val="00F243ED"/>
    <w:rsid w:val="00F3107D"/>
    <w:rsid w:val="00F32B2F"/>
    <w:rsid w:val="00F70364"/>
    <w:rsid w:val="00F76E57"/>
    <w:rsid w:val="00F84B24"/>
    <w:rsid w:val="00FA0917"/>
    <w:rsid w:val="00FA3116"/>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authors">
    <w:name w:val="authors"/>
    <w:basedOn w:val="DefaultParagraphFont"/>
    <w:rsid w:val="00CB1A04"/>
  </w:style>
  <w:style w:type="character" w:customStyle="1" w:styleId="Date1">
    <w:name w:val="Date1"/>
    <w:basedOn w:val="DefaultParagraphFont"/>
    <w:rsid w:val="00CB1A04"/>
  </w:style>
  <w:style w:type="character" w:customStyle="1" w:styleId="arttitle">
    <w:name w:val="art_title"/>
    <w:basedOn w:val="DefaultParagraphFont"/>
    <w:rsid w:val="00CB1A04"/>
  </w:style>
  <w:style w:type="character" w:customStyle="1" w:styleId="serialtitle">
    <w:name w:val="serial_title"/>
    <w:basedOn w:val="DefaultParagraphFont"/>
    <w:rsid w:val="00CB1A04"/>
  </w:style>
  <w:style w:type="character" w:customStyle="1" w:styleId="volumeissue">
    <w:name w:val="volume_issue"/>
    <w:basedOn w:val="DefaultParagraphFont"/>
    <w:rsid w:val="00CB1A04"/>
  </w:style>
  <w:style w:type="character" w:customStyle="1" w:styleId="pagerange">
    <w:name w:val="page_range"/>
    <w:basedOn w:val="DefaultParagraphFont"/>
    <w:rsid w:val="00CB1A04"/>
  </w:style>
  <w:style w:type="character" w:customStyle="1" w:styleId="Date2">
    <w:name w:val="Date2"/>
    <w:basedOn w:val="DefaultParagraphFont"/>
    <w:rsid w:val="00CB1A04"/>
  </w:style>
  <w:style w:type="character" w:customStyle="1" w:styleId="doilink">
    <w:name w:val="doi_link"/>
    <w:basedOn w:val="DefaultParagraphFont"/>
    <w:rsid w:val="00CB1A04"/>
  </w:style>
  <w:style w:type="character" w:customStyle="1" w:styleId="UnresolvedMention1">
    <w:name w:val="Unresolved Mention1"/>
    <w:uiPriority w:val="99"/>
    <w:semiHidden/>
    <w:unhideWhenUsed/>
    <w:rsid w:val="009F13A2"/>
    <w:rPr>
      <w:color w:val="605E5C"/>
      <w:shd w:val="clear" w:color="auto" w:fill="E1DFDD"/>
    </w:rPr>
  </w:style>
  <w:style w:type="paragraph" w:styleId="Revision">
    <w:name w:val="Revision"/>
    <w:hidden/>
    <w:uiPriority w:val="99"/>
    <w:semiHidden/>
    <w:rsid w:val="00ED10AC"/>
    <w:rPr>
      <w:rFonts w:cs="David"/>
      <w:sz w:val="24"/>
      <w:szCs w:val="24"/>
    </w:rPr>
  </w:style>
  <w:style w:type="character" w:customStyle="1" w:styleId="UnresolvedMention2">
    <w:name w:val="Unresolved Mention2"/>
    <w:basedOn w:val="DefaultParagraphFont"/>
    <w:uiPriority w:val="99"/>
    <w:semiHidden/>
    <w:unhideWhenUsed/>
    <w:rsid w:val="00461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B61050-D4B1-481C-83E6-D5F541F41C1F}">
  <ds:schemaRefs>
    <ds:schemaRef ds:uri="http://schemas.openxmlformats.org/officeDocument/2006/bibliography"/>
  </ds:schemaRefs>
</ds:datastoreItem>
</file>

<file path=customXml/itemProps2.xml><?xml version="1.0" encoding="utf-8"?>
<ds:datastoreItem xmlns:ds="http://schemas.openxmlformats.org/officeDocument/2006/customXml" ds:itemID="{1848B251-9290-4008-82FE-1CFA658D5899}"/>
</file>

<file path=customXml/itemProps3.xml><?xml version="1.0" encoding="utf-8"?>
<ds:datastoreItem xmlns:ds="http://schemas.openxmlformats.org/officeDocument/2006/customXml" ds:itemID="{116A2394-BC8A-4724-8EB1-ABD569CB9184}"/>
</file>

<file path=customXml/itemProps4.xml><?xml version="1.0" encoding="utf-8"?>
<ds:datastoreItem xmlns:ds="http://schemas.openxmlformats.org/officeDocument/2006/customXml" ds:itemID="{C5E75393-B50B-4552-A4F9-6483C9F71945}"/>
</file>

<file path=docProps/app.xml><?xml version="1.0" encoding="utf-8"?>
<Properties xmlns="http://schemas.openxmlformats.org/officeDocument/2006/extended-properties" xmlns:vt="http://schemas.openxmlformats.org/officeDocument/2006/docPropsVTypes">
  <Template>Normal.dotm</Template>
  <TotalTime>41</TotalTime>
  <Pages>22</Pages>
  <Words>5749</Words>
  <Characters>32773</Characters>
  <Application>Microsoft Office Word</Application>
  <DocSecurity>0</DocSecurity>
  <Lines>273</Lines>
  <Paragraphs>76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הצטרפות מוקדמת והשתתפות בתוכנית "חיסכון לכל ילד"</vt:lpstr>
      <vt:lpstr>הצטרפות מוקדמת והשתתפות בתוכנית "חיסכון לכל ילד"</vt:lpstr>
    </vt:vector>
  </TitlesOfParts>
  <Company>Onit Computer Services Ltd</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הצטרפות מוקדמת והשתתפות בתוכנית "חיסכון לכל ילד"</dc:title>
  <dc:creator>Mordechai Frankel</dc:creator>
  <cp:lastModifiedBy>Mordechai Frankel</cp:lastModifiedBy>
  <cp:revision>20</cp:revision>
  <cp:lastPrinted>2022-01-13T08:44:00Z</cp:lastPrinted>
  <dcterms:created xsi:type="dcterms:W3CDTF">2022-01-11T16:42:00Z</dcterms:created>
  <dcterms:modified xsi:type="dcterms:W3CDTF">2022-03-02T07:51:00Z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