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DE395" w14:textId="5F2A5F8D" w:rsidR="00B6001E" w:rsidRPr="004772F9" w:rsidRDefault="00F70E9F" w:rsidP="00D10B38">
      <w:pPr>
        <w:spacing w:line="240" w:lineRule="atLeast"/>
        <w:jc w:val="center"/>
        <w:rPr>
          <w:rFonts w:ascii="Arial" w:hAnsi="Arial" w:cs="Arial"/>
          <w:rtl/>
        </w:rPr>
      </w:pPr>
      <w:r>
        <w:rPr>
          <w:rFonts w:ascii="Arial" w:hAnsi="Arial" w:cs="Arial"/>
          <w:noProof/>
          <w:rtl/>
          <w:lang w:val="he-IL"/>
        </w:rPr>
        <w:drawing>
          <wp:anchor distT="0" distB="0" distL="114300" distR="114300" simplePos="0" relativeHeight="251658240" behindDoc="1" locked="0" layoutInCell="1" allowOverlap="1" wp14:anchorId="77A08879" wp14:editId="0576A057">
            <wp:simplePos x="0" y="0"/>
            <wp:positionH relativeFrom="page">
              <wp:align>center</wp:align>
            </wp:positionH>
            <wp:positionV relativeFrom="page">
              <wp:align>center</wp:align>
            </wp:positionV>
            <wp:extent cx="5940000" cy="8456400"/>
            <wp:effectExtent l="0" t="0" r="3810" b="1905"/>
            <wp:wrapNone/>
            <wp:docPr id="2" name="Picture 2" descr="الضمان الاجتماعي&#10;المجلة الاسرائيليه للضمان الاجتماعي&#10;برنامج توفير لكل طفل: تقييم الوضع ونظرة مستقبلية&#10;محررون ضيوف: تهيلا رفائلي وأفيشاي بنيش&#10;تصدر عن مؤسسة التأمين الوطني&#10;فبراير/شباط 2022&#10;كراس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الضمان الاجتماعي&#10;المجلة الاسرائيليه للضمان الاجتماعي&#10;برنامج توفير لكل طفل: تقييم الوضع ونظرة مستقبلية&#10;محررون ضيوف: تهيلا رفائلي وأفيشاي بنيش&#10;تصدر عن مؤسسة التأمين الوطني&#10;فبراير/شباط 2022&#10;كراس 116"/>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0000" cy="8456400"/>
                    </a:xfrm>
                    <a:prstGeom prst="rect">
                      <a:avLst/>
                    </a:prstGeom>
                  </pic:spPr>
                </pic:pic>
              </a:graphicData>
            </a:graphic>
            <wp14:sizeRelH relativeFrom="margin">
              <wp14:pctWidth>0</wp14:pctWidth>
            </wp14:sizeRelH>
            <wp14:sizeRelV relativeFrom="margin">
              <wp14:pctHeight>0</wp14:pctHeight>
            </wp14:sizeRelV>
          </wp:anchor>
        </w:drawing>
      </w:r>
    </w:p>
    <w:p w14:paraId="4E10BA06" w14:textId="77777777" w:rsidR="00AC68D5" w:rsidRPr="004772F9" w:rsidRDefault="00AC68D5" w:rsidP="008F360C">
      <w:pPr>
        <w:spacing w:line="240" w:lineRule="atLeast"/>
        <w:jc w:val="right"/>
        <w:rPr>
          <w:rFonts w:ascii="Arial" w:hAnsi="Arial" w:cs="Arial"/>
          <w:sz w:val="22"/>
          <w:szCs w:val="22"/>
          <w:rtl/>
        </w:rPr>
        <w:sectPr w:rsidR="00AC68D5" w:rsidRPr="004772F9" w:rsidSect="00DE6B20">
          <w:headerReference w:type="default" r:id="rId9"/>
          <w:footnotePr>
            <w:numRestart w:val="eachPage"/>
          </w:footnotePr>
          <w:pgSz w:w="11906" w:h="16838" w:code="9"/>
          <w:pgMar w:top="3402" w:right="2608" w:bottom="2552" w:left="2608" w:header="2552" w:footer="2268" w:gutter="0"/>
          <w:pgNumType w:start="167"/>
          <w:cols w:space="708"/>
          <w:titlePg/>
          <w:docGrid w:linePitch="360"/>
        </w:sectPr>
      </w:pPr>
    </w:p>
    <w:p w14:paraId="1402311C" w14:textId="78C9E99A" w:rsidR="008B4530" w:rsidRPr="004772F9" w:rsidRDefault="008B4530" w:rsidP="008B4530">
      <w:pPr>
        <w:pStyle w:val="NoSpacing"/>
        <w:bidi w:val="0"/>
        <w:spacing w:after="2280" w:line="280" w:lineRule="exact"/>
        <w:rPr>
          <w:rFonts w:ascii="Times New Roman" w:eastAsia="Times New Roman" w:hAnsi="Times New Roman" w:cs="David"/>
        </w:rPr>
      </w:pPr>
      <w:r w:rsidRPr="004772F9">
        <w:rPr>
          <w:rtl/>
        </w:rPr>
        <w:lastRenderedPageBreak/>
        <w:br w:type="page"/>
      </w:r>
    </w:p>
    <w:p w14:paraId="3322AC5B" w14:textId="77777777" w:rsidR="00E738B2" w:rsidRPr="004772F9" w:rsidRDefault="00E738B2" w:rsidP="00E738B2">
      <w:pPr>
        <w:pStyle w:val="NoSpacing"/>
        <w:bidi w:val="0"/>
        <w:spacing w:after="2280" w:line="280" w:lineRule="exact"/>
        <w:rPr>
          <w:rFonts w:ascii="Times New Roman" w:eastAsia="Times New Roman" w:hAnsi="Times New Roman" w:cs="David"/>
        </w:rPr>
      </w:pPr>
    </w:p>
    <w:p w14:paraId="543AE6D7" w14:textId="77777777" w:rsidR="008B4530" w:rsidRPr="004772F9" w:rsidRDefault="00AB018A" w:rsidP="00E738B2">
      <w:pPr>
        <w:pStyle w:val="Header"/>
        <w:tabs>
          <w:tab w:val="clear" w:pos="4153"/>
          <w:tab w:val="clear" w:pos="8306"/>
        </w:tabs>
        <w:spacing w:after="240" w:line="240" w:lineRule="atLeast"/>
        <w:jc w:val="center"/>
        <w:outlineLvl w:val="1"/>
        <w:rPr>
          <w:b/>
          <w:bCs/>
          <w:sz w:val="44"/>
          <w:szCs w:val="44"/>
        </w:rPr>
      </w:pPr>
      <w:r w:rsidRPr="004772F9">
        <w:rPr>
          <w:rFonts w:cs="Times New Roman"/>
          <w:b/>
          <w:bCs/>
          <w:sz w:val="44"/>
          <w:szCs w:val="44"/>
          <w:rtl/>
          <w:lang w:bidi="ar-SA"/>
        </w:rPr>
        <w:t>تلخيص الابحاث</w:t>
      </w:r>
    </w:p>
    <w:p w14:paraId="72B6A064" w14:textId="77777777" w:rsidR="008B4530" w:rsidRPr="004772F9" w:rsidRDefault="008B4530" w:rsidP="00785169">
      <w:pPr>
        <w:spacing w:line="240" w:lineRule="atLeast"/>
        <w:rPr>
          <w:rFonts w:ascii="Arial" w:hAnsi="Arial" w:cs="Arial"/>
          <w:sz w:val="22"/>
          <w:szCs w:val="22"/>
          <w:rtl/>
        </w:rPr>
      </w:pPr>
      <w:r w:rsidRPr="004772F9">
        <w:rPr>
          <w:rFonts w:ascii="Arial" w:hAnsi="Arial" w:cs="Arial"/>
          <w:sz w:val="22"/>
          <w:szCs w:val="22"/>
          <w:rtl/>
        </w:rPr>
        <w:br w:type="page"/>
      </w:r>
    </w:p>
    <w:p w14:paraId="633417CF" w14:textId="77777777" w:rsidR="008B4530" w:rsidRPr="004772F9" w:rsidRDefault="008B4530" w:rsidP="00785169">
      <w:pPr>
        <w:spacing w:line="240" w:lineRule="atLeast"/>
        <w:rPr>
          <w:rFonts w:ascii="Arial" w:hAnsi="Arial" w:cs="Arial"/>
          <w:sz w:val="22"/>
          <w:szCs w:val="22"/>
          <w:rtl/>
        </w:rPr>
      </w:pPr>
    </w:p>
    <w:p w14:paraId="60824739" w14:textId="77777777" w:rsidR="00B6001E" w:rsidRPr="004772F9" w:rsidRDefault="00B6001E">
      <w:pPr>
        <w:spacing w:after="180" w:line="280" w:lineRule="exact"/>
        <w:jc w:val="both"/>
        <w:rPr>
          <w:rFonts w:ascii="Arial" w:hAnsi="Arial" w:cs="Times New Roman"/>
          <w:rtl/>
          <w:lang w:bidi="ar-LB"/>
        </w:rPr>
        <w:sectPr w:rsidR="00B6001E" w:rsidRPr="004772F9" w:rsidSect="00C44B71">
          <w:headerReference w:type="even" r:id="rId10"/>
          <w:headerReference w:type="default" r:id="rId11"/>
          <w:footnotePr>
            <w:numRestart w:val="eachPage"/>
          </w:footnotePr>
          <w:pgSz w:w="11906" w:h="16838" w:code="9"/>
          <w:pgMar w:top="3402" w:right="2608" w:bottom="2552" w:left="2608" w:header="2552" w:footer="2268" w:gutter="0"/>
          <w:cols w:space="708"/>
          <w:titlePg/>
          <w:docGrid w:linePitch="360"/>
        </w:sectPr>
      </w:pPr>
    </w:p>
    <w:p w14:paraId="0AAEBBC9" w14:textId="77777777" w:rsidR="003146FE" w:rsidRPr="009C3F07" w:rsidRDefault="003146FE" w:rsidP="009C3F07">
      <w:pPr>
        <w:pStyle w:val="Heading1"/>
        <w:spacing w:line="440" w:lineRule="exact"/>
        <w:rPr>
          <w:rFonts w:cs="Times New Roman"/>
          <w:color w:val="00B0F0"/>
          <w:rtl/>
          <w:lang w:eastAsia="he-IL"/>
        </w:rPr>
      </w:pPr>
      <w:bookmarkStart w:id="0" w:name="_Hlk82857610"/>
      <w:r w:rsidRPr="009C3F07">
        <w:rPr>
          <w:rFonts w:cs="Times New Roman"/>
          <w:color w:val="00B0F0"/>
          <w:rtl/>
          <w:lang w:eastAsia="he-IL" w:bidi="ar-SA"/>
        </w:rPr>
        <w:lastRenderedPageBreak/>
        <w:t>الانضمام المبكر والمشاركة في برنامج توفير لكل طفل: شهادات من تشغيل البرنامج</w:t>
      </w:r>
    </w:p>
    <w:p w14:paraId="6C66B2BB" w14:textId="4C8924E7" w:rsidR="003146FE" w:rsidRPr="009C3F07" w:rsidRDefault="003146FE" w:rsidP="009C3F07">
      <w:pPr>
        <w:pStyle w:val="KOT5T"/>
        <w:spacing w:before="0" w:after="240" w:line="280" w:lineRule="exact"/>
        <w:ind w:right="0"/>
        <w:jc w:val="left"/>
        <w:rPr>
          <w:rFonts w:ascii="Times New Roman" w:hAnsi="Times New Roman" w:cs="Times New Roman"/>
          <w:b w:val="0"/>
          <w:bCs w:val="0"/>
          <w:color w:val="auto"/>
          <w:rtl/>
        </w:rPr>
      </w:pPr>
      <w:proofErr w:type="spellStart"/>
      <w:r w:rsidRPr="009C3F07">
        <w:rPr>
          <w:rFonts w:ascii="Times New Roman" w:hAnsi="Times New Roman" w:cs="Times New Roman"/>
          <w:b w:val="0"/>
          <w:bCs w:val="0"/>
          <w:color w:val="auto"/>
          <w:rtl/>
          <w:lang w:bidi="ar-SA"/>
        </w:rPr>
        <w:t>ميخال</w:t>
      </w:r>
      <w:proofErr w:type="spellEnd"/>
      <w:r w:rsidRPr="009C3F07">
        <w:rPr>
          <w:rFonts w:ascii="Times New Roman" w:hAnsi="Times New Roman" w:cs="Times New Roman"/>
          <w:b w:val="0"/>
          <w:bCs w:val="0"/>
          <w:color w:val="auto"/>
          <w:rtl/>
          <w:lang w:bidi="ar-SA"/>
        </w:rPr>
        <w:t xml:space="preserve"> </w:t>
      </w:r>
      <w:proofErr w:type="spellStart"/>
      <w:r w:rsidRPr="009C3F07">
        <w:rPr>
          <w:rFonts w:ascii="Times New Roman" w:hAnsi="Times New Roman" w:cs="Times New Roman"/>
          <w:b w:val="0"/>
          <w:bCs w:val="0"/>
          <w:color w:val="auto"/>
          <w:rtl/>
          <w:lang w:bidi="ar-SA"/>
        </w:rPr>
        <w:t>غرينشتاين-فايس</w:t>
      </w:r>
      <w:proofErr w:type="spellEnd"/>
      <w:r w:rsidR="009376F3" w:rsidRPr="009376F3">
        <w:rPr>
          <w:rFonts w:ascii="Times New Roman" w:hAnsi="Times New Roman" w:cs="Times New Roman"/>
          <w:b w:val="0"/>
          <w:bCs w:val="0"/>
          <w:color w:val="auto"/>
          <w:vertAlign w:val="superscript"/>
          <w:rtl/>
        </w:rPr>
        <w:footnoteReference w:id="2"/>
      </w:r>
      <w:r w:rsidRPr="009C3F07">
        <w:rPr>
          <w:rFonts w:ascii="Times New Roman" w:hAnsi="Times New Roman" w:cs="Times New Roman"/>
          <w:b w:val="0"/>
          <w:bCs w:val="0"/>
          <w:color w:val="auto"/>
          <w:rtl/>
          <w:lang w:bidi="ar-SA"/>
        </w:rPr>
        <w:t xml:space="preserve">، أوفير </w:t>
      </w:r>
      <w:proofErr w:type="spellStart"/>
      <w:r w:rsidRPr="009C3F07">
        <w:rPr>
          <w:rFonts w:ascii="Times New Roman" w:hAnsi="Times New Roman" w:cs="Times New Roman"/>
          <w:b w:val="0"/>
          <w:bCs w:val="0"/>
          <w:color w:val="auto"/>
          <w:rtl/>
          <w:lang w:bidi="ar-SA"/>
        </w:rPr>
        <w:t>بينتو</w:t>
      </w:r>
      <w:proofErr w:type="spellEnd"/>
      <w:r w:rsidR="009376F3" w:rsidRPr="009376F3">
        <w:rPr>
          <w:rFonts w:ascii="Times New Roman" w:hAnsi="Times New Roman" w:cs="Times New Roman"/>
          <w:b w:val="0"/>
          <w:bCs w:val="0"/>
          <w:color w:val="auto"/>
          <w:vertAlign w:val="superscript"/>
          <w:rtl/>
        </w:rPr>
        <w:footnoteReference w:id="3"/>
      </w:r>
      <w:r w:rsidRPr="009C3F07">
        <w:rPr>
          <w:rFonts w:ascii="Times New Roman" w:hAnsi="Times New Roman" w:cs="Times New Roman"/>
          <w:b w:val="0"/>
          <w:bCs w:val="0"/>
          <w:color w:val="auto"/>
          <w:rtl/>
          <w:lang w:bidi="ar-SA"/>
        </w:rPr>
        <w:t xml:space="preserve">، أولغا </w:t>
      </w:r>
      <w:proofErr w:type="spellStart"/>
      <w:r w:rsidRPr="009C3F07">
        <w:rPr>
          <w:rFonts w:ascii="Times New Roman" w:hAnsi="Times New Roman" w:cs="Times New Roman"/>
          <w:b w:val="0"/>
          <w:bCs w:val="0"/>
          <w:color w:val="auto"/>
          <w:rtl/>
          <w:lang w:bidi="ar-SA"/>
        </w:rPr>
        <w:t>كوندراطجيبا</w:t>
      </w:r>
      <w:proofErr w:type="spellEnd"/>
      <w:r w:rsidRPr="00697105">
        <w:rPr>
          <w:rFonts w:ascii="Times New Roman" w:hAnsi="Times New Roman" w:cs="Times New Roman"/>
          <w:b w:val="0"/>
          <w:bCs w:val="0"/>
          <w:color w:val="auto"/>
          <w:vertAlign w:val="superscript"/>
          <w:rtl/>
        </w:rPr>
        <w:t>1</w:t>
      </w:r>
      <w:r w:rsidRPr="009C3F07">
        <w:rPr>
          <w:rFonts w:ascii="Times New Roman" w:hAnsi="Times New Roman" w:cs="Times New Roman"/>
          <w:b w:val="0"/>
          <w:bCs w:val="0"/>
          <w:color w:val="auto"/>
          <w:rtl/>
          <w:lang w:bidi="ar-SA"/>
        </w:rPr>
        <w:t>، ستيفن رول</w:t>
      </w:r>
      <w:r w:rsidRPr="009C3F07">
        <w:rPr>
          <w:rFonts w:ascii="Times New Roman" w:hAnsi="Times New Roman" w:cs="Times New Roman"/>
          <w:b w:val="0"/>
          <w:bCs w:val="0"/>
          <w:color w:val="auto"/>
          <w:rtl/>
        </w:rPr>
        <w:t>1</w:t>
      </w:r>
      <w:r w:rsidRPr="009C3F07">
        <w:rPr>
          <w:rFonts w:ascii="Times New Roman" w:hAnsi="Times New Roman" w:cs="Times New Roman"/>
          <w:b w:val="0"/>
          <w:bCs w:val="0"/>
          <w:color w:val="auto"/>
          <w:rtl/>
          <w:lang w:bidi="ar-SA"/>
        </w:rPr>
        <w:t>، سام بوفيه</w:t>
      </w:r>
      <w:r w:rsidRPr="00697105">
        <w:rPr>
          <w:rFonts w:ascii="Times New Roman" w:hAnsi="Times New Roman" w:cs="Times New Roman"/>
          <w:b w:val="0"/>
          <w:bCs w:val="0"/>
          <w:color w:val="auto"/>
          <w:vertAlign w:val="superscript"/>
          <w:rtl/>
        </w:rPr>
        <w:t>1</w:t>
      </w:r>
      <w:r w:rsidRPr="009C3F07">
        <w:rPr>
          <w:rFonts w:ascii="Times New Roman" w:hAnsi="Times New Roman" w:cs="Times New Roman"/>
          <w:b w:val="0"/>
          <w:bCs w:val="0"/>
          <w:color w:val="auto"/>
          <w:rtl/>
        </w:rPr>
        <w:t xml:space="preserve"> </w:t>
      </w:r>
      <w:r w:rsidRPr="009C3F07">
        <w:rPr>
          <w:rFonts w:ascii="Times New Roman" w:hAnsi="Times New Roman" w:cs="Times New Roman"/>
          <w:b w:val="0"/>
          <w:bCs w:val="0"/>
          <w:color w:val="auto"/>
          <w:rtl/>
          <w:lang w:bidi="ar-SA"/>
        </w:rPr>
        <w:t>وتاليا ميتال</w:t>
      </w:r>
      <w:r w:rsidRPr="009C3F07">
        <w:rPr>
          <w:rFonts w:ascii="Times New Roman" w:hAnsi="Times New Roman" w:cs="Times New Roman"/>
          <w:b w:val="0"/>
          <w:bCs w:val="0"/>
          <w:color w:val="auto"/>
          <w:rtl/>
        </w:rPr>
        <w:t xml:space="preserve"> </w:t>
      </w:r>
    </w:p>
    <w:p w14:paraId="3985F117" w14:textId="77777777" w:rsidR="009C3F07" w:rsidRPr="004772F9" w:rsidRDefault="009C3F07" w:rsidP="009C3F07">
      <w:pPr>
        <w:pStyle w:val="BodyText2"/>
        <w:keepNext/>
        <w:keepLines/>
        <w:rPr>
          <w:rFonts w:cs="Times New Roman"/>
          <w:sz w:val="22"/>
          <w:szCs w:val="22"/>
          <w:rtl/>
        </w:rPr>
      </w:pPr>
    </w:p>
    <w:p w14:paraId="3AE3B049" w14:textId="77777777" w:rsidR="003146FE" w:rsidRPr="009C3F07" w:rsidRDefault="003146FE" w:rsidP="009C3F07">
      <w:pPr>
        <w:spacing w:after="180" w:line="280" w:lineRule="exact"/>
        <w:jc w:val="both"/>
        <w:rPr>
          <w:rFonts w:cs="Times New Roman"/>
          <w:sz w:val="22"/>
          <w:szCs w:val="22"/>
        </w:rPr>
      </w:pPr>
      <w:r w:rsidRPr="009C3F07">
        <w:rPr>
          <w:rFonts w:cs="Times New Roman"/>
          <w:sz w:val="22"/>
          <w:szCs w:val="22"/>
          <w:rtl/>
          <w:lang w:bidi="ar-SA"/>
        </w:rPr>
        <w:t>خطط التوفير لتطوير العقارات للأطفال</w:t>
      </w:r>
      <w:r w:rsidRPr="009C3F07">
        <w:rPr>
          <w:rFonts w:cs="Times New Roman"/>
          <w:sz w:val="22"/>
          <w:szCs w:val="22"/>
          <w:rtl/>
        </w:rPr>
        <w:t xml:space="preserve"> (</w:t>
      </w:r>
      <w:r w:rsidRPr="009C3F07">
        <w:rPr>
          <w:rFonts w:cs="Times New Roman"/>
          <w:sz w:val="22"/>
          <w:szCs w:val="22"/>
        </w:rPr>
        <w:t>Child Development Accounts, CDAs</w:t>
      </w:r>
      <w:r w:rsidRPr="009C3F07">
        <w:rPr>
          <w:rFonts w:cs="Times New Roman"/>
          <w:sz w:val="22"/>
          <w:szCs w:val="22"/>
          <w:rtl/>
        </w:rPr>
        <w:t xml:space="preserve">) </w:t>
      </w:r>
      <w:r w:rsidRPr="009C3F07">
        <w:rPr>
          <w:rFonts w:cs="Times New Roman"/>
          <w:sz w:val="22"/>
          <w:szCs w:val="22"/>
          <w:rtl/>
          <w:lang w:bidi="ar-SA"/>
        </w:rPr>
        <w:t>هي خطط في مجالات الأمن الاجتماعي.</w:t>
      </w:r>
      <w:r w:rsidRPr="009C3F07">
        <w:rPr>
          <w:rFonts w:cs="Times New Roman"/>
          <w:sz w:val="22"/>
          <w:szCs w:val="22"/>
          <w:rtl/>
        </w:rPr>
        <w:t xml:space="preserve"> </w:t>
      </w:r>
      <w:r w:rsidRPr="009C3F07">
        <w:rPr>
          <w:rFonts w:cs="Times New Roman"/>
          <w:sz w:val="22"/>
          <w:szCs w:val="22"/>
          <w:rtl/>
          <w:lang w:bidi="ar-SA"/>
        </w:rPr>
        <w:t>عند ولادة الطفل، أو خلال السنوات الأولى من حياته، يتم فتح حساب مصرفي أو صندوق استثماري له لتعزيز المدخرات وتجميع الأموال لأغراض تتعلق بمستقبله، مثل التعليم العالي أو شراء منزل</w:t>
      </w:r>
      <w:r w:rsidRPr="009C3F07">
        <w:rPr>
          <w:rFonts w:cs="Times New Roman"/>
          <w:sz w:val="22"/>
          <w:szCs w:val="22"/>
          <w:rtl/>
          <w:lang w:bidi="ar"/>
        </w:rPr>
        <w:t xml:space="preserve">. </w:t>
      </w:r>
      <w:r w:rsidRPr="009C3F07">
        <w:rPr>
          <w:rFonts w:cs="Times New Roman"/>
          <w:sz w:val="22"/>
          <w:szCs w:val="22"/>
          <w:rtl/>
          <w:lang w:bidi="ar-SA"/>
        </w:rPr>
        <w:t xml:space="preserve">في بداية شهر كانون الثاني </w:t>
      </w:r>
      <w:r w:rsidRPr="009C3F07">
        <w:rPr>
          <w:rFonts w:cs="Times New Roman"/>
          <w:sz w:val="22"/>
          <w:szCs w:val="22"/>
          <w:rtl/>
          <w:lang w:bidi="ar"/>
        </w:rPr>
        <w:t>(</w:t>
      </w:r>
      <w:r w:rsidRPr="009C3F07">
        <w:rPr>
          <w:rFonts w:cs="Times New Roman"/>
          <w:sz w:val="22"/>
          <w:szCs w:val="22"/>
          <w:rtl/>
          <w:lang w:bidi="ar-SA"/>
        </w:rPr>
        <w:t>يناير</w:t>
      </w:r>
      <w:r w:rsidRPr="009C3F07">
        <w:rPr>
          <w:rFonts w:cs="Times New Roman"/>
          <w:sz w:val="22"/>
          <w:szCs w:val="22"/>
          <w:rtl/>
          <w:lang w:bidi="ar"/>
        </w:rPr>
        <w:t>) 2017</w:t>
      </w:r>
      <w:r w:rsidRPr="009C3F07">
        <w:rPr>
          <w:rFonts w:cs="Times New Roman"/>
          <w:sz w:val="22"/>
          <w:szCs w:val="22"/>
          <w:rtl/>
          <w:lang w:bidi="ar-SA"/>
        </w:rPr>
        <w:t>، أطلقت الحكومة الإسرائيلية برنامج</w:t>
      </w:r>
      <w:r w:rsidRPr="009C3F07">
        <w:rPr>
          <w:rFonts w:cs="Times New Roman"/>
          <w:sz w:val="22"/>
          <w:szCs w:val="22"/>
          <w:rtl/>
          <w:lang w:bidi="ar"/>
        </w:rPr>
        <w:t xml:space="preserve"> </w:t>
      </w:r>
      <w:r w:rsidRPr="009C3F07">
        <w:rPr>
          <w:rFonts w:cs="Times New Roman"/>
          <w:sz w:val="22"/>
          <w:szCs w:val="22"/>
          <w:rtl/>
          <w:lang w:bidi="ar-SA"/>
        </w:rPr>
        <w:t xml:space="preserve">توفير </w:t>
      </w:r>
      <w:r w:rsidRPr="009C3F07">
        <w:rPr>
          <w:rFonts w:cs="Times New Roman"/>
          <w:sz w:val="22"/>
          <w:szCs w:val="22"/>
          <w:rtl/>
          <w:lang w:bidi="ar"/>
        </w:rPr>
        <w:t xml:space="preserve">– </w:t>
      </w:r>
      <w:r w:rsidRPr="009C3F07">
        <w:rPr>
          <w:rFonts w:cs="Times New Roman"/>
          <w:sz w:val="22"/>
          <w:szCs w:val="22"/>
          <w:rtl/>
          <w:lang w:bidi="ar-SA"/>
        </w:rPr>
        <w:t xml:space="preserve">توفير لكل طفل </w:t>
      </w:r>
      <w:r w:rsidRPr="009C3F07">
        <w:rPr>
          <w:rFonts w:cs="Times New Roman"/>
          <w:sz w:val="22"/>
          <w:szCs w:val="22"/>
          <w:rtl/>
          <w:lang w:bidi="ar"/>
        </w:rPr>
        <w:t xml:space="preserve">- </w:t>
      </w:r>
      <w:r w:rsidRPr="009C3F07">
        <w:rPr>
          <w:rFonts w:cs="Times New Roman"/>
          <w:sz w:val="22"/>
          <w:szCs w:val="22"/>
          <w:rtl/>
          <w:lang w:bidi="ar-SA"/>
        </w:rPr>
        <w:t>مصمم لتطوير مستقبل للأطفال</w:t>
      </w:r>
      <w:r w:rsidRPr="009C3F07">
        <w:rPr>
          <w:rFonts w:cs="Times New Roman"/>
          <w:sz w:val="22"/>
          <w:szCs w:val="22"/>
          <w:rtl/>
          <w:lang w:bidi="ar"/>
        </w:rPr>
        <w:t xml:space="preserve">. </w:t>
      </w:r>
      <w:r w:rsidRPr="009C3F07">
        <w:rPr>
          <w:rFonts w:cs="Times New Roman"/>
          <w:sz w:val="22"/>
          <w:szCs w:val="22"/>
          <w:rtl/>
          <w:lang w:bidi="ar-SA"/>
        </w:rPr>
        <w:t>بموجب البرنامج، يتلقى كل طفل صندوق ادخار شخصي</w:t>
      </w:r>
      <w:r w:rsidRPr="009C3F07">
        <w:rPr>
          <w:rFonts w:cs="Times New Roman"/>
          <w:sz w:val="22"/>
          <w:szCs w:val="22"/>
          <w:rtl/>
          <w:lang w:bidi="ar"/>
        </w:rPr>
        <w:t xml:space="preserve">. </w:t>
      </w:r>
      <w:r w:rsidRPr="009C3F07">
        <w:rPr>
          <w:rFonts w:cs="Times New Roman"/>
          <w:sz w:val="22"/>
          <w:szCs w:val="22"/>
          <w:rtl/>
          <w:lang w:bidi="ar-SA"/>
        </w:rPr>
        <w:t xml:space="preserve">كل شهر تودع الحكومة مبلغًا معينًا في هذا الصندوق، ويمكن للوالدين أيضًا إجراء ودائع شهرية إضافية وحتى تغيير الموقع الافتراضي لإيداع أموال التوفير </w:t>
      </w:r>
      <w:r w:rsidRPr="009C3F07">
        <w:rPr>
          <w:rFonts w:cs="Times New Roman"/>
          <w:sz w:val="22"/>
          <w:szCs w:val="22"/>
          <w:rtl/>
          <w:lang w:bidi="ar"/>
        </w:rPr>
        <w:t xml:space="preserve">- </w:t>
      </w:r>
      <w:r w:rsidRPr="009C3F07">
        <w:rPr>
          <w:rFonts w:cs="Times New Roman"/>
          <w:sz w:val="22"/>
          <w:szCs w:val="22"/>
          <w:rtl/>
          <w:lang w:bidi="ar-SA"/>
        </w:rPr>
        <w:t>على سبيل المثال، إيداع في حساب مصرفي بدلا من</w:t>
      </w:r>
      <w:r w:rsidRPr="009C3F07">
        <w:rPr>
          <w:rFonts w:cs="Times New Roman"/>
          <w:sz w:val="22"/>
          <w:szCs w:val="22"/>
          <w:rtl/>
          <w:lang w:bidi="ar"/>
        </w:rPr>
        <w:t xml:space="preserve"> </w:t>
      </w:r>
      <w:r w:rsidRPr="009C3F07">
        <w:rPr>
          <w:rFonts w:cs="Times New Roman"/>
          <w:sz w:val="22"/>
          <w:szCs w:val="22"/>
          <w:rtl/>
          <w:lang w:bidi="ar-SA"/>
        </w:rPr>
        <w:t>الإيداع في صندوق استثمار</w:t>
      </w:r>
      <w:r w:rsidRPr="009C3F07">
        <w:rPr>
          <w:rFonts w:cs="Times New Roman"/>
          <w:sz w:val="22"/>
          <w:szCs w:val="22"/>
          <w:rtl/>
          <w:lang w:bidi="ar"/>
        </w:rPr>
        <w:t xml:space="preserve">. </w:t>
      </w:r>
      <w:r w:rsidRPr="009C3F07">
        <w:rPr>
          <w:rFonts w:cs="Times New Roman"/>
          <w:sz w:val="22"/>
          <w:szCs w:val="22"/>
          <w:rtl/>
          <w:lang w:bidi="ar-SA"/>
        </w:rPr>
        <w:t>يبحث هذا المقال أنماط الانضمام للبرنامج والمشاركة فيه خلال الأشهر الستة الأولى من تنفيذه، باستخدام بيانات إدارية من مؤسسة التأمين الوطني، على مستوى السكان</w:t>
      </w:r>
      <w:r w:rsidRPr="009C3F07">
        <w:rPr>
          <w:rFonts w:cs="Times New Roman"/>
          <w:sz w:val="22"/>
          <w:szCs w:val="22"/>
          <w:rtl/>
          <w:lang w:bidi="ar"/>
        </w:rPr>
        <w:t xml:space="preserve">. </w:t>
      </w:r>
      <w:r w:rsidRPr="009C3F07">
        <w:rPr>
          <w:rFonts w:cs="Times New Roman"/>
          <w:sz w:val="22"/>
          <w:szCs w:val="22"/>
          <w:rtl/>
          <w:lang w:bidi="ar-SA"/>
        </w:rPr>
        <w:t>بشكل عام، تظهر النتائج أن نسبة عالية من العائلات التي كانت مؤهلة للمشاركة في البرنامج قد شاركت بالفعل فيه</w:t>
      </w:r>
      <w:r w:rsidRPr="009C3F07">
        <w:rPr>
          <w:rFonts w:cs="Times New Roman"/>
          <w:sz w:val="22"/>
          <w:szCs w:val="22"/>
          <w:rtl/>
          <w:lang w:bidi="ar"/>
        </w:rPr>
        <w:t xml:space="preserve">. </w:t>
      </w:r>
      <w:r w:rsidRPr="009C3F07">
        <w:rPr>
          <w:rFonts w:cs="Times New Roman"/>
          <w:sz w:val="22"/>
          <w:szCs w:val="22"/>
          <w:rtl/>
          <w:lang w:bidi="ar-SA"/>
        </w:rPr>
        <w:t>في الوقت نفسه، وجد أن الأسر الأكثر ثراءً،</w:t>
      </w:r>
      <w:r w:rsidRPr="009C3F07">
        <w:rPr>
          <w:rFonts w:cs="Times New Roman"/>
          <w:sz w:val="22"/>
          <w:szCs w:val="22"/>
          <w:rtl/>
          <w:lang w:bidi="ar"/>
        </w:rPr>
        <w:t xml:space="preserve"> </w:t>
      </w:r>
      <w:r w:rsidRPr="009C3F07">
        <w:rPr>
          <w:rFonts w:cs="Times New Roman"/>
          <w:sz w:val="22"/>
          <w:szCs w:val="22"/>
          <w:rtl/>
          <w:lang w:bidi="ar-SA"/>
        </w:rPr>
        <w:t>العاملة والمتعلمة تميل إلى المشاركة بنشاط في البرنامج بمعدلات أعلى وبطرق من المحتمل أن تحقق عائدًا اقتصاديًا أعلى في المستقبل</w:t>
      </w:r>
      <w:r w:rsidRPr="009C3F07">
        <w:rPr>
          <w:rFonts w:cs="Times New Roman"/>
          <w:sz w:val="22"/>
          <w:szCs w:val="22"/>
          <w:rtl/>
          <w:lang w:bidi="ar"/>
        </w:rPr>
        <w:t xml:space="preserve">. </w:t>
      </w:r>
      <w:r w:rsidRPr="009C3F07">
        <w:rPr>
          <w:rFonts w:cs="Times New Roman"/>
          <w:sz w:val="22"/>
          <w:szCs w:val="22"/>
          <w:rtl/>
          <w:lang w:bidi="ar-SA"/>
        </w:rPr>
        <w:t>تظهر هذه النتائج أنه على الرغم من أن خطة التوفير لكل طفل قد تزيد من الأمن المالي العام للمواطنين الإسرائيليين، إلا أنها قد تؤدي أيضًا إلى زيادة عدم المساواة الاقتصادية</w:t>
      </w:r>
      <w:r w:rsidRPr="009C3F07">
        <w:rPr>
          <w:rFonts w:cs="Times New Roman"/>
          <w:sz w:val="22"/>
          <w:szCs w:val="22"/>
          <w:rtl/>
          <w:lang w:bidi="ar"/>
        </w:rPr>
        <w:t>.</w:t>
      </w:r>
      <w:r w:rsidRPr="009C3F07">
        <w:rPr>
          <w:rFonts w:cs="Times New Roman"/>
          <w:sz w:val="22"/>
          <w:szCs w:val="22"/>
          <w:rtl/>
        </w:rPr>
        <w:t xml:space="preserve"> </w:t>
      </w:r>
    </w:p>
    <w:p w14:paraId="4BEEC034" w14:textId="1D78AE25" w:rsidR="003146FE" w:rsidRDefault="003146FE" w:rsidP="009C3F07">
      <w:pPr>
        <w:spacing w:after="180" w:line="280" w:lineRule="exact"/>
        <w:jc w:val="both"/>
        <w:rPr>
          <w:rFonts w:cs="Times New Roman"/>
          <w:b/>
          <w:bCs/>
          <w:sz w:val="22"/>
          <w:szCs w:val="22"/>
        </w:rPr>
      </w:pPr>
    </w:p>
    <w:p w14:paraId="39BD706C" w14:textId="77777777" w:rsidR="009376F3" w:rsidRPr="009C3F07" w:rsidRDefault="009376F3" w:rsidP="009C3F07">
      <w:pPr>
        <w:spacing w:after="180" w:line="280" w:lineRule="exact"/>
        <w:jc w:val="both"/>
        <w:rPr>
          <w:rFonts w:cs="Times New Roman"/>
          <w:b/>
          <w:bCs/>
          <w:sz w:val="22"/>
          <w:szCs w:val="22"/>
          <w:rtl/>
        </w:rPr>
      </w:pPr>
    </w:p>
    <w:p w14:paraId="21506302" w14:textId="77777777" w:rsidR="003146FE" w:rsidRPr="009376F3" w:rsidRDefault="003146FE" w:rsidP="009376F3">
      <w:pPr>
        <w:pStyle w:val="Heading1"/>
        <w:spacing w:line="440" w:lineRule="exact"/>
        <w:rPr>
          <w:rFonts w:cs="Times New Roman"/>
          <w:color w:val="00B0F0"/>
          <w:rtl/>
          <w:lang w:eastAsia="he-IL" w:bidi="ar-SA"/>
        </w:rPr>
      </w:pPr>
      <w:r w:rsidRPr="009376F3">
        <w:rPr>
          <w:rFonts w:cs="Times New Roman"/>
          <w:color w:val="00B0F0"/>
          <w:rtl/>
          <w:lang w:eastAsia="he-IL" w:bidi="ar-SA"/>
        </w:rPr>
        <w:t>برنامج توفير لكل طفل: الاحتمالات والمخاطر</w:t>
      </w:r>
    </w:p>
    <w:p w14:paraId="23F30E95" w14:textId="1FA0BE85" w:rsidR="003146FE" w:rsidRPr="009376F3" w:rsidRDefault="003146FE" w:rsidP="009376F3">
      <w:pPr>
        <w:pStyle w:val="KOT5T"/>
        <w:spacing w:before="0" w:after="240" w:line="280" w:lineRule="exact"/>
        <w:ind w:right="0"/>
        <w:jc w:val="left"/>
        <w:rPr>
          <w:rFonts w:ascii="Times New Roman" w:hAnsi="Times New Roman" w:cs="Times New Roman"/>
          <w:b w:val="0"/>
          <w:bCs w:val="0"/>
          <w:color w:val="auto"/>
          <w:rtl/>
        </w:rPr>
      </w:pPr>
      <w:proofErr w:type="spellStart"/>
      <w:r w:rsidRPr="009376F3">
        <w:rPr>
          <w:rFonts w:ascii="Times New Roman" w:hAnsi="Times New Roman" w:cs="Times New Roman"/>
          <w:b w:val="0"/>
          <w:bCs w:val="0"/>
          <w:color w:val="auto"/>
          <w:rtl/>
          <w:lang w:bidi="ar-SA"/>
        </w:rPr>
        <w:t>دانيئيل</w:t>
      </w:r>
      <w:proofErr w:type="spellEnd"/>
      <w:r w:rsidRPr="009376F3">
        <w:rPr>
          <w:rFonts w:ascii="Times New Roman" w:hAnsi="Times New Roman" w:cs="Times New Roman"/>
          <w:b w:val="0"/>
          <w:bCs w:val="0"/>
          <w:color w:val="auto"/>
          <w:rtl/>
          <w:lang w:bidi="ar-SA"/>
        </w:rPr>
        <w:t xml:space="preserve"> </w:t>
      </w:r>
      <w:proofErr w:type="spellStart"/>
      <w:r w:rsidRPr="009376F3">
        <w:rPr>
          <w:rFonts w:ascii="Times New Roman" w:hAnsi="Times New Roman" w:cs="Times New Roman"/>
          <w:b w:val="0"/>
          <w:bCs w:val="0"/>
          <w:color w:val="auto"/>
          <w:rtl/>
          <w:lang w:bidi="ar-SA"/>
        </w:rPr>
        <w:t>غوتليف</w:t>
      </w:r>
      <w:proofErr w:type="spellEnd"/>
      <w:r w:rsidR="009376F3" w:rsidRPr="009376F3">
        <w:rPr>
          <w:b w:val="0"/>
          <w:bCs w:val="0"/>
          <w:color w:val="auto"/>
          <w:vertAlign w:val="superscript"/>
          <w:rtl/>
        </w:rPr>
        <w:footnoteReference w:id="4"/>
      </w:r>
    </w:p>
    <w:p w14:paraId="49B71697" w14:textId="77777777" w:rsidR="003146FE" w:rsidRPr="009C3F07" w:rsidRDefault="003146FE" w:rsidP="009C3F07">
      <w:pPr>
        <w:spacing w:after="180" w:line="280" w:lineRule="exact"/>
        <w:jc w:val="both"/>
        <w:rPr>
          <w:rFonts w:cs="Times New Roman"/>
          <w:sz w:val="22"/>
          <w:szCs w:val="22"/>
          <w:rtl/>
        </w:rPr>
      </w:pPr>
    </w:p>
    <w:p w14:paraId="0FEA6EE2" w14:textId="20592F1A" w:rsidR="003146FE" w:rsidRDefault="003146FE" w:rsidP="009376F3">
      <w:pPr>
        <w:pStyle w:val="BodyText2"/>
        <w:rPr>
          <w:rFonts w:ascii="Times New Roman" w:eastAsiaTheme="minorHAnsi" w:hAnsi="Times New Roman" w:cs="Times New Roman"/>
          <w:sz w:val="22"/>
          <w:szCs w:val="22"/>
          <w:lang w:bidi="ar"/>
        </w:rPr>
      </w:pPr>
      <w:r w:rsidRPr="009C3F07">
        <w:rPr>
          <w:rFonts w:ascii="Times New Roman" w:eastAsiaTheme="minorHAnsi" w:hAnsi="Times New Roman" w:cs="Times New Roman"/>
          <w:sz w:val="22"/>
          <w:szCs w:val="22"/>
          <w:rtl/>
        </w:rPr>
        <w:t xml:space="preserve">في بداية عام </w:t>
      </w:r>
      <w:r w:rsidRPr="009C3F07">
        <w:rPr>
          <w:rFonts w:ascii="Times New Roman" w:eastAsiaTheme="minorHAnsi" w:hAnsi="Times New Roman" w:cs="Times New Roman"/>
          <w:sz w:val="22"/>
          <w:szCs w:val="22"/>
          <w:rtl/>
          <w:lang w:bidi="ar"/>
        </w:rPr>
        <w:t>2017</w:t>
      </w:r>
      <w:r w:rsidRPr="009C3F07">
        <w:rPr>
          <w:rFonts w:ascii="Times New Roman" w:eastAsiaTheme="minorHAnsi" w:hAnsi="Times New Roman" w:cs="Times New Roman"/>
          <w:sz w:val="22"/>
          <w:szCs w:val="22"/>
          <w:rtl/>
        </w:rPr>
        <w:t>، نفذ الضمان الاجتماعي والحكومة خطة شاملة، توفير لكل طفل</w:t>
      </w:r>
      <w:r w:rsidRPr="009C3F07">
        <w:rPr>
          <w:rFonts w:ascii="Times New Roman" w:eastAsiaTheme="minorHAnsi" w:hAnsi="Times New Roman" w:cs="Times New Roman"/>
          <w:sz w:val="22"/>
          <w:szCs w:val="22"/>
          <w:rtl/>
          <w:lang w:bidi="ar"/>
        </w:rPr>
        <w:t xml:space="preserve">. </w:t>
      </w:r>
      <w:r w:rsidRPr="009C3F07">
        <w:rPr>
          <w:rFonts w:ascii="Times New Roman" w:eastAsiaTheme="minorHAnsi" w:hAnsi="Times New Roman" w:cs="Times New Roman"/>
          <w:sz w:val="22"/>
          <w:szCs w:val="22"/>
          <w:rtl/>
        </w:rPr>
        <w:t xml:space="preserve">تم ترويج البرنامج بعد خفض كبير في مخصصات الأطفال في عام </w:t>
      </w:r>
      <w:r w:rsidRPr="009C3F07">
        <w:rPr>
          <w:rFonts w:ascii="Times New Roman" w:eastAsiaTheme="minorHAnsi" w:hAnsi="Times New Roman" w:cs="Times New Roman"/>
          <w:sz w:val="22"/>
          <w:szCs w:val="22"/>
          <w:rtl/>
          <w:lang w:bidi="ar"/>
        </w:rPr>
        <w:t>2013</w:t>
      </w:r>
      <w:r w:rsidRPr="009C3F07">
        <w:rPr>
          <w:rFonts w:ascii="Times New Roman" w:eastAsiaTheme="minorHAnsi" w:hAnsi="Times New Roman" w:cs="Times New Roman"/>
          <w:sz w:val="22"/>
          <w:szCs w:val="22"/>
          <w:rtl/>
        </w:rPr>
        <w:t xml:space="preserve">، عندما تمت إعادة مبلغ الخفض </w:t>
      </w:r>
      <w:r w:rsidRPr="009C3F07">
        <w:rPr>
          <w:rFonts w:ascii="Times New Roman" w:eastAsiaTheme="minorHAnsi" w:hAnsi="Times New Roman" w:cs="Times New Roman"/>
          <w:sz w:val="22"/>
          <w:szCs w:val="22"/>
          <w:rtl/>
        </w:rPr>
        <w:lastRenderedPageBreak/>
        <w:t xml:space="preserve">للجمهور في عام </w:t>
      </w:r>
      <w:r w:rsidRPr="009C3F07">
        <w:rPr>
          <w:rFonts w:ascii="Times New Roman" w:eastAsiaTheme="minorHAnsi" w:hAnsi="Times New Roman" w:cs="Times New Roman"/>
          <w:sz w:val="22"/>
          <w:szCs w:val="22"/>
          <w:rtl/>
          <w:lang w:bidi="ar"/>
        </w:rPr>
        <w:t xml:space="preserve">2015 </w:t>
      </w:r>
      <w:r w:rsidRPr="009C3F07">
        <w:rPr>
          <w:rFonts w:ascii="Times New Roman" w:eastAsiaTheme="minorHAnsi" w:hAnsi="Times New Roman" w:cs="Times New Roman"/>
          <w:sz w:val="22"/>
          <w:szCs w:val="22"/>
          <w:rtl/>
        </w:rPr>
        <w:t>من خلال اتفاقية ائتلافية</w:t>
      </w:r>
      <w:r w:rsidRPr="009C3F07">
        <w:rPr>
          <w:rFonts w:ascii="Times New Roman" w:eastAsiaTheme="minorHAnsi" w:hAnsi="Times New Roman" w:cs="Times New Roman"/>
          <w:sz w:val="22"/>
          <w:szCs w:val="22"/>
          <w:rtl/>
          <w:lang w:bidi="ar"/>
        </w:rPr>
        <w:t xml:space="preserve">. </w:t>
      </w:r>
      <w:r w:rsidRPr="009C3F07">
        <w:rPr>
          <w:rFonts w:ascii="Times New Roman" w:eastAsiaTheme="minorHAnsi" w:hAnsi="Times New Roman" w:cs="Times New Roman"/>
          <w:sz w:val="22"/>
          <w:szCs w:val="22"/>
          <w:rtl/>
        </w:rPr>
        <w:t xml:space="preserve">يُلزم البرنامج إيداع بقيمة </w:t>
      </w:r>
      <w:r w:rsidRPr="009C3F07">
        <w:rPr>
          <w:rFonts w:ascii="Times New Roman" w:eastAsiaTheme="minorHAnsi" w:hAnsi="Times New Roman" w:cs="Times New Roman"/>
          <w:sz w:val="22"/>
          <w:szCs w:val="22"/>
          <w:rtl/>
          <w:lang w:bidi="ar"/>
        </w:rPr>
        <w:t xml:space="preserve">50 </w:t>
      </w:r>
      <w:r w:rsidRPr="009C3F07">
        <w:rPr>
          <w:rFonts w:ascii="Times New Roman" w:eastAsiaTheme="minorHAnsi" w:hAnsi="Times New Roman" w:cs="Times New Roman"/>
          <w:sz w:val="22"/>
          <w:szCs w:val="22"/>
          <w:rtl/>
        </w:rPr>
        <w:t>شيكل في ادخار</w:t>
      </w:r>
      <w:r w:rsidRPr="009C3F07">
        <w:rPr>
          <w:rFonts w:ascii="Times New Roman" w:eastAsiaTheme="minorHAnsi" w:hAnsi="Times New Roman" w:cs="Times New Roman"/>
          <w:sz w:val="22"/>
          <w:szCs w:val="22"/>
          <w:rtl/>
          <w:lang w:bidi="ar"/>
        </w:rPr>
        <w:t xml:space="preserve"> </w:t>
      </w:r>
      <w:r w:rsidRPr="009C3F07">
        <w:rPr>
          <w:rFonts w:ascii="Times New Roman" w:eastAsiaTheme="minorHAnsi" w:hAnsi="Times New Roman" w:cs="Times New Roman"/>
          <w:sz w:val="22"/>
          <w:szCs w:val="22"/>
          <w:rtl/>
        </w:rPr>
        <w:t>للطفل، من مخصصات الأطفال</w:t>
      </w:r>
      <w:r w:rsidRPr="009C3F07">
        <w:rPr>
          <w:rFonts w:ascii="Times New Roman" w:eastAsiaTheme="minorHAnsi" w:hAnsi="Times New Roman" w:cs="Times New Roman"/>
          <w:sz w:val="22"/>
          <w:szCs w:val="22"/>
          <w:rtl/>
          <w:lang w:bidi="ar"/>
        </w:rPr>
        <w:t>.</w:t>
      </w:r>
      <w:r w:rsidRPr="009C3F07">
        <w:rPr>
          <w:rFonts w:ascii="Times New Roman" w:eastAsiaTheme="minorHAnsi" w:hAnsi="Times New Roman" w:cs="Times New Roman"/>
          <w:sz w:val="22"/>
          <w:szCs w:val="22"/>
          <w:rtl/>
        </w:rPr>
        <w:t xml:space="preserve"> وهذا يعني انخفاضًا في الدخل الحالي للعائلات، مما يلزمها بتقليل الاستهلاك الحالي لصالح الاستهلاك المستقبلي للطفل</w:t>
      </w:r>
      <w:r w:rsidRPr="009C3F07">
        <w:rPr>
          <w:rFonts w:ascii="Times New Roman" w:eastAsiaTheme="minorHAnsi" w:hAnsi="Times New Roman" w:cs="Times New Roman"/>
          <w:sz w:val="22"/>
          <w:szCs w:val="22"/>
          <w:rtl/>
          <w:lang w:bidi="ar"/>
        </w:rPr>
        <w:t>.</w:t>
      </w:r>
      <w:r w:rsidRPr="009C3F07">
        <w:rPr>
          <w:rFonts w:ascii="Times New Roman" w:eastAsiaTheme="minorHAnsi" w:hAnsi="Times New Roman" w:cs="Times New Roman"/>
          <w:sz w:val="22"/>
          <w:szCs w:val="22"/>
          <w:rtl/>
        </w:rPr>
        <w:t xml:space="preserve"> هذه العملية تُصعّب الأمور بشكل خاص على العائلات المستورة التي لديها العديد من الأطفال</w:t>
      </w:r>
      <w:r w:rsidRPr="009C3F07">
        <w:rPr>
          <w:rFonts w:ascii="Times New Roman" w:eastAsiaTheme="minorHAnsi" w:hAnsi="Times New Roman" w:cs="Times New Roman"/>
          <w:sz w:val="22"/>
          <w:szCs w:val="22"/>
          <w:rtl/>
          <w:lang w:bidi="ar"/>
        </w:rPr>
        <w:t xml:space="preserve">. </w:t>
      </w:r>
      <w:r w:rsidRPr="009C3F07">
        <w:rPr>
          <w:rFonts w:ascii="Times New Roman" w:eastAsiaTheme="minorHAnsi" w:hAnsi="Times New Roman" w:cs="Times New Roman"/>
          <w:sz w:val="22"/>
          <w:szCs w:val="22"/>
          <w:rtl/>
        </w:rPr>
        <w:t xml:space="preserve">يجب على الوالدين أن يقرروا في أي خطة يريدون الاستثمار </w:t>
      </w:r>
      <w:r w:rsidRPr="009C3F07">
        <w:rPr>
          <w:rFonts w:ascii="Times New Roman" w:eastAsiaTheme="minorHAnsi" w:hAnsi="Times New Roman" w:cs="Times New Roman"/>
          <w:sz w:val="22"/>
          <w:szCs w:val="22"/>
          <w:rtl/>
          <w:lang w:bidi="ar"/>
        </w:rPr>
        <w:t xml:space="preserve">- </w:t>
      </w:r>
      <w:r w:rsidRPr="009C3F07">
        <w:rPr>
          <w:rFonts w:ascii="Times New Roman" w:eastAsiaTheme="minorHAnsi" w:hAnsi="Times New Roman" w:cs="Times New Roman"/>
          <w:sz w:val="22"/>
          <w:szCs w:val="22"/>
          <w:rtl/>
        </w:rPr>
        <w:t xml:space="preserve">في وديعة في أحد البنوك، أو في مسار استثماري في أحد شركات الاستثمار، ويتم منحهم خيار استثمار </w:t>
      </w:r>
      <w:r w:rsidRPr="009C3F07">
        <w:rPr>
          <w:rFonts w:ascii="Times New Roman" w:eastAsiaTheme="minorHAnsi" w:hAnsi="Times New Roman" w:cs="Times New Roman"/>
          <w:sz w:val="22"/>
          <w:szCs w:val="22"/>
          <w:rtl/>
          <w:lang w:bidi="ar"/>
        </w:rPr>
        <w:t xml:space="preserve">50 </w:t>
      </w:r>
      <w:r w:rsidRPr="009C3F07">
        <w:rPr>
          <w:rFonts w:ascii="Times New Roman" w:eastAsiaTheme="minorHAnsi" w:hAnsi="Times New Roman" w:cs="Times New Roman"/>
          <w:sz w:val="22"/>
          <w:szCs w:val="22"/>
          <w:rtl/>
        </w:rPr>
        <w:t>شيكل إضافي في ادخار من مخصصات الأطفال</w:t>
      </w:r>
      <w:r w:rsidRPr="009C3F07">
        <w:rPr>
          <w:rFonts w:ascii="Times New Roman" w:eastAsiaTheme="minorHAnsi" w:hAnsi="Times New Roman" w:cs="Times New Roman"/>
          <w:sz w:val="22"/>
          <w:szCs w:val="22"/>
          <w:rtl/>
          <w:lang w:bidi="ar"/>
        </w:rPr>
        <w:t xml:space="preserve">. </w:t>
      </w:r>
      <w:r w:rsidRPr="009C3F07">
        <w:rPr>
          <w:rFonts w:ascii="Times New Roman" w:eastAsiaTheme="minorHAnsi" w:hAnsi="Times New Roman" w:cs="Times New Roman"/>
          <w:sz w:val="22"/>
          <w:szCs w:val="22"/>
          <w:rtl/>
        </w:rPr>
        <w:t>يوضح المقال كيف يمكن أن يؤدي هذان القراران إلى تفاقم الفجوات الاقتصادية في الجيل القادم</w:t>
      </w:r>
      <w:r w:rsidRPr="009C3F07">
        <w:rPr>
          <w:rFonts w:ascii="Times New Roman" w:eastAsiaTheme="minorHAnsi" w:hAnsi="Times New Roman" w:cs="Times New Roman"/>
          <w:sz w:val="22"/>
          <w:szCs w:val="22"/>
          <w:rtl/>
          <w:lang w:bidi="ar"/>
        </w:rPr>
        <w:t xml:space="preserve">. </w:t>
      </w:r>
      <w:r w:rsidRPr="009C3F07">
        <w:rPr>
          <w:rFonts w:ascii="Times New Roman" w:eastAsiaTheme="minorHAnsi" w:hAnsi="Times New Roman" w:cs="Times New Roman"/>
          <w:sz w:val="22"/>
          <w:szCs w:val="22"/>
          <w:rtl/>
        </w:rPr>
        <w:t>مع نضوج التوفير، يتأثر العائد من سوق رأس المال بقدرة الوالدين على اتخاذ القرار في بداية البرنامج</w:t>
      </w:r>
      <w:r w:rsidRPr="009C3F07">
        <w:rPr>
          <w:rFonts w:ascii="Times New Roman" w:eastAsiaTheme="minorHAnsi" w:hAnsi="Times New Roman" w:cs="Times New Roman"/>
          <w:sz w:val="22"/>
          <w:szCs w:val="22"/>
          <w:rtl/>
          <w:lang w:bidi="ar"/>
        </w:rPr>
        <w:t xml:space="preserve">. </w:t>
      </w:r>
      <w:r w:rsidRPr="009C3F07">
        <w:rPr>
          <w:rFonts w:ascii="Times New Roman" w:eastAsiaTheme="minorHAnsi" w:hAnsi="Times New Roman" w:cs="Times New Roman"/>
          <w:sz w:val="22"/>
          <w:szCs w:val="22"/>
          <w:rtl/>
        </w:rPr>
        <w:t>عند القيام بذلك، فإنه يميل إلى زيادة مدخرات الأطفال الذين يتمتع والديهم بمعرفة مالية عالية، والعكس صحيح، عندما يتعلق الأمر بالأطفال الآخرين</w:t>
      </w:r>
      <w:r w:rsidRPr="009C3F07">
        <w:rPr>
          <w:rFonts w:ascii="Times New Roman" w:eastAsiaTheme="minorHAnsi" w:hAnsi="Times New Roman" w:cs="Times New Roman"/>
          <w:sz w:val="22"/>
          <w:szCs w:val="22"/>
          <w:rtl/>
          <w:lang w:bidi="ar"/>
        </w:rPr>
        <w:t xml:space="preserve">. </w:t>
      </w:r>
      <w:r w:rsidRPr="009C3F07">
        <w:rPr>
          <w:rFonts w:ascii="Times New Roman" w:eastAsiaTheme="minorHAnsi" w:hAnsi="Times New Roman" w:cs="Times New Roman"/>
          <w:sz w:val="22"/>
          <w:szCs w:val="22"/>
          <w:rtl/>
        </w:rPr>
        <w:t>يحدد البحث أيضًا مشكلة في صياغة التقصير الحكومي للوالدين الذين يجدون صعوبة في اتخاذ قرار بشأن طريقة التوفير</w:t>
      </w:r>
      <w:r w:rsidRPr="009C3F07">
        <w:rPr>
          <w:rFonts w:ascii="Times New Roman" w:eastAsiaTheme="minorHAnsi" w:hAnsi="Times New Roman" w:cs="Times New Roman"/>
          <w:sz w:val="22"/>
          <w:szCs w:val="22"/>
          <w:rtl/>
          <w:lang w:bidi="ar"/>
        </w:rPr>
        <w:t xml:space="preserve">. </w:t>
      </w:r>
      <w:r w:rsidRPr="009C3F07">
        <w:rPr>
          <w:rFonts w:ascii="Times New Roman" w:eastAsiaTheme="minorHAnsi" w:hAnsi="Times New Roman" w:cs="Times New Roman"/>
          <w:sz w:val="22"/>
          <w:szCs w:val="22"/>
          <w:rtl/>
        </w:rPr>
        <w:t>يتمتع البرنامج بإمكانية كبيرة لتقليل التفاوتات الاقتصادية في المستقبل وتحويل عائدات سوق رأس المال إلى أدوات سياسية لصالح الضمان الاجتماعي ولتحسين قدرة الأطفال الإسرائيليين على الكسب في المستقبل، إذا استخدموا العائدات لتمويل القدرة على الكسب</w:t>
      </w:r>
      <w:r w:rsidRPr="009C3F07">
        <w:rPr>
          <w:rFonts w:ascii="Times New Roman" w:eastAsiaTheme="minorHAnsi" w:hAnsi="Times New Roman" w:cs="Times New Roman"/>
          <w:sz w:val="22"/>
          <w:szCs w:val="22"/>
          <w:rtl/>
          <w:lang w:bidi="ar"/>
        </w:rPr>
        <w:t xml:space="preserve">. </w:t>
      </w:r>
      <w:r w:rsidRPr="009C3F07">
        <w:rPr>
          <w:rFonts w:ascii="Times New Roman" w:eastAsiaTheme="minorHAnsi" w:hAnsi="Times New Roman" w:cs="Times New Roman"/>
          <w:sz w:val="22"/>
          <w:szCs w:val="22"/>
          <w:rtl/>
        </w:rPr>
        <w:t>ولكن للقيام بذلك، يجب إجراء تغيير في السياسة، كما هو موضح في المقالة</w:t>
      </w:r>
      <w:r w:rsidRPr="009C3F07">
        <w:rPr>
          <w:rFonts w:ascii="Times New Roman" w:eastAsiaTheme="minorHAnsi" w:hAnsi="Times New Roman" w:cs="Times New Roman"/>
          <w:sz w:val="22"/>
          <w:szCs w:val="22"/>
          <w:rtl/>
          <w:lang w:bidi="ar"/>
        </w:rPr>
        <w:t>.</w:t>
      </w:r>
    </w:p>
    <w:p w14:paraId="1870C232" w14:textId="38D6BFF2" w:rsidR="009376F3" w:rsidRDefault="009376F3" w:rsidP="009376F3">
      <w:pPr>
        <w:pStyle w:val="BodyText2"/>
        <w:rPr>
          <w:rFonts w:ascii="Times New Roman" w:eastAsiaTheme="minorHAnsi" w:hAnsi="Times New Roman" w:cs="Times New Roman"/>
          <w:sz w:val="22"/>
          <w:szCs w:val="22"/>
          <w:lang w:bidi="ar"/>
        </w:rPr>
      </w:pPr>
    </w:p>
    <w:p w14:paraId="218E8134" w14:textId="77777777" w:rsidR="009376F3" w:rsidRPr="009C3F07" w:rsidRDefault="009376F3" w:rsidP="009376F3">
      <w:pPr>
        <w:pStyle w:val="BodyText2"/>
        <w:rPr>
          <w:rFonts w:ascii="Times New Roman" w:hAnsi="Times New Roman" w:cs="Times New Roman"/>
          <w:sz w:val="22"/>
          <w:szCs w:val="22"/>
          <w:rtl/>
        </w:rPr>
      </w:pPr>
    </w:p>
    <w:p w14:paraId="08CE8AF5" w14:textId="77777777" w:rsidR="003146FE" w:rsidRPr="009376F3" w:rsidRDefault="003146FE" w:rsidP="009376F3">
      <w:pPr>
        <w:pStyle w:val="Heading1"/>
        <w:spacing w:line="440" w:lineRule="exact"/>
        <w:rPr>
          <w:rFonts w:cs="Times New Roman"/>
          <w:color w:val="00B0F0"/>
          <w:rtl/>
          <w:lang w:eastAsia="he-IL"/>
        </w:rPr>
      </w:pPr>
      <w:r w:rsidRPr="009376F3">
        <w:rPr>
          <w:rFonts w:cs="Times New Roman"/>
          <w:color w:val="00B0F0"/>
          <w:rtl/>
          <w:lang w:eastAsia="he-IL" w:bidi="ar-SA"/>
        </w:rPr>
        <w:t>إعادة</w:t>
      </w:r>
      <w:r w:rsidRPr="009376F3">
        <w:rPr>
          <w:rFonts w:cs="Times New Roman"/>
          <w:color w:val="00B0F0"/>
          <w:rtl/>
          <w:lang w:eastAsia="he-IL"/>
        </w:rPr>
        <w:t xml:space="preserve"> </w:t>
      </w:r>
      <w:r w:rsidRPr="009376F3">
        <w:rPr>
          <w:rFonts w:cs="Times New Roman"/>
          <w:color w:val="00B0F0"/>
          <w:rtl/>
          <w:lang w:eastAsia="he-IL" w:bidi="ar-SA"/>
        </w:rPr>
        <w:t>التوزيع</w:t>
      </w:r>
      <w:r w:rsidRPr="009376F3">
        <w:rPr>
          <w:rFonts w:cs="Times New Roman"/>
          <w:color w:val="00B0F0"/>
          <w:rtl/>
          <w:lang w:eastAsia="he-IL"/>
        </w:rPr>
        <w:t xml:space="preserve"> </w:t>
      </w:r>
      <w:r w:rsidRPr="009376F3">
        <w:rPr>
          <w:rFonts w:cs="Times New Roman"/>
          <w:color w:val="00B0F0"/>
          <w:rtl/>
          <w:lang w:eastAsia="he-IL" w:bidi="ar-SA"/>
        </w:rPr>
        <w:t>والسياسة</w:t>
      </w:r>
      <w:r w:rsidRPr="009376F3">
        <w:rPr>
          <w:rFonts w:cs="Times New Roman"/>
          <w:color w:val="00B0F0"/>
          <w:rtl/>
          <w:lang w:eastAsia="he-IL"/>
        </w:rPr>
        <w:t xml:space="preserve"> </w:t>
      </w:r>
      <w:r w:rsidRPr="009376F3">
        <w:rPr>
          <w:rFonts w:cs="Times New Roman"/>
          <w:color w:val="00B0F0"/>
          <w:rtl/>
          <w:lang w:eastAsia="he-IL" w:bidi="ar-SA"/>
        </w:rPr>
        <w:t>المالية (</w:t>
      </w:r>
      <w:proofErr w:type="spellStart"/>
      <w:r w:rsidRPr="009376F3">
        <w:rPr>
          <w:rFonts w:cs="Times New Roman"/>
          <w:color w:val="00B0F0"/>
          <w:rtl/>
          <w:lang w:eastAsia="he-IL" w:bidi="ar-SA"/>
        </w:rPr>
        <w:t>الأموَلَة</w:t>
      </w:r>
      <w:proofErr w:type="spellEnd"/>
      <w:r w:rsidRPr="009376F3">
        <w:rPr>
          <w:rFonts w:cs="Times New Roman"/>
          <w:color w:val="00B0F0"/>
          <w:rtl/>
          <w:lang w:eastAsia="he-IL" w:bidi="ar-SA"/>
        </w:rPr>
        <w:t>)</w:t>
      </w:r>
      <w:r w:rsidRPr="009376F3">
        <w:rPr>
          <w:rFonts w:cs="Times New Roman"/>
          <w:color w:val="00B0F0"/>
          <w:rtl/>
          <w:lang w:eastAsia="he-IL"/>
        </w:rPr>
        <w:t xml:space="preserve"> </w:t>
      </w:r>
      <w:r w:rsidRPr="009376F3">
        <w:rPr>
          <w:rFonts w:cs="Times New Roman"/>
          <w:color w:val="00B0F0"/>
          <w:rtl/>
          <w:lang w:eastAsia="he-IL" w:bidi="ar-SA"/>
        </w:rPr>
        <w:t>لسياسة</w:t>
      </w:r>
      <w:r w:rsidRPr="009376F3">
        <w:rPr>
          <w:rFonts w:cs="Times New Roman"/>
          <w:color w:val="00B0F0"/>
          <w:rtl/>
          <w:lang w:eastAsia="he-IL"/>
        </w:rPr>
        <w:t xml:space="preserve"> </w:t>
      </w:r>
      <w:r w:rsidRPr="009376F3">
        <w:rPr>
          <w:rFonts w:cs="Times New Roman"/>
          <w:color w:val="00B0F0"/>
          <w:rtl/>
          <w:lang w:eastAsia="he-IL" w:bidi="ar-SA"/>
        </w:rPr>
        <w:t>الرفاه</w:t>
      </w:r>
      <w:r w:rsidRPr="009376F3">
        <w:rPr>
          <w:rFonts w:cs="Times New Roman"/>
          <w:color w:val="00B0F0"/>
          <w:rtl/>
          <w:lang w:eastAsia="he-IL"/>
        </w:rPr>
        <w:t xml:space="preserve">: </w:t>
      </w:r>
      <w:r w:rsidRPr="009376F3">
        <w:rPr>
          <w:rFonts w:cs="Times New Roman"/>
          <w:color w:val="00B0F0"/>
          <w:rtl/>
          <w:lang w:eastAsia="he-IL" w:bidi="ar-SA"/>
        </w:rPr>
        <w:t>حالة</w:t>
      </w:r>
      <w:r w:rsidRPr="009376F3">
        <w:rPr>
          <w:rFonts w:cs="Times New Roman"/>
          <w:color w:val="00B0F0"/>
          <w:rtl/>
          <w:lang w:eastAsia="he-IL"/>
        </w:rPr>
        <w:t xml:space="preserve"> </w:t>
      </w:r>
      <w:r w:rsidRPr="009376F3">
        <w:rPr>
          <w:rFonts w:cs="Times New Roman"/>
          <w:color w:val="00B0F0"/>
          <w:rtl/>
          <w:lang w:eastAsia="he-IL" w:bidi="ar-SA"/>
        </w:rPr>
        <w:t>التوفير</w:t>
      </w:r>
      <w:r w:rsidRPr="009376F3">
        <w:rPr>
          <w:rFonts w:cs="Times New Roman"/>
          <w:color w:val="00B0F0"/>
          <w:rtl/>
          <w:lang w:eastAsia="he-IL"/>
        </w:rPr>
        <w:t xml:space="preserve"> </w:t>
      </w:r>
      <w:r w:rsidRPr="009376F3">
        <w:rPr>
          <w:rFonts w:cs="Times New Roman"/>
          <w:color w:val="00B0F0"/>
          <w:rtl/>
          <w:lang w:eastAsia="he-IL" w:bidi="ar-SA"/>
        </w:rPr>
        <w:t>لكل</w:t>
      </w:r>
      <w:r w:rsidRPr="009376F3">
        <w:rPr>
          <w:rFonts w:cs="Times New Roman"/>
          <w:color w:val="00B0F0"/>
          <w:rtl/>
          <w:lang w:eastAsia="he-IL"/>
        </w:rPr>
        <w:t xml:space="preserve"> </w:t>
      </w:r>
      <w:r w:rsidRPr="009376F3">
        <w:rPr>
          <w:rFonts w:cs="Times New Roman"/>
          <w:color w:val="00B0F0"/>
          <w:rtl/>
          <w:lang w:eastAsia="he-IL" w:bidi="ar-SA"/>
        </w:rPr>
        <w:t>طفل</w:t>
      </w:r>
    </w:p>
    <w:p w14:paraId="304240AE" w14:textId="157A79FB" w:rsidR="003146FE" w:rsidRPr="009376F3" w:rsidRDefault="003146FE" w:rsidP="009376F3">
      <w:pPr>
        <w:pStyle w:val="KOT5T"/>
        <w:spacing w:before="0" w:after="240" w:line="280" w:lineRule="exact"/>
        <w:ind w:right="0"/>
        <w:jc w:val="left"/>
        <w:rPr>
          <w:rFonts w:ascii="Times New Roman" w:hAnsi="Times New Roman" w:cs="Times New Roman"/>
          <w:b w:val="0"/>
          <w:bCs w:val="0"/>
          <w:color w:val="auto"/>
          <w:rtl/>
        </w:rPr>
      </w:pPr>
      <w:r w:rsidRPr="009376F3">
        <w:rPr>
          <w:rFonts w:ascii="Times New Roman" w:hAnsi="Times New Roman" w:cs="Times New Roman"/>
          <w:b w:val="0"/>
          <w:bCs w:val="0"/>
          <w:color w:val="auto"/>
          <w:rtl/>
          <w:lang w:bidi="ar-SA"/>
        </w:rPr>
        <w:t xml:space="preserve">رونين </w:t>
      </w:r>
      <w:proofErr w:type="spellStart"/>
      <w:r w:rsidRPr="009376F3">
        <w:rPr>
          <w:rFonts w:ascii="Times New Roman" w:hAnsi="Times New Roman" w:cs="Times New Roman"/>
          <w:b w:val="0"/>
          <w:bCs w:val="0"/>
          <w:color w:val="auto"/>
          <w:rtl/>
          <w:lang w:bidi="ar-SA"/>
        </w:rPr>
        <w:t>مندلكيرن</w:t>
      </w:r>
      <w:proofErr w:type="spellEnd"/>
      <w:r w:rsidR="009376F3" w:rsidRPr="009376F3">
        <w:rPr>
          <w:b w:val="0"/>
          <w:bCs w:val="0"/>
          <w:color w:val="auto"/>
          <w:vertAlign w:val="superscript"/>
          <w:rtl/>
        </w:rPr>
        <w:footnoteReference w:id="5"/>
      </w:r>
      <w:r w:rsidRPr="009376F3">
        <w:rPr>
          <w:rFonts w:ascii="Times New Roman" w:hAnsi="Times New Roman" w:cs="Times New Roman"/>
          <w:b w:val="0"/>
          <w:bCs w:val="0"/>
          <w:color w:val="auto"/>
          <w:rtl/>
        </w:rPr>
        <w:t xml:space="preserve"> </w:t>
      </w:r>
      <w:r w:rsidRPr="009376F3">
        <w:rPr>
          <w:rFonts w:ascii="Times New Roman" w:hAnsi="Times New Roman" w:cs="Times New Roman"/>
          <w:b w:val="0"/>
          <w:bCs w:val="0"/>
          <w:color w:val="auto"/>
          <w:rtl/>
          <w:lang w:bidi="ar-SA"/>
        </w:rPr>
        <w:t xml:space="preserve">وزئيف </w:t>
      </w:r>
      <w:proofErr w:type="spellStart"/>
      <w:r w:rsidRPr="009376F3">
        <w:rPr>
          <w:rFonts w:ascii="Times New Roman" w:hAnsi="Times New Roman" w:cs="Times New Roman"/>
          <w:b w:val="0"/>
          <w:bCs w:val="0"/>
          <w:color w:val="auto"/>
          <w:rtl/>
          <w:lang w:bidi="ar-SA"/>
        </w:rPr>
        <w:t>روزنهك</w:t>
      </w:r>
      <w:proofErr w:type="spellEnd"/>
      <w:r w:rsidR="009376F3" w:rsidRPr="009376F3">
        <w:rPr>
          <w:b w:val="0"/>
          <w:bCs w:val="0"/>
          <w:color w:val="auto"/>
          <w:vertAlign w:val="superscript"/>
          <w:rtl/>
        </w:rPr>
        <w:footnoteReference w:id="6"/>
      </w:r>
      <w:r w:rsidRPr="009376F3">
        <w:rPr>
          <w:rFonts w:ascii="Times New Roman" w:hAnsi="Times New Roman" w:cs="Times New Roman"/>
          <w:b w:val="0"/>
          <w:bCs w:val="0"/>
          <w:color w:val="auto"/>
          <w:rtl/>
        </w:rPr>
        <w:t xml:space="preserve"> </w:t>
      </w:r>
    </w:p>
    <w:p w14:paraId="3655FFF3" w14:textId="77777777" w:rsidR="009376F3" w:rsidRPr="004772F9" w:rsidRDefault="009376F3" w:rsidP="009376F3">
      <w:pPr>
        <w:pStyle w:val="BodyText2"/>
        <w:keepNext/>
        <w:keepLines/>
        <w:rPr>
          <w:rFonts w:cs="Times New Roman"/>
          <w:sz w:val="22"/>
          <w:szCs w:val="22"/>
          <w:rtl/>
        </w:rPr>
      </w:pPr>
    </w:p>
    <w:p w14:paraId="78B82D0C" w14:textId="1C48CDDE" w:rsidR="003146FE" w:rsidRDefault="003146FE" w:rsidP="009C3F07">
      <w:pPr>
        <w:spacing w:after="180" w:line="280" w:lineRule="exact"/>
        <w:jc w:val="both"/>
        <w:rPr>
          <w:rFonts w:cs="Times New Roman"/>
          <w:sz w:val="22"/>
          <w:szCs w:val="22"/>
        </w:rPr>
      </w:pPr>
      <w:r w:rsidRPr="009C3F07">
        <w:rPr>
          <w:rFonts w:cs="Times New Roman"/>
          <w:sz w:val="22"/>
          <w:szCs w:val="22"/>
          <w:rtl/>
          <w:lang w:bidi="ar-SA"/>
        </w:rPr>
        <w:t xml:space="preserve">إن تزايد وتعميق </w:t>
      </w:r>
      <w:proofErr w:type="spellStart"/>
      <w:r w:rsidRPr="009C3F07">
        <w:rPr>
          <w:rFonts w:cs="Times New Roman"/>
          <w:sz w:val="22"/>
          <w:szCs w:val="22"/>
          <w:rtl/>
          <w:lang w:bidi="ar-SA"/>
        </w:rPr>
        <w:t>الأموَلَة</w:t>
      </w:r>
      <w:proofErr w:type="spellEnd"/>
      <w:r w:rsidRPr="009C3F07">
        <w:rPr>
          <w:rFonts w:cs="Times New Roman"/>
          <w:sz w:val="22"/>
          <w:szCs w:val="22"/>
          <w:rtl/>
          <w:lang w:bidi="ar-SA"/>
        </w:rPr>
        <w:t xml:space="preserve"> في مجموعة متنوعة من مجالات النشاط الاقتصادي والاجتماعي هي إحدى الخصائص الأساسية للنظام الليبرالي الجديد</w:t>
      </w:r>
      <w:r w:rsidRPr="009C3F07">
        <w:rPr>
          <w:rFonts w:cs="Times New Roman"/>
          <w:sz w:val="22"/>
          <w:szCs w:val="22"/>
          <w:rtl/>
          <w:lang w:bidi="ar"/>
        </w:rPr>
        <w:t xml:space="preserve">. </w:t>
      </w:r>
      <w:r w:rsidRPr="009C3F07">
        <w:rPr>
          <w:rFonts w:cs="Times New Roman"/>
          <w:sz w:val="22"/>
          <w:szCs w:val="22"/>
          <w:rtl/>
          <w:lang w:bidi="ar-SA"/>
        </w:rPr>
        <w:t>هذه العملية جارية أيضًا في مجالات مختلفة من نشاط الدولة، بما في ذلك سياسة الرفاه الاجتماعي</w:t>
      </w:r>
      <w:r w:rsidRPr="009C3F07">
        <w:rPr>
          <w:rFonts w:cs="Times New Roman"/>
          <w:sz w:val="22"/>
          <w:szCs w:val="22"/>
          <w:rtl/>
          <w:lang w:bidi="ar"/>
        </w:rPr>
        <w:t xml:space="preserve">. </w:t>
      </w:r>
      <w:r w:rsidRPr="009C3F07">
        <w:rPr>
          <w:rFonts w:cs="Times New Roman"/>
          <w:sz w:val="22"/>
          <w:szCs w:val="22"/>
          <w:rtl/>
          <w:lang w:bidi="ar-SA"/>
        </w:rPr>
        <w:t xml:space="preserve">تؤسس </w:t>
      </w:r>
      <w:proofErr w:type="spellStart"/>
      <w:r w:rsidRPr="009C3F07">
        <w:rPr>
          <w:rFonts w:cs="Times New Roman"/>
          <w:sz w:val="22"/>
          <w:szCs w:val="22"/>
          <w:rtl/>
          <w:lang w:bidi="ar-SA"/>
        </w:rPr>
        <w:t>أموَلَة</w:t>
      </w:r>
      <w:proofErr w:type="spellEnd"/>
      <w:r w:rsidRPr="009C3F07">
        <w:rPr>
          <w:rFonts w:cs="Times New Roman"/>
          <w:sz w:val="22"/>
          <w:szCs w:val="22"/>
          <w:rtl/>
          <w:lang w:bidi="ar-SA"/>
        </w:rPr>
        <w:t xml:space="preserve"> دولة الرفاهية أنواعًا مختلفة من الروابط والواجهات بين السياسة الاجتماعية، الأسواق المالية، ومنطقها واللاعبين العاملين فيها</w:t>
      </w:r>
      <w:r w:rsidRPr="009C3F07">
        <w:rPr>
          <w:rFonts w:cs="Times New Roman"/>
          <w:sz w:val="22"/>
          <w:szCs w:val="22"/>
          <w:rtl/>
          <w:lang w:bidi="ar"/>
        </w:rPr>
        <w:t xml:space="preserve">. </w:t>
      </w:r>
      <w:r w:rsidRPr="009C3F07">
        <w:rPr>
          <w:rFonts w:cs="Times New Roman"/>
          <w:sz w:val="22"/>
          <w:szCs w:val="22"/>
          <w:rtl/>
          <w:lang w:bidi="ar-SA"/>
        </w:rPr>
        <w:t>بالنظر إلى التناقضات والتوترات المحتملة بين منطق دولة الرفاه ومنطق الأسواق المالية، تركز هذه المقالة على سؤالين رئيسيين</w:t>
      </w:r>
      <w:r w:rsidRPr="009C3F07">
        <w:rPr>
          <w:rFonts w:cs="Times New Roman"/>
          <w:sz w:val="22"/>
          <w:szCs w:val="22"/>
          <w:rtl/>
          <w:lang w:bidi="ar"/>
        </w:rPr>
        <w:t xml:space="preserve">: </w:t>
      </w:r>
      <w:r w:rsidRPr="009C3F07">
        <w:rPr>
          <w:rFonts w:cs="Times New Roman"/>
          <w:sz w:val="22"/>
          <w:szCs w:val="22"/>
          <w:rtl/>
          <w:lang w:bidi="ar-SA"/>
        </w:rPr>
        <w:t xml:space="preserve">أولاً، ما هي أنظمة القوة السياسية التي قد تعزز أو تدعم تمويل برامج الرفاه؟ ثانيًا، ما هي التداعيات السياسية </w:t>
      </w:r>
      <w:proofErr w:type="spellStart"/>
      <w:r w:rsidRPr="009C3F07">
        <w:rPr>
          <w:rFonts w:cs="Times New Roman"/>
          <w:sz w:val="22"/>
          <w:szCs w:val="22"/>
          <w:rtl/>
          <w:lang w:bidi="ar-SA"/>
        </w:rPr>
        <w:t>للأموَلَة</w:t>
      </w:r>
      <w:proofErr w:type="spellEnd"/>
      <w:r w:rsidRPr="009C3F07">
        <w:rPr>
          <w:rFonts w:cs="Times New Roman"/>
          <w:sz w:val="22"/>
          <w:szCs w:val="22"/>
          <w:rtl/>
          <w:lang w:bidi="ar-SA"/>
        </w:rPr>
        <w:t xml:space="preserve">، سواء من حيث السياسة الاجتماعية أو من حيث الأسواق المالية واللاعبين العاملين فيها؟ يُظهر تحليل حالة برنامج التوفير لكل طفل، في سياق السؤال الأول، أنه في حالة الصراع بين مطالب إعادة التوزيع والمعارضة القوية لتأثيرات التفكيك </w:t>
      </w:r>
      <w:r w:rsidRPr="009C3F07">
        <w:rPr>
          <w:rFonts w:cs="Times New Roman"/>
          <w:sz w:val="22"/>
          <w:szCs w:val="22"/>
          <w:rtl/>
          <w:lang w:bidi="ar"/>
        </w:rPr>
        <w:t>(</w:t>
      </w:r>
      <w:r w:rsidRPr="009C3F07">
        <w:rPr>
          <w:rFonts w:cs="Times New Roman"/>
          <w:sz w:val="22"/>
          <w:szCs w:val="22"/>
          <w:lang w:bidi="ar"/>
        </w:rPr>
        <w:t>decommodification</w:t>
      </w:r>
      <w:r w:rsidRPr="009C3F07">
        <w:rPr>
          <w:rFonts w:cs="Times New Roman"/>
          <w:sz w:val="22"/>
          <w:szCs w:val="22"/>
          <w:rtl/>
          <w:lang w:bidi="ar"/>
        </w:rPr>
        <w:t xml:space="preserve">) </w:t>
      </w:r>
      <w:r w:rsidRPr="009C3F07">
        <w:rPr>
          <w:rFonts w:cs="Times New Roman"/>
          <w:sz w:val="22"/>
          <w:szCs w:val="22"/>
          <w:rtl/>
          <w:lang w:bidi="ar-SA"/>
        </w:rPr>
        <w:t xml:space="preserve">التي تحدثها المخصصات العالمية، قد تعمل </w:t>
      </w:r>
      <w:proofErr w:type="spellStart"/>
      <w:r w:rsidRPr="009C3F07">
        <w:rPr>
          <w:rFonts w:cs="Times New Roman"/>
          <w:sz w:val="22"/>
          <w:szCs w:val="22"/>
          <w:rtl/>
          <w:lang w:bidi="ar-SA"/>
        </w:rPr>
        <w:t>الأموَلَة</w:t>
      </w:r>
      <w:proofErr w:type="spellEnd"/>
      <w:r w:rsidRPr="009C3F07">
        <w:rPr>
          <w:rFonts w:cs="Times New Roman"/>
          <w:sz w:val="22"/>
          <w:szCs w:val="22"/>
          <w:rtl/>
          <w:lang w:bidi="ar-SA"/>
        </w:rPr>
        <w:t xml:space="preserve"> كحل للتشابك </w:t>
      </w:r>
      <w:r w:rsidRPr="009C3F07">
        <w:rPr>
          <w:rFonts w:cs="Times New Roman"/>
          <w:sz w:val="22"/>
          <w:szCs w:val="22"/>
          <w:rtl/>
          <w:lang w:bidi="ar-SA"/>
        </w:rPr>
        <w:lastRenderedPageBreak/>
        <w:t>السياسي</w:t>
      </w:r>
      <w:r w:rsidRPr="009C3F07">
        <w:rPr>
          <w:rFonts w:cs="Times New Roman"/>
          <w:sz w:val="22"/>
          <w:szCs w:val="22"/>
          <w:rtl/>
          <w:lang w:bidi="ar"/>
        </w:rPr>
        <w:t xml:space="preserve">: </w:t>
      </w:r>
      <w:r w:rsidRPr="009C3F07">
        <w:rPr>
          <w:rFonts w:cs="Times New Roman"/>
          <w:sz w:val="22"/>
          <w:szCs w:val="22"/>
          <w:rtl/>
          <w:lang w:bidi="ar-SA"/>
        </w:rPr>
        <w:t>الاستجابة لمطالب إعادة التوزيع مع إخضاعها لمبادئ التداول الخاصة بالاستثمار الاجتماعي</w:t>
      </w:r>
      <w:r w:rsidRPr="009C3F07">
        <w:rPr>
          <w:rFonts w:cs="Times New Roman"/>
          <w:sz w:val="22"/>
          <w:szCs w:val="22"/>
          <w:lang w:bidi="ar"/>
        </w:rPr>
        <w:t>.</w:t>
      </w:r>
      <w:r w:rsidRPr="009C3F07">
        <w:rPr>
          <w:rFonts w:cs="Times New Roman"/>
          <w:sz w:val="22"/>
          <w:szCs w:val="22"/>
          <w:rtl/>
          <w:lang w:bidi="ar"/>
        </w:rPr>
        <w:t xml:space="preserve"> </w:t>
      </w:r>
      <w:r w:rsidRPr="009C3F07">
        <w:rPr>
          <w:rFonts w:cs="Times New Roman"/>
          <w:sz w:val="22"/>
          <w:szCs w:val="22"/>
          <w:rtl/>
          <w:lang w:bidi="ar-SA"/>
        </w:rPr>
        <w:t>في سياق السؤال الثاني، يُظهر تحليل الحالة أنه عندما تصبح الأدوات المالية جزءًا من آلية الدفعات بالتحويل، يصبح اللاعبون والمصالح والاعتبارات الجديدة المتعلقة بهيكل وأداء النظام المالي عوامل مهمة في عملية تحديد السياسات وتنفيذها في مجال السياسة الاجتماعية</w:t>
      </w:r>
      <w:r w:rsidRPr="009C3F07">
        <w:rPr>
          <w:rFonts w:cs="Times New Roman"/>
          <w:sz w:val="22"/>
          <w:szCs w:val="22"/>
          <w:rtl/>
          <w:lang w:bidi="ar"/>
        </w:rPr>
        <w:t xml:space="preserve">. </w:t>
      </w:r>
      <w:r w:rsidRPr="009C3F07">
        <w:rPr>
          <w:rFonts w:cs="Times New Roman"/>
          <w:sz w:val="22"/>
          <w:szCs w:val="22"/>
          <w:rtl/>
          <w:lang w:bidi="ar-SA"/>
        </w:rPr>
        <w:t>تعكس هذه العملية تغييراً هاماً في سياسات دولة الرفاه</w:t>
      </w:r>
      <w:r w:rsidRPr="009C3F07">
        <w:rPr>
          <w:rFonts w:cs="Times New Roman"/>
          <w:sz w:val="22"/>
          <w:szCs w:val="22"/>
        </w:rPr>
        <w:t>.</w:t>
      </w:r>
    </w:p>
    <w:p w14:paraId="300E8728" w14:textId="3863C447" w:rsidR="009376F3" w:rsidRDefault="009376F3" w:rsidP="009C3F07">
      <w:pPr>
        <w:spacing w:after="180" w:line="280" w:lineRule="exact"/>
        <w:jc w:val="both"/>
        <w:rPr>
          <w:rFonts w:cs="Times New Roman"/>
          <w:sz w:val="22"/>
          <w:szCs w:val="22"/>
        </w:rPr>
      </w:pPr>
    </w:p>
    <w:p w14:paraId="666D9ADA" w14:textId="77777777" w:rsidR="009376F3" w:rsidRPr="009C3F07" w:rsidRDefault="009376F3" w:rsidP="009C3F07">
      <w:pPr>
        <w:spacing w:after="180" w:line="280" w:lineRule="exact"/>
        <w:jc w:val="both"/>
        <w:rPr>
          <w:rFonts w:cs="Times New Roman"/>
          <w:b/>
          <w:bCs/>
          <w:sz w:val="22"/>
          <w:szCs w:val="22"/>
          <w:rtl/>
        </w:rPr>
      </w:pPr>
    </w:p>
    <w:p w14:paraId="7565853A" w14:textId="77777777" w:rsidR="003146FE" w:rsidRPr="009376F3" w:rsidRDefault="003146FE" w:rsidP="009376F3">
      <w:pPr>
        <w:pStyle w:val="Heading1"/>
        <w:spacing w:line="440" w:lineRule="exact"/>
        <w:rPr>
          <w:rFonts w:cs="Times New Roman"/>
          <w:color w:val="00B0F0"/>
          <w:rtl/>
          <w:lang w:eastAsia="he-IL"/>
        </w:rPr>
      </w:pPr>
      <w:r w:rsidRPr="009376F3">
        <w:rPr>
          <w:rFonts w:cs="Times New Roman"/>
          <w:color w:val="00B0F0"/>
          <w:rtl/>
          <w:lang w:eastAsia="he-IL" w:bidi="ar-SA"/>
        </w:rPr>
        <w:t xml:space="preserve">حياتنا كمدخرين: المفارقة في مضمون خطط بناء العقارات </w:t>
      </w:r>
    </w:p>
    <w:p w14:paraId="057E253F" w14:textId="295FFC53" w:rsidR="003146FE" w:rsidRPr="009376F3" w:rsidRDefault="003146FE" w:rsidP="009376F3">
      <w:pPr>
        <w:pStyle w:val="KOT5T"/>
        <w:spacing w:before="0" w:after="240" w:line="280" w:lineRule="exact"/>
        <w:ind w:right="0"/>
        <w:jc w:val="left"/>
        <w:rPr>
          <w:rFonts w:ascii="Times New Roman" w:hAnsi="Times New Roman" w:cs="Times New Roman"/>
          <w:b w:val="0"/>
          <w:bCs w:val="0"/>
          <w:color w:val="auto"/>
          <w:rtl/>
        </w:rPr>
      </w:pPr>
      <w:r w:rsidRPr="009376F3">
        <w:rPr>
          <w:rFonts w:ascii="Times New Roman" w:hAnsi="Times New Roman" w:cs="Times New Roman"/>
          <w:b w:val="0"/>
          <w:bCs w:val="0"/>
          <w:color w:val="auto"/>
          <w:rtl/>
          <w:lang w:bidi="ar-SA"/>
        </w:rPr>
        <w:t>غاي فلدمان</w:t>
      </w:r>
      <w:r w:rsidR="009376F3" w:rsidRPr="009376F3">
        <w:rPr>
          <w:b w:val="0"/>
          <w:bCs w:val="0"/>
          <w:color w:val="auto"/>
          <w:vertAlign w:val="superscript"/>
          <w:rtl/>
        </w:rPr>
        <w:footnoteReference w:id="7"/>
      </w:r>
    </w:p>
    <w:p w14:paraId="219151FB" w14:textId="77777777" w:rsidR="009376F3" w:rsidRPr="004772F9" w:rsidRDefault="009376F3" w:rsidP="009376F3">
      <w:pPr>
        <w:pStyle w:val="BodyText2"/>
        <w:keepNext/>
        <w:keepLines/>
        <w:rPr>
          <w:rFonts w:cs="Times New Roman"/>
          <w:sz w:val="22"/>
          <w:szCs w:val="22"/>
          <w:rtl/>
        </w:rPr>
      </w:pPr>
    </w:p>
    <w:p w14:paraId="53679630" w14:textId="5F02BD95" w:rsidR="003146FE" w:rsidRDefault="003146FE" w:rsidP="009C3F07">
      <w:pPr>
        <w:spacing w:after="180" w:line="280" w:lineRule="exact"/>
        <w:jc w:val="both"/>
        <w:rPr>
          <w:rFonts w:cs="Times New Roman"/>
          <w:sz w:val="22"/>
          <w:szCs w:val="22"/>
          <w:lang w:bidi="ar-SA"/>
        </w:rPr>
      </w:pPr>
      <w:r w:rsidRPr="009C3F07">
        <w:rPr>
          <w:rFonts w:cs="Times New Roman"/>
          <w:sz w:val="22"/>
          <w:szCs w:val="22"/>
          <w:rtl/>
          <w:lang w:bidi="ar-SA"/>
        </w:rPr>
        <w:t>في</w:t>
      </w:r>
      <w:r w:rsidRPr="009C3F07">
        <w:rPr>
          <w:rFonts w:cs="Times New Roman"/>
          <w:sz w:val="22"/>
          <w:szCs w:val="22"/>
          <w:rtl/>
        </w:rPr>
        <w:t xml:space="preserve"> </w:t>
      </w:r>
      <w:r w:rsidRPr="009C3F07">
        <w:rPr>
          <w:rFonts w:cs="Times New Roman"/>
          <w:sz w:val="22"/>
          <w:szCs w:val="22"/>
          <w:rtl/>
          <w:lang w:bidi="ar-SA"/>
        </w:rPr>
        <w:t>العقود</w:t>
      </w:r>
      <w:r w:rsidRPr="009C3F07">
        <w:rPr>
          <w:rFonts w:cs="Times New Roman"/>
          <w:sz w:val="22"/>
          <w:szCs w:val="22"/>
          <w:rtl/>
        </w:rPr>
        <w:t xml:space="preserve"> </w:t>
      </w:r>
      <w:r w:rsidRPr="009C3F07">
        <w:rPr>
          <w:rFonts w:cs="Times New Roman"/>
          <w:sz w:val="22"/>
          <w:szCs w:val="22"/>
          <w:rtl/>
          <w:lang w:bidi="ar-SA"/>
        </w:rPr>
        <w:t>الأخيرة،</w:t>
      </w:r>
      <w:r w:rsidRPr="009C3F07">
        <w:rPr>
          <w:rFonts w:cs="Times New Roman"/>
          <w:sz w:val="22"/>
          <w:szCs w:val="22"/>
          <w:rtl/>
        </w:rPr>
        <w:t xml:space="preserve"> </w:t>
      </w:r>
      <w:r w:rsidRPr="009C3F07">
        <w:rPr>
          <w:rFonts w:cs="Times New Roman"/>
          <w:sz w:val="22"/>
          <w:szCs w:val="22"/>
          <w:rtl/>
          <w:lang w:bidi="ar-SA"/>
        </w:rPr>
        <w:t>حدثت</w:t>
      </w:r>
      <w:r w:rsidRPr="009C3F07">
        <w:rPr>
          <w:rFonts w:cs="Times New Roman"/>
          <w:sz w:val="22"/>
          <w:szCs w:val="22"/>
          <w:rtl/>
        </w:rPr>
        <w:t xml:space="preserve"> </w:t>
      </w:r>
      <w:r w:rsidRPr="009C3F07">
        <w:rPr>
          <w:rFonts w:cs="Times New Roman"/>
          <w:sz w:val="22"/>
          <w:szCs w:val="22"/>
          <w:rtl/>
          <w:lang w:bidi="ar-SA"/>
        </w:rPr>
        <w:t>العديد</w:t>
      </w:r>
      <w:r w:rsidRPr="009C3F07">
        <w:rPr>
          <w:rFonts w:cs="Times New Roman"/>
          <w:sz w:val="22"/>
          <w:szCs w:val="22"/>
          <w:rtl/>
        </w:rPr>
        <w:t xml:space="preserve"> </w:t>
      </w:r>
      <w:r w:rsidRPr="009C3F07">
        <w:rPr>
          <w:rFonts w:cs="Times New Roman"/>
          <w:sz w:val="22"/>
          <w:szCs w:val="22"/>
          <w:rtl/>
          <w:lang w:bidi="ar-SA"/>
        </w:rPr>
        <w:t>من</w:t>
      </w:r>
      <w:r w:rsidRPr="009C3F07">
        <w:rPr>
          <w:rFonts w:cs="Times New Roman"/>
          <w:sz w:val="22"/>
          <w:szCs w:val="22"/>
          <w:rtl/>
        </w:rPr>
        <w:t xml:space="preserve"> </w:t>
      </w:r>
      <w:r w:rsidRPr="009C3F07">
        <w:rPr>
          <w:rFonts w:cs="Times New Roman"/>
          <w:sz w:val="22"/>
          <w:szCs w:val="22"/>
          <w:rtl/>
          <w:lang w:bidi="ar-SA"/>
        </w:rPr>
        <w:t>التغييرات</w:t>
      </w:r>
      <w:r w:rsidRPr="009C3F07">
        <w:rPr>
          <w:rFonts w:cs="Times New Roman"/>
          <w:sz w:val="22"/>
          <w:szCs w:val="22"/>
          <w:rtl/>
        </w:rPr>
        <w:t xml:space="preserve"> </w:t>
      </w:r>
      <w:r w:rsidRPr="009C3F07">
        <w:rPr>
          <w:rFonts w:cs="Times New Roman"/>
          <w:sz w:val="22"/>
          <w:szCs w:val="22"/>
          <w:rtl/>
          <w:lang w:bidi="ar-SA"/>
        </w:rPr>
        <w:t>المهمة</w:t>
      </w:r>
      <w:r w:rsidRPr="009C3F07">
        <w:rPr>
          <w:rFonts w:cs="Times New Roman"/>
          <w:sz w:val="22"/>
          <w:szCs w:val="22"/>
          <w:rtl/>
        </w:rPr>
        <w:t xml:space="preserve"> </w:t>
      </w:r>
      <w:r w:rsidRPr="009C3F07">
        <w:rPr>
          <w:rFonts w:cs="Times New Roman"/>
          <w:sz w:val="22"/>
          <w:szCs w:val="22"/>
          <w:rtl/>
          <w:lang w:bidi="ar-SA"/>
        </w:rPr>
        <w:t>في</w:t>
      </w:r>
      <w:r w:rsidRPr="009C3F07">
        <w:rPr>
          <w:rFonts w:cs="Times New Roman"/>
          <w:sz w:val="22"/>
          <w:szCs w:val="22"/>
          <w:rtl/>
        </w:rPr>
        <w:t xml:space="preserve"> </w:t>
      </w:r>
      <w:r w:rsidRPr="009C3F07">
        <w:rPr>
          <w:rFonts w:cs="Times New Roman"/>
          <w:sz w:val="22"/>
          <w:szCs w:val="22"/>
          <w:rtl/>
          <w:lang w:bidi="ar-SA"/>
        </w:rPr>
        <w:t>دولة</w:t>
      </w:r>
      <w:r w:rsidRPr="009C3F07">
        <w:rPr>
          <w:rFonts w:cs="Times New Roman"/>
          <w:sz w:val="22"/>
          <w:szCs w:val="22"/>
          <w:rtl/>
        </w:rPr>
        <w:t xml:space="preserve"> </w:t>
      </w:r>
      <w:r w:rsidRPr="009C3F07">
        <w:rPr>
          <w:rFonts w:cs="Times New Roman"/>
          <w:sz w:val="22"/>
          <w:szCs w:val="22"/>
          <w:rtl/>
          <w:lang w:bidi="ar-SA"/>
        </w:rPr>
        <w:t>الرفاه؛</w:t>
      </w:r>
      <w:r w:rsidRPr="009C3F07">
        <w:rPr>
          <w:rFonts w:cs="Times New Roman"/>
          <w:sz w:val="22"/>
          <w:szCs w:val="22"/>
          <w:rtl/>
        </w:rPr>
        <w:t xml:space="preserve"> </w:t>
      </w:r>
      <w:r w:rsidRPr="009C3F07">
        <w:rPr>
          <w:rFonts w:cs="Times New Roman"/>
          <w:sz w:val="22"/>
          <w:szCs w:val="22"/>
          <w:rtl/>
          <w:lang w:bidi="ar-SA"/>
        </w:rPr>
        <w:t>من</w:t>
      </w:r>
      <w:r w:rsidRPr="009C3F07">
        <w:rPr>
          <w:rFonts w:cs="Times New Roman"/>
          <w:sz w:val="22"/>
          <w:szCs w:val="22"/>
          <w:rtl/>
        </w:rPr>
        <w:t xml:space="preserve"> </w:t>
      </w:r>
      <w:r w:rsidRPr="009C3F07">
        <w:rPr>
          <w:rFonts w:cs="Times New Roman"/>
          <w:sz w:val="22"/>
          <w:szCs w:val="22"/>
          <w:rtl/>
          <w:lang w:bidi="ar-SA"/>
        </w:rPr>
        <w:t>أهمها</w:t>
      </w:r>
      <w:r w:rsidRPr="009C3F07">
        <w:rPr>
          <w:rFonts w:cs="Times New Roman"/>
          <w:sz w:val="22"/>
          <w:szCs w:val="22"/>
          <w:rtl/>
        </w:rPr>
        <w:t xml:space="preserve"> </w:t>
      </w:r>
      <w:r w:rsidRPr="009C3F07">
        <w:rPr>
          <w:rFonts w:cs="Times New Roman"/>
          <w:sz w:val="22"/>
          <w:szCs w:val="22"/>
          <w:rtl/>
          <w:lang w:bidi="ar-SA"/>
        </w:rPr>
        <w:t>التركيز</w:t>
      </w:r>
      <w:r w:rsidRPr="009C3F07">
        <w:rPr>
          <w:rFonts w:cs="Times New Roman"/>
          <w:sz w:val="22"/>
          <w:szCs w:val="22"/>
          <w:rtl/>
        </w:rPr>
        <w:t xml:space="preserve"> </w:t>
      </w:r>
      <w:r w:rsidRPr="009C3F07">
        <w:rPr>
          <w:rFonts w:cs="Times New Roman"/>
          <w:sz w:val="22"/>
          <w:szCs w:val="22"/>
          <w:rtl/>
          <w:lang w:bidi="ar-SA"/>
        </w:rPr>
        <w:t>الكبير</w:t>
      </w:r>
      <w:r w:rsidRPr="009C3F07">
        <w:rPr>
          <w:rFonts w:cs="Times New Roman"/>
          <w:sz w:val="22"/>
          <w:szCs w:val="22"/>
          <w:rtl/>
        </w:rPr>
        <w:t xml:space="preserve"> </w:t>
      </w:r>
      <w:r w:rsidRPr="009C3F07">
        <w:rPr>
          <w:rFonts w:cs="Times New Roman"/>
          <w:sz w:val="22"/>
          <w:szCs w:val="22"/>
          <w:rtl/>
          <w:lang w:bidi="ar-SA"/>
        </w:rPr>
        <w:t>على</w:t>
      </w:r>
      <w:r w:rsidRPr="009C3F07">
        <w:rPr>
          <w:rFonts w:cs="Times New Roman"/>
          <w:sz w:val="22"/>
          <w:szCs w:val="22"/>
          <w:rtl/>
        </w:rPr>
        <w:t xml:space="preserve"> </w:t>
      </w:r>
      <w:r w:rsidRPr="009C3F07">
        <w:rPr>
          <w:rFonts w:cs="Times New Roman"/>
          <w:sz w:val="22"/>
          <w:szCs w:val="22"/>
          <w:rtl/>
          <w:lang w:bidi="ar-SA"/>
        </w:rPr>
        <w:t>نهج</w:t>
      </w:r>
      <w:r w:rsidRPr="009C3F07">
        <w:rPr>
          <w:rFonts w:cs="Times New Roman"/>
          <w:sz w:val="22"/>
          <w:szCs w:val="22"/>
          <w:rtl/>
        </w:rPr>
        <w:t xml:space="preserve"> </w:t>
      </w:r>
      <w:r w:rsidRPr="009C3F07">
        <w:rPr>
          <w:rFonts w:cs="Times New Roman"/>
          <w:sz w:val="22"/>
          <w:szCs w:val="22"/>
          <w:rtl/>
          <w:lang w:bidi="ar-SA"/>
        </w:rPr>
        <w:t>الاستثمار</w:t>
      </w:r>
      <w:r w:rsidRPr="009C3F07">
        <w:rPr>
          <w:rFonts w:cs="Times New Roman"/>
          <w:sz w:val="22"/>
          <w:szCs w:val="22"/>
          <w:rtl/>
        </w:rPr>
        <w:t xml:space="preserve"> </w:t>
      </w:r>
      <w:r w:rsidRPr="009C3F07">
        <w:rPr>
          <w:rFonts w:cs="Times New Roman"/>
          <w:sz w:val="22"/>
          <w:szCs w:val="22"/>
          <w:rtl/>
          <w:lang w:bidi="ar-SA"/>
        </w:rPr>
        <w:t>الاجتماعي. يهدف</w:t>
      </w:r>
      <w:r w:rsidRPr="009C3F07">
        <w:rPr>
          <w:rFonts w:cs="Times New Roman"/>
          <w:sz w:val="22"/>
          <w:szCs w:val="22"/>
          <w:rtl/>
        </w:rPr>
        <w:t xml:space="preserve"> </w:t>
      </w:r>
      <w:r w:rsidRPr="009C3F07">
        <w:rPr>
          <w:rFonts w:cs="Times New Roman"/>
          <w:sz w:val="22"/>
          <w:szCs w:val="22"/>
          <w:rtl/>
          <w:lang w:bidi="ar-SA"/>
        </w:rPr>
        <w:t>هذا</w:t>
      </w:r>
      <w:r w:rsidRPr="009C3F07">
        <w:rPr>
          <w:rFonts w:cs="Times New Roman"/>
          <w:sz w:val="22"/>
          <w:szCs w:val="22"/>
          <w:rtl/>
        </w:rPr>
        <w:t xml:space="preserve"> </w:t>
      </w:r>
      <w:r w:rsidRPr="009C3F07">
        <w:rPr>
          <w:rFonts w:cs="Times New Roman"/>
          <w:sz w:val="22"/>
          <w:szCs w:val="22"/>
          <w:rtl/>
          <w:lang w:bidi="ar-SA"/>
        </w:rPr>
        <w:t>النهج</w:t>
      </w:r>
      <w:r w:rsidRPr="009C3F07">
        <w:rPr>
          <w:rFonts w:cs="Times New Roman"/>
          <w:sz w:val="22"/>
          <w:szCs w:val="22"/>
          <w:rtl/>
        </w:rPr>
        <w:t xml:space="preserve"> </w:t>
      </w:r>
      <w:r w:rsidRPr="009C3F07">
        <w:rPr>
          <w:rFonts w:cs="Times New Roman"/>
          <w:sz w:val="22"/>
          <w:szCs w:val="22"/>
          <w:rtl/>
          <w:lang w:bidi="ar-SA"/>
        </w:rPr>
        <w:t>إلى</w:t>
      </w:r>
      <w:r w:rsidRPr="009C3F07">
        <w:rPr>
          <w:rFonts w:cs="Times New Roman"/>
          <w:sz w:val="22"/>
          <w:szCs w:val="22"/>
          <w:rtl/>
        </w:rPr>
        <w:t xml:space="preserve"> </w:t>
      </w:r>
      <w:r w:rsidRPr="009C3F07">
        <w:rPr>
          <w:rFonts w:cs="Times New Roman"/>
          <w:sz w:val="22"/>
          <w:szCs w:val="22"/>
          <w:rtl/>
          <w:lang w:bidi="ar-SA"/>
        </w:rPr>
        <w:t>تنمية</w:t>
      </w:r>
      <w:r w:rsidRPr="009C3F07">
        <w:rPr>
          <w:rFonts w:cs="Times New Roman"/>
          <w:sz w:val="22"/>
          <w:szCs w:val="22"/>
          <w:rtl/>
        </w:rPr>
        <w:t xml:space="preserve"> </w:t>
      </w:r>
      <w:r w:rsidRPr="009C3F07">
        <w:rPr>
          <w:rFonts w:cs="Times New Roman"/>
          <w:sz w:val="22"/>
          <w:szCs w:val="22"/>
          <w:rtl/>
          <w:lang w:bidi="ar-SA"/>
        </w:rPr>
        <w:t>رأس</w:t>
      </w:r>
      <w:r w:rsidRPr="009C3F07">
        <w:rPr>
          <w:rFonts w:cs="Times New Roman"/>
          <w:sz w:val="22"/>
          <w:szCs w:val="22"/>
          <w:rtl/>
        </w:rPr>
        <w:t xml:space="preserve"> </w:t>
      </w:r>
      <w:r w:rsidRPr="009C3F07">
        <w:rPr>
          <w:rFonts w:cs="Times New Roman"/>
          <w:sz w:val="22"/>
          <w:szCs w:val="22"/>
          <w:rtl/>
          <w:lang w:bidi="ar-SA"/>
        </w:rPr>
        <w:t>المال</w:t>
      </w:r>
      <w:r w:rsidRPr="009C3F07">
        <w:rPr>
          <w:rFonts w:cs="Times New Roman"/>
          <w:sz w:val="22"/>
          <w:szCs w:val="22"/>
          <w:rtl/>
        </w:rPr>
        <w:t xml:space="preserve"> </w:t>
      </w:r>
      <w:r w:rsidRPr="009C3F07">
        <w:rPr>
          <w:rFonts w:cs="Times New Roman"/>
          <w:sz w:val="22"/>
          <w:szCs w:val="22"/>
          <w:rtl/>
          <w:lang w:bidi="ar-SA"/>
        </w:rPr>
        <w:t>البشري</w:t>
      </w:r>
      <w:r w:rsidRPr="009C3F07">
        <w:rPr>
          <w:rFonts w:cs="Times New Roman"/>
          <w:sz w:val="22"/>
          <w:szCs w:val="22"/>
          <w:rtl/>
        </w:rPr>
        <w:t xml:space="preserve"> </w:t>
      </w:r>
      <w:r w:rsidRPr="009C3F07">
        <w:rPr>
          <w:rFonts w:cs="Times New Roman"/>
          <w:sz w:val="22"/>
          <w:szCs w:val="22"/>
          <w:rtl/>
          <w:lang w:bidi="ar-SA"/>
        </w:rPr>
        <w:t>للسكان</w:t>
      </w:r>
      <w:r w:rsidRPr="009C3F07">
        <w:rPr>
          <w:rFonts w:cs="Times New Roman"/>
          <w:sz w:val="22"/>
          <w:szCs w:val="22"/>
          <w:rtl/>
        </w:rPr>
        <w:t xml:space="preserve"> </w:t>
      </w:r>
      <w:r w:rsidRPr="009C3F07">
        <w:rPr>
          <w:rFonts w:cs="Times New Roman"/>
          <w:sz w:val="22"/>
          <w:szCs w:val="22"/>
          <w:rtl/>
          <w:lang w:bidi="ar-SA"/>
        </w:rPr>
        <w:t>الذين</w:t>
      </w:r>
      <w:r w:rsidRPr="009C3F07">
        <w:rPr>
          <w:rFonts w:cs="Times New Roman"/>
          <w:sz w:val="22"/>
          <w:szCs w:val="22"/>
          <w:rtl/>
        </w:rPr>
        <w:t xml:space="preserve"> </w:t>
      </w:r>
      <w:r w:rsidRPr="009C3F07">
        <w:rPr>
          <w:rFonts w:cs="Times New Roman"/>
          <w:sz w:val="22"/>
          <w:szCs w:val="22"/>
          <w:rtl/>
          <w:lang w:bidi="ar-SA"/>
        </w:rPr>
        <w:t>يعيشون</w:t>
      </w:r>
      <w:r w:rsidRPr="009C3F07">
        <w:rPr>
          <w:rFonts w:cs="Times New Roman"/>
          <w:sz w:val="22"/>
          <w:szCs w:val="22"/>
          <w:rtl/>
        </w:rPr>
        <w:t xml:space="preserve"> </w:t>
      </w:r>
      <w:r w:rsidRPr="009C3F07">
        <w:rPr>
          <w:rFonts w:cs="Times New Roman"/>
          <w:sz w:val="22"/>
          <w:szCs w:val="22"/>
          <w:rtl/>
          <w:lang w:bidi="ar-SA"/>
        </w:rPr>
        <w:t>في</w:t>
      </w:r>
      <w:r w:rsidRPr="009C3F07">
        <w:rPr>
          <w:rFonts w:cs="Times New Roman"/>
          <w:sz w:val="22"/>
          <w:szCs w:val="22"/>
          <w:rtl/>
        </w:rPr>
        <w:t xml:space="preserve"> </w:t>
      </w:r>
      <w:r w:rsidRPr="009C3F07">
        <w:rPr>
          <w:rFonts w:cs="Times New Roman"/>
          <w:sz w:val="22"/>
          <w:szCs w:val="22"/>
          <w:rtl/>
          <w:lang w:bidi="ar-SA"/>
        </w:rPr>
        <w:t>فقر،</w:t>
      </w:r>
      <w:r w:rsidRPr="009C3F07">
        <w:rPr>
          <w:rFonts w:cs="Times New Roman"/>
          <w:sz w:val="22"/>
          <w:szCs w:val="22"/>
          <w:rtl/>
        </w:rPr>
        <w:t xml:space="preserve"> </w:t>
      </w:r>
      <w:r w:rsidRPr="009C3F07">
        <w:rPr>
          <w:rFonts w:cs="Times New Roman"/>
          <w:sz w:val="22"/>
          <w:szCs w:val="22"/>
          <w:rtl/>
          <w:lang w:bidi="ar-SA"/>
        </w:rPr>
        <w:t>إتاحة</w:t>
      </w:r>
      <w:r w:rsidRPr="009C3F07">
        <w:rPr>
          <w:rFonts w:cs="Times New Roman"/>
          <w:sz w:val="22"/>
          <w:szCs w:val="22"/>
          <w:rtl/>
        </w:rPr>
        <w:t xml:space="preserve"> </w:t>
      </w:r>
      <w:r w:rsidRPr="009C3F07">
        <w:rPr>
          <w:rFonts w:cs="Times New Roman"/>
          <w:sz w:val="22"/>
          <w:szCs w:val="22"/>
          <w:rtl/>
          <w:lang w:bidi="ar-SA"/>
        </w:rPr>
        <w:t>مجموعة</w:t>
      </w:r>
      <w:r w:rsidRPr="009C3F07">
        <w:rPr>
          <w:rFonts w:cs="Times New Roman"/>
          <w:sz w:val="22"/>
          <w:szCs w:val="22"/>
          <w:rtl/>
        </w:rPr>
        <w:t xml:space="preserve"> </w:t>
      </w:r>
      <w:r w:rsidRPr="009C3F07">
        <w:rPr>
          <w:rFonts w:cs="Times New Roman"/>
          <w:sz w:val="22"/>
          <w:szCs w:val="22"/>
          <w:rtl/>
          <w:lang w:bidi="ar-SA"/>
        </w:rPr>
        <w:t>متنوعة</w:t>
      </w:r>
      <w:r w:rsidRPr="009C3F07">
        <w:rPr>
          <w:rFonts w:cs="Times New Roman"/>
          <w:sz w:val="22"/>
          <w:szCs w:val="22"/>
          <w:rtl/>
        </w:rPr>
        <w:t xml:space="preserve"> </w:t>
      </w:r>
      <w:r w:rsidRPr="009C3F07">
        <w:rPr>
          <w:rFonts w:cs="Times New Roman"/>
          <w:sz w:val="22"/>
          <w:szCs w:val="22"/>
          <w:rtl/>
          <w:lang w:bidi="ar-SA"/>
        </w:rPr>
        <w:t>من</w:t>
      </w:r>
      <w:r w:rsidRPr="009C3F07">
        <w:rPr>
          <w:rFonts w:cs="Times New Roman"/>
          <w:sz w:val="22"/>
          <w:szCs w:val="22"/>
          <w:rtl/>
        </w:rPr>
        <w:t xml:space="preserve"> </w:t>
      </w:r>
      <w:r w:rsidRPr="009C3F07">
        <w:rPr>
          <w:rFonts w:cs="Times New Roman"/>
          <w:sz w:val="22"/>
          <w:szCs w:val="22"/>
          <w:rtl/>
          <w:lang w:bidi="ar-SA"/>
        </w:rPr>
        <w:t>الخدمات</w:t>
      </w:r>
      <w:r w:rsidRPr="009C3F07">
        <w:rPr>
          <w:rFonts w:cs="Times New Roman"/>
          <w:sz w:val="22"/>
          <w:szCs w:val="22"/>
          <w:rtl/>
        </w:rPr>
        <w:t xml:space="preserve"> </w:t>
      </w:r>
      <w:r w:rsidRPr="009C3F07">
        <w:rPr>
          <w:rFonts w:cs="Times New Roman"/>
          <w:sz w:val="22"/>
          <w:szCs w:val="22"/>
          <w:rtl/>
          <w:lang w:bidi="ar-SA"/>
        </w:rPr>
        <w:t>والأدوات</w:t>
      </w:r>
      <w:r w:rsidRPr="009C3F07">
        <w:rPr>
          <w:rFonts w:cs="Times New Roman"/>
          <w:sz w:val="22"/>
          <w:szCs w:val="22"/>
          <w:rtl/>
        </w:rPr>
        <w:t xml:space="preserve"> </w:t>
      </w:r>
      <w:r w:rsidRPr="009C3F07">
        <w:rPr>
          <w:rFonts w:cs="Times New Roman"/>
          <w:sz w:val="22"/>
          <w:szCs w:val="22"/>
          <w:rtl/>
          <w:lang w:bidi="ar-SA"/>
        </w:rPr>
        <w:t>لهم،</w:t>
      </w:r>
      <w:r w:rsidRPr="009C3F07">
        <w:rPr>
          <w:rFonts w:cs="Times New Roman"/>
          <w:sz w:val="22"/>
          <w:szCs w:val="22"/>
          <w:rtl/>
        </w:rPr>
        <w:t xml:space="preserve"> </w:t>
      </w:r>
      <w:r w:rsidRPr="009C3F07">
        <w:rPr>
          <w:rFonts w:cs="Times New Roman"/>
          <w:sz w:val="22"/>
          <w:szCs w:val="22"/>
          <w:rtl/>
          <w:lang w:bidi="ar-SA"/>
        </w:rPr>
        <w:t>توفير</w:t>
      </w:r>
      <w:r w:rsidRPr="009C3F07">
        <w:rPr>
          <w:rFonts w:cs="Times New Roman"/>
          <w:sz w:val="22"/>
          <w:szCs w:val="22"/>
          <w:rtl/>
        </w:rPr>
        <w:t xml:space="preserve"> </w:t>
      </w:r>
      <w:r w:rsidRPr="009C3F07">
        <w:rPr>
          <w:rFonts w:cs="Times New Roman"/>
          <w:sz w:val="22"/>
          <w:szCs w:val="22"/>
          <w:rtl/>
          <w:lang w:bidi="ar-SA"/>
        </w:rPr>
        <w:t>الفرص</w:t>
      </w:r>
      <w:r w:rsidRPr="009C3F07">
        <w:rPr>
          <w:rFonts w:cs="Times New Roman"/>
          <w:sz w:val="22"/>
          <w:szCs w:val="22"/>
          <w:rtl/>
        </w:rPr>
        <w:t xml:space="preserve"> </w:t>
      </w:r>
      <w:r w:rsidRPr="009C3F07">
        <w:rPr>
          <w:rFonts w:cs="Times New Roman"/>
          <w:sz w:val="22"/>
          <w:szCs w:val="22"/>
          <w:rtl/>
          <w:lang w:bidi="ar-SA"/>
        </w:rPr>
        <w:t>التي</w:t>
      </w:r>
      <w:r w:rsidRPr="009C3F07">
        <w:rPr>
          <w:rFonts w:cs="Times New Roman"/>
          <w:sz w:val="22"/>
          <w:szCs w:val="22"/>
          <w:rtl/>
        </w:rPr>
        <w:t xml:space="preserve"> </w:t>
      </w:r>
      <w:r w:rsidRPr="009C3F07">
        <w:rPr>
          <w:rFonts w:cs="Times New Roman"/>
          <w:sz w:val="22"/>
          <w:szCs w:val="22"/>
          <w:rtl/>
          <w:lang w:bidi="ar-SA"/>
        </w:rPr>
        <w:t>تمكنهم</w:t>
      </w:r>
      <w:r w:rsidRPr="009C3F07">
        <w:rPr>
          <w:rFonts w:cs="Times New Roman"/>
          <w:sz w:val="22"/>
          <w:szCs w:val="22"/>
          <w:rtl/>
        </w:rPr>
        <w:t xml:space="preserve"> </w:t>
      </w:r>
      <w:r w:rsidRPr="009C3F07">
        <w:rPr>
          <w:rFonts w:cs="Times New Roman"/>
          <w:sz w:val="22"/>
          <w:szCs w:val="22"/>
          <w:rtl/>
          <w:lang w:bidi="ar-SA"/>
        </w:rPr>
        <w:t>من</w:t>
      </w:r>
      <w:r w:rsidRPr="009C3F07">
        <w:rPr>
          <w:rFonts w:cs="Times New Roman"/>
          <w:sz w:val="22"/>
          <w:szCs w:val="22"/>
          <w:rtl/>
        </w:rPr>
        <w:t xml:space="preserve"> </w:t>
      </w:r>
      <w:r w:rsidRPr="009C3F07">
        <w:rPr>
          <w:rFonts w:cs="Times New Roman"/>
          <w:sz w:val="22"/>
          <w:szCs w:val="22"/>
          <w:rtl/>
          <w:lang w:bidi="ar-SA"/>
        </w:rPr>
        <w:t>تحقيق</w:t>
      </w:r>
      <w:r w:rsidRPr="009C3F07">
        <w:rPr>
          <w:rFonts w:cs="Times New Roman"/>
          <w:sz w:val="22"/>
          <w:szCs w:val="22"/>
          <w:rtl/>
        </w:rPr>
        <w:t xml:space="preserve"> </w:t>
      </w:r>
      <w:r w:rsidRPr="009C3F07">
        <w:rPr>
          <w:rFonts w:cs="Times New Roman"/>
          <w:sz w:val="22"/>
          <w:szCs w:val="22"/>
          <w:rtl/>
          <w:lang w:bidi="ar-SA"/>
        </w:rPr>
        <w:t xml:space="preserve">أنفسهم. تحول بناء العقارات </w:t>
      </w:r>
      <w:r w:rsidRPr="009C3F07">
        <w:rPr>
          <w:rFonts w:cs="Times New Roman"/>
          <w:sz w:val="22"/>
          <w:szCs w:val="22"/>
          <w:rtl/>
        </w:rPr>
        <w:t>(</w:t>
      </w:r>
      <w:r w:rsidRPr="009C3F07">
        <w:rPr>
          <w:rFonts w:cs="Times New Roman"/>
          <w:sz w:val="22"/>
          <w:szCs w:val="22"/>
        </w:rPr>
        <w:t>Asset-Building</w:t>
      </w:r>
      <w:r w:rsidRPr="009C3F07">
        <w:rPr>
          <w:rFonts w:cs="Times New Roman"/>
          <w:sz w:val="22"/>
          <w:szCs w:val="22"/>
          <w:rtl/>
        </w:rPr>
        <w:t xml:space="preserve">) </w:t>
      </w:r>
      <w:r w:rsidRPr="009C3F07">
        <w:rPr>
          <w:rFonts w:cs="Times New Roman"/>
          <w:sz w:val="22"/>
          <w:szCs w:val="22"/>
          <w:rtl/>
          <w:lang w:bidi="ar-SA"/>
        </w:rPr>
        <w:t>لأداة مركزية لتقليص الفقر عبر الأجيال، أداة تعكس منطق الاستثمار الاجتماعي</w:t>
      </w:r>
      <w:r w:rsidRPr="009C3F07">
        <w:rPr>
          <w:rFonts w:cs="Times New Roman"/>
          <w:sz w:val="22"/>
          <w:szCs w:val="22"/>
          <w:rtl/>
          <w:lang w:bidi="ar"/>
        </w:rPr>
        <w:t xml:space="preserve">. </w:t>
      </w:r>
      <w:r w:rsidRPr="009C3F07">
        <w:rPr>
          <w:rFonts w:cs="Times New Roman"/>
          <w:sz w:val="22"/>
          <w:szCs w:val="22"/>
          <w:rtl/>
          <w:lang w:bidi="ar-SA"/>
        </w:rPr>
        <w:t>استنادًا إلى مفهوم مفارقة التضمين، تبحث المقالة في كيفية قيام برامج التوفير وجمع العقارات للأسر ذات الدخل المنخفض، بالمفارقة، بالحفاظ على استبعادهم وتهميشهم</w:t>
      </w:r>
      <w:r w:rsidRPr="009C3F07">
        <w:rPr>
          <w:rFonts w:cs="Times New Roman"/>
          <w:sz w:val="22"/>
          <w:szCs w:val="22"/>
          <w:rtl/>
          <w:lang w:bidi="ar"/>
        </w:rPr>
        <w:t xml:space="preserve">. </w:t>
      </w:r>
      <w:r w:rsidRPr="009C3F07">
        <w:rPr>
          <w:rFonts w:cs="Times New Roman"/>
          <w:sz w:val="22"/>
          <w:szCs w:val="22"/>
          <w:rtl/>
          <w:lang w:bidi="ar-SA"/>
        </w:rPr>
        <w:t>استنادًا إلى المصادر الأولية والثانوية، تقدم المقالة ثلاث طرق تصاحب فيها مفارقة مضمون خطط بناء العقارات</w:t>
      </w:r>
      <w:r w:rsidRPr="009C3F07">
        <w:rPr>
          <w:rFonts w:cs="Times New Roman"/>
          <w:sz w:val="22"/>
          <w:szCs w:val="22"/>
          <w:rtl/>
          <w:lang w:bidi="ar"/>
        </w:rPr>
        <w:t xml:space="preserve">: (1) </w:t>
      </w:r>
      <w:r w:rsidRPr="009C3F07">
        <w:rPr>
          <w:rFonts w:cs="Times New Roman"/>
          <w:sz w:val="22"/>
          <w:szCs w:val="22"/>
          <w:rtl/>
          <w:lang w:bidi="ar-SA"/>
        </w:rPr>
        <w:t>عادة التوفير، بغض النظر عن الظروف الاقتصادية المتغيرة، تمس أحيانًا بجهود الأسر لتوفير الاحتياجات الأساسية واليومية</w:t>
      </w:r>
      <w:r w:rsidRPr="009C3F07">
        <w:rPr>
          <w:rFonts w:cs="Times New Roman"/>
          <w:sz w:val="22"/>
          <w:szCs w:val="22"/>
          <w:rtl/>
          <w:lang w:bidi="ar"/>
        </w:rPr>
        <w:t xml:space="preserve">. (2) </w:t>
      </w:r>
      <w:r w:rsidRPr="009C3F07">
        <w:rPr>
          <w:rFonts w:cs="Times New Roman"/>
          <w:sz w:val="22"/>
          <w:szCs w:val="22"/>
          <w:rtl/>
          <w:lang w:bidi="ar-SA"/>
        </w:rPr>
        <w:t xml:space="preserve">مبالغ التوفير الضئيلة، والتي تشكل عائقا أمام الاندماج الفعال للأسر؛ </w:t>
      </w:r>
      <w:r w:rsidRPr="009C3F07">
        <w:rPr>
          <w:rFonts w:cs="Times New Roman"/>
          <w:sz w:val="22"/>
          <w:szCs w:val="22"/>
          <w:rtl/>
          <w:lang w:bidi="ar"/>
        </w:rPr>
        <w:t xml:space="preserve">(3) </w:t>
      </w:r>
      <w:r w:rsidRPr="009C3F07">
        <w:rPr>
          <w:rFonts w:cs="Times New Roman"/>
          <w:sz w:val="22"/>
          <w:szCs w:val="22"/>
          <w:rtl/>
          <w:lang w:bidi="ar-SA"/>
        </w:rPr>
        <w:t>اقتناء عقار لا يؤدي بالضرورة إلى تحسين وضعهم الاقتصادي والاجتماعي</w:t>
      </w:r>
      <w:r w:rsidRPr="009C3F07">
        <w:rPr>
          <w:rFonts w:cs="Times New Roman"/>
          <w:sz w:val="22"/>
          <w:szCs w:val="22"/>
          <w:rtl/>
          <w:lang w:bidi="ar"/>
        </w:rPr>
        <w:t xml:space="preserve">. </w:t>
      </w:r>
      <w:r w:rsidRPr="009C3F07">
        <w:rPr>
          <w:rFonts w:cs="Times New Roman"/>
          <w:sz w:val="22"/>
          <w:szCs w:val="22"/>
          <w:rtl/>
          <w:lang w:bidi="ar-SA"/>
        </w:rPr>
        <w:t>تستخدم المقالة مصطلح الإضافية الجذرية من أجل فهم أفضل للآثار المتناقضة لنهج بناء العقارات على السكان الذين يعيشون في فقر.</w:t>
      </w:r>
    </w:p>
    <w:p w14:paraId="072FEE33" w14:textId="54D1D1AC" w:rsidR="009376F3" w:rsidRDefault="009376F3" w:rsidP="009C3F07">
      <w:pPr>
        <w:spacing w:after="180" w:line="280" w:lineRule="exact"/>
        <w:jc w:val="both"/>
        <w:rPr>
          <w:rFonts w:cs="Times New Roman"/>
          <w:sz w:val="22"/>
          <w:szCs w:val="22"/>
          <w:lang w:bidi="ar-SA"/>
        </w:rPr>
      </w:pPr>
    </w:p>
    <w:p w14:paraId="1065A7B4" w14:textId="77777777" w:rsidR="009376F3" w:rsidRPr="009C3F07" w:rsidRDefault="009376F3" w:rsidP="009C3F07">
      <w:pPr>
        <w:spacing w:after="180" w:line="280" w:lineRule="exact"/>
        <w:jc w:val="both"/>
        <w:rPr>
          <w:rFonts w:cs="Times New Roman"/>
          <w:b/>
          <w:bCs/>
          <w:sz w:val="22"/>
          <w:szCs w:val="22"/>
          <w:rtl/>
        </w:rPr>
      </w:pPr>
    </w:p>
    <w:p w14:paraId="49D808B1" w14:textId="77777777" w:rsidR="003146FE" w:rsidRPr="009376F3" w:rsidRDefault="003146FE" w:rsidP="009376F3">
      <w:pPr>
        <w:pStyle w:val="Heading1"/>
        <w:spacing w:line="440" w:lineRule="exact"/>
        <w:rPr>
          <w:rFonts w:cs="Times New Roman"/>
          <w:color w:val="00B0F0"/>
          <w:rtl/>
          <w:lang w:eastAsia="he-IL"/>
        </w:rPr>
      </w:pPr>
      <w:r w:rsidRPr="009376F3">
        <w:rPr>
          <w:rFonts w:cs="Times New Roman"/>
          <w:color w:val="00B0F0"/>
          <w:rtl/>
          <w:lang w:eastAsia="he-IL" w:bidi="ar-SA"/>
        </w:rPr>
        <w:lastRenderedPageBreak/>
        <w:t>توفير لكل طفل: مكانة نافذة الفرص في تحديد سياسة البرنامج</w:t>
      </w:r>
    </w:p>
    <w:p w14:paraId="4006EBAF" w14:textId="152253B6" w:rsidR="003146FE" w:rsidRPr="009376F3" w:rsidRDefault="003146FE" w:rsidP="009376F3">
      <w:pPr>
        <w:pStyle w:val="KOT5T"/>
        <w:spacing w:before="0" w:after="240" w:line="280" w:lineRule="exact"/>
        <w:ind w:right="0"/>
        <w:jc w:val="left"/>
        <w:rPr>
          <w:rFonts w:ascii="Times New Roman" w:hAnsi="Times New Roman" w:cs="Times New Roman"/>
          <w:b w:val="0"/>
          <w:bCs w:val="0"/>
          <w:color w:val="auto"/>
          <w:rtl/>
        </w:rPr>
      </w:pPr>
      <w:r w:rsidRPr="009376F3">
        <w:rPr>
          <w:rFonts w:ascii="Times New Roman" w:hAnsi="Times New Roman" w:cs="Times New Roman"/>
          <w:b w:val="0"/>
          <w:bCs w:val="0"/>
          <w:color w:val="auto"/>
          <w:rtl/>
          <w:lang w:bidi="ar-SA"/>
        </w:rPr>
        <w:t xml:space="preserve">تهيلا </w:t>
      </w:r>
      <w:proofErr w:type="spellStart"/>
      <w:r w:rsidRPr="009376F3">
        <w:rPr>
          <w:rFonts w:ascii="Times New Roman" w:hAnsi="Times New Roman" w:cs="Times New Roman"/>
          <w:b w:val="0"/>
          <w:bCs w:val="0"/>
          <w:color w:val="auto"/>
          <w:rtl/>
          <w:lang w:bidi="ar-SA"/>
        </w:rPr>
        <w:t>رفائلي</w:t>
      </w:r>
      <w:proofErr w:type="spellEnd"/>
      <w:r w:rsidR="009376F3" w:rsidRPr="009376F3">
        <w:rPr>
          <w:b w:val="0"/>
          <w:bCs w:val="0"/>
          <w:color w:val="auto"/>
          <w:vertAlign w:val="superscript"/>
          <w:rtl/>
        </w:rPr>
        <w:footnoteReference w:id="8"/>
      </w:r>
    </w:p>
    <w:p w14:paraId="0BF6CD00" w14:textId="77777777" w:rsidR="009376F3" w:rsidRDefault="009376F3" w:rsidP="00697105">
      <w:pPr>
        <w:keepNext/>
        <w:keepLines/>
        <w:spacing w:after="180" w:line="280" w:lineRule="exact"/>
        <w:jc w:val="both"/>
        <w:rPr>
          <w:rFonts w:cs="Times New Roman"/>
          <w:sz w:val="22"/>
          <w:szCs w:val="22"/>
          <w:lang w:bidi="ar-SA"/>
        </w:rPr>
      </w:pPr>
    </w:p>
    <w:p w14:paraId="648C6839" w14:textId="16232C8E" w:rsidR="003146FE" w:rsidRDefault="003146FE" w:rsidP="009C3F07">
      <w:pPr>
        <w:spacing w:after="180" w:line="280" w:lineRule="exact"/>
        <w:jc w:val="both"/>
        <w:rPr>
          <w:rFonts w:cs="Times New Roman"/>
          <w:sz w:val="22"/>
          <w:szCs w:val="22"/>
        </w:rPr>
      </w:pPr>
      <w:r w:rsidRPr="009C3F07">
        <w:rPr>
          <w:rFonts w:cs="Times New Roman"/>
          <w:sz w:val="22"/>
          <w:szCs w:val="22"/>
          <w:rtl/>
          <w:lang w:bidi="ar-SA"/>
        </w:rPr>
        <w:t>يسعى</w:t>
      </w:r>
      <w:r w:rsidRPr="009C3F07">
        <w:rPr>
          <w:rFonts w:cs="Times New Roman"/>
          <w:sz w:val="22"/>
          <w:szCs w:val="22"/>
          <w:rtl/>
        </w:rPr>
        <w:t xml:space="preserve"> </w:t>
      </w:r>
      <w:r w:rsidRPr="009C3F07">
        <w:rPr>
          <w:rFonts w:cs="Times New Roman"/>
          <w:sz w:val="22"/>
          <w:szCs w:val="22"/>
          <w:rtl/>
          <w:lang w:bidi="ar-SA"/>
        </w:rPr>
        <w:t>هذا البحث</w:t>
      </w:r>
      <w:r w:rsidRPr="009C3F07">
        <w:rPr>
          <w:rFonts w:cs="Times New Roman"/>
          <w:sz w:val="22"/>
          <w:szCs w:val="22"/>
          <w:rtl/>
        </w:rPr>
        <w:t xml:space="preserve"> </w:t>
      </w:r>
      <w:r w:rsidRPr="009C3F07">
        <w:rPr>
          <w:rFonts w:cs="Times New Roman"/>
          <w:sz w:val="22"/>
          <w:szCs w:val="22"/>
          <w:rtl/>
          <w:lang w:bidi="ar-SA"/>
        </w:rPr>
        <w:t>إلى</w:t>
      </w:r>
      <w:r w:rsidRPr="009C3F07">
        <w:rPr>
          <w:rFonts w:cs="Times New Roman"/>
          <w:sz w:val="22"/>
          <w:szCs w:val="22"/>
          <w:rtl/>
        </w:rPr>
        <w:t xml:space="preserve"> </w:t>
      </w:r>
      <w:r w:rsidRPr="009C3F07">
        <w:rPr>
          <w:rFonts w:cs="Times New Roman"/>
          <w:sz w:val="22"/>
          <w:szCs w:val="22"/>
          <w:rtl/>
          <w:lang w:bidi="ar-SA"/>
        </w:rPr>
        <w:t>فحص</w:t>
      </w:r>
      <w:r w:rsidRPr="009C3F07">
        <w:rPr>
          <w:rFonts w:cs="Times New Roman"/>
          <w:sz w:val="22"/>
          <w:szCs w:val="22"/>
          <w:rtl/>
        </w:rPr>
        <w:t xml:space="preserve"> </w:t>
      </w:r>
      <w:r w:rsidRPr="009C3F07">
        <w:rPr>
          <w:rFonts w:cs="Times New Roman"/>
          <w:sz w:val="22"/>
          <w:szCs w:val="22"/>
          <w:rtl/>
          <w:lang w:bidi="ar-SA"/>
        </w:rPr>
        <w:t>عملية</w:t>
      </w:r>
      <w:r w:rsidRPr="009C3F07">
        <w:rPr>
          <w:rFonts w:cs="Times New Roman"/>
          <w:sz w:val="22"/>
          <w:szCs w:val="22"/>
          <w:rtl/>
        </w:rPr>
        <w:t xml:space="preserve"> </w:t>
      </w:r>
      <w:r w:rsidRPr="009C3F07">
        <w:rPr>
          <w:rFonts w:cs="Times New Roman"/>
          <w:sz w:val="22"/>
          <w:szCs w:val="22"/>
          <w:rtl/>
          <w:lang w:bidi="ar-SA"/>
        </w:rPr>
        <w:t>تطوير</w:t>
      </w:r>
      <w:r w:rsidRPr="009C3F07">
        <w:rPr>
          <w:rFonts w:cs="Times New Roman"/>
          <w:sz w:val="22"/>
          <w:szCs w:val="22"/>
          <w:rtl/>
        </w:rPr>
        <w:t xml:space="preserve"> </w:t>
      </w:r>
      <w:r w:rsidRPr="009C3F07">
        <w:rPr>
          <w:rFonts w:cs="Times New Roman"/>
          <w:sz w:val="22"/>
          <w:szCs w:val="22"/>
          <w:rtl/>
          <w:lang w:bidi="ar-SA"/>
        </w:rPr>
        <w:t>وصياغة</w:t>
      </w:r>
      <w:r w:rsidRPr="009C3F07">
        <w:rPr>
          <w:rFonts w:cs="Times New Roman"/>
          <w:sz w:val="22"/>
          <w:szCs w:val="22"/>
          <w:rtl/>
        </w:rPr>
        <w:t xml:space="preserve"> </w:t>
      </w:r>
      <w:r w:rsidRPr="009C3F07">
        <w:rPr>
          <w:rFonts w:cs="Times New Roman"/>
          <w:sz w:val="22"/>
          <w:szCs w:val="22"/>
          <w:rtl/>
          <w:lang w:bidi="ar-SA"/>
        </w:rPr>
        <w:t>وتصميم</w:t>
      </w:r>
      <w:r w:rsidRPr="009C3F07">
        <w:rPr>
          <w:rFonts w:cs="Times New Roman"/>
          <w:sz w:val="22"/>
          <w:szCs w:val="22"/>
          <w:rtl/>
        </w:rPr>
        <w:t xml:space="preserve"> </w:t>
      </w:r>
      <w:r w:rsidRPr="009C3F07">
        <w:rPr>
          <w:rFonts w:cs="Times New Roman"/>
          <w:sz w:val="22"/>
          <w:szCs w:val="22"/>
          <w:rtl/>
          <w:lang w:bidi="ar-SA"/>
        </w:rPr>
        <w:t>سياسة</w:t>
      </w:r>
      <w:r w:rsidRPr="009C3F07">
        <w:rPr>
          <w:rFonts w:cs="Times New Roman"/>
          <w:sz w:val="22"/>
          <w:szCs w:val="22"/>
          <w:rtl/>
        </w:rPr>
        <w:t xml:space="preserve"> </w:t>
      </w:r>
      <w:r w:rsidRPr="009C3F07">
        <w:rPr>
          <w:rFonts w:cs="Times New Roman"/>
          <w:sz w:val="22"/>
          <w:szCs w:val="22"/>
          <w:rtl/>
          <w:lang w:bidi="ar-SA"/>
        </w:rPr>
        <w:t>التوفير</w:t>
      </w:r>
      <w:r w:rsidRPr="009C3F07">
        <w:rPr>
          <w:rFonts w:cs="Times New Roman"/>
          <w:sz w:val="22"/>
          <w:szCs w:val="22"/>
          <w:rtl/>
        </w:rPr>
        <w:t xml:space="preserve"> </w:t>
      </w:r>
      <w:r w:rsidRPr="009C3F07">
        <w:rPr>
          <w:rFonts w:cs="Times New Roman"/>
          <w:sz w:val="22"/>
          <w:szCs w:val="22"/>
          <w:rtl/>
          <w:lang w:bidi="ar-SA"/>
        </w:rPr>
        <w:t>لكل</w:t>
      </w:r>
      <w:r w:rsidRPr="009C3F07">
        <w:rPr>
          <w:rFonts w:cs="Times New Roman"/>
          <w:sz w:val="22"/>
          <w:szCs w:val="22"/>
          <w:rtl/>
        </w:rPr>
        <w:t xml:space="preserve"> </w:t>
      </w:r>
      <w:r w:rsidRPr="009C3F07">
        <w:rPr>
          <w:rFonts w:cs="Times New Roman"/>
          <w:sz w:val="22"/>
          <w:szCs w:val="22"/>
          <w:rtl/>
          <w:lang w:bidi="ar-SA"/>
        </w:rPr>
        <w:t>طفل،</w:t>
      </w:r>
      <w:r w:rsidRPr="009C3F07">
        <w:rPr>
          <w:rFonts w:cs="Times New Roman"/>
          <w:sz w:val="22"/>
          <w:szCs w:val="22"/>
          <w:rtl/>
        </w:rPr>
        <w:t xml:space="preserve"> </w:t>
      </w:r>
      <w:r w:rsidRPr="009C3F07">
        <w:rPr>
          <w:rFonts w:cs="Times New Roman"/>
          <w:sz w:val="22"/>
          <w:szCs w:val="22"/>
          <w:rtl/>
          <w:lang w:bidi="ar-SA"/>
        </w:rPr>
        <w:t>بما</w:t>
      </w:r>
      <w:r w:rsidRPr="009C3F07">
        <w:rPr>
          <w:rFonts w:cs="Times New Roman"/>
          <w:sz w:val="22"/>
          <w:szCs w:val="22"/>
          <w:rtl/>
        </w:rPr>
        <w:t xml:space="preserve"> </w:t>
      </w:r>
      <w:r w:rsidRPr="009C3F07">
        <w:rPr>
          <w:rFonts w:cs="Times New Roman"/>
          <w:sz w:val="22"/>
          <w:szCs w:val="22"/>
          <w:rtl/>
          <w:lang w:bidi="ar-SA"/>
        </w:rPr>
        <w:t>في</w:t>
      </w:r>
      <w:r w:rsidRPr="009C3F07">
        <w:rPr>
          <w:rFonts w:cs="Times New Roman"/>
          <w:sz w:val="22"/>
          <w:szCs w:val="22"/>
          <w:rtl/>
        </w:rPr>
        <w:t xml:space="preserve"> </w:t>
      </w:r>
      <w:r w:rsidRPr="009C3F07">
        <w:rPr>
          <w:rFonts w:cs="Times New Roman"/>
          <w:sz w:val="22"/>
          <w:szCs w:val="22"/>
          <w:rtl/>
          <w:lang w:bidi="ar-SA"/>
        </w:rPr>
        <w:t>ذلك</w:t>
      </w:r>
      <w:r w:rsidRPr="009C3F07">
        <w:rPr>
          <w:rFonts w:cs="Times New Roman"/>
          <w:sz w:val="22"/>
          <w:szCs w:val="22"/>
          <w:rtl/>
        </w:rPr>
        <w:t xml:space="preserve"> </w:t>
      </w:r>
      <w:r w:rsidRPr="009C3F07">
        <w:rPr>
          <w:rFonts w:cs="Times New Roman"/>
          <w:sz w:val="22"/>
          <w:szCs w:val="22"/>
          <w:rtl/>
          <w:lang w:bidi="ar-SA"/>
        </w:rPr>
        <w:t>تحديد</w:t>
      </w:r>
      <w:r w:rsidRPr="009C3F07">
        <w:rPr>
          <w:rFonts w:cs="Times New Roman"/>
          <w:sz w:val="22"/>
          <w:szCs w:val="22"/>
          <w:rtl/>
        </w:rPr>
        <w:t xml:space="preserve"> </w:t>
      </w:r>
      <w:r w:rsidRPr="009C3F07">
        <w:rPr>
          <w:rFonts w:cs="Times New Roman"/>
          <w:sz w:val="22"/>
          <w:szCs w:val="22"/>
          <w:rtl/>
          <w:lang w:bidi="ar-SA"/>
        </w:rPr>
        <w:t>العوامل</w:t>
      </w:r>
      <w:r w:rsidRPr="009C3F07">
        <w:rPr>
          <w:rFonts w:cs="Times New Roman"/>
          <w:sz w:val="22"/>
          <w:szCs w:val="22"/>
          <w:rtl/>
        </w:rPr>
        <w:t xml:space="preserve"> </w:t>
      </w:r>
      <w:r w:rsidRPr="009C3F07">
        <w:rPr>
          <w:rFonts w:cs="Times New Roman"/>
          <w:sz w:val="22"/>
          <w:szCs w:val="22"/>
          <w:rtl/>
          <w:lang w:bidi="ar-SA"/>
        </w:rPr>
        <w:t>التي</w:t>
      </w:r>
      <w:r w:rsidRPr="009C3F07">
        <w:rPr>
          <w:rFonts w:cs="Times New Roman"/>
          <w:sz w:val="22"/>
          <w:szCs w:val="22"/>
          <w:rtl/>
        </w:rPr>
        <w:t xml:space="preserve"> </w:t>
      </w:r>
      <w:r w:rsidRPr="009C3F07">
        <w:rPr>
          <w:rFonts w:cs="Times New Roman"/>
          <w:sz w:val="22"/>
          <w:szCs w:val="22"/>
          <w:rtl/>
          <w:lang w:bidi="ar-SA"/>
        </w:rPr>
        <w:t>ينطوي</w:t>
      </w:r>
      <w:r w:rsidRPr="009C3F07">
        <w:rPr>
          <w:rFonts w:cs="Times New Roman"/>
          <w:sz w:val="22"/>
          <w:szCs w:val="22"/>
          <w:rtl/>
        </w:rPr>
        <w:t xml:space="preserve"> </w:t>
      </w:r>
      <w:r w:rsidRPr="009C3F07">
        <w:rPr>
          <w:rFonts w:cs="Times New Roman"/>
          <w:sz w:val="22"/>
          <w:szCs w:val="22"/>
          <w:rtl/>
          <w:lang w:bidi="ar-SA"/>
        </w:rPr>
        <w:t>عليها</w:t>
      </w:r>
      <w:r w:rsidRPr="009C3F07">
        <w:rPr>
          <w:rFonts w:cs="Times New Roman"/>
          <w:sz w:val="22"/>
          <w:szCs w:val="22"/>
          <w:rtl/>
        </w:rPr>
        <w:t xml:space="preserve"> </w:t>
      </w:r>
      <w:r w:rsidRPr="009C3F07">
        <w:rPr>
          <w:rFonts w:cs="Times New Roman"/>
          <w:sz w:val="22"/>
          <w:szCs w:val="22"/>
          <w:rtl/>
          <w:lang w:bidi="ar-SA"/>
        </w:rPr>
        <w:t>تعزيز</w:t>
      </w:r>
      <w:r w:rsidRPr="009C3F07">
        <w:rPr>
          <w:rFonts w:cs="Times New Roman"/>
          <w:sz w:val="22"/>
          <w:szCs w:val="22"/>
          <w:rtl/>
        </w:rPr>
        <w:t xml:space="preserve"> </w:t>
      </w:r>
      <w:r w:rsidRPr="009C3F07">
        <w:rPr>
          <w:rFonts w:cs="Times New Roman"/>
          <w:sz w:val="22"/>
          <w:szCs w:val="22"/>
          <w:rtl/>
          <w:lang w:bidi="ar-SA"/>
        </w:rPr>
        <w:t>السياسة،</w:t>
      </w:r>
      <w:r w:rsidRPr="009C3F07">
        <w:rPr>
          <w:rFonts w:cs="Times New Roman"/>
          <w:sz w:val="22"/>
          <w:szCs w:val="22"/>
          <w:rtl/>
        </w:rPr>
        <w:t xml:space="preserve"> </w:t>
      </w:r>
      <w:r w:rsidRPr="009C3F07">
        <w:rPr>
          <w:rFonts w:cs="Times New Roman"/>
          <w:sz w:val="22"/>
          <w:szCs w:val="22"/>
          <w:rtl/>
          <w:lang w:bidi="ar-SA"/>
        </w:rPr>
        <w:t>والجهود</w:t>
      </w:r>
      <w:r w:rsidRPr="009C3F07">
        <w:rPr>
          <w:rFonts w:cs="Times New Roman"/>
          <w:sz w:val="22"/>
          <w:szCs w:val="22"/>
          <w:rtl/>
        </w:rPr>
        <w:t xml:space="preserve"> </w:t>
      </w:r>
      <w:r w:rsidRPr="009C3F07">
        <w:rPr>
          <w:rFonts w:cs="Times New Roman"/>
          <w:sz w:val="22"/>
          <w:szCs w:val="22"/>
          <w:rtl/>
          <w:lang w:bidi="ar-SA"/>
        </w:rPr>
        <w:t>المبذولة</w:t>
      </w:r>
      <w:r w:rsidRPr="009C3F07">
        <w:rPr>
          <w:rFonts w:cs="Times New Roman"/>
          <w:sz w:val="22"/>
          <w:szCs w:val="22"/>
          <w:rtl/>
        </w:rPr>
        <w:t xml:space="preserve"> </w:t>
      </w:r>
      <w:r w:rsidRPr="009C3F07">
        <w:rPr>
          <w:rFonts w:cs="Times New Roman"/>
          <w:sz w:val="22"/>
          <w:szCs w:val="22"/>
          <w:rtl/>
          <w:lang w:bidi="ar-SA"/>
        </w:rPr>
        <w:t>لتعزيز</w:t>
      </w:r>
      <w:r w:rsidRPr="009C3F07">
        <w:rPr>
          <w:rFonts w:cs="Times New Roman"/>
          <w:sz w:val="22"/>
          <w:szCs w:val="22"/>
          <w:rtl/>
        </w:rPr>
        <w:t xml:space="preserve"> </w:t>
      </w:r>
      <w:r w:rsidRPr="009C3F07">
        <w:rPr>
          <w:rFonts w:cs="Times New Roman"/>
          <w:sz w:val="22"/>
          <w:szCs w:val="22"/>
          <w:rtl/>
          <w:lang w:bidi="ar-SA"/>
        </w:rPr>
        <w:t>تنفيذها،</w:t>
      </w:r>
      <w:r w:rsidRPr="009C3F07">
        <w:rPr>
          <w:rFonts w:cs="Times New Roman"/>
          <w:sz w:val="22"/>
          <w:szCs w:val="22"/>
          <w:rtl/>
        </w:rPr>
        <w:t xml:space="preserve"> </w:t>
      </w:r>
      <w:r w:rsidRPr="009C3F07">
        <w:rPr>
          <w:rFonts w:cs="Times New Roman"/>
          <w:sz w:val="22"/>
          <w:szCs w:val="22"/>
          <w:rtl/>
          <w:lang w:bidi="ar-SA"/>
        </w:rPr>
        <w:t>والعوامل</w:t>
      </w:r>
      <w:r w:rsidRPr="009C3F07">
        <w:rPr>
          <w:rFonts w:cs="Times New Roman"/>
          <w:sz w:val="22"/>
          <w:szCs w:val="22"/>
          <w:rtl/>
        </w:rPr>
        <w:t xml:space="preserve"> </w:t>
      </w:r>
      <w:r w:rsidRPr="009C3F07">
        <w:rPr>
          <w:rFonts w:cs="Times New Roman"/>
          <w:sz w:val="22"/>
          <w:szCs w:val="22"/>
          <w:rtl/>
          <w:lang w:bidi="ar-SA"/>
        </w:rPr>
        <w:t>التي</w:t>
      </w:r>
      <w:r w:rsidRPr="009C3F07">
        <w:rPr>
          <w:rFonts w:cs="Times New Roman"/>
          <w:sz w:val="22"/>
          <w:szCs w:val="22"/>
          <w:rtl/>
        </w:rPr>
        <w:t xml:space="preserve"> </w:t>
      </w:r>
      <w:r w:rsidRPr="009C3F07">
        <w:rPr>
          <w:rFonts w:cs="Times New Roman"/>
          <w:sz w:val="22"/>
          <w:szCs w:val="22"/>
          <w:rtl/>
          <w:lang w:bidi="ar-SA"/>
        </w:rPr>
        <w:t>مكنت</w:t>
      </w:r>
      <w:r w:rsidRPr="009C3F07">
        <w:rPr>
          <w:rFonts w:cs="Times New Roman"/>
          <w:sz w:val="22"/>
          <w:szCs w:val="22"/>
          <w:rtl/>
        </w:rPr>
        <w:t xml:space="preserve"> </w:t>
      </w:r>
      <w:r w:rsidRPr="009C3F07">
        <w:rPr>
          <w:rFonts w:cs="Times New Roman"/>
          <w:sz w:val="22"/>
          <w:szCs w:val="22"/>
          <w:rtl/>
          <w:lang w:bidi="ar-SA"/>
        </w:rPr>
        <w:t>تنفيذها</w:t>
      </w:r>
      <w:r w:rsidRPr="009C3F07">
        <w:rPr>
          <w:rFonts w:cs="Times New Roman"/>
          <w:sz w:val="22"/>
          <w:szCs w:val="22"/>
          <w:rtl/>
        </w:rPr>
        <w:t xml:space="preserve"> </w:t>
      </w:r>
      <w:r w:rsidRPr="009C3F07">
        <w:rPr>
          <w:rFonts w:cs="Times New Roman"/>
          <w:sz w:val="22"/>
          <w:szCs w:val="22"/>
          <w:rtl/>
          <w:lang w:bidi="ar-SA"/>
        </w:rPr>
        <w:t>الفعلي</w:t>
      </w:r>
      <w:r w:rsidRPr="009C3F07">
        <w:rPr>
          <w:rFonts w:cs="Times New Roman"/>
          <w:sz w:val="22"/>
          <w:szCs w:val="22"/>
          <w:rtl/>
        </w:rPr>
        <w:t xml:space="preserve"> </w:t>
      </w:r>
      <w:r w:rsidRPr="009C3F07">
        <w:rPr>
          <w:rFonts w:cs="Times New Roman"/>
          <w:sz w:val="22"/>
          <w:szCs w:val="22"/>
          <w:rtl/>
          <w:lang w:bidi="ar-SA"/>
        </w:rPr>
        <w:t>واعتماد</w:t>
      </w:r>
      <w:r w:rsidRPr="009C3F07">
        <w:rPr>
          <w:rFonts w:cs="Times New Roman"/>
          <w:sz w:val="22"/>
          <w:szCs w:val="22"/>
          <w:rtl/>
        </w:rPr>
        <w:t xml:space="preserve"> </w:t>
      </w:r>
      <w:r w:rsidRPr="009C3F07">
        <w:rPr>
          <w:rFonts w:cs="Times New Roman"/>
          <w:sz w:val="22"/>
          <w:szCs w:val="22"/>
          <w:rtl/>
          <w:lang w:bidi="ar-SA"/>
        </w:rPr>
        <w:t>السياسة</w:t>
      </w:r>
      <w:r w:rsidRPr="009C3F07">
        <w:rPr>
          <w:rFonts w:cs="Times New Roman"/>
          <w:sz w:val="22"/>
          <w:szCs w:val="22"/>
          <w:rtl/>
        </w:rPr>
        <w:t xml:space="preserve"> </w:t>
      </w:r>
      <w:r w:rsidRPr="009C3F07">
        <w:rPr>
          <w:rFonts w:cs="Times New Roman"/>
          <w:sz w:val="22"/>
          <w:szCs w:val="22"/>
          <w:rtl/>
          <w:lang w:bidi="ar-SA"/>
        </w:rPr>
        <w:t>كقانون بعد انتخابات</w:t>
      </w:r>
      <w:r w:rsidRPr="009C3F07">
        <w:rPr>
          <w:rFonts w:cs="Times New Roman"/>
          <w:sz w:val="22"/>
          <w:szCs w:val="22"/>
          <w:rtl/>
        </w:rPr>
        <w:t xml:space="preserve"> 2015. </w:t>
      </w:r>
      <w:r w:rsidRPr="009C3F07">
        <w:rPr>
          <w:rFonts w:cs="Times New Roman"/>
          <w:sz w:val="22"/>
          <w:szCs w:val="22"/>
          <w:rtl/>
          <w:lang w:bidi="ar-SA"/>
        </w:rPr>
        <w:t xml:space="preserve">من الناحية النظرية، يستخدم المقال نظرية اليوبيل </w:t>
      </w:r>
      <w:proofErr w:type="spellStart"/>
      <w:r w:rsidRPr="009C3F07">
        <w:rPr>
          <w:rFonts w:cs="Times New Roman"/>
          <w:sz w:val="22"/>
          <w:szCs w:val="22"/>
          <w:rtl/>
          <w:lang w:bidi="ar-SA"/>
        </w:rPr>
        <w:t>لكينجدون</w:t>
      </w:r>
      <w:proofErr w:type="spellEnd"/>
      <w:r w:rsidRPr="009C3F07">
        <w:rPr>
          <w:rFonts w:cs="Times New Roman"/>
          <w:sz w:val="22"/>
          <w:szCs w:val="22"/>
          <w:rtl/>
          <w:lang w:bidi="ar-SA"/>
        </w:rPr>
        <w:t xml:space="preserve"> </w:t>
      </w:r>
      <w:r w:rsidRPr="009C3F07">
        <w:rPr>
          <w:rFonts w:cs="Times New Roman"/>
          <w:sz w:val="22"/>
          <w:szCs w:val="22"/>
          <w:rtl/>
        </w:rPr>
        <w:t>(</w:t>
      </w:r>
      <w:proofErr w:type="spellStart"/>
      <w:r w:rsidRPr="009C3F07">
        <w:rPr>
          <w:rFonts w:cs="Times New Roman"/>
          <w:sz w:val="22"/>
          <w:szCs w:val="22"/>
        </w:rPr>
        <w:t>Kingdon</w:t>
      </w:r>
      <w:proofErr w:type="spellEnd"/>
      <w:r w:rsidRPr="009C3F07">
        <w:rPr>
          <w:rFonts w:cs="Times New Roman"/>
          <w:sz w:val="22"/>
          <w:szCs w:val="22"/>
        </w:rPr>
        <w:t>, 1984</w:t>
      </w:r>
      <w:r w:rsidRPr="009C3F07">
        <w:rPr>
          <w:rFonts w:cs="Times New Roman"/>
          <w:sz w:val="22"/>
          <w:szCs w:val="22"/>
          <w:rtl/>
        </w:rPr>
        <w:t>)</w:t>
      </w:r>
      <w:r w:rsidRPr="009C3F07">
        <w:rPr>
          <w:rFonts w:cs="Times New Roman"/>
          <w:sz w:val="22"/>
          <w:szCs w:val="22"/>
          <w:rtl/>
          <w:lang w:bidi="ar-SA"/>
        </w:rPr>
        <w:t>،</w:t>
      </w:r>
      <w:r w:rsidRPr="009C3F07">
        <w:rPr>
          <w:rFonts w:cs="Times New Roman"/>
          <w:sz w:val="22"/>
          <w:szCs w:val="22"/>
          <w:rtl/>
        </w:rPr>
        <w:t xml:space="preserve"> </w:t>
      </w:r>
      <w:r w:rsidRPr="009C3F07">
        <w:rPr>
          <w:rFonts w:cs="Times New Roman"/>
          <w:sz w:val="22"/>
          <w:szCs w:val="22"/>
          <w:rtl/>
          <w:lang w:bidi="ar-SA"/>
        </w:rPr>
        <w:t>ويستند عليها لتحليل تطوير السياسات</w:t>
      </w:r>
      <w:r w:rsidRPr="009C3F07">
        <w:rPr>
          <w:rFonts w:cs="Times New Roman"/>
          <w:sz w:val="22"/>
          <w:szCs w:val="22"/>
          <w:rtl/>
          <w:lang w:bidi="ar"/>
        </w:rPr>
        <w:t xml:space="preserve">. </w:t>
      </w:r>
      <w:r w:rsidRPr="009C3F07">
        <w:rPr>
          <w:rFonts w:cs="Times New Roman"/>
          <w:sz w:val="22"/>
          <w:szCs w:val="22"/>
          <w:rtl/>
          <w:lang w:bidi="ar-SA"/>
        </w:rPr>
        <w:t xml:space="preserve">من الناحية المنهجية، تستند المقالة إلى </w:t>
      </w:r>
      <w:r w:rsidRPr="009C3F07">
        <w:rPr>
          <w:rFonts w:cs="Times New Roman"/>
          <w:sz w:val="22"/>
          <w:szCs w:val="22"/>
          <w:rtl/>
          <w:lang w:bidi="ar"/>
        </w:rPr>
        <w:t xml:space="preserve">17 </w:t>
      </w:r>
      <w:r w:rsidRPr="009C3F07">
        <w:rPr>
          <w:rFonts w:cs="Times New Roman"/>
          <w:sz w:val="22"/>
          <w:szCs w:val="22"/>
          <w:rtl/>
          <w:lang w:bidi="ar-SA"/>
        </w:rPr>
        <w:t>مقابلة مع أصحاب المصلحة الرئيسيين في تصميم وتطوير برنامج التوفير لكل طفل، بما في ذلك أكاديميين، صناع السياسات في الوزارات الحكومية وكيانات المجتمع الثالث الذين شاركوا في تطوير المبادرة، وكذلك المستندات ذات الصلة والمنشورات الصحفية</w:t>
      </w:r>
      <w:r w:rsidRPr="009C3F07">
        <w:rPr>
          <w:rFonts w:cs="Times New Roman"/>
          <w:sz w:val="22"/>
          <w:szCs w:val="22"/>
          <w:rtl/>
          <w:lang w:bidi="ar"/>
        </w:rPr>
        <w:t xml:space="preserve">. </w:t>
      </w:r>
      <w:r w:rsidRPr="009C3F07">
        <w:rPr>
          <w:rFonts w:cs="Times New Roman"/>
          <w:sz w:val="22"/>
          <w:szCs w:val="22"/>
          <w:rtl/>
          <w:lang w:bidi="ar-SA"/>
        </w:rPr>
        <w:t xml:space="preserve">كشف تحليل المقابلات والمستندات والمنشورات أنه وفقًا لنظرية اليوبيل، منذ عام </w:t>
      </w:r>
      <w:r w:rsidRPr="009C3F07">
        <w:rPr>
          <w:rFonts w:cs="Times New Roman"/>
          <w:sz w:val="22"/>
          <w:szCs w:val="22"/>
          <w:rtl/>
          <w:lang w:bidi="ar"/>
        </w:rPr>
        <w:t xml:space="preserve">2000 </w:t>
      </w:r>
      <w:r w:rsidRPr="009C3F07">
        <w:rPr>
          <w:rFonts w:cs="Times New Roman"/>
          <w:sz w:val="22"/>
          <w:szCs w:val="22"/>
          <w:rtl/>
          <w:lang w:bidi="ar-SA"/>
        </w:rPr>
        <w:t xml:space="preserve">حتى قرار تنفيذ السياسة في عام </w:t>
      </w:r>
      <w:r w:rsidRPr="009C3F07">
        <w:rPr>
          <w:rFonts w:cs="Times New Roman"/>
          <w:sz w:val="22"/>
          <w:szCs w:val="22"/>
          <w:rtl/>
          <w:lang w:bidi="ar"/>
        </w:rPr>
        <w:t>2015</w:t>
      </w:r>
      <w:r w:rsidRPr="009C3F07">
        <w:rPr>
          <w:rFonts w:cs="Times New Roman"/>
          <w:sz w:val="22"/>
          <w:szCs w:val="22"/>
          <w:rtl/>
          <w:lang w:bidi="ar-SA"/>
        </w:rPr>
        <w:t>، تم بذل جهود لتعزيز سياسات التوفير للأطفال في إسرائيل في اليوبيل السياسي واليوبيل السياسي، من قبل مختلف صانعي السياسات، وركزت التوصيات على برنامج توفير انتقائي وخطط تجريبية</w:t>
      </w:r>
      <w:r w:rsidRPr="009C3F07">
        <w:rPr>
          <w:rFonts w:cs="Times New Roman"/>
          <w:sz w:val="22"/>
          <w:szCs w:val="22"/>
          <w:rtl/>
          <w:lang w:bidi="ar"/>
        </w:rPr>
        <w:t>.</w:t>
      </w:r>
      <w:r w:rsidRPr="009C3F07">
        <w:rPr>
          <w:rFonts w:cs="Times New Roman"/>
          <w:sz w:val="22"/>
          <w:szCs w:val="22"/>
          <w:rtl/>
          <w:lang w:bidi="ar-SA"/>
        </w:rPr>
        <w:t xml:space="preserve"> بدأت المبادرة في الأكاديمية، ولاحقًا عمل صناع السياسات من وزارة الرفاه ومؤسسة التأمين الوطني جنبًا إلى جنب مع أكاديميين آخرين، لصياغة نسخ مختلفة من هذه السياسة</w:t>
      </w:r>
      <w:r w:rsidRPr="009C3F07">
        <w:rPr>
          <w:rFonts w:cs="Times New Roman"/>
          <w:sz w:val="22"/>
          <w:szCs w:val="22"/>
          <w:rtl/>
          <w:lang w:bidi="ar"/>
        </w:rPr>
        <w:t xml:space="preserve">. </w:t>
      </w:r>
      <w:r w:rsidRPr="009C3F07">
        <w:rPr>
          <w:rFonts w:cs="Times New Roman"/>
          <w:sz w:val="22"/>
          <w:szCs w:val="22"/>
          <w:rtl/>
          <w:lang w:bidi="ar-SA"/>
        </w:rPr>
        <w:t>في الممارسة العملية، تم المصادقة على السياسة كقانون</w:t>
      </w:r>
      <w:r w:rsidRPr="009C3F07">
        <w:rPr>
          <w:rFonts w:cs="Times New Roman"/>
          <w:sz w:val="22"/>
          <w:szCs w:val="22"/>
          <w:rtl/>
          <w:lang w:bidi="ar"/>
        </w:rPr>
        <w:t xml:space="preserve"> </w:t>
      </w:r>
      <w:r w:rsidRPr="009C3F07">
        <w:rPr>
          <w:rFonts w:cs="Times New Roman"/>
          <w:sz w:val="22"/>
          <w:szCs w:val="22"/>
          <w:rtl/>
          <w:lang w:bidi="ar-SA"/>
        </w:rPr>
        <w:t>فقط بعد فتح نافذة الفرص السياسية</w:t>
      </w:r>
      <w:r w:rsidRPr="009C3F07">
        <w:rPr>
          <w:rFonts w:cs="Times New Roman"/>
          <w:sz w:val="22"/>
          <w:szCs w:val="22"/>
          <w:rtl/>
          <w:lang w:bidi="ar"/>
        </w:rPr>
        <w:t xml:space="preserve">. </w:t>
      </w:r>
      <w:r w:rsidRPr="009C3F07">
        <w:rPr>
          <w:rFonts w:cs="Times New Roman"/>
          <w:sz w:val="22"/>
          <w:szCs w:val="22"/>
          <w:rtl/>
          <w:lang w:bidi="ar-SA"/>
        </w:rPr>
        <w:t>يختتم المقال بمناقشة دور صانعي السياسة في سياق تعزيز سياسة التوفير لكل طفل، والعوامل المختلفة التي جعلت من الممكن تنفيذها في إسرائيل</w:t>
      </w:r>
      <w:r w:rsidRPr="009C3F07">
        <w:rPr>
          <w:rFonts w:cs="Times New Roman"/>
          <w:sz w:val="22"/>
          <w:szCs w:val="22"/>
        </w:rPr>
        <w:t>.</w:t>
      </w:r>
    </w:p>
    <w:p w14:paraId="5E70F5DC" w14:textId="2E94F48E" w:rsidR="009376F3" w:rsidRDefault="009376F3" w:rsidP="009C3F07">
      <w:pPr>
        <w:spacing w:after="180" w:line="280" w:lineRule="exact"/>
        <w:jc w:val="both"/>
        <w:rPr>
          <w:rFonts w:cs="Times New Roman"/>
          <w:sz w:val="22"/>
          <w:szCs w:val="22"/>
        </w:rPr>
      </w:pPr>
    </w:p>
    <w:p w14:paraId="2376BA30" w14:textId="77777777" w:rsidR="009376F3" w:rsidRPr="009C3F07" w:rsidRDefault="009376F3" w:rsidP="009C3F07">
      <w:pPr>
        <w:spacing w:after="180" w:line="280" w:lineRule="exact"/>
        <w:jc w:val="both"/>
        <w:rPr>
          <w:rFonts w:cs="Times New Roman"/>
          <w:b/>
          <w:bCs/>
          <w:sz w:val="22"/>
          <w:szCs w:val="22"/>
          <w:rtl/>
        </w:rPr>
      </w:pPr>
    </w:p>
    <w:p w14:paraId="524062F8" w14:textId="77777777" w:rsidR="003146FE" w:rsidRPr="009376F3" w:rsidRDefault="003146FE" w:rsidP="009376F3">
      <w:pPr>
        <w:pStyle w:val="Heading1"/>
        <w:spacing w:line="440" w:lineRule="exact"/>
        <w:rPr>
          <w:rFonts w:cs="Times New Roman"/>
          <w:color w:val="00B0F0"/>
          <w:rtl/>
          <w:lang w:eastAsia="he-IL"/>
        </w:rPr>
      </w:pPr>
      <w:r w:rsidRPr="009376F3">
        <w:rPr>
          <w:rFonts w:cs="Times New Roman"/>
          <w:color w:val="00B0F0"/>
          <w:rtl/>
          <w:lang w:eastAsia="he-IL" w:bidi="ar-SA"/>
        </w:rPr>
        <w:t>توفير لكل طفل؟ حول وضع الأطفال والشباب الذين لا سند عائلي لديهم</w:t>
      </w:r>
    </w:p>
    <w:p w14:paraId="0B21AC2C" w14:textId="21127E6A" w:rsidR="003146FE" w:rsidRPr="009376F3" w:rsidRDefault="003146FE" w:rsidP="009376F3">
      <w:pPr>
        <w:pStyle w:val="KOT5T"/>
        <w:spacing w:before="0" w:after="240" w:line="280" w:lineRule="exact"/>
        <w:ind w:right="0"/>
        <w:jc w:val="left"/>
        <w:rPr>
          <w:rFonts w:ascii="Times New Roman" w:hAnsi="Times New Roman" w:cs="Times New Roman"/>
          <w:b w:val="0"/>
          <w:bCs w:val="0"/>
          <w:color w:val="auto"/>
          <w:lang w:bidi="ar-SA"/>
        </w:rPr>
      </w:pPr>
      <w:r w:rsidRPr="009376F3">
        <w:rPr>
          <w:rFonts w:ascii="Times New Roman" w:hAnsi="Times New Roman" w:cs="Times New Roman"/>
          <w:b w:val="0"/>
          <w:bCs w:val="0"/>
          <w:color w:val="auto"/>
          <w:rtl/>
          <w:lang w:bidi="ar-SA"/>
        </w:rPr>
        <w:t xml:space="preserve">ليرون </w:t>
      </w:r>
      <w:proofErr w:type="spellStart"/>
      <w:r w:rsidRPr="009376F3">
        <w:rPr>
          <w:rFonts w:ascii="Times New Roman" w:hAnsi="Times New Roman" w:cs="Times New Roman"/>
          <w:b w:val="0"/>
          <w:bCs w:val="0"/>
          <w:color w:val="auto"/>
          <w:rtl/>
          <w:lang w:bidi="ar-SA"/>
        </w:rPr>
        <w:t>إشل</w:t>
      </w:r>
      <w:proofErr w:type="spellEnd"/>
      <w:r w:rsidR="009376F3" w:rsidRPr="009376F3">
        <w:rPr>
          <w:b w:val="0"/>
          <w:bCs w:val="0"/>
          <w:color w:val="auto"/>
          <w:vertAlign w:val="superscript"/>
          <w:rtl/>
        </w:rPr>
        <w:footnoteReference w:id="9"/>
      </w:r>
      <w:r w:rsidRPr="009376F3">
        <w:rPr>
          <w:rFonts w:ascii="Times New Roman" w:hAnsi="Times New Roman" w:cs="Times New Roman"/>
          <w:b w:val="0"/>
          <w:bCs w:val="0"/>
          <w:color w:val="auto"/>
          <w:rtl/>
        </w:rPr>
        <w:t xml:space="preserve"> </w:t>
      </w:r>
      <w:r w:rsidRPr="009376F3">
        <w:rPr>
          <w:rFonts w:ascii="Times New Roman" w:hAnsi="Times New Roman" w:cs="Times New Roman"/>
          <w:b w:val="0"/>
          <w:bCs w:val="0"/>
          <w:color w:val="auto"/>
          <w:rtl/>
          <w:lang w:bidi="ar-SA"/>
        </w:rPr>
        <w:t xml:space="preserve">وشيران </w:t>
      </w:r>
      <w:proofErr w:type="spellStart"/>
      <w:r w:rsidRPr="009376F3">
        <w:rPr>
          <w:rFonts w:ascii="Times New Roman" w:hAnsi="Times New Roman" w:cs="Times New Roman"/>
          <w:b w:val="0"/>
          <w:bCs w:val="0"/>
          <w:color w:val="auto"/>
          <w:rtl/>
          <w:lang w:bidi="ar-SA"/>
        </w:rPr>
        <w:t>رايخنبرغ</w:t>
      </w:r>
      <w:proofErr w:type="spellEnd"/>
      <w:r w:rsidR="009376F3" w:rsidRPr="009376F3">
        <w:rPr>
          <w:b w:val="0"/>
          <w:bCs w:val="0"/>
          <w:color w:val="auto"/>
          <w:vertAlign w:val="superscript"/>
          <w:rtl/>
        </w:rPr>
        <w:footnoteReference w:id="10"/>
      </w:r>
      <w:r w:rsidRPr="009376F3">
        <w:rPr>
          <w:rFonts w:ascii="Times New Roman" w:hAnsi="Times New Roman" w:cs="Times New Roman"/>
          <w:b w:val="0"/>
          <w:bCs w:val="0"/>
          <w:color w:val="auto"/>
          <w:rtl/>
        </w:rPr>
        <w:t xml:space="preserve"> </w:t>
      </w:r>
    </w:p>
    <w:p w14:paraId="2DEF6868" w14:textId="77777777" w:rsidR="009376F3" w:rsidRPr="004772F9" w:rsidRDefault="009376F3" w:rsidP="009376F3">
      <w:pPr>
        <w:pStyle w:val="BodyText2"/>
        <w:keepNext/>
        <w:keepLines/>
        <w:rPr>
          <w:rFonts w:cs="Times New Roman"/>
          <w:sz w:val="22"/>
          <w:szCs w:val="22"/>
          <w:rtl/>
        </w:rPr>
      </w:pPr>
    </w:p>
    <w:p w14:paraId="3D6697C1" w14:textId="548534EC" w:rsidR="003146FE" w:rsidRDefault="003146FE" w:rsidP="009C3F07">
      <w:pPr>
        <w:spacing w:after="180" w:line="280" w:lineRule="exact"/>
        <w:jc w:val="both"/>
        <w:rPr>
          <w:rFonts w:cs="Times New Roman"/>
          <w:sz w:val="22"/>
          <w:szCs w:val="22"/>
          <w:lang w:bidi="ar"/>
        </w:rPr>
      </w:pPr>
      <w:r w:rsidRPr="009C3F07">
        <w:rPr>
          <w:rFonts w:cs="Times New Roman"/>
          <w:sz w:val="22"/>
          <w:szCs w:val="22"/>
          <w:rtl/>
          <w:lang w:bidi="ar-SA"/>
        </w:rPr>
        <w:t>يسلط هذا المقال الضوء على الصعوبات الفريدة التي تنشأ من الشكل الحالي لبرنامج التوفير لكل طفل للشباب والشابات الذين ليس لديهم سند عائلي، والعوائق القائمة لتخليص حقوقهم، والملائمات المطلوبة للبرنامج لتحقيق غرضه</w:t>
      </w:r>
      <w:r w:rsidRPr="009C3F07">
        <w:rPr>
          <w:rFonts w:cs="Times New Roman"/>
          <w:sz w:val="22"/>
          <w:szCs w:val="22"/>
          <w:rtl/>
          <w:lang w:bidi="ar"/>
        </w:rPr>
        <w:t xml:space="preserve">. </w:t>
      </w:r>
      <w:r w:rsidRPr="009C3F07">
        <w:rPr>
          <w:rFonts w:cs="Times New Roman"/>
          <w:sz w:val="22"/>
          <w:szCs w:val="22"/>
          <w:rtl/>
          <w:lang w:bidi="ar-SA"/>
        </w:rPr>
        <w:t>إلى جانب الصعوبات المختلفة التي كان على الشباب الذين ليس لديهم سند عائلي</w:t>
      </w:r>
      <w:r w:rsidRPr="009C3F07">
        <w:rPr>
          <w:rFonts w:cs="Times New Roman"/>
          <w:sz w:val="22"/>
          <w:szCs w:val="22"/>
          <w:rtl/>
          <w:lang w:bidi="ar"/>
        </w:rPr>
        <w:t xml:space="preserve"> </w:t>
      </w:r>
      <w:r w:rsidRPr="009C3F07">
        <w:rPr>
          <w:rFonts w:cs="Times New Roman"/>
          <w:sz w:val="22"/>
          <w:szCs w:val="22"/>
          <w:rtl/>
          <w:lang w:bidi="ar-SA"/>
        </w:rPr>
        <w:t xml:space="preserve">للتغلب عليها على مر السنين، عند بلوغهم سن </w:t>
      </w:r>
      <w:r w:rsidRPr="009C3F07">
        <w:rPr>
          <w:rFonts w:cs="Times New Roman"/>
          <w:sz w:val="22"/>
          <w:szCs w:val="22"/>
          <w:rtl/>
          <w:lang w:bidi="ar"/>
        </w:rPr>
        <w:t xml:space="preserve">18 </w:t>
      </w:r>
      <w:r w:rsidRPr="009C3F07">
        <w:rPr>
          <w:rFonts w:cs="Times New Roman"/>
          <w:sz w:val="22"/>
          <w:szCs w:val="22"/>
          <w:rtl/>
          <w:lang w:bidi="ar-SA"/>
        </w:rPr>
        <w:t>عامًا، يتعين عليهم التعامل مع الانتقال المعقد إلى العيش المستقل</w:t>
      </w:r>
      <w:r w:rsidRPr="009C3F07">
        <w:rPr>
          <w:rFonts w:cs="Times New Roman"/>
          <w:sz w:val="22"/>
          <w:szCs w:val="22"/>
          <w:rtl/>
          <w:lang w:bidi="ar"/>
        </w:rPr>
        <w:t xml:space="preserve">. </w:t>
      </w:r>
      <w:r w:rsidRPr="009C3F07">
        <w:rPr>
          <w:rFonts w:cs="Times New Roman"/>
          <w:sz w:val="22"/>
          <w:szCs w:val="22"/>
          <w:rtl/>
          <w:lang w:bidi="ar-SA"/>
        </w:rPr>
        <w:t>لذلك، عندما ينتهي الالتزام القانوني للاهتمام</w:t>
      </w:r>
      <w:r w:rsidRPr="009C3F07">
        <w:rPr>
          <w:rFonts w:cs="Times New Roman"/>
          <w:sz w:val="22"/>
          <w:szCs w:val="22"/>
          <w:rtl/>
          <w:lang w:bidi="ar"/>
        </w:rPr>
        <w:t xml:space="preserve"> </w:t>
      </w:r>
      <w:r w:rsidRPr="009C3F07">
        <w:rPr>
          <w:rFonts w:cs="Times New Roman"/>
          <w:sz w:val="22"/>
          <w:szCs w:val="22"/>
          <w:rtl/>
          <w:lang w:bidi="ar-SA"/>
        </w:rPr>
        <w:t xml:space="preserve">بقضيتهم، يتم قطع </w:t>
      </w:r>
      <w:r w:rsidRPr="009C3F07">
        <w:rPr>
          <w:rFonts w:cs="Times New Roman"/>
          <w:sz w:val="22"/>
          <w:szCs w:val="22"/>
          <w:rtl/>
          <w:lang w:bidi="ar-SA"/>
        </w:rPr>
        <w:lastRenderedPageBreak/>
        <w:t>تسلسل الرعاية والدعم، وتقل الردود المقدمة لهم في سياقات التوظيف، السكن، الدراسة وغير ذلك</w:t>
      </w:r>
      <w:r w:rsidRPr="009C3F07">
        <w:rPr>
          <w:rFonts w:cs="Times New Roman"/>
          <w:sz w:val="22"/>
          <w:szCs w:val="22"/>
          <w:rtl/>
          <w:lang w:bidi="ar"/>
        </w:rPr>
        <w:t xml:space="preserve">. </w:t>
      </w:r>
      <w:r w:rsidRPr="009C3F07">
        <w:rPr>
          <w:rFonts w:cs="Times New Roman"/>
          <w:sz w:val="22"/>
          <w:szCs w:val="22"/>
          <w:rtl/>
          <w:lang w:bidi="ar-SA"/>
        </w:rPr>
        <w:t>يضطر الشباب، الذين غالبًا ما يفتقرون إلى أنظمة الدعم، وبعضهم يأتي من عائلات</w:t>
      </w:r>
      <w:r w:rsidRPr="009C3F07">
        <w:rPr>
          <w:rFonts w:cs="Times New Roman"/>
          <w:sz w:val="22"/>
          <w:szCs w:val="22"/>
          <w:rtl/>
          <w:lang w:bidi="ar"/>
        </w:rPr>
        <w:t xml:space="preserve"> </w:t>
      </w:r>
      <w:r w:rsidRPr="009C3F07">
        <w:rPr>
          <w:rFonts w:cs="Times New Roman"/>
          <w:sz w:val="22"/>
          <w:szCs w:val="22"/>
          <w:rtl/>
          <w:lang w:bidi="ar-SA"/>
        </w:rPr>
        <w:t xml:space="preserve">ذات وضع اجتماعي واقتصادي منخفض، على التعامل بشكل مستقل مع </w:t>
      </w:r>
      <w:r w:rsidRPr="009C3F07">
        <w:rPr>
          <w:rFonts w:cs="Times New Roman"/>
          <w:sz w:val="22"/>
          <w:szCs w:val="22"/>
          <w:rtl/>
          <w:lang w:bidi="ar"/>
        </w:rPr>
        <w:t>"</w:t>
      </w:r>
      <w:r w:rsidRPr="009C3F07">
        <w:rPr>
          <w:rFonts w:cs="Times New Roman"/>
          <w:sz w:val="22"/>
          <w:szCs w:val="22"/>
          <w:rtl/>
          <w:lang w:bidi="ar-SA"/>
        </w:rPr>
        <w:t>عالم الكبار</w:t>
      </w:r>
      <w:r w:rsidRPr="009C3F07">
        <w:rPr>
          <w:rFonts w:cs="Times New Roman"/>
          <w:sz w:val="22"/>
          <w:szCs w:val="22"/>
          <w:rtl/>
          <w:lang w:bidi="ar"/>
        </w:rPr>
        <w:t xml:space="preserve">" </w:t>
      </w:r>
      <w:r w:rsidRPr="009C3F07">
        <w:rPr>
          <w:rFonts w:cs="Times New Roman"/>
          <w:sz w:val="22"/>
          <w:szCs w:val="22"/>
          <w:rtl/>
          <w:lang w:bidi="ar-SA"/>
        </w:rPr>
        <w:t xml:space="preserve">في سن </w:t>
      </w:r>
      <w:r w:rsidRPr="009C3F07">
        <w:rPr>
          <w:rFonts w:cs="Times New Roman"/>
          <w:sz w:val="22"/>
          <w:szCs w:val="22"/>
          <w:rtl/>
          <w:lang w:bidi="ar"/>
        </w:rPr>
        <w:t>18</w:t>
      </w:r>
      <w:r w:rsidRPr="009C3F07">
        <w:rPr>
          <w:rFonts w:cs="Times New Roman"/>
          <w:sz w:val="22"/>
          <w:szCs w:val="22"/>
          <w:rtl/>
          <w:lang w:bidi="ar-SA"/>
        </w:rPr>
        <w:t>، دون توجيه أو دعم</w:t>
      </w:r>
      <w:r w:rsidRPr="009C3F07">
        <w:rPr>
          <w:rFonts w:cs="Times New Roman"/>
          <w:sz w:val="22"/>
          <w:szCs w:val="22"/>
          <w:rtl/>
          <w:lang w:bidi="ar"/>
        </w:rPr>
        <w:t xml:space="preserve">. </w:t>
      </w:r>
      <w:r w:rsidRPr="009C3F07">
        <w:rPr>
          <w:rFonts w:cs="Times New Roman"/>
          <w:sz w:val="22"/>
          <w:szCs w:val="22"/>
          <w:rtl/>
          <w:lang w:bidi="ar-SA"/>
        </w:rPr>
        <w:t>حدد برنامج التوفير لكل طفل لنفسه</w:t>
      </w:r>
      <w:r w:rsidRPr="009C3F07">
        <w:rPr>
          <w:rFonts w:cs="Times New Roman"/>
          <w:sz w:val="22"/>
          <w:szCs w:val="22"/>
          <w:rtl/>
          <w:lang w:bidi="ar"/>
        </w:rPr>
        <w:t xml:space="preserve"> </w:t>
      </w:r>
      <w:r w:rsidRPr="009C3F07">
        <w:rPr>
          <w:rFonts w:cs="Times New Roman"/>
          <w:sz w:val="22"/>
          <w:szCs w:val="22"/>
          <w:rtl/>
          <w:lang w:bidi="ar-SA"/>
        </w:rPr>
        <w:t>عدة أهداف، بما في ذلك تقليص الفجوات الاجتماعية واستخدام الأطفال بأنفسهم</w:t>
      </w:r>
      <w:r w:rsidRPr="009C3F07">
        <w:rPr>
          <w:rFonts w:cs="Times New Roman"/>
          <w:sz w:val="22"/>
          <w:szCs w:val="22"/>
          <w:rtl/>
          <w:lang w:bidi="ar"/>
        </w:rPr>
        <w:t xml:space="preserve"> </w:t>
      </w:r>
      <w:r w:rsidRPr="009C3F07">
        <w:rPr>
          <w:rFonts w:cs="Times New Roman"/>
          <w:sz w:val="22"/>
          <w:szCs w:val="22"/>
          <w:rtl/>
          <w:lang w:bidi="ar-SA"/>
        </w:rPr>
        <w:t>الأموال المتراكمة في البرنامج</w:t>
      </w:r>
      <w:r w:rsidRPr="009C3F07">
        <w:rPr>
          <w:rFonts w:cs="Times New Roman"/>
          <w:sz w:val="22"/>
          <w:szCs w:val="22"/>
          <w:rtl/>
          <w:lang w:bidi="ar"/>
        </w:rPr>
        <w:t xml:space="preserve">. </w:t>
      </w:r>
      <w:r w:rsidRPr="009C3F07">
        <w:rPr>
          <w:rFonts w:cs="Times New Roman"/>
          <w:sz w:val="22"/>
          <w:szCs w:val="22"/>
          <w:rtl/>
          <w:lang w:bidi="ar-SA"/>
        </w:rPr>
        <w:t xml:space="preserve">إلا أن طريقة تنفيذه تجعل من الصعب تحقيق أهدافه، وتؤدي إلى استمرار الفوارق الاجتماعية وتقييد الشباب بسبب شرط سحب الأموال في سن </w:t>
      </w:r>
      <w:r w:rsidRPr="009C3F07">
        <w:rPr>
          <w:rFonts w:cs="Times New Roman"/>
          <w:sz w:val="22"/>
          <w:szCs w:val="22"/>
          <w:rtl/>
          <w:lang w:bidi="ar"/>
        </w:rPr>
        <w:t xml:space="preserve">18 </w:t>
      </w:r>
      <w:r w:rsidRPr="009C3F07">
        <w:rPr>
          <w:rFonts w:cs="Times New Roman"/>
          <w:sz w:val="22"/>
          <w:szCs w:val="22"/>
          <w:rtl/>
          <w:lang w:bidi="ar-SA"/>
        </w:rPr>
        <w:t>بموافقة الوالدين</w:t>
      </w:r>
      <w:r w:rsidRPr="009C3F07">
        <w:rPr>
          <w:rFonts w:cs="Times New Roman"/>
          <w:sz w:val="22"/>
          <w:szCs w:val="22"/>
          <w:rtl/>
          <w:lang w:bidi="ar"/>
        </w:rPr>
        <w:t xml:space="preserve">. </w:t>
      </w:r>
      <w:r w:rsidRPr="009C3F07">
        <w:rPr>
          <w:rFonts w:cs="Times New Roman"/>
          <w:sz w:val="22"/>
          <w:szCs w:val="22"/>
          <w:rtl/>
          <w:lang w:bidi="ar-SA"/>
        </w:rPr>
        <w:t>نقترح عدة حلول لهذا الأمر</w:t>
      </w:r>
      <w:r w:rsidRPr="009C3F07">
        <w:rPr>
          <w:rFonts w:cs="Times New Roman"/>
          <w:sz w:val="22"/>
          <w:szCs w:val="22"/>
          <w:rtl/>
          <w:lang w:bidi="ar"/>
        </w:rPr>
        <w:t>:</w:t>
      </w:r>
      <w:r w:rsidRPr="009C3F07">
        <w:rPr>
          <w:rFonts w:cs="Times New Roman"/>
          <w:sz w:val="22"/>
          <w:szCs w:val="22"/>
          <w:rtl/>
          <w:lang w:bidi="ar-SA"/>
        </w:rPr>
        <w:t xml:space="preserve"> إضافة ردود فريدة نيابة عن الدولة للشباب الذين ليس لديهم سند عائلي، إلغاء الحاجة إلى موافقة الوالدين لسحب الأموال في سن </w:t>
      </w:r>
      <w:r w:rsidRPr="009C3F07">
        <w:rPr>
          <w:rFonts w:cs="Times New Roman"/>
          <w:sz w:val="22"/>
          <w:szCs w:val="22"/>
          <w:rtl/>
          <w:lang w:bidi="ar"/>
        </w:rPr>
        <w:t>18</w:t>
      </w:r>
      <w:r w:rsidRPr="009C3F07">
        <w:rPr>
          <w:rFonts w:cs="Times New Roman"/>
          <w:sz w:val="22"/>
          <w:szCs w:val="22"/>
          <w:rtl/>
          <w:lang w:bidi="ar-SA"/>
        </w:rPr>
        <w:t>،</w:t>
      </w:r>
      <w:r w:rsidRPr="009C3F07">
        <w:rPr>
          <w:rFonts w:cs="Times New Roman"/>
          <w:sz w:val="22"/>
          <w:szCs w:val="22"/>
          <w:rtl/>
          <w:lang w:bidi="ar"/>
        </w:rPr>
        <w:t xml:space="preserve"> </w:t>
      </w:r>
      <w:r w:rsidRPr="009C3F07">
        <w:rPr>
          <w:rFonts w:cs="Times New Roman"/>
          <w:sz w:val="22"/>
          <w:szCs w:val="22"/>
          <w:rtl/>
          <w:lang w:bidi="ar-SA"/>
        </w:rPr>
        <w:t>وتعليم الإدارة الاقتصادية الصحيحة</w:t>
      </w:r>
      <w:r w:rsidRPr="009C3F07">
        <w:rPr>
          <w:rFonts w:cs="Times New Roman"/>
          <w:sz w:val="22"/>
          <w:szCs w:val="22"/>
          <w:rtl/>
          <w:lang w:bidi="ar"/>
        </w:rPr>
        <w:t>.</w:t>
      </w:r>
    </w:p>
    <w:p w14:paraId="154C2518" w14:textId="2537B7A7" w:rsidR="009376F3" w:rsidRDefault="009376F3" w:rsidP="009C3F07">
      <w:pPr>
        <w:spacing w:after="180" w:line="280" w:lineRule="exact"/>
        <w:jc w:val="both"/>
        <w:rPr>
          <w:rFonts w:cs="Times New Roman"/>
          <w:sz w:val="22"/>
          <w:szCs w:val="22"/>
          <w:lang w:bidi="ar"/>
        </w:rPr>
      </w:pPr>
    </w:p>
    <w:p w14:paraId="658D4267" w14:textId="77777777" w:rsidR="009376F3" w:rsidRPr="009C3F07" w:rsidRDefault="009376F3" w:rsidP="009C3F07">
      <w:pPr>
        <w:spacing w:after="180" w:line="280" w:lineRule="exact"/>
        <w:jc w:val="both"/>
        <w:rPr>
          <w:rFonts w:cs="Times New Roman"/>
          <w:b/>
          <w:bCs/>
          <w:sz w:val="22"/>
          <w:szCs w:val="22"/>
          <w:rtl/>
        </w:rPr>
      </w:pPr>
    </w:p>
    <w:p w14:paraId="46113FEE" w14:textId="77777777" w:rsidR="003146FE" w:rsidRPr="009376F3" w:rsidRDefault="003146FE" w:rsidP="009376F3">
      <w:pPr>
        <w:pStyle w:val="Heading1"/>
        <w:spacing w:line="440" w:lineRule="exact"/>
        <w:rPr>
          <w:rFonts w:cs="Times New Roman"/>
          <w:color w:val="00B0F0"/>
          <w:rtl/>
          <w:lang w:eastAsia="he-IL"/>
        </w:rPr>
      </w:pPr>
      <w:r w:rsidRPr="009376F3">
        <w:rPr>
          <w:rFonts w:cs="Times New Roman"/>
          <w:color w:val="00B0F0"/>
          <w:rtl/>
          <w:lang w:eastAsia="he-IL"/>
        </w:rPr>
        <w:t>"</w:t>
      </w:r>
      <w:r w:rsidRPr="009376F3">
        <w:rPr>
          <w:rFonts w:cs="Times New Roman"/>
          <w:color w:val="00B0F0"/>
          <w:rtl/>
          <w:lang w:eastAsia="he-IL" w:bidi="ar-SA"/>
        </w:rPr>
        <w:t>توفير لكل طفل</w:t>
      </w:r>
      <w:r w:rsidRPr="009376F3">
        <w:rPr>
          <w:rFonts w:cs="Times New Roman"/>
          <w:color w:val="00B0F0"/>
          <w:rtl/>
          <w:lang w:eastAsia="he-IL"/>
        </w:rPr>
        <w:t xml:space="preserve">" </w:t>
      </w:r>
      <w:r w:rsidRPr="009376F3">
        <w:rPr>
          <w:rFonts w:cs="Times New Roman"/>
          <w:color w:val="00B0F0"/>
          <w:rtl/>
          <w:lang w:eastAsia="he-IL" w:bidi="ar-SA"/>
        </w:rPr>
        <w:t>كتعبير عن التوجه المتمركز حول الطفل وتأثيره على العائلات والأطفال الذين يعيشون في فقر</w:t>
      </w:r>
      <w:r w:rsidRPr="009376F3">
        <w:rPr>
          <w:rFonts w:cs="Times New Roman"/>
          <w:color w:val="00B0F0"/>
          <w:rtl/>
          <w:lang w:eastAsia="he-IL"/>
        </w:rPr>
        <w:t xml:space="preserve"> </w:t>
      </w:r>
    </w:p>
    <w:p w14:paraId="6CFF41EE" w14:textId="32FEE751" w:rsidR="003146FE" w:rsidRPr="009376F3" w:rsidRDefault="003146FE" w:rsidP="009376F3">
      <w:pPr>
        <w:pStyle w:val="KOT5T"/>
        <w:spacing w:before="0" w:after="240" w:line="280" w:lineRule="exact"/>
        <w:ind w:right="0"/>
        <w:jc w:val="left"/>
        <w:rPr>
          <w:rFonts w:ascii="Times New Roman" w:hAnsi="Times New Roman" w:cs="Times New Roman"/>
          <w:b w:val="0"/>
          <w:bCs w:val="0"/>
          <w:color w:val="auto"/>
          <w:rtl/>
        </w:rPr>
      </w:pPr>
      <w:r w:rsidRPr="009376F3">
        <w:rPr>
          <w:rFonts w:ascii="Times New Roman" w:hAnsi="Times New Roman" w:cs="Times New Roman"/>
          <w:b w:val="0"/>
          <w:bCs w:val="0"/>
          <w:color w:val="auto"/>
          <w:rtl/>
          <w:lang w:bidi="ar-SA"/>
        </w:rPr>
        <w:t xml:space="preserve">يوفال </w:t>
      </w:r>
      <w:proofErr w:type="spellStart"/>
      <w:r w:rsidRPr="009376F3">
        <w:rPr>
          <w:rFonts w:ascii="Times New Roman" w:hAnsi="Times New Roman" w:cs="Times New Roman"/>
          <w:b w:val="0"/>
          <w:bCs w:val="0"/>
          <w:color w:val="auto"/>
          <w:rtl/>
          <w:lang w:bidi="ar-SA"/>
        </w:rPr>
        <w:t>ساعار</w:t>
      </w:r>
      <w:proofErr w:type="spellEnd"/>
      <w:r w:rsidRPr="009376F3">
        <w:rPr>
          <w:rFonts w:ascii="Times New Roman" w:hAnsi="Times New Roman" w:cs="Times New Roman"/>
          <w:b w:val="0"/>
          <w:bCs w:val="0"/>
          <w:color w:val="auto"/>
          <w:rtl/>
          <w:lang w:bidi="ar-SA"/>
        </w:rPr>
        <w:t>-هيمان</w:t>
      </w:r>
      <w:r w:rsidR="009376F3" w:rsidRPr="009376F3">
        <w:rPr>
          <w:b w:val="0"/>
          <w:bCs w:val="0"/>
          <w:color w:val="auto"/>
          <w:vertAlign w:val="superscript"/>
          <w:rtl/>
        </w:rPr>
        <w:footnoteReference w:id="11"/>
      </w:r>
    </w:p>
    <w:p w14:paraId="47A4CD5E" w14:textId="77777777" w:rsidR="009376F3" w:rsidRPr="004772F9" w:rsidRDefault="009376F3" w:rsidP="009376F3">
      <w:pPr>
        <w:pStyle w:val="BodyText2"/>
        <w:keepNext/>
        <w:keepLines/>
        <w:rPr>
          <w:rFonts w:cs="Times New Roman"/>
          <w:sz w:val="22"/>
          <w:szCs w:val="22"/>
          <w:rtl/>
        </w:rPr>
      </w:pPr>
    </w:p>
    <w:p w14:paraId="62777C07" w14:textId="6951C2B9" w:rsidR="007D33D3" w:rsidRPr="009C3F07" w:rsidRDefault="003146FE" w:rsidP="00291AD3">
      <w:pPr>
        <w:spacing w:after="180" w:line="280" w:lineRule="exact"/>
        <w:jc w:val="both"/>
        <w:rPr>
          <w:rFonts w:cs="Times New Roman"/>
          <w:sz w:val="22"/>
          <w:szCs w:val="22"/>
          <w:lang w:eastAsia="en-GB"/>
        </w:rPr>
      </w:pPr>
      <w:r w:rsidRPr="009C3F07">
        <w:rPr>
          <w:rFonts w:cs="Times New Roman"/>
          <w:sz w:val="22"/>
          <w:szCs w:val="22"/>
          <w:rtl/>
          <w:lang w:bidi="ar-SA"/>
        </w:rPr>
        <w:t>برنامج التوفير لكل طفل، مثل تدابير السياسة الأخرى، يُعبّر عن تصورات وقيم اجتماعية أوسع من أهدافه المعلنة</w:t>
      </w:r>
      <w:r w:rsidRPr="009C3F07">
        <w:rPr>
          <w:rFonts w:cs="Times New Roman"/>
          <w:sz w:val="22"/>
          <w:szCs w:val="22"/>
          <w:rtl/>
          <w:lang w:bidi="ar"/>
        </w:rPr>
        <w:t xml:space="preserve">. </w:t>
      </w:r>
      <w:r w:rsidRPr="009C3F07">
        <w:rPr>
          <w:rFonts w:cs="Times New Roman"/>
          <w:sz w:val="22"/>
          <w:szCs w:val="22"/>
          <w:rtl/>
          <w:lang w:bidi="ar-SA"/>
        </w:rPr>
        <w:t>لذلك، فإن الفحص الدقيق للافتراضات الأساسية التي يقوم عليها هذا المفهوم يجعل من الممكن التعرف على الطريقة التي تدرك بها دولة إسرائيل مسؤوليتها تجاه الأطفال، وقد أصبح التعبير عن هذا التصور واضحًا في الواقع</w:t>
      </w:r>
      <w:r w:rsidRPr="009C3F07">
        <w:rPr>
          <w:rFonts w:cs="Times New Roman"/>
          <w:sz w:val="22"/>
          <w:szCs w:val="22"/>
          <w:rtl/>
          <w:lang w:bidi="ar"/>
        </w:rPr>
        <w:t xml:space="preserve">. </w:t>
      </w:r>
      <w:r w:rsidRPr="009C3F07">
        <w:rPr>
          <w:rFonts w:cs="Times New Roman"/>
          <w:sz w:val="22"/>
          <w:szCs w:val="22"/>
          <w:rtl/>
          <w:lang w:bidi="ar-SA"/>
        </w:rPr>
        <w:t>على وجه التحديد، ستحلل المقالة كيف يعكس البرنامج مبادئ التوجه المتمركز حول الطفل، بناءً على اتجاهين اجتماعيين</w:t>
      </w:r>
      <w:r w:rsidRPr="009C3F07">
        <w:rPr>
          <w:rFonts w:cs="Times New Roman"/>
          <w:sz w:val="22"/>
          <w:szCs w:val="22"/>
          <w:rtl/>
          <w:lang w:bidi="ar"/>
        </w:rPr>
        <w:t xml:space="preserve">: </w:t>
      </w:r>
      <w:r w:rsidRPr="009C3F07">
        <w:rPr>
          <w:rFonts w:cs="Times New Roman"/>
          <w:sz w:val="22"/>
          <w:szCs w:val="22"/>
          <w:rtl/>
          <w:lang w:bidi="ar-SA"/>
        </w:rPr>
        <w:t>الأول، سياسة الاستثمار الاجتماعي، والتي تؤكد على مسؤولية الدولة في الاستثمار في الأطفال حتى يصبحوا في المستقبل مواطنين منتجين ويمكنهم الاندماج في آليات السوق الحرة؛ والآخر، عملية إضفاء الطابع الفردي على الأطفال، والتي تؤكد أن الأطفال كيانات منفصلة عن عائلاتهم، ولهم علاقة مستقلة بالدولة</w:t>
      </w:r>
      <w:r w:rsidRPr="009C3F07">
        <w:rPr>
          <w:rFonts w:cs="Times New Roman"/>
          <w:sz w:val="22"/>
          <w:szCs w:val="22"/>
          <w:rtl/>
          <w:lang w:bidi="ar"/>
        </w:rPr>
        <w:t xml:space="preserve">. </w:t>
      </w:r>
      <w:r w:rsidRPr="009C3F07">
        <w:rPr>
          <w:rFonts w:cs="Times New Roman"/>
          <w:sz w:val="22"/>
          <w:szCs w:val="22"/>
          <w:rtl/>
          <w:lang w:bidi="ar-SA"/>
        </w:rPr>
        <w:t>يوضح المقال كيف ينعكس كل من هذه الاتجاهات في برنامج التوفير لكل طفل، ويشير إلى كيف أن الجمع بين هذين الاتجاهين يخلق حركة كالملقط التي تمثل عمليات اجتماعية أوسع، وتقوض هذه، الأهداف المعلنة للبرنامج</w:t>
      </w:r>
      <w:r w:rsidRPr="009C3F07">
        <w:rPr>
          <w:rFonts w:cs="Times New Roman"/>
          <w:sz w:val="22"/>
          <w:szCs w:val="22"/>
          <w:rtl/>
          <w:lang w:bidi="ar"/>
        </w:rPr>
        <w:t xml:space="preserve">. </w:t>
      </w:r>
      <w:r w:rsidRPr="009C3F07">
        <w:rPr>
          <w:rFonts w:cs="Times New Roman"/>
          <w:sz w:val="22"/>
          <w:szCs w:val="22"/>
          <w:rtl/>
          <w:lang w:bidi="ar-SA"/>
        </w:rPr>
        <w:t>أي أنها لا تعزز المساواة الاجتماعية بل وتزيد، على المدى القصير والطويل، الفجوات بين الأطفال الذين يعيشون في فقر وأولئك الذين لا يعيشون في فقر</w:t>
      </w:r>
      <w:r w:rsidRPr="009C3F07">
        <w:rPr>
          <w:rFonts w:cs="Times New Roman"/>
          <w:sz w:val="22"/>
          <w:szCs w:val="22"/>
          <w:rtl/>
          <w:lang w:bidi="ar"/>
        </w:rPr>
        <w:t xml:space="preserve">. </w:t>
      </w:r>
      <w:r w:rsidRPr="009C3F07">
        <w:rPr>
          <w:rFonts w:cs="Times New Roman"/>
          <w:sz w:val="22"/>
          <w:szCs w:val="22"/>
          <w:rtl/>
          <w:lang w:bidi="ar-SA"/>
        </w:rPr>
        <w:t>في نهاية المقالة، تم اقتراح ثلاثة خطوط عريضة لسياسة بديلة، حيث سيعكس برنامج التوفير للأطفال توجهاً نحو رفاهية الأسرة، وتنفيذ أهدافه بشكل أفضل</w:t>
      </w:r>
      <w:r w:rsidRPr="009C3F07">
        <w:rPr>
          <w:rFonts w:cs="Times New Roman"/>
          <w:sz w:val="22"/>
          <w:szCs w:val="22"/>
        </w:rPr>
        <w:t>.</w:t>
      </w:r>
      <w:bookmarkEnd w:id="0"/>
    </w:p>
    <w:p w14:paraId="71F0A9A6" w14:textId="77777777" w:rsidR="002554EE" w:rsidRPr="009C3F07" w:rsidRDefault="002554EE" w:rsidP="009C3F07">
      <w:pPr>
        <w:pStyle w:val="BodyText2"/>
        <w:rPr>
          <w:rFonts w:ascii="Times New Roman" w:hAnsi="Times New Roman" w:cs="Times New Roman"/>
          <w:sz w:val="22"/>
          <w:szCs w:val="22"/>
          <w:rtl/>
        </w:rPr>
        <w:sectPr w:rsidR="002554EE" w:rsidRPr="009C3F07" w:rsidSect="009354DB">
          <w:headerReference w:type="even" r:id="rId12"/>
          <w:headerReference w:type="default" r:id="rId13"/>
          <w:footnotePr>
            <w:numRestart w:val="eachPage"/>
          </w:footnotePr>
          <w:pgSz w:w="11906" w:h="16838" w:code="9"/>
          <w:pgMar w:top="3402" w:right="2608" w:bottom="2552" w:left="2608" w:header="2552" w:footer="2268" w:gutter="0"/>
          <w:cols w:space="708"/>
          <w:docGrid w:linePitch="360"/>
        </w:sectPr>
      </w:pPr>
    </w:p>
    <w:p w14:paraId="66EDBE86" w14:textId="01BAAFA3" w:rsidR="00FB0781" w:rsidRPr="009C3F07" w:rsidRDefault="00FB0781" w:rsidP="009C3F07">
      <w:pPr>
        <w:pStyle w:val="BodyText2"/>
        <w:rPr>
          <w:rFonts w:ascii="Times New Roman" w:hAnsi="Times New Roman" w:cs="Times New Roman"/>
          <w:sz w:val="22"/>
          <w:szCs w:val="22"/>
          <w:rtl/>
        </w:rPr>
      </w:pPr>
    </w:p>
    <w:sectPr w:rsidR="00FB0781" w:rsidRPr="009C3F07" w:rsidSect="002554EE">
      <w:footnotePr>
        <w:numRestart w:val="eachPage"/>
      </w:footnotePr>
      <w:pgSz w:w="11906" w:h="16838" w:code="9"/>
      <w:pgMar w:top="3402" w:right="2608" w:bottom="2552" w:left="2608" w:header="2552"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FBD17" w14:textId="77777777" w:rsidR="001B34D7" w:rsidRDefault="001B34D7">
      <w:pPr>
        <w:spacing w:line="240" w:lineRule="auto"/>
      </w:pPr>
      <w:r>
        <w:separator/>
      </w:r>
    </w:p>
  </w:endnote>
  <w:endnote w:type="continuationSeparator" w:id="0">
    <w:p w14:paraId="4C162B6C" w14:textId="77777777" w:rsidR="001B34D7" w:rsidRDefault="001B34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Guttman Hodes">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1"/>
    <w:family w:val="roman"/>
    <w:pitch w:val="default"/>
  </w:font>
  <w:font w:name="WenQuanYi Micro Hei">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794D6" w14:textId="77777777" w:rsidR="001B34D7" w:rsidRDefault="001B34D7">
      <w:pPr>
        <w:spacing w:after="80"/>
        <w:rPr>
          <w:rFonts w:cs="FrankRuehl"/>
          <w:sz w:val="18"/>
          <w:szCs w:val="18"/>
        </w:rPr>
      </w:pPr>
      <w:r>
        <w:rPr>
          <w:rFonts w:cs="FrankRuehl" w:hint="cs"/>
          <w:sz w:val="18"/>
          <w:szCs w:val="18"/>
          <w:rtl/>
        </w:rPr>
        <w:t>_____________</w:t>
      </w:r>
    </w:p>
  </w:footnote>
  <w:footnote w:type="continuationSeparator" w:id="0">
    <w:p w14:paraId="020F63DB" w14:textId="77777777" w:rsidR="001B34D7" w:rsidRDefault="001B34D7">
      <w:r>
        <w:continuationSeparator/>
      </w:r>
    </w:p>
  </w:footnote>
  <w:footnote w:type="continuationNotice" w:id="1">
    <w:p w14:paraId="111FD25D" w14:textId="77777777" w:rsidR="001B34D7" w:rsidRDefault="001B34D7">
      <w:pPr>
        <w:rPr>
          <w:rtl/>
        </w:rPr>
      </w:pPr>
    </w:p>
  </w:footnote>
  <w:footnote w:id="2">
    <w:p w14:paraId="15935457" w14:textId="77777777" w:rsidR="009376F3" w:rsidRPr="009376F3" w:rsidRDefault="009376F3" w:rsidP="009376F3">
      <w:pPr>
        <w:pStyle w:val="FootnoteText"/>
        <w:spacing w:line="220" w:lineRule="exact"/>
        <w:ind w:left="284" w:hanging="284"/>
        <w:jc w:val="both"/>
        <w:rPr>
          <w:rStyle w:val="FootnoteReference"/>
          <w:sz w:val="18"/>
          <w:szCs w:val="18"/>
          <w:vertAlign w:val="baseline"/>
          <w:rtl/>
        </w:rPr>
      </w:pPr>
      <w:r w:rsidRPr="009376F3">
        <w:rPr>
          <w:rStyle w:val="FootnoteReference"/>
          <w:sz w:val="18"/>
          <w:szCs w:val="18"/>
          <w:vertAlign w:val="baseline"/>
        </w:rPr>
        <w:footnoteRef/>
      </w:r>
      <w:r w:rsidRPr="009376F3">
        <w:rPr>
          <w:rStyle w:val="FootnoteReference"/>
          <w:sz w:val="18"/>
          <w:szCs w:val="18"/>
          <w:vertAlign w:val="baseline"/>
          <w:rtl/>
        </w:rPr>
        <w:t xml:space="preserve"> </w:t>
      </w:r>
      <w:r w:rsidRPr="009376F3">
        <w:rPr>
          <w:rStyle w:val="FootnoteReference"/>
          <w:sz w:val="18"/>
          <w:szCs w:val="18"/>
          <w:vertAlign w:val="baseline"/>
          <w:rtl/>
        </w:rPr>
        <w:tab/>
      </w:r>
      <w:r w:rsidRPr="009376F3">
        <w:rPr>
          <w:rStyle w:val="FootnoteReference"/>
          <w:rFonts w:hint="cs"/>
          <w:sz w:val="18"/>
          <w:szCs w:val="18"/>
          <w:vertAlign w:val="baseline"/>
          <w:rtl/>
        </w:rPr>
        <w:t>دراسة السياسة الاجتماعية، جامعة واشنطن في سانت لويس، الولايات المتحدة</w:t>
      </w:r>
    </w:p>
  </w:footnote>
  <w:footnote w:id="3">
    <w:p w14:paraId="4459816B" w14:textId="77777777" w:rsidR="009376F3" w:rsidRPr="009376F3" w:rsidRDefault="009376F3" w:rsidP="009376F3">
      <w:pPr>
        <w:pStyle w:val="FootnoteText"/>
        <w:spacing w:line="220" w:lineRule="exact"/>
        <w:ind w:left="284" w:hanging="284"/>
        <w:jc w:val="both"/>
        <w:rPr>
          <w:rStyle w:val="FootnoteReference"/>
          <w:sz w:val="18"/>
          <w:szCs w:val="18"/>
          <w:vertAlign w:val="baseline"/>
        </w:rPr>
      </w:pPr>
      <w:r w:rsidRPr="009376F3">
        <w:rPr>
          <w:rStyle w:val="FootnoteReference"/>
          <w:sz w:val="18"/>
          <w:szCs w:val="18"/>
          <w:vertAlign w:val="baseline"/>
        </w:rPr>
        <w:footnoteRef/>
      </w:r>
      <w:r w:rsidRPr="009376F3">
        <w:rPr>
          <w:rStyle w:val="FootnoteReference"/>
          <w:sz w:val="18"/>
          <w:szCs w:val="18"/>
          <w:vertAlign w:val="baseline"/>
          <w:rtl/>
        </w:rPr>
        <w:t xml:space="preserve"> </w:t>
      </w:r>
      <w:r w:rsidRPr="009376F3">
        <w:rPr>
          <w:rStyle w:val="FootnoteReference"/>
          <w:sz w:val="18"/>
          <w:szCs w:val="18"/>
          <w:vertAlign w:val="baseline"/>
          <w:rtl/>
        </w:rPr>
        <w:tab/>
      </w:r>
      <w:r w:rsidRPr="009376F3">
        <w:rPr>
          <w:rStyle w:val="FootnoteReference"/>
          <w:rFonts w:hint="cs"/>
          <w:sz w:val="18"/>
          <w:szCs w:val="18"/>
          <w:vertAlign w:val="baseline"/>
          <w:rtl/>
        </w:rPr>
        <w:t>خدمة التشغيل الإسرائيلية</w:t>
      </w:r>
    </w:p>
  </w:footnote>
  <w:footnote w:id="4">
    <w:p w14:paraId="74B9B8DF" w14:textId="77777777" w:rsidR="009376F3" w:rsidRPr="009376F3" w:rsidRDefault="009376F3" w:rsidP="009376F3">
      <w:pPr>
        <w:pStyle w:val="FootnoteText"/>
        <w:spacing w:line="220" w:lineRule="exact"/>
        <w:ind w:left="284" w:hanging="284"/>
        <w:jc w:val="both"/>
        <w:rPr>
          <w:rStyle w:val="FootnoteReference"/>
          <w:sz w:val="18"/>
          <w:szCs w:val="18"/>
          <w:vertAlign w:val="baseline"/>
          <w:rtl/>
        </w:rPr>
      </w:pPr>
      <w:r w:rsidRPr="009376F3">
        <w:rPr>
          <w:rStyle w:val="FootnoteReference"/>
          <w:sz w:val="18"/>
          <w:szCs w:val="18"/>
          <w:vertAlign w:val="baseline"/>
        </w:rPr>
        <w:footnoteRef/>
      </w:r>
      <w:r w:rsidRPr="009376F3">
        <w:rPr>
          <w:rStyle w:val="FootnoteReference"/>
          <w:sz w:val="18"/>
          <w:szCs w:val="18"/>
          <w:vertAlign w:val="baseline"/>
          <w:rtl/>
        </w:rPr>
        <w:t xml:space="preserve"> </w:t>
      </w:r>
      <w:r w:rsidRPr="009376F3">
        <w:rPr>
          <w:rStyle w:val="FootnoteReference"/>
          <w:sz w:val="18"/>
          <w:szCs w:val="18"/>
          <w:vertAlign w:val="baseline"/>
          <w:rtl/>
        </w:rPr>
        <w:tab/>
      </w:r>
      <w:r w:rsidRPr="009376F3">
        <w:rPr>
          <w:rStyle w:val="FootnoteReference"/>
          <w:rFonts w:hint="cs"/>
          <w:sz w:val="18"/>
          <w:szCs w:val="18"/>
          <w:vertAlign w:val="baseline"/>
          <w:rtl/>
        </w:rPr>
        <w:t>بروفيسور</w:t>
      </w:r>
      <w:r w:rsidRPr="009376F3">
        <w:rPr>
          <w:rStyle w:val="FootnoteReference"/>
          <w:sz w:val="18"/>
          <w:szCs w:val="18"/>
          <w:vertAlign w:val="baseline"/>
          <w:rtl/>
        </w:rPr>
        <w:t xml:space="preserve"> (</w:t>
      </w:r>
      <w:r w:rsidRPr="009376F3">
        <w:rPr>
          <w:rStyle w:val="FootnoteReference"/>
          <w:rFonts w:hint="cs"/>
          <w:sz w:val="18"/>
          <w:szCs w:val="18"/>
          <w:vertAlign w:val="baseline"/>
          <w:rtl/>
        </w:rPr>
        <w:t>أمريتوس</w:t>
      </w:r>
      <w:r w:rsidRPr="009376F3">
        <w:rPr>
          <w:rStyle w:val="FootnoteReference"/>
          <w:sz w:val="18"/>
          <w:szCs w:val="18"/>
          <w:vertAlign w:val="baseline"/>
          <w:rtl/>
        </w:rPr>
        <w:t xml:space="preserve">) </w:t>
      </w:r>
      <w:r w:rsidRPr="009376F3">
        <w:rPr>
          <w:rStyle w:val="FootnoteReference"/>
          <w:rFonts w:hint="cs"/>
          <w:sz w:val="18"/>
          <w:szCs w:val="18"/>
          <w:vertAlign w:val="baseline"/>
          <w:rtl/>
        </w:rPr>
        <w:t>لاقتصاد الرفاه،</w:t>
      </w:r>
      <w:r w:rsidRPr="009376F3">
        <w:rPr>
          <w:rStyle w:val="FootnoteReference"/>
          <w:sz w:val="18"/>
          <w:szCs w:val="18"/>
          <w:vertAlign w:val="baseline"/>
          <w:rtl/>
        </w:rPr>
        <w:t xml:space="preserve"> </w:t>
      </w:r>
      <w:r w:rsidRPr="009376F3">
        <w:rPr>
          <w:rStyle w:val="FootnoteReference"/>
          <w:rFonts w:hint="cs"/>
          <w:sz w:val="18"/>
          <w:szCs w:val="18"/>
          <w:vertAlign w:val="baseline"/>
          <w:rtl/>
        </w:rPr>
        <w:t xml:space="preserve">كلية الخدمة الاجتماعية والرفاه الاجتماعي على اسم </w:t>
      </w:r>
      <w:r w:rsidRPr="009376F3">
        <w:rPr>
          <w:rStyle w:val="FootnoteReference"/>
          <w:rFonts w:hint="eastAsia"/>
          <w:sz w:val="18"/>
          <w:szCs w:val="18"/>
          <w:vertAlign w:val="baseline"/>
          <w:rtl/>
        </w:rPr>
        <w:t>بأول</w:t>
      </w:r>
      <w:r w:rsidRPr="009376F3">
        <w:rPr>
          <w:rStyle w:val="FootnoteReference"/>
          <w:rFonts w:hint="cs"/>
          <w:sz w:val="18"/>
          <w:szCs w:val="18"/>
          <w:vertAlign w:val="baseline"/>
          <w:rtl/>
        </w:rPr>
        <w:t xml:space="preserve"> برفالد، الجامعة العبرية في القدس، نائب رئيس البحث والتخطيط سابقا، مؤسسة التأمين الوطني</w:t>
      </w:r>
    </w:p>
  </w:footnote>
  <w:footnote w:id="5">
    <w:p w14:paraId="067D2D07" w14:textId="77777777" w:rsidR="009376F3" w:rsidRPr="009376F3" w:rsidRDefault="009376F3" w:rsidP="009376F3">
      <w:pPr>
        <w:pStyle w:val="FootnoteText"/>
        <w:spacing w:line="220" w:lineRule="exact"/>
        <w:ind w:left="284" w:hanging="284"/>
        <w:jc w:val="both"/>
        <w:rPr>
          <w:rStyle w:val="FootnoteReference"/>
          <w:sz w:val="18"/>
          <w:szCs w:val="18"/>
          <w:vertAlign w:val="baseline"/>
        </w:rPr>
      </w:pPr>
      <w:r w:rsidRPr="009376F3">
        <w:rPr>
          <w:rStyle w:val="FootnoteReference"/>
          <w:sz w:val="18"/>
          <w:szCs w:val="18"/>
          <w:vertAlign w:val="baseline"/>
        </w:rPr>
        <w:footnoteRef/>
      </w:r>
      <w:r w:rsidRPr="009376F3">
        <w:rPr>
          <w:rStyle w:val="FootnoteReference"/>
          <w:sz w:val="18"/>
          <w:szCs w:val="18"/>
          <w:vertAlign w:val="baseline"/>
          <w:rtl/>
        </w:rPr>
        <w:t xml:space="preserve"> </w:t>
      </w:r>
      <w:r w:rsidRPr="009376F3">
        <w:rPr>
          <w:rStyle w:val="FootnoteReference"/>
          <w:sz w:val="18"/>
          <w:szCs w:val="18"/>
          <w:vertAlign w:val="baseline"/>
          <w:rtl/>
        </w:rPr>
        <w:tab/>
      </w:r>
      <w:r w:rsidRPr="009376F3">
        <w:rPr>
          <w:rStyle w:val="FootnoteReference"/>
          <w:rFonts w:hint="cs"/>
          <w:sz w:val="18"/>
          <w:szCs w:val="18"/>
          <w:vertAlign w:val="baseline"/>
          <w:rtl/>
        </w:rPr>
        <w:t>كلية العلوم السياسية، الحكم والعلاقات الدولية، جامعة تل أبيب</w:t>
      </w:r>
      <w:r w:rsidRPr="009376F3">
        <w:rPr>
          <w:rStyle w:val="FootnoteReference"/>
          <w:sz w:val="18"/>
          <w:szCs w:val="18"/>
          <w:vertAlign w:val="baseline"/>
          <w:rtl/>
        </w:rPr>
        <w:t xml:space="preserve"> </w:t>
      </w:r>
    </w:p>
  </w:footnote>
  <w:footnote w:id="6">
    <w:p w14:paraId="16A658FE" w14:textId="77777777" w:rsidR="009376F3" w:rsidRPr="009376F3" w:rsidRDefault="009376F3" w:rsidP="009376F3">
      <w:pPr>
        <w:pStyle w:val="FootnoteText"/>
        <w:spacing w:line="220" w:lineRule="exact"/>
        <w:ind w:left="284" w:hanging="284"/>
        <w:jc w:val="both"/>
        <w:rPr>
          <w:rStyle w:val="FootnoteReference"/>
          <w:sz w:val="18"/>
          <w:szCs w:val="18"/>
          <w:vertAlign w:val="baseline"/>
        </w:rPr>
      </w:pPr>
      <w:r w:rsidRPr="009376F3">
        <w:rPr>
          <w:rStyle w:val="FootnoteReference"/>
          <w:sz w:val="18"/>
          <w:szCs w:val="18"/>
          <w:vertAlign w:val="baseline"/>
        </w:rPr>
        <w:footnoteRef/>
      </w:r>
      <w:r w:rsidRPr="009376F3">
        <w:rPr>
          <w:rStyle w:val="FootnoteReference"/>
          <w:sz w:val="18"/>
          <w:szCs w:val="18"/>
          <w:vertAlign w:val="baseline"/>
          <w:rtl/>
        </w:rPr>
        <w:t xml:space="preserve"> </w:t>
      </w:r>
      <w:r w:rsidRPr="009376F3">
        <w:rPr>
          <w:rStyle w:val="FootnoteReference"/>
          <w:sz w:val="18"/>
          <w:szCs w:val="18"/>
          <w:vertAlign w:val="baseline"/>
          <w:rtl/>
        </w:rPr>
        <w:tab/>
      </w:r>
      <w:r w:rsidRPr="009376F3">
        <w:rPr>
          <w:rStyle w:val="FootnoteReference"/>
          <w:rFonts w:hint="cs"/>
          <w:sz w:val="18"/>
          <w:szCs w:val="18"/>
          <w:vertAlign w:val="baseline"/>
          <w:rtl/>
        </w:rPr>
        <w:t>قسم العلوم الاجتماعية، لعلوم الدولة والاتصال، الجامعة المفتوحة</w:t>
      </w:r>
    </w:p>
  </w:footnote>
  <w:footnote w:id="7">
    <w:p w14:paraId="625FCD99" w14:textId="77777777" w:rsidR="009376F3" w:rsidRPr="009376F3" w:rsidRDefault="009376F3" w:rsidP="009376F3">
      <w:pPr>
        <w:pStyle w:val="FootnoteText"/>
        <w:spacing w:line="220" w:lineRule="exact"/>
        <w:ind w:left="284" w:hanging="284"/>
        <w:jc w:val="both"/>
        <w:rPr>
          <w:rStyle w:val="FootnoteReference"/>
          <w:sz w:val="18"/>
          <w:szCs w:val="18"/>
          <w:vertAlign w:val="baseline"/>
        </w:rPr>
      </w:pPr>
      <w:r w:rsidRPr="009376F3">
        <w:rPr>
          <w:rStyle w:val="FootnoteReference"/>
          <w:sz w:val="18"/>
          <w:szCs w:val="18"/>
          <w:vertAlign w:val="baseline"/>
        </w:rPr>
        <w:footnoteRef/>
      </w:r>
      <w:r w:rsidRPr="009376F3">
        <w:rPr>
          <w:rStyle w:val="FootnoteReference"/>
          <w:sz w:val="18"/>
          <w:szCs w:val="18"/>
          <w:vertAlign w:val="baseline"/>
          <w:rtl/>
        </w:rPr>
        <w:t xml:space="preserve"> </w:t>
      </w:r>
      <w:r w:rsidRPr="009376F3">
        <w:rPr>
          <w:rStyle w:val="FootnoteReference"/>
          <w:sz w:val="18"/>
          <w:szCs w:val="18"/>
          <w:vertAlign w:val="baseline"/>
          <w:rtl/>
        </w:rPr>
        <w:tab/>
      </w:r>
      <w:r w:rsidRPr="009376F3">
        <w:rPr>
          <w:rStyle w:val="FootnoteReference"/>
          <w:rFonts w:hint="cs"/>
          <w:sz w:val="18"/>
          <w:szCs w:val="18"/>
          <w:vertAlign w:val="baseline"/>
          <w:rtl/>
        </w:rPr>
        <w:t>كلية الخدمة الاجتماعية على اسم بوب شافل، جامعة تل أبيب</w:t>
      </w:r>
    </w:p>
  </w:footnote>
  <w:footnote w:id="8">
    <w:p w14:paraId="60F21C9F" w14:textId="77777777" w:rsidR="009376F3" w:rsidRPr="009376F3" w:rsidRDefault="009376F3" w:rsidP="009376F3">
      <w:pPr>
        <w:pStyle w:val="FootnoteText"/>
        <w:spacing w:line="220" w:lineRule="exact"/>
        <w:ind w:left="284" w:hanging="284"/>
        <w:jc w:val="both"/>
        <w:rPr>
          <w:rStyle w:val="FootnoteReference"/>
          <w:sz w:val="18"/>
          <w:szCs w:val="18"/>
          <w:vertAlign w:val="baseline"/>
        </w:rPr>
      </w:pPr>
      <w:r w:rsidRPr="009376F3">
        <w:rPr>
          <w:rStyle w:val="FootnoteReference"/>
          <w:sz w:val="18"/>
          <w:szCs w:val="18"/>
          <w:vertAlign w:val="baseline"/>
        </w:rPr>
        <w:footnoteRef/>
      </w:r>
      <w:r w:rsidRPr="009376F3">
        <w:rPr>
          <w:rStyle w:val="FootnoteReference"/>
          <w:sz w:val="18"/>
          <w:szCs w:val="18"/>
          <w:vertAlign w:val="baseline"/>
          <w:rtl/>
        </w:rPr>
        <w:t xml:space="preserve"> </w:t>
      </w:r>
      <w:r w:rsidRPr="009376F3">
        <w:rPr>
          <w:rStyle w:val="FootnoteReference"/>
          <w:sz w:val="18"/>
          <w:szCs w:val="18"/>
          <w:vertAlign w:val="baseline"/>
          <w:rtl/>
        </w:rPr>
        <w:tab/>
      </w:r>
      <w:r w:rsidRPr="009376F3">
        <w:rPr>
          <w:rStyle w:val="FootnoteReference"/>
          <w:rFonts w:hint="cs"/>
          <w:sz w:val="18"/>
          <w:szCs w:val="18"/>
          <w:vertAlign w:val="baseline"/>
          <w:rtl/>
        </w:rPr>
        <w:t>قسم الخدمة الاجتماعية، جامعة بن غوريون في النقب</w:t>
      </w:r>
    </w:p>
  </w:footnote>
  <w:footnote w:id="9">
    <w:p w14:paraId="719FEEFA" w14:textId="77777777" w:rsidR="009376F3" w:rsidRPr="009376F3" w:rsidRDefault="009376F3" w:rsidP="009376F3">
      <w:pPr>
        <w:pStyle w:val="FootnoteText"/>
        <w:spacing w:line="220" w:lineRule="exact"/>
        <w:ind w:left="284" w:hanging="284"/>
        <w:jc w:val="both"/>
        <w:rPr>
          <w:rStyle w:val="FootnoteReference"/>
          <w:sz w:val="18"/>
          <w:szCs w:val="18"/>
          <w:vertAlign w:val="baseline"/>
        </w:rPr>
      </w:pPr>
      <w:r w:rsidRPr="009376F3">
        <w:rPr>
          <w:rStyle w:val="FootnoteReference"/>
          <w:sz w:val="18"/>
          <w:szCs w:val="18"/>
          <w:vertAlign w:val="baseline"/>
        </w:rPr>
        <w:footnoteRef/>
      </w:r>
      <w:r w:rsidRPr="009376F3">
        <w:rPr>
          <w:rStyle w:val="FootnoteReference"/>
          <w:sz w:val="18"/>
          <w:szCs w:val="18"/>
          <w:vertAlign w:val="baseline"/>
          <w:rtl/>
        </w:rPr>
        <w:t xml:space="preserve"> </w:t>
      </w:r>
      <w:r w:rsidRPr="009376F3">
        <w:rPr>
          <w:rStyle w:val="FootnoteReference"/>
          <w:sz w:val="18"/>
          <w:szCs w:val="18"/>
          <w:vertAlign w:val="baseline"/>
          <w:rtl/>
        </w:rPr>
        <w:tab/>
      </w:r>
      <w:r w:rsidRPr="009376F3">
        <w:rPr>
          <w:rStyle w:val="FootnoteReference"/>
          <w:rFonts w:hint="cs"/>
          <w:sz w:val="18"/>
          <w:szCs w:val="18"/>
          <w:vertAlign w:val="baseline"/>
          <w:rtl/>
        </w:rPr>
        <w:t>مجلس سلامة الطفل</w:t>
      </w:r>
      <w:r w:rsidRPr="009376F3">
        <w:rPr>
          <w:rStyle w:val="FootnoteReference"/>
          <w:sz w:val="18"/>
          <w:szCs w:val="18"/>
          <w:vertAlign w:val="baseline"/>
          <w:rtl/>
        </w:rPr>
        <w:t xml:space="preserve"> </w:t>
      </w:r>
    </w:p>
  </w:footnote>
  <w:footnote w:id="10">
    <w:p w14:paraId="5D8860C7" w14:textId="77777777" w:rsidR="009376F3" w:rsidRPr="009376F3" w:rsidRDefault="009376F3" w:rsidP="009376F3">
      <w:pPr>
        <w:pStyle w:val="FootnoteText"/>
        <w:spacing w:line="220" w:lineRule="exact"/>
        <w:ind w:left="284" w:hanging="284"/>
        <w:jc w:val="both"/>
        <w:rPr>
          <w:rStyle w:val="FootnoteReference"/>
          <w:sz w:val="18"/>
          <w:szCs w:val="18"/>
          <w:vertAlign w:val="baseline"/>
        </w:rPr>
      </w:pPr>
      <w:r w:rsidRPr="009376F3">
        <w:rPr>
          <w:rStyle w:val="FootnoteReference"/>
          <w:sz w:val="18"/>
          <w:szCs w:val="18"/>
          <w:vertAlign w:val="baseline"/>
        </w:rPr>
        <w:footnoteRef/>
      </w:r>
      <w:r w:rsidRPr="009376F3">
        <w:rPr>
          <w:rStyle w:val="FootnoteReference"/>
          <w:sz w:val="18"/>
          <w:szCs w:val="18"/>
          <w:vertAlign w:val="baseline"/>
          <w:rtl/>
        </w:rPr>
        <w:t xml:space="preserve"> </w:t>
      </w:r>
      <w:r w:rsidRPr="009376F3">
        <w:rPr>
          <w:rStyle w:val="FootnoteReference"/>
          <w:sz w:val="18"/>
          <w:szCs w:val="18"/>
          <w:vertAlign w:val="baseline"/>
          <w:rtl/>
        </w:rPr>
        <w:tab/>
      </w:r>
      <w:r w:rsidRPr="009376F3">
        <w:rPr>
          <w:rStyle w:val="FootnoteReference"/>
          <w:rFonts w:hint="cs"/>
          <w:sz w:val="18"/>
          <w:szCs w:val="18"/>
          <w:vertAlign w:val="baseline"/>
          <w:rtl/>
        </w:rPr>
        <w:t>المركز للتربية القانونية السريرية، كلية الحقوق، الجامعة العبرية في القدس</w:t>
      </w:r>
    </w:p>
  </w:footnote>
  <w:footnote w:id="11">
    <w:p w14:paraId="77FCCDBD" w14:textId="77777777" w:rsidR="009376F3" w:rsidRPr="009376F3" w:rsidRDefault="009376F3" w:rsidP="009376F3">
      <w:pPr>
        <w:pStyle w:val="FootnoteText"/>
        <w:spacing w:line="220" w:lineRule="exact"/>
        <w:ind w:left="284" w:hanging="284"/>
        <w:jc w:val="both"/>
        <w:rPr>
          <w:rStyle w:val="FootnoteReference"/>
          <w:sz w:val="18"/>
          <w:szCs w:val="18"/>
          <w:vertAlign w:val="baseline"/>
        </w:rPr>
      </w:pPr>
      <w:r w:rsidRPr="009376F3">
        <w:rPr>
          <w:rStyle w:val="FootnoteReference"/>
          <w:sz w:val="18"/>
          <w:szCs w:val="18"/>
          <w:vertAlign w:val="baseline"/>
        </w:rPr>
        <w:footnoteRef/>
      </w:r>
      <w:r w:rsidRPr="009376F3">
        <w:rPr>
          <w:rStyle w:val="FootnoteReference"/>
          <w:sz w:val="18"/>
          <w:szCs w:val="18"/>
          <w:vertAlign w:val="baseline"/>
          <w:rtl/>
        </w:rPr>
        <w:t xml:space="preserve"> </w:t>
      </w:r>
      <w:r w:rsidRPr="009376F3">
        <w:rPr>
          <w:rStyle w:val="FootnoteReference"/>
          <w:sz w:val="18"/>
          <w:szCs w:val="18"/>
          <w:vertAlign w:val="baseline"/>
          <w:rtl/>
        </w:rPr>
        <w:tab/>
      </w:r>
      <w:r w:rsidRPr="009376F3">
        <w:rPr>
          <w:rStyle w:val="FootnoteReference"/>
          <w:rFonts w:hint="cs"/>
          <w:sz w:val="18"/>
          <w:szCs w:val="18"/>
          <w:vertAlign w:val="baseline"/>
          <w:rtl/>
        </w:rPr>
        <w:t>قسم الخدمة الاجتماعية،</w:t>
      </w:r>
      <w:r w:rsidRPr="009376F3">
        <w:rPr>
          <w:rStyle w:val="FootnoteReference"/>
          <w:sz w:val="18"/>
          <w:szCs w:val="18"/>
          <w:vertAlign w:val="baseline"/>
          <w:rtl/>
        </w:rPr>
        <w:t xml:space="preserve"> </w:t>
      </w:r>
      <w:r w:rsidRPr="009376F3">
        <w:rPr>
          <w:rStyle w:val="FootnoteReference"/>
          <w:sz w:val="18"/>
          <w:szCs w:val="18"/>
          <w:vertAlign w:val="baseline"/>
        </w:rPr>
        <w:t>Royal Holloway University of London</w:t>
      </w:r>
      <w:r w:rsidRPr="009376F3">
        <w:rPr>
          <w:rStyle w:val="FootnoteReference"/>
          <w:sz w:val="18"/>
          <w:szCs w:val="18"/>
          <w:vertAlign w:val="baseline"/>
          <w:rtl/>
        </w:rPr>
        <w:t xml:space="preserve">, </w:t>
      </w:r>
      <w:r w:rsidRPr="009376F3">
        <w:rPr>
          <w:rStyle w:val="FootnoteReference"/>
          <w:rFonts w:hint="cs"/>
          <w:sz w:val="18"/>
          <w:szCs w:val="18"/>
          <w:vertAlign w:val="baseline"/>
          <w:rtl/>
        </w:rPr>
        <w:t>بريطانيا، معهد خروب، الجامعة العبرية في القدس</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7C402" w14:textId="77777777" w:rsidR="00B6001E" w:rsidRDefault="00B6001E">
    <w:pPr>
      <w:pStyle w:val="Header"/>
      <w:tabs>
        <w:tab w:val="clear" w:pos="4153"/>
        <w:tab w:val="clear" w:pos="8306"/>
        <w:tab w:val="center" w:pos="3345"/>
        <w:tab w:val="right" w:pos="6691"/>
      </w:tabs>
      <w:rPr>
        <w:rFonts w:cs="Times New Roman"/>
        <w:sz w:val="22"/>
        <w:szCs w:val="22"/>
        <w:rtl/>
      </w:rPr>
    </w:pPr>
    <w:r>
      <w:rPr>
        <w:rFonts w:ascii="FrankRuehl" w:hAnsi="FrankRuehl" w:cs="FrankRuehl" w:hint="cs"/>
        <w:sz w:val="22"/>
        <w:szCs w:val="22"/>
        <w:rtl/>
      </w:rPr>
      <w:tab/>
    </w:r>
    <w:r>
      <w:rPr>
        <w:rFonts w:ascii="FrankRuehl" w:hAnsi="FrankRuehl" w:cs="FrankRuehl" w:hint="cs"/>
        <w:sz w:val="22"/>
        <w:szCs w:val="22"/>
        <w:rtl/>
      </w:rPr>
      <w:tab/>
    </w:r>
    <w:r>
      <w:rPr>
        <w:rStyle w:val="PageNumber"/>
        <w:rFonts w:cs="Times New Roman"/>
        <w:sz w:val="22"/>
        <w:szCs w:val="22"/>
      </w:rPr>
      <w:fldChar w:fldCharType="begin"/>
    </w:r>
    <w:r>
      <w:rPr>
        <w:rStyle w:val="PageNumber"/>
        <w:rFonts w:cs="Times New Roman"/>
        <w:sz w:val="22"/>
        <w:szCs w:val="22"/>
      </w:rPr>
      <w:instrText xml:space="preserve"> PAGE </w:instrText>
    </w:r>
    <w:r>
      <w:rPr>
        <w:rStyle w:val="PageNumber"/>
        <w:rFonts w:cs="Times New Roman"/>
        <w:sz w:val="22"/>
        <w:szCs w:val="22"/>
      </w:rPr>
      <w:fldChar w:fldCharType="separate"/>
    </w:r>
    <w:r w:rsidR="008B4530">
      <w:rPr>
        <w:rStyle w:val="PageNumber"/>
        <w:rFonts w:cs="Times New Roman"/>
        <w:noProof/>
        <w:sz w:val="22"/>
        <w:szCs w:val="22"/>
        <w:rtl/>
      </w:rPr>
      <w:t>3</w:t>
    </w:r>
    <w:r>
      <w:rPr>
        <w:rStyle w:val="PageNumber"/>
        <w:rFonts w:cs="Times New Roman"/>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7FD0F" w14:textId="77777777" w:rsidR="008B4530" w:rsidRPr="008B4530" w:rsidRDefault="008B4530" w:rsidP="008B4530">
    <w:pPr>
      <w:pStyle w:val="Header"/>
      <w:rPr>
        <w:rt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1466A" w14:textId="77777777" w:rsidR="0099526A" w:rsidRPr="00EF68E4" w:rsidRDefault="0099526A" w:rsidP="00EF68E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6C57C" w14:textId="77777777" w:rsidR="00FE3CB2" w:rsidRPr="008E30ED" w:rsidRDefault="00FE3CB2" w:rsidP="0099526A">
    <w:pPr>
      <w:pStyle w:val="Heading1"/>
      <w:tabs>
        <w:tab w:val="center" w:pos="4536"/>
        <w:tab w:val="right" w:pos="9072"/>
      </w:tabs>
      <w:rPr>
        <w:rFonts w:ascii="Calibri" w:hAnsi="Calibri" w:cs="David"/>
        <w:b w:val="0"/>
        <w:bCs w:val="0"/>
        <w:sz w:val="16"/>
        <w:szCs w:val="16"/>
        <w:rtl/>
      </w:rPr>
    </w:pPr>
    <w:r w:rsidRPr="007256BC">
      <w:rPr>
        <w:rFonts w:ascii="David" w:hAnsi="David" w:cs="David"/>
        <w:noProof/>
        <w:sz w:val="24"/>
        <w:szCs w:val="24"/>
      </w:rPr>
      <w:fldChar w:fldCharType="begin"/>
    </w:r>
    <w:r w:rsidRPr="007256BC">
      <w:rPr>
        <w:rFonts w:ascii="David" w:hAnsi="David" w:cs="David"/>
        <w:noProof/>
        <w:sz w:val="24"/>
        <w:szCs w:val="24"/>
      </w:rPr>
      <w:instrText xml:space="preserve"> PAGE   \* MERGEFORMAT </w:instrText>
    </w:r>
    <w:r w:rsidRPr="007256BC">
      <w:rPr>
        <w:rFonts w:ascii="David" w:hAnsi="David" w:cs="David"/>
        <w:noProof/>
        <w:sz w:val="24"/>
        <w:szCs w:val="24"/>
      </w:rPr>
      <w:fldChar w:fldCharType="separate"/>
    </w:r>
    <w:r w:rsidR="004E56DD">
      <w:rPr>
        <w:rFonts w:ascii="David" w:hAnsi="David" w:cs="David"/>
        <w:noProof/>
        <w:sz w:val="24"/>
        <w:szCs w:val="24"/>
        <w:rtl/>
      </w:rPr>
      <w:t>274</w:t>
    </w:r>
    <w:r w:rsidRPr="007256BC">
      <w:rPr>
        <w:rFonts w:ascii="David" w:hAnsi="David" w:cs="David"/>
        <w:noProof/>
        <w:sz w:val="24"/>
        <w:szCs w:val="24"/>
      </w:rPr>
      <w:fldChar w:fldCharType="end"/>
    </w:r>
    <w:r w:rsidRPr="008E30ED">
      <w:rPr>
        <w:rFonts w:ascii="David" w:hAnsi="David" w:cs="David"/>
        <w:b w:val="0"/>
        <w:bCs w:val="0"/>
        <w:sz w:val="16"/>
        <w:szCs w:val="16"/>
        <w:rtl/>
      </w:rPr>
      <w:t xml:space="preserve">  |  </w:t>
    </w:r>
    <w:r w:rsidRPr="008E30ED">
      <w:rPr>
        <w:rFonts w:ascii="David" w:hAnsi="David" w:cs="Times New Roman"/>
        <w:b w:val="0"/>
        <w:bCs w:val="0"/>
        <w:sz w:val="16"/>
        <w:szCs w:val="16"/>
        <w:rtl/>
        <w:lang w:bidi="ar-SA"/>
      </w:rPr>
      <w:t>الضمان الاجتماعي</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BA6AA" w14:textId="77777777" w:rsidR="00FE3CB2" w:rsidRPr="007256BC" w:rsidRDefault="00FE3CB2" w:rsidP="0099526A">
    <w:pPr>
      <w:pStyle w:val="Heading1"/>
      <w:tabs>
        <w:tab w:val="center" w:pos="4536"/>
        <w:tab w:val="right" w:pos="9072"/>
      </w:tabs>
      <w:jc w:val="right"/>
      <w:rPr>
        <w:rFonts w:ascii="David" w:hAnsi="David" w:cs="David"/>
        <w:b w:val="0"/>
        <w:bCs w:val="0"/>
        <w:noProof/>
        <w:sz w:val="16"/>
        <w:szCs w:val="16"/>
      </w:rPr>
    </w:pPr>
    <w:r w:rsidRPr="008E30ED">
      <w:rPr>
        <w:rFonts w:ascii="David" w:hAnsi="David" w:cs="Times New Roman"/>
        <w:b w:val="0"/>
        <w:bCs w:val="0"/>
        <w:noProof/>
        <w:sz w:val="20"/>
        <w:szCs w:val="20"/>
        <w:rtl/>
        <w:lang w:bidi="ar-SA"/>
      </w:rPr>
      <w:t xml:space="preserve"> </w:t>
    </w:r>
    <w:r w:rsidRPr="008E30ED">
      <w:rPr>
        <w:rFonts w:ascii="Arial" w:hAnsi="Arial" w:cs="Arial" w:hint="cs"/>
        <w:b w:val="0"/>
        <w:bCs w:val="0"/>
        <w:noProof/>
        <w:sz w:val="16"/>
        <w:szCs w:val="16"/>
        <w:rtl/>
        <w:lang w:bidi="ar-SA"/>
      </w:rPr>
      <w:t>المجلة الاسرائيليه للضمان الاجتماعي</w:t>
    </w:r>
    <w:r w:rsidRPr="008E30ED">
      <w:rPr>
        <w:rFonts w:ascii="David" w:hAnsi="David" w:cs="David"/>
        <w:b w:val="0"/>
        <w:bCs w:val="0"/>
        <w:noProof/>
        <w:sz w:val="16"/>
        <w:szCs w:val="16"/>
        <w:rtl/>
      </w:rPr>
      <w:t xml:space="preserve">  |  </w:t>
    </w:r>
    <w:r w:rsidRPr="007256BC">
      <w:rPr>
        <w:rFonts w:ascii="David" w:hAnsi="David" w:cs="David"/>
        <w:noProof/>
        <w:sz w:val="24"/>
        <w:szCs w:val="24"/>
      </w:rPr>
      <w:fldChar w:fldCharType="begin"/>
    </w:r>
    <w:r w:rsidRPr="007256BC">
      <w:rPr>
        <w:rFonts w:ascii="David" w:hAnsi="David" w:cs="David"/>
        <w:noProof/>
        <w:sz w:val="24"/>
        <w:szCs w:val="24"/>
      </w:rPr>
      <w:instrText xml:space="preserve"> PAGE   \* MERGEFORMAT </w:instrText>
    </w:r>
    <w:r w:rsidRPr="007256BC">
      <w:rPr>
        <w:rFonts w:ascii="David" w:hAnsi="David" w:cs="David"/>
        <w:noProof/>
        <w:sz w:val="24"/>
        <w:szCs w:val="24"/>
      </w:rPr>
      <w:fldChar w:fldCharType="separate"/>
    </w:r>
    <w:r w:rsidR="004E56DD">
      <w:rPr>
        <w:rFonts w:ascii="David" w:hAnsi="David" w:cs="David"/>
        <w:noProof/>
        <w:sz w:val="24"/>
        <w:szCs w:val="24"/>
        <w:rtl/>
      </w:rPr>
      <w:t>273</w:t>
    </w:r>
    <w:r w:rsidRPr="007256BC">
      <w:rPr>
        <w:rFonts w:ascii="David" w:hAnsi="David" w:cs="David"/>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6"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9"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E8402B"/>
    <w:multiLevelType w:val="hybridMultilevel"/>
    <w:tmpl w:val="9AAEA328"/>
    <w:lvl w:ilvl="0" w:tplc="C13E0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7E3284"/>
    <w:multiLevelType w:val="hybridMultilevel"/>
    <w:tmpl w:val="2C4A9B80"/>
    <w:lvl w:ilvl="0" w:tplc="35CC39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20"/>
  </w:num>
  <w:num w:numId="4">
    <w:abstractNumId w:val="15"/>
  </w:num>
  <w:num w:numId="5">
    <w:abstractNumId w:val="5"/>
  </w:num>
  <w:num w:numId="6">
    <w:abstractNumId w:val="14"/>
  </w:num>
  <w:num w:numId="7">
    <w:abstractNumId w:val="10"/>
  </w:num>
  <w:num w:numId="8">
    <w:abstractNumId w:val="0"/>
  </w:num>
  <w:num w:numId="9">
    <w:abstractNumId w:val="4"/>
  </w:num>
  <w:num w:numId="10">
    <w:abstractNumId w:val="19"/>
  </w:num>
  <w:num w:numId="11">
    <w:abstractNumId w:val="16"/>
  </w:num>
  <w:num w:numId="12">
    <w:abstractNumId w:val="12"/>
  </w:num>
  <w:num w:numId="13">
    <w:abstractNumId w:val="8"/>
  </w:num>
  <w:num w:numId="14">
    <w:abstractNumId w:val="3"/>
  </w:num>
  <w:num w:numId="15">
    <w:abstractNumId w:val="7"/>
  </w:num>
  <w:num w:numId="16">
    <w:abstractNumId w:val="2"/>
  </w:num>
  <w:num w:numId="17">
    <w:abstractNumId w:val="21"/>
  </w:num>
  <w:num w:numId="18">
    <w:abstractNumId w:val="13"/>
  </w:num>
  <w:num w:numId="19">
    <w:abstractNumId w:val="6"/>
  </w:num>
  <w:num w:numId="20">
    <w:abstractNumId w:val="1"/>
  </w:num>
  <w:num w:numId="21">
    <w:abstractNumId w:val="17"/>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ar-LB" w:vendorID="64" w:dllVersion="6" w:nlCheck="1" w:checkStyle="0"/>
  <w:activeWritingStyle w:appName="MSWord" w:lang="ar-SA" w:vendorID="64" w:dllVersion="6" w:nlCheck="1" w:checkStyle="0"/>
  <w:activeWritingStyle w:appName="MSWord" w:lang="ar-JO" w:vendorID="64" w:dllVersion="6" w:nlCheck="1" w:checkStyle="0"/>
  <w:activeWritingStyle w:appName="MSWord" w:lang="en-US" w:vendorID="64" w:dllVersion="6" w:nlCheck="1" w:checkStyle="1"/>
  <w:activeWritingStyle w:appName="MSWord" w:lang="ar-LB" w:vendorID="64" w:dllVersion="4096" w:nlCheck="1" w:checkStyle="0"/>
  <w:activeWritingStyle w:appName="MSWord" w:lang="ar-SA" w:vendorID="64" w:dllVersion="4096" w:nlCheck="1" w:checkStyle="0"/>
  <w:activeWritingStyle w:appName="MSWord" w:lang="ar-JO" w:vendorID="64" w:dllVersion="4096" w:nlCheck="1" w:checkStyle="0"/>
  <w:activeWritingStyle w:appName="MSWord" w:lang="en-US" w:vendorID="64" w:dllVersion="4096" w:nlCheck="1" w:checkStyle="0"/>
  <w:activeWritingStyle w:appName="MSWord" w:lang="ar-AE" w:vendorID="64" w:dllVersion="4096" w:nlCheck="1" w:checkStyle="0"/>
  <w:proofState w:spelling="clean" w:grammar="clean"/>
  <w:defaultTabStop w:val="720"/>
  <w:evenAndOddHeaders/>
  <w:noPunctuationKerning/>
  <w:characterSpacingControl w:val="doNotCompress"/>
  <w:hdrShapeDefaults>
    <o:shapedefaults v:ext="edit" spidmax="2050"/>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AED"/>
    <w:rsid w:val="00004F33"/>
    <w:rsid w:val="00022610"/>
    <w:rsid w:val="0003105C"/>
    <w:rsid w:val="00031B2C"/>
    <w:rsid w:val="00070C6E"/>
    <w:rsid w:val="0008422D"/>
    <w:rsid w:val="0008584C"/>
    <w:rsid w:val="00086BD6"/>
    <w:rsid w:val="000A273D"/>
    <w:rsid w:val="000A44E3"/>
    <w:rsid w:val="000A579E"/>
    <w:rsid w:val="000C4297"/>
    <w:rsid w:val="000F3340"/>
    <w:rsid w:val="000F4031"/>
    <w:rsid w:val="00106BE2"/>
    <w:rsid w:val="0011109D"/>
    <w:rsid w:val="0016207A"/>
    <w:rsid w:val="001676A4"/>
    <w:rsid w:val="00170D0A"/>
    <w:rsid w:val="00197AFB"/>
    <w:rsid w:val="001A213C"/>
    <w:rsid w:val="001A7A8E"/>
    <w:rsid w:val="001B3377"/>
    <w:rsid w:val="001B34D7"/>
    <w:rsid w:val="001C423B"/>
    <w:rsid w:val="001C6F8C"/>
    <w:rsid w:val="001D383E"/>
    <w:rsid w:val="001F4F22"/>
    <w:rsid w:val="001F56B1"/>
    <w:rsid w:val="002000B4"/>
    <w:rsid w:val="002014B4"/>
    <w:rsid w:val="002104B5"/>
    <w:rsid w:val="002161BD"/>
    <w:rsid w:val="00234230"/>
    <w:rsid w:val="00244608"/>
    <w:rsid w:val="00245A5A"/>
    <w:rsid w:val="00245EF2"/>
    <w:rsid w:val="00247496"/>
    <w:rsid w:val="002554EE"/>
    <w:rsid w:val="00263E6E"/>
    <w:rsid w:val="00264557"/>
    <w:rsid w:val="00267034"/>
    <w:rsid w:val="002745A5"/>
    <w:rsid w:val="00281029"/>
    <w:rsid w:val="00291AD3"/>
    <w:rsid w:val="002A6814"/>
    <w:rsid w:val="002B41DD"/>
    <w:rsid w:val="002D340E"/>
    <w:rsid w:val="00305E03"/>
    <w:rsid w:val="003114EA"/>
    <w:rsid w:val="003132BD"/>
    <w:rsid w:val="003146FE"/>
    <w:rsid w:val="00316220"/>
    <w:rsid w:val="00325C2C"/>
    <w:rsid w:val="00344DED"/>
    <w:rsid w:val="00347FF0"/>
    <w:rsid w:val="00354E7E"/>
    <w:rsid w:val="00362C74"/>
    <w:rsid w:val="0036394C"/>
    <w:rsid w:val="003733C1"/>
    <w:rsid w:val="00392907"/>
    <w:rsid w:val="00397FEC"/>
    <w:rsid w:val="003A3E89"/>
    <w:rsid w:val="003A5C30"/>
    <w:rsid w:val="003B6420"/>
    <w:rsid w:val="003E1638"/>
    <w:rsid w:val="003E579C"/>
    <w:rsid w:val="003E62C8"/>
    <w:rsid w:val="00420B39"/>
    <w:rsid w:val="00424263"/>
    <w:rsid w:val="00424AA5"/>
    <w:rsid w:val="00434C68"/>
    <w:rsid w:val="00452425"/>
    <w:rsid w:val="00465771"/>
    <w:rsid w:val="00476452"/>
    <w:rsid w:val="004772F9"/>
    <w:rsid w:val="0048178C"/>
    <w:rsid w:val="004836B9"/>
    <w:rsid w:val="004B0775"/>
    <w:rsid w:val="004E2EB8"/>
    <w:rsid w:val="004E56DD"/>
    <w:rsid w:val="004E58D1"/>
    <w:rsid w:val="004F1720"/>
    <w:rsid w:val="00514EE8"/>
    <w:rsid w:val="00516131"/>
    <w:rsid w:val="00527F9F"/>
    <w:rsid w:val="00546B60"/>
    <w:rsid w:val="0056011A"/>
    <w:rsid w:val="00575CF0"/>
    <w:rsid w:val="00581A7C"/>
    <w:rsid w:val="0058215C"/>
    <w:rsid w:val="005906E2"/>
    <w:rsid w:val="00594FE1"/>
    <w:rsid w:val="0059743F"/>
    <w:rsid w:val="005B0464"/>
    <w:rsid w:val="005B34B1"/>
    <w:rsid w:val="005E72AB"/>
    <w:rsid w:val="005F715B"/>
    <w:rsid w:val="00605F71"/>
    <w:rsid w:val="006123A7"/>
    <w:rsid w:val="006166E9"/>
    <w:rsid w:val="006400BC"/>
    <w:rsid w:val="006523F3"/>
    <w:rsid w:val="00675EF8"/>
    <w:rsid w:val="006904F0"/>
    <w:rsid w:val="00696830"/>
    <w:rsid w:val="00697105"/>
    <w:rsid w:val="00697383"/>
    <w:rsid w:val="006B3B00"/>
    <w:rsid w:val="006B754D"/>
    <w:rsid w:val="00700FFB"/>
    <w:rsid w:val="007027F4"/>
    <w:rsid w:val="0071356C"/>
    <w:rsid w:val="0072157D"/>
    <w:rsid w:val="00733E07"/>
    <w:rsid w:val="00740D34"/>
    <w:rsid w:val="0076247A"/>
    <w:rsid w:val="00773C54"/>
    <w:rsid w:val="00785169"/>
    <w:rsid w:val="00790E74"/>
    <w:rsid w:val="00795185"/>
    <w:rsid w:val="007A1281"/>
    <w:rsid w:val="007C4C3D"/>
    <w:rsid w:val="007C5F6F"/>
    <w:rsid w:val="007D33D3"/>
    <w:rsid w:val="007D7485"/>
    <w:rsid w:val="00832C98"/>
    <w:rsid w:val="0085402B"/>
    <w:rsid w:val="00855D96"/>
    <w:rsid w:val="00856C08"/>
    <w:rsid w:val="008665A0"/>
    <w:rsid w:val="0086721C"/>
    <w:rsid w:val="008916AA"/>
    <w:rsid w:val="00895889"/>
    <w:rsid w:val="008A06E9"/>
    <w:rsid w:val="008B4530"/>
    <w:rsid w:val="008B7266"/>
    <w:rsid w:val="008C2742"/>
    <w:rsid w:val="008E30ED"/>
    <w:rsid w:val="008E38F5"/>
    <w:rsid w:val="008F071A"/>
    <w:rsid w:val="008F360C"/>
    <w:rsid w:val="00901B8C"/>
    <w:rsid w:val="009242DE"/>
    <w:rsid w:val="00930825"/>
    <w:rsid w:val="0093092C"/>
    <w:rsid w:val="009354DB"/>
    <w:rsid w:val="009376F3"/>
    <w:rsid w:val="00957577"/>
    <w:rsid w:val="00962DE7"/>
    <w:rsid w:val="0099526A"/>
    <w:rsid w:val="009A3B04"/>
    <w:rsid w:val="009B122B"/>
    <w:rsid w:val="009C3F07"/>
    <w:rsid w:val="009F4569"/>
    <w:rsid w:val="00A25916"/>
    <w:rsid w:val="00A40335"/>
    <w:rsid w:val="00A756DB"/>
    <w:rsid w:val="00A8157E"/>
    <w:rsid w:val="00A94454"/>
    <w:rsid w:val="00A94754"/>
    <w:rsid w:val="00AA230A"/>
    <w:rsid w:val="00AB018A"/>
    <w:rsid w:val="00AB5B0F"/>
    <w:rsid w:val="00AC4242"/>
    <w:rsid w:val="00AC68D5"/>
    <w:rsid w:val="00AC7DC2"/>
    <w:rsid w:val="00AE2B61"/>
    <w:rsid w:val="00B06DCC"/>
    <w:rsid w:val="00B15506"/>
    <w:rsid w:val="00B16A4D"/>
    <w:rsid w:val="00B239C9"/>
    <w:rsid w:val="00B30C5F"/>
    <w:rsid w:val="00B3422D"/>
    <w:rsid w:val="00B45FC1"/>
    <w:rsid w:val="00B6001E"/>
    <w:rsid w:val="00B645F0"/>
    <w:rsid w:val="00B6513F"/>
    <w:rsid w:val="00B72C52"/>
    <w:rsid w:val="00B73E12"/>
    <w:rsid w:val="00B80D39"/>
    <w:rsid w:val="00BA03B8"/>
    <w:rsid w:val="00BA5F88"/>
    <w:rsid w:val="00BB6B96"/>
    <w:rsid w:val="00BC256B"/>
    <w:rsid w:val="00BD1CA9"/>
    <w:rsid w:val="00BD331D"/>
    <w:rsid w:val="00BE17E2"/>
    <w:rsid w:val="00BE3C92"/>
    <w:rsid w:val="00BE4738"/>
    <w:rsid w:val="00BE4AED"/>
    <w:rsid w:val="00BF79DE"/>
    <w:rsid w:val="00C24D0A"/>
    <w:rsid w:val="00C35942"/>
    <w:rsid w:val="00C41D39"/>
    <w:rsid w:val="00C4495D"/>
    <w:rsid w:val="00C44B71"/>
    <w:rsid w:val="00C616F1"/>
    <w:rsid w:val="00C769CB"/>
    <w:rsid w:val="00CA4B54"/>
    <w:rsid w:val="00CB5C79"/>
    <w:rsid w:val="00CB73F6"/>
    <w:rsid w:val="00CC2ADF"/>
    <w:rsid w:val="00CC2F70"/>
    <w:rsid w:val="00CF5FA8"/>
    <w:rsid w:val="00D04A7C"/>
    <w:rsid w:val="00D10B38"/>
    <w:rsid w:val="00D12807"/>
    <w:rsid w:val="00D14698"/>
    <w:rsid w:val="00D165A4"/>
    <w:rsid w:val="00D167FF"/>
    <w:rsid w:val="00D2001A"/>
    <w:rsid w:val="00D3593E"/>
    <w:rsid w:val="00D46DE4"/>
    <w:rsid w:val="00D51B9C"/>
    <w:rsid w:val="00D9034C"/>
    <w:rsid w:val="00D9242E"/>
    <w:rsid w:val="00D96C2F"/>
    <w:rsid w:val="00DA25D7"/>
    <w:rsid w:val="00DA58F7"/>
    <w:rsid w:val="00DD7C23"/>
    <w:rsid w:val="00DE2AEA"/>
    <w:rsid w:val="00DE2D78"/>
    <w:rsid w:val="00DE6B20"/>
    <w:rsid w:val="00DF71D4"/>
    <w:rsid w:val="00E00A9C"/>
    <w:rsid w:val="00E07F90"/>
    <w:rsid w:val="00E11F38"/>
    <w:rsid w:val="00E135F9"/>
    <w:rsid w:val="00E208B0"/>
    <w:rsid w:val="00E47104"/>
    <w:rsid w:val="00E47E73"/>
    <w:rsid w:val="00E6638A"/>
    <w:rsid w:val="00E716D4"/>
    <w:rsid w:val="00E738B2"/>
    <w:rsid w:val="00E76495"/>
    <w:rsid w:val="00ED3765"/>
    <w:rsid w:val="00EE36D0"/>
    <w:rsid w:val="00EE689B"/>
    <w:rsid w:val="00EF2336"/>
    <w:rsid w:val="00EF68E4"/>
    <w:rsid w:val="00F10FB9"/>
    <w:rsid w:val="00F11CB9"/>
    <w:rsid w:val="00F25B48"/>
    <w:rsid w:val="00F30700"/>
    <w:rsid w:val="00F341C7"/>
    <w:rsid w:val="00F601B1"/>
    <w:rsid w:val="00F70E9F"/>
    <w:rsid w:val="00F7315A"/>
    <w:rsid w:val="00F76879"/>
    <w:rsid w:val="00F76DA1"/>
    <w:rsid w:val="00F8004A"/>
    <w:rsid w:val="00F935A5"/>
    <w:rsid w:val="00FB0781"/>
    <w:rsid w:val="00FC0089"/>
    <w:rsid w:val="00FE117D"/>
    <w:rsid w:val="00FE327D"/>
    <w:rsid w:val="00FE3CB2"/>
    <w:rsid w:val="00FF27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71013"/>
  <w15:docId w15:val="{AB8FAA36-C39B-4FEE-B2D7-F7E40F9A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qFormat/>
    <w:pPr>
      <w:keepNext/>
      <w:spacing w:after="120" w:line="240" w:lineRule="atLeast"/>
      <w:jc w:val="right"/>
      <w:outlineLvl w:val="8"/>
    </w:pPr>
    <w:rPr>
      <w:rFonts w:ascii="Arial" w:hAnsi="Arial" w:cs="Arial"/>
      <w:b/>
      <w:bCs/>
      <w:color w:val="FF0000"/>
      <w:sz w:val="44"/>
      <w:szCs w:val="44"/>
      <w:lang w:bidi="ar-L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aliases w:val="אות הערה"/>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fn, Char"/>
    <w:basedOn w:val="Normal"/>
    <w:link w:val="FootnoteTextChar"/>
    <w:uiPriority w:val="99"/>
    <w:qFormat/>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link w:val="BodyTextChar"/>
    <w:semiHidden/>
    <w:pPr>
      <w:spacing w:after="120" w:line="340" w:lineRule="exact"/>
      <w:jc w:val="center"/>
    </w:pPr>
    <w:rPr>
      <w:rFonts w:cs="FrankRuehl"/>
      <w:b/>
      <w:bCs/>
      <w:sz w:val="26"/>
      <w:szCs w:val="26"/>
    </w:rPr>
  </w:style>
  <w:style w:type="character" w:styleId="Strong">
    <w:name w:val="Strong"/>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semiHidden/>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character" w:customStyle="1" w:styleId="Footnoteanchor">
    <w:name w:val="Footnote anchor"/>
    <w:rPr>
      <w:vertAlign w:val="superscript"/>
    </w:rPr>
  </w:style>
  <w:style w:type="character" w:customStyle="1" w:styleId="InternetLink">
    <w:name w:val="Internet Link"/>
    <w:rPr>
      <w:color w:val="000080"/>
      <w:u w:val="single"/>
      <w:lang w:val="en-US" w:eastAsia="en-US" w:bidi="en-US"/>
    </w:rPr>
  </w:style>
  <w:style w:type="paragraph" w:customStyle="1" w:styleId="Footnote">
    <w:name w:val="Footnote"/>
    <w:basedOn w:val="Normal"/>
    <w:pPr>
      <w:widowControl w:val="0"/>
      <w:suppressLineNumbers/>
      <w:tabs>
        <w:tab w:val="left" w:pos="709"/>
      </w:tabs>
      <w:suppressAutoHyphens/>
      <w:bidi w:val="0"/>
      <w:spacing w:after="200" w:line="276" w:lineRule="auto"/>
      <w:ind w:left="339" w:hanging="339"/>
    </w:pPr>
    <w:rPr>
      <w:rFonts w:ascii="Palatino" w:eastAsia="WenQuanYi Micro Hei" w:hAnsi="Palatino" w:cs="Times New Roman"/>
      <w:color w:val="00000A"/>
      <w:sz w:val="20"/>
      <w:szCs w:val="20"/>
      <w:lang w:val="en-GB" w:eastAsia="zh-CN"/>
    </w:rPr>
  </w:style>
  <w:style w:type="paragraph" w:styleId="Caption">
    <w:name w:val="caption"/>
    <w:basedOn w:val="Normal"/>
    <w:next w:val="Normal"/>
    <w:qFormat/>
    <w:pPr>
      <w:spacing w:before="120" w:line="240" w:lineRule="atLeast"/>
      <w:jc w:val="right"/>
    </w:pPr>
    <w:rPr>
      <w:rFonts w:ascii="Arial" w:hAnsi="Arial" w:cs="Arial"/>
      <w:b/>
      <w:bCs/>
      <w:color w:val="FF0000"/>
      <w:lang w:bidi="ar-LB"/>
    </w:rPr>
  </w:style>
  <w:style w:type="paragraph" w:styleId="BodyText2">
    <w:name w:val="Body Text 2"/>
    <w:basedOn w:val="Normal"/>
    <w:link w:val="BodyText2Char"/>
    <w:uiPriority w:val="99"/>
    <w:unhideWhenUsed/>
    <w:rsid w:val="00C35942"/>
    <w:pPr>
      <w:spacing w:after="180" w:line="280" w:lineRule="exact"/>
      <w:jc w:val="both"/>
    </w:pPr>
    <w:rPr>
      <w:rFonts w:ascii="Arial" w:hAnsi="Arial" w:cs="Arial"/>
      <w:lang w:bidi="ar-SA"/>
    </w:rPr>
  </w:style>
  <w:style w:type="character" w:customStyle="1" w:styleId="BodyText2Char">
    <w:name w:val="Body Text 2 Char"/>
    <w:link w:val="BodyText2"/>
    <w:uiPriority w:val="99"/>
    <w:rsid w:val="00C35942"/>
    <w:rPr>
      <w:rFonts w:ascii="Arial" w:hAnsi="Arial" w:cs="Arial"/>
      <w:sz w:val="24"/>
      <w:szCs w:val="24"/>
      <w:lang w:bidi="ar-SA"/>
    </w:rPr>
  </w:style>
  <w:style w:type="paragraph" w:styleId="BodyTextFirstIndent">
    <w:name w:val="Body Text First Indent"/>
    <w:basedOn w:val="BodyText"/>
    <w:link w:val="BodyTextFirstIndentChar"/>
    <w:uiPriority w:val="99"/>
    <w:semiHidden/>
    <w:unhideWhenUsed/>
    <w:rsid w:val="00832C98"/>
    <w:pPr>
      <w:spacing w:line="240" w:lineRule="exact"/>
      <w:ind w:firstLine="210"/>
      <w:jc w:val="left"/>
    </w:pPr>
    <w:rPr>
      <w:rFonts w:cs="David"/>
      <w:b w:val="0"/>
      <w:bCs w:val="0"/>
      <w:sz w:val="24"/>
      <w:szCs w:val="24"/>
    </w:rPr>
  </w:style>
  <w:style w:type="character" w:customStyle="1" w:styleId="BodyTextChar">
    <w:name w:val="Body Text Char"/>
    <w:link w:val="BodyText"/>
    <w:semiHidden/>
    <w:rsid w:val="00832C98"/>
    <w:rPr>
      <w:rFonts w:cs="FrankRuehl"/>
      <w:b/>
      <w:bCs/>
      <w:sz w:val="26"/>
      <w:szCs w:val="26"/>
    </w:rPr>
  </w:style>
  <w:style w:type="character" w:customStyle="1" w:styleId="BodyTextFirstIndentChar">
    <w:name w:val="Body Text First Indent Char"/>
    <w:link w:val="BodyTextFirstIndent"/>
    <w:uiPriority w:val="99"/>
    <w:semiHidden/>
    <w:rsid w:val="00832C98"/>
    <w:rPr>
      <w:rFonts w:cs="David"/>
      <w:b w:val="0"/>
      <w:bCs w:val="0"/>
      <w:sz w:val="24"/>
      <w:szCs w:val="24"/>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fn Char"/>
    <w:link w:val="FootnoteText"/>
    <w:uiPriority w:val="99"/>
    <w:rsid w:val="00832C98"/>
  </w:style>
  <w:style w:type="character" w:customStyle="1" w:styleId="hps">
    <w:name w:val="hps"/>
    <w:rsid w:val="002014B4"/>
  </w:style>
  <w:style w:type="paragraph" w:customStyle="1" w:styleId="KOT5T">
    <w:name w:val="KOT5T"/>
    <w:basedOn w:val="Normal"/>
    <w:qFormat/>
    <w:rsid w:val="001A7A8E"/>
    <w:pPr>
      <w:keepNext/>
      <w:spacing w:before="120" w:after="120" w:line="320" w:lineRule="exact"/>
      <w:ind w:right="2268"/>
      <w:jc w:val="center"/>
      <w:outlineLvl w:val="2"/>
    </w:pPr>
    <w:rPr>
      <w:rFonts w:ascii="Tahoma" w:hAnsi="Tahoma" w:cs="Tahoma"/>
      <w:b/>
      <w:bCs/>
      <w:color w:val="387026"/>
      <w:u w:color="FF0000"/>
    </w:rPr>
  </w:style>
  <w:style w:type="paragraph" w:customStyle="1" w:styleId="takzir-text">
    <w:name w:val="takzir-text"/>
    <w:qFormat/>
    <w:rsid w:val="001A7A8E"/>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character" w:customStyle="1" w:styleId="Heading1Char">
    <w:name w:val="Heading 1 Char"/>
    <w:link w:val="Heading1"/>
    <w:uiPriority w:val="9"/>
    <w:rsid w:val="00785169"/>
    <w:rPr>
      <w:rFonts w:cs="FrankRuehl"/>
      <w:b/>
      <w:bCs/>
      <w:sz w:val="28"/>
      <w:szCs w:val="28"/>
    </w:rPr>
  </w:style>
  <w:style w:type="character" w:styleId="CommentReference">
    <w:name w:val="annotation reference"/>
    <w:uiPriority w:val="99"/>
    <w:semiHidden/>
    <w:unhideWhenUsed/>
    <w:rsid w:val="00785169"/>
    <w:rPr>
      <w:sz w:val="16"/>
      <w:szCs w:val="16"/>
    </w:rPr>
  </w:style>
  <w:style w:type="character" w:customStyle="1" w:styleId="CommentTextChar">
    <w:name w:val="Comment Text Char"/>
    <w:link w:val="CommentText"/>
    <w:uiPriority w:val="99"/>
    <w:rsid w:val="00785169"/>
  </w:style>
  <w:style w:type="character" w:customStyle="1" w:styleId="BalloonTextChar">
    <w:name w:val="Balloon Text Char"/>
    <w:link w:val="BalloonText"/>
    <w:uiPriority w:val="99"/>
    <w:semiHidden/>
    <w:rsid w:val="00785169"/>
    <w:rPr>
      <w:rFonts w:ascii="Tahoma" w:hAnsi="Tahoma" w:cs="Tahoma"/>
      <w:sz w:val="16"/>
      <w:szCs w:val="16"/>
    </w:rPr>
  </w:style>
  <w:style w:type="character" w:customStyle="1" w:styleId="Heading2Char">
    <w:name w:val="Heading 2 Char"/>
    <w:link w:val="Heading2"/>
    <w:uiPriority w:val="9"/>
    <w:rsid w:val="00785169"/>
    <w:rPr>
      <w:rFonts w:cs="FrankRuehl"/>
      <w:sz w:val="18"/>
      <w:u w:val="single"/>
    </w:rPr>
  </w:style>
  <w:style w:type="character" w:customStyle="1" w:styleId="Heading9Char">
    <w:name w:val="Heading 9 Char"/>
    <w:link w:val="Heading9"/>
    <w:uiPriority w:val="9"/>
    <w:rsid w:val="00785169"/>
    <w:rPr>
      <w:rFonts w:ascii="Arial" w:hAnsi="Arial" w:cs="Arial"/>
      <w:b/>
      <w:bCs/>
      <w:color w:val="FF0000"/>
      <w:sz w:val="44"/>
      <w:szCs w:val="44"/>
      <w:lang w:bidi="ar-LB"/>
    </w:rPr>
  </w:style>
  <w:style w:type="paragraph" w:customStyle="1" w:styleId="10">
    <w:name w:val="טקסט הערת שוליים1"/>
    <w:basedOn w:val="Normal"/>
    <w:next w:val="FootnoteText"/>
    <w:uiPriority w:val="99"/>
    <w:unhideWhenUsed/>
    <w:rsid w:val="002D340E"/>
    <w:pPr>
      <w:spacing w:line="240" w:lineRule="auto"/>
    </w:pPr>
    <w:rPr>
      <w:rFonts w:ascii="Calibri" w:eastAsia="Calibri" w:hAnsi="Calibri" w:cs="Arial"/>
      <w:sz w:val="20"/>
      <w:szCs w:val="20"/>
    </w:rPr>
  </w:style>
  <w:style w:type="character" w:customStyle="1" w:styleId="TitleChar">
    <w:name w:val="Title Char"/>
    <w:link w:val="Title"/>
    <w:uiPriority w:val="10"/>
    <w:rsid w:val="00E208B0"/>
    <w:rPr>
      <w:rFonts w:cs="David"/>
      <w:sz w:val="24"/>
      <w:szCs w:val="24"/>
      <w:u w:val="single"/>
    </w:rPr>
  </w:style>
  <w:style w:type="character" w:customStyle="1" w:styleId="HeaderChar">
    <w:name w:val="Header Char"/>
    <w:link w:val="Header"/>
    <w:uiPriority w:val="99"/>
    <w:rsid w:val="008B4530"/>
    <w:rPr>
      <w:rFonts w:cs="David"/>
      <w:sz w:val="24"/>
      <w:szCs w:val="24"/>
    </w:rPr>
  </w:style>
  <w:style w:type="paragraph" w:styleId="NoSpacing">
    <w:name w:val="No Spacing"/>
    <w:uiPriority w:val="1"/>
    <w:qFormat/>
    <w:rsid w:val="008B4530"/>
    <w:pPr>
      <w:bidi/>
    </w:pPr>
    <w:rPr>
      <w:rFonts w:ascii="Arial" w:eastAsia="Calibri" w:hAnsi="Arial" w:cs="Arial"/>
      <w:sz w:val="22"/>
      <w:szCs w:val="22"/>
    </w:rPr>
  </w:style>
  <w:style w:type="character" w:customStyle="1" w:styleId="normaltextrun">
    <w:name w:val="normaltextrun"/>
    <w:rsid w:val="00D2001A"/>
  </w:style>
  <w:style w:type="character" w:customStyle="1" w:styleId="FooterChar">
    <w:name w:val="Footer Char"/>
    <w:basedOn w:val="DefaultParagraphFont"/>
    <w:link w:val="Footer"/>
    <w:uiPriority w:val="99"/>
    <w:rsid w:val="007D33D3"/>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4060909E218E754FBC498CB90CA7D542" ma:contentTypeVersion="1" ma:contentTypeDescription="צור מסמך חדש." ma:contentTypeScope="" ma:versionID="01072a269b0c7d9f4ad341e55bedb72a">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93064DF-453D-406F-A194-87A7B5B342F4}">
  <ds:schemaRefs>
    <ds:schemaRef ds:uri="http://schemas.openxmlformats.org/officeDocument/2006/bibliography"/>
  </ds:schemaRefs>
</ds:datastoreItem>
</file>

<file path=customXml/itemProps2.xml><?xml version="1.0" encoding="utf-8"?>
<ds:datastoreItem xmlns:ds="http://schemas.openxmlformats.org/officeDocument/2006/customXml" ds:itemID="{ADCE3EF0-5641-4DB6-BE5E-147A2A01B60B}"/>
</file>

<file path=customXml/itemProps3.xml><?xml version="1.0" encoding="utf-8"?>
<ds:datastoreItem xmlns:ds="http://schemas.openxmlformats.org/officeDocument/2006/customXml" ds:itemID="{23CF0291-A086-438E-BB05-104AD13B1237}"/>
</file>

<file path=customXml/itemProps4.xml><?xml version="1.0" encoding="utf-8"?>
<ds:datastoreItem xmlns:ds="http://schemas.openxmlformats.org/officeDocument/2006/customXml" ds:itemID="{4818C5DB-47F9-488A-9F54-194591B7798F}"/>
</file>

<file path=docProps/app.xml><?xml version="1.0" encoding="utf-8"?>
<Properties xmlns="http://schemas.openxmlformats.org/officeDocument/2006/extended-properties" xmlns:vt="http://schemas.openxmlformats.org/officeDocument/2006/docPropsVTypes">
  <Template>Normal.dotm</Template>
  <TotalTime>2</TotalTime>
  <Pages>10</Pages>
  <Words>1409</Words>
  <Characters>8036</Characters>
  <Application>Microsoft Office Word</Application>
  <DocSecurity>0</DocSecurity>
  <Lines>66</Lines>
  <Paragraphs>18</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בעלות על דיור ותנאי מגורים של</vt:lpstr>
    </vt:vector>
  </TitlesOfParts>
  <Company>Onit Computer Services Ltd</Company>
  <LinksUpToDate>false</LinksUpToDate>
  <CharactersWithSpaces>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Mordechai Frankel</dc:creator>
  <cp:lastModifiedBy>Mordechai Frankel</cp:lastModifiedBy>
  <cp:revision>3</cp:revision>
  <cp:lastPrinted>2019-05-01T08:14:00Z</cp:lastPrinted>
  <dcterms:created xsi:type="dcterms:W3CDTF">2022-03-15T12:46:00Z</dcterms:created>
  <dcterms:modified xsi:type="dcterms:W3CDTF">2022-03-15T13:23:00Z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-1831600828</vt:i4>
  </property>
  <property fmtid="{D5CDD505-2E9C-101B-9397-08002B2CF9AE}" pid="4" name="_EmailSubject">
    <vt:lpwstr>ערבית 111 - דחוף: לבדוק את הערות השוליים</vt:lpwstr>
  </property>
  <property fmtid="{D5CDD505-2E9C-101B-9397-08002B2CF9AE}" pid="5" name="_AuthorEmail">
    <vt:lpwstr>BADER_D@snifim.blroot</vt:lpwstr>
  </property>
  <property fmtid="{D5CDD505-2E9C-101B-9397-08002B2CF9AE}" pid="6" name="_AuthorEmailDisplayName">
    <vt:lpwstr>בדר דלאשה</vt:lpwstr>
  </property>
  <property fmtid="{D5CDD505-2E9C-101B-9397-08002B2CF9AE}" pid="7" name="_PreviousAdHocReviewCycleID">
    <vt:i4>294857719</vt:i4>
  </property>
  <property fmtid="{D5CDD505-2E9C-101B-9397-08002B2CF9AE}" pid="8" name="_ReviewingToolsShownOnce">
    <vt:lpwstr/>
  </property>
  <property fmtid="{D5CDD505-2E9C-101B-9397-08002B2CF9AE}" pid="9" name="ContentTypeId">
    <vt:lpwstr>0x0101004060909E218E754FBC498CB90CA7D542</vt:lpwstr>
  </property>
  <property fmtid="{D5CDD505-2E9C-101B-9397-08002B2CF9AE}" pid="10" name="Order">
    <vt:r8>2200</vt:r8>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TemplateUrl">
    <vt:lpwstr/>
  </property>
</Properties>
</file>