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B9C5" w14:textId="77777777" w:rsidR="00FF08A2" w:rsidRPr="00FF08A2" w:rsidRDefault="00FF08A2" w:rsidP="00FF08A2">
      <w:pPr>
        <w:pStyle w:val="NAME"/>
        <w:pBdr>
          <w:bottom w:val="none" w:sz="0" w:space="0" w:color="auto"/>
        </w:pBdr>
        <w:spacing w:before="360" w:after="0" w:line="480" w:lineRule="exact"/>
        <w:rPr>
          <w:rFonts w:ascii="Tahoma" w:hAnsi="Tahoma" w:cs="Guttman Aharoni"/>
          <w:b/>
          <w:bCs/>
          <w:color w:val="00B0F0"/>
          <w:sz w:val="32"/>
          <w:szCs w:val="32"/>
          <w:rtl/>
        </w:rPr>
      </w:pPr>
      <w:r w:rsidRPr="00FF08A2">
        <w:rPr>
          <w:rFonts w:ascii="Tahoma" w:hAnsi="Tahoma" w:cs="Guttman Aharoni" w:hint="cs"/>
          <w:b/>
          <w:bCs/>
          <w:color w:val="00B0F0"/>
          <w:sz w:val="32"/>
          <w:szCs w:val="32"/>
          <w:rtl/>
        </w:rPr>
        <w:t>סקירת ספרים חדשים</w:t>
      </w:r>
    </w:p>
    <w:p w14:paraId="4D3EA0B1" w14:textId="77777777" w:rsidR="00FF08A2" w:rsidRPr="00FF67A7" w:rsidRDefault="00FF08A2" w:rsidP="00FF08A2">
      <w:pPr>
        <w:pStyle w:val="KOT5T"/>
        <w:spacing w:after="960" w:line="360" w:lineRule="exact"/>
        <w:jc w:val="right"/>
        <w:rPr>
          <w:color w:val="00B0F0"/>
          <w:sz w:val="20"/>
          <w:szCs w:val="20"/>
        </w:rPr>
      </w:pPr>
      <w:r w:rsidRPr="00FF67A7">
        <w:rPr>
          <w:rFonts w:hint="cs"/>
          <w:color w:val="00B0F0"/>
          <w:sz w:val="20"/>
          <w:szCs w:val="20"/>
          <w:rtl/>
        </w:rPr>
        <w:t>בעריכת</w:t>
      </w:r>
      <w:r w:rsidRPr="00FF67A7">
        <w:rPr>
          <w:color w:val="00B0F0"/>
          <w:sz w:val="20"/>
          <w:szCs w:val="20"/>
          <w:rtl/>
        </w:rPr>
        <w:t xml:space="preserve"> </w:t>
      </w:r>
      <w:r w:rsidRPr="00FF67A7">
        <w:rPr>
          <w:rFonts w:hint="cs"/>
          <w:color w:val="00B0F0"/>
          <w:sz w:val="20"/>
          <w:szCs w:val="20"/>
          <w:rtl/>
        </w:rPr>
        <w:t>עינת לביא</w:t>
      </w:r>
    </w:p>
    <w:p w14:paraId="08B2295D" w14:textId="77777777" w:rsidR="007214A0" w:rsidRDefault="00FF08A2" w:rsidP="00FF67A7">
      <w:pPr>
        <w:pStyle w:val="KOT4"/>
        <w:spacing w:after="0"/>
        <w:ind w:right="0"/>
        <w:rPr>
          <w:rFonts w:cs="Guttman Aharoni"/>
          <w:b w:val="0"/>
          <w:bCs w:val="0"/>
          <w:color w:val="00B0F0"/>
          <w:sz w:val="28"/>
          <w:szCs w:val="28"/>
        </w:rPr>
      </w:pPr>
      <w:r w:rsidRPr="00FF67A7">
        <w:rPr>
          <w:rFonts w:cs="Guttman Aharoni"/>
          <w:b w:val="0"/>
          <w:bCs w:val="0"/>
          <w:color w:val="00B0F0"/>
          <w:sz w:val="28"/>
          <w:szCs w:val="28"/>
          <w:rtl/>
        </w:rPr>
        <w:t xml:space="preserve">פיתוח </w:t>
      </w:r>
      <w:r w:rsidRPr="007214A0">
        <w:rPr>
          <w:rFonts w:cs="Guttman Aharoni"/>
          <w:b w:val="0"/>
          <w:bCs w:val="0"/>
          <w:color w:val="00B0F0"/>
          <w:sz w:val="28"/>
          <w:szCs w:val="28"/>
          <w:rtl/>
        </w:rPr>
        <w:t>שיר</w:t>
      </w:r>
      <w:r w:rsidRPr="00FF67A7">
        <w:rPr>
          <w:rFonts w:cs="Guttman Aharoni"/>
          <w:b w:val="0"/>
          <w:bCs w:val="0"/>
          <w:color w:val="00B0F0"/>
          <w:sz w:val="28"/>
          <w:szCs w:val="28"/>
          <w:rtl/>
        </w:rPr>
        <w:t>ותים חברתיים בחברה מתהווה</w:t>
      </w:r>
      <w:r w:rsidRPr="00FF67A7">
        <w:rPr>
          <w:rFonts w:cs="Guttman Aharoni" w:hint="cs"/>
          <w:b w:val="0"/>
          <w:bCs w:val="0"/>
          <w:color w:val="00B0F0"/>
          <w:sz w:val="28"/>
          <w:szCs w:val="28"/>
          <w:rtl/>
        </w:rPr>
        <w:t>:</w:t>
      </w:r>
      <w:r w:rsidRPr="00FF67A7">
        <w:rPr>
          <w:rFonts w:cs="Guttman Aharoni"/>
          <w:b w:val="0"/>
          <w:bCs w:val="0"/>
          <w:color w:val="00B0F0"/>
          <w:sz w:val="28"/>
          <w:szCs w:val="28"/>
          <w:rtl/>
        </w:rPr>
        <w:t xml:space="preserve"> מסע אישי</w:t>
      </w:r>
    </w:p>
    <w:p w14:paraId="2FFBF27C" w14:textId="77777777" w:rsidR="007214A0" w:rsidRPr="007214A0" w:rsidRDefault="00FF08A2" w:rsidP="007214A0">
      <w:pPr>
        <w:pStyle w:val="KOT5"/>
        <w:rPr>
          <w:b/>
          <w:bCs/>
          <w:color w:val="00B0F0"/>
          <w:sz w:val="20"/>
          <w:szCs w:val="20"/>
        </w:rPr>
      </w:pPr>
      <w:r w:rsidRPr="007214A0">
        <w:rPr>
          <w:color w:val="00B0F0"/>
          <w:rtl/>
        </w:rPr>
        <w:t>מאיר חובב</w:t>
      </w:r>
      <w:r w:rsidR="00FF67A7" w:rsidRPr="007214A0">
        <w:rPr>
          <w:rFonts w:hint="cs"/>
          <w:color w:val="00B0F0"/>
          <w:sz w:val="20"/>
          <w:szCs w:val="20"/>
          <w:rtl/>
        </w:rPr>
        <w:t xml:space="preserve"> </w:t>
      </w:r>
    </w:p>
    <w:p w14:paraId="76A79651" w14:textId="6F9256DC" w:rsidR="00FF08A2" w:rsidRPr="007214A0" w:rsidRDefault="00FF67A7" w:rsidP="007214A0">
      <w:pPr>
        <w:pStyle w:val="KOT6"/>
        <w:rPr>
          <w:rFonts w:cs="Guttman Aharoni"/>
          <w:b w:val="0"/>
          <w:bCs w:val="0"/>
          <w:color w:val="00B0F0"/>
          <w:sz w:val="28"/>
          <w:szCs w:val="28"/>
          <w:rtl/>
        </w:rPr>
      </w:pPr>
      <w:r w:rsidRPr="007214A0">
        <w:rPr>
          <w:rFonts w:cs="Guttman Aharoni" w:hint="cs"/>
          <w:b w:val="0"/>
          <w:bCs w:val="0"/>
          <w:color w:val="00B0F0"/>
          <w:sz w:val="22"/>
          <w:szCs w:val="22"/>
          <w:rtl/>
        </w:rPr>
        <w:t>הוצאת כרמל,</w:t>
      </w:r>
      <w:r w:rsidR="00FF08A2" w:rsidRPr="007214A0">
        <w:rPr>
          <w:rFonts w:cs="Guttman Aharoni" w:hint="cs"/>
          <w:b w:val="0"/>
          <w:bCs w:val="0"/>
          <w:color w:val="00B0F0"/>
          <w:sz w:val="22"/>
          <w:szCs w:val="22"/>
          <w:rtl/>
        </w:rPr>
        <w:t xml:space="preserve"> 2020. 263 עמודים</w:t>
      </w:r>
    </w:p>
    <w:p w14:paraId="163E9079" w14:textId="77777777" w:rsidR="00FF08A2" w:rsidRPr="00FF67A7" w:rsidRDefault="00FF08A2" w:rsidP="00BA29F5">
      <w:pPr>
        <w:keepNext/>
        <w:spacing w:before="360" w:after="480" w:line="280" w:lineRule="exact"/>
        <w:rPr>
          <w:rFonts w:cs="Guttman Aharoni"/>
          <w:sz w:val="20"/>
          <w:szCs w:val="20"/>
          <w:rtl/>
        </w:rPr>
      </w:pPr>
      <w:r w:rsidRPr="00FF67A7">
        <w:rPr>
          <w:rFonts w:cs="Guttman Aharoni" w:hint="cs"/>
          <w:sz w:val="20"/>
          <w:szCs w:val="20"/>
          <w:rtl/>
        </w:rPr>
        <w:t>סוקרת: מלי שחורי ביטון</w:t>
      </w:r>
      <w:r w:rsidR="001B663D" w:rsidRPr="00FF67A7">
        <w:rPr>
          <w:rFonts w:cs="Guttman Aharoni"/>
          <w:sz w:val="20"/>
          <w:szCs w:val="20"/>
          <w:vertAlign w:val="superscript"/>
          <w:rtl/>
        </w:rPr>
        <w:footnoteReference w:id="2"/>
      </w:r>
    </w:p>
    <w:p w14:paraId="79392CEC" w14:textId="77777777" w:rsidR="00FF08A2" w:rsidRPr="001B663D" w:rsidRDefault="00FF08A2" w:rsidP="007B1BF0">
      <w:pPr>
        <w:spacing w:after="180" w:line="280" w:lineRule="exact"/>
        <w:jc w:val="both"/>
        <w:rPr>
          <w:rFonts w:ascii="Georgia" w:hAnsi="Georgia"/>
          <w:sz w:val="18"/>
          <w:szCs w:val="20"/>
          <w:rtl/>
        </w:rPr>
      </w:pPr>
      <w:bookmarkStart w:id="1" w:name="_Hlk105520946"/>
      <w:r w:rsidRPr="001B663D">
        <w:rPr>
          <w:rFonts w:ascii="Georgia" w:hAnsi="Georgia" w:hint="cs"/>
          <w:sz w:val="18"/>
          <w:szCs w:val="20"/>
          <w:rtl/>
        </w:rPr>
        <w:t xml:space="preserve">במבוא לספרו </w:t>
      </w:r>
      <w:r w:rsidRPr="001B663D">
        <w:rPr>
          <w:rFonts w:ascii="Georgia" w:hAnsi="Georgia"/>
          <w:b/>
          <w:bCs/>
          <w:sz w:val="18"/>
          <w:szCs w:val="20"/>
          <w:rtl/>
        </w:rPr>
        <w:t>פיתוח שירותים חברתיים בחברה מתהווה</w:t>
      </w:r>
      <w:r w:rsidRPr="001B663D">
        <w:rPr>
          <w:rFonts w:ascii="Georgia" w:hAnsi="Georgia" w:hint="cs"/>
          <w:b/>
          <w:bCs/>
          <w:sz w:val="18"/>
          <w:szCs w:val="20"/>
          <w:rtl/>
        </w:rPr>
        <w:t>:</w:t>
      </w:r>
      <w:r w:rsidRPr="001B663D">
        <w:rPr>
          <w:rFonts w:ascii="Georgia" w:hAnsi="Georgia"/>
          <w:b/>
          <w:bCs/>
          <w:sz w:val="18"/>
          <w:szCs w:val="20"/>
          <w:rtl/>
        </w:rPr>
        <w:t xml:space="preserve"> מסע אישי</w:t>
      </w:r>
      <w:r w:rsidRPr="001B663D">
        <w:rPr>
          <w:rFonts w:ascii="Georgia" w:hAnsi="Georgia" w:hint="cs"/>
          <w:sz w:val="18"/>
          <w:szCs w:val="20"/>
          <w:rtl/>
        </w:rPr>
        <w:t xml:space="preserve"> מעיד ד"ר מאיר חובב כי ביקש להשיג שתי מטרות עיקריות: האחת, להציג את פעילותו במסגרות שונות, את התובנות שהפיק ממנה ואת ההשפעות שהיו לה; והאחרת, לשזור את תחומי הפעילות האישית לתמורות שחלו בתחומים הללו לאורך השנים. שתי המטרות מושגות באמצעות הצגת נרטיב אישי המגובה בספרות מקצועית עשירה, המספקת תמונת מצב אובייקטיבית ומשקפת את מצב הידע בתחומים המגוונים המוצגים בספר. כך, לצד תיאור ההתפתחות האישית והשינויים האישיים, מתוארים שינויים מערכתיים שהשפיעו על דרכו המקצועית ועל הבחירות המקצועיות שעשה במהלך השנים, וגם על החברה הישראלית. בתוך כל אלה </w:t>
      </w:r>
      <w:r w:rsidR="007B1BF0">
        <w:rPr>
          <w:rFonts w:ascii="Georgia" w:hAnsi="Georgia" w:hint="cs"/>
          <w:sz w:val="18"/>
          <w:szCs w:val="20"/>
          <w:rtl/>
        </w:rPr>
        <w:t>שזורים</w:t>
      </w:r>
      <w:r w:rsidR="007B1BF0" w:rsidRPr="001B663D">
        <w:rPr>
          <w:rFonts w:ascii="Georgia" w:hAnsi="Georgia" w:hint="cs"/>
          <w:sz w:val="18"/>
          <w:szCs w:val="20"/>
          <w:rtl/>
        </w:rPr>
        <w:t xml:space="preserve"> </w:t>
      </w:r>
      <w:r w:rsidRPr="001B663D">
        <w:rPr>
          <w:rFonts w:ascii="Georgia" w:hAnsi="Georgia" w:hint="cs"/>
          <w:sz w:val="18"/>
          <w:szCs w:val="20"/>
          <w:rtl/>
        </w:rPr>
        <w:t>כחוט השני גם קורות חיי המשפחה ואהבתו למשפחתו, לרעייתו חגית ולמשפחתה ה"ייקית", לילדיו ולנכדיו.</w:t>
      </w:r>
      <w:bookmarkEnd w:id="1"/>
    </w:p>
    <w:p w14:paraId="217D5811" w14:textId="77777777" w:rsidR="00FF08A2" w:rsidRPr="001B663D" w:rsidRDefault="00FF08A2" w:rsidP="00BA29F5">
      <w:pPr>
        <w:spacing w:after="180" w:line="280" w:lineRule="exact"/>
        <w:jc w:val="both"/>
        <w:rPr>
          <w:rFonts w:ascii="Georgia" w:hAnsi="Georgia"/>
          <w:sz w:val="18"/>
          <w:szCs w:val="20"/>
          <w:rtl/>
        </w:rPr>
      </w:pPr>
      <w:r w:rsidRPr="001B663D">
        <w:rPr>
          <w:rFonts w:ascii="Georgia" w:hAnsi="Georgia" w:hint="cs"/>
          <w:sz w:val="18"/>
          <w:szCs w:val="20"/>
          <w:rtl/>
        </w:rPr>
        <w:t xml:space="preserve">בספר ארבעה שערים: ילדות, נעורים ובגרות; פעילות בשירות המדינה; פעילות בתקופת הגמלאות </w:t>
      </w:r>
      <w:r w:rsidRPr="001B663D">
        <w:rPr>
          <w:rFonts w:ascii="Georgia" w:hAnsi="Georgia"/>
          <w:sz w:val="18"/>
          <w:szCs w:val="20"/>
          <w:shd w:val="clear" w:color="auto" w:fill="FFFFFF"/>
          <w:rtl/>
        </w:rPr>
        <w:t>–</w:t>
      </w:r>
      <w:r w:rsidRPr="001B663D">
        <w:rPr>
          <w:rFonts w:ascii="Georgia" w:hAnsi="Georgia" w:hint="cs"/>
          <w:sz w:val="18"/>
          <w:szCs w:val="20"/>
          <w:rtl/>
        </w:rPr>
        <w:t xml:space="preserve"> עשייה והתנדבות; סיכום: אבני דרך של פעילותי ותובנות אישיות וניהוליו</w:t>
      </w:r>
      <w:r w:rsidRPr="001B663D">
        <w:rPr>
          <w:rFonts w:ascii="Georgia" w:hAnsi="Georgia" w:hint="eastAsia"/>
          <w:sz w:val="18"/>
          <w:szCs w:val="20"/>
          <w:rtl/>
        </w:rPr>
        <w:t>ת</w:t>
      </w:r>
      <w:r w:rsidRPr="001B663D">
        <w:rPr>
          <w:rFonts w:ascii="Georgia" w:hAnsi="Georgia" w:hint="cs"/>
          <w:sz w:val="18"/>
          <w:szCs w:val="20"/>
          <w:rtl/>
        </w:rPr>
        <w:t xml:space="preserve">. </w:t>
      </w:r>
    </w:p>
    <w:p w14:paraId="60A8413E" w14:textId="77777777" w:rsidR="00FF08A2" w:rsidRPr="001B663D" w:rsidRDefault="00FF08A2" w:rsidP="00BA29F5">
      <w:pPr>
        <w:spacing w:after="180" w:line="280" w:lineRule="exact"/>
        <w:jc w:val="both"/>
        <w:rPr>
          <w:rFonts w:ascii="Georgia" w:hAnsi="Georgia"/>
          <w:sz w:val="18"/>
          <w:szCs w:val="20"/>
          <w:rtl/>
        </w:rPr>
      </w:pPr>
      <w:r w:rsidRPr="001B663D">
        <w:rPr>
          <w:rFonts w:ascii="Georgia" w:hAnsi="Georgia" w:hint="cs"/>
          <w:sz w:val="18"/>
          <w:szCs w:val="20"/>
          <w:rtl/>
        </w:rPr>
        <w:t xml:space="preserve">השער הראשון פותח בתיאור תקופת ילדותו והתבגרותו של מאיר במושב תל עדשים. מאיר נולד ביולי 1934, בן זקונים למשפחת חלוצים ששורשיה בחברה חסידית מאוקראינה. סיפורו האישי מילדות ועד בגרות משולב בתיאורים הקשורים בהיסטוריה של עם ישראל באותה עת (למשל חוויות ילדות מליל ה"שבת השחורה", אז בילה אצל דודתו בתל אביב. בהמשך, חשיפה לקליטת עלייה במסגרת ההדרכה במעברות וביישובי עולים, ועוד). לצד ילדות מאושרת בבית עשיר בתרבות ובערכים המושתתים על אמונה, חסד ונתינה, מתוארים האתגרים שעמדו בפני </w:t>
      </w:r>
      <w:r w:rsidRPr="001B663D">
        <w:rPr>
          <w:rFonts w:ascii="Georgia" w:hAnsi="Georgia" w:hint="cs"/>
          <w:sz w:val="18"/>
          <w:szCs w:val="20"/>
          <w:rtl/>
        </w:rPr>
        <w:lastRenderedPageBreak/>
        <w:t xml:space="preserve">המשפחה, כמו בפני שאר החלוצים במושב, לקיים משק חקלאי מעורב (רפת, לול פלחה ומטעים) שייתן מענה למחסור הכלכלי, ובד בבד לשמור על הביטחון ולהבטיח את אדמות היישוב ויבולן. בראייה רטרוספקטיבית מתאר המחבר את הילדות, ההתבגרות וההתנסויות במסגרות השונות (שירות צבאי, נישואים ואוניברסיטה) כהתנסויות מעצבות וכהכנה לחייו הבוגרים. </w:t>
      </w:r>
    </w:p>
    <w:p w14:paraId="31DBC2CA" w14:textId="77777777" w:rsidR="00FF08A2" w:rsidRPr="001B663D" w:rsidRDefault="00FF08A2" w:rsidP="00BA29F5">
      <w:pPr>
        <w:spacing w:after="180" w:line="280" w:lineRule="exact"/>
        <w:jc w:val="both"/>
        <w:rPr>
          <w:rFonts w:ascii="Georgia" w:hAnsi="Georgia"/>
          <w:sz w:val="18"/>
          <w:szCs w:val="20"/>
          <w:rtl/>
        </w:rPr>
      </w:pPr>
      <w:r w:rsidRPr="001B663D">
        <w:rPr>
          <w:rFonts w:ascii="Georgia" w:hAnsi="Georgia" w:hint="cs"/>
          <w:sz w:val="18"/>
          <w:szCs w:val="20"/>
          <w:rtl/>
        </w:rPr>
        <w:t xml:space="preserve">בשער השני, חלק הארי של הספר, מתוארת פעילותו בשירות המדינה, הנפרסת על פני ארבעה עשורים. בגיל 25, לאחר שסיים את לימודי התואר הראשון באוניברסיטה העברית, התגייס מאיר לשירות בתי הסוהר. במשך כשנתיים עסק במחקרי הערכה, ראשונים מסוגם באותה עת, שבחנו תהליכים הקשורים בתחום הקרימינולוגי (מניעי העבריינות) </w:t>
      </w:r>
      <w:proofErr w:type="spellStart"/>
      <w:r w:rsidRPr="001B663D">
        <w:rPr>
          <w:rFonts w:ascii="Georgia" w:hAnsi="Georgia" w:hint="cs"/>
          <w:sz w:val="18"/>
          <w:szCs w:val="20"/>
          <w:rtl/>
        </w:rPr>
        <w:t>והפנולוגי</w:t>
      </w:r>
      <w:proofErr w:type="spellEnd"/>
      <w:r w:rsidRPr="001B663D">
        <w:rPr>
          <w:rFonts w:ascii="Georgia" w:hAnsi="Georgia" w:hint="cs"/>
          <w:sz w:val="18"/>
          <w:szCs w:val="20"/>
          <w:rtl/>
        </w:rPr>
        <w:t xml:space="preserve"> (טיפול בעבריינים ושיקומם). בגיל 27 הצטרף לשורות המשטרה. הוא מילא בה שורה של תפקידים, הקים את מדור הנוער במטה הארצי ועמד בראשו. בהמשך נטל חופשה ללא תשלום לצורך לימודי תואר שלישי בארצות הברית. </w:t>
      </w:r>
    </w:p>
    <w:p w14:paraId="56CC7C00" w14:textId="77777777" w:rsidR="00FF08A2" w:rsidRPr="001B663D" w:rsidRDefault="00FF08A2" w:rsidP="00BA29F5">
      <w:pPr>
        <w:spacing w:after="180" w:line="280" w:lineRule="exact"/>
        <w:jc w:val="both"/>
        <w:rPr>
          <w:rFonts w:ascii="Georgia" w:hAnsi="Georgia"/>
          <w:sz w:val="18"/>
          <w:szCs w:val="20"/>
          <w:rtl/>
        </w:rPr>
      </w:pPr>
      <w:r w:rsidRPr="001B663D">
        <w:rPr>
          <w:rFonts w:ascii="Georgia" w:hAnsi="Georgia" w:hint="cs"/>
          <w:sz w:val="18"/>
          <w:szCs w:val="20"/>
          <w:rtl/>
        </w:rPr>
        <w:t xml:space="preserve">עם שובו ארצה מונה מאיר למנהל שירות המבחן לנוער במשרד הסעד, כשם המשרד אז (1973). הידע והניסיון הרב שצבר בתפקידיו ובלימודיו מלווים בתיאורים המאפשרים הצצה מרתקת לנוהגים ולאווירה שליוו את המדינה בכלל, ואת השירותים בעלי הרגישות החברתית שהיה מעורב בהם. עקב משבר במשרד הסעד, נקרא מאיר להקים את האגף לטיפול באדם המפגר, ולעמוד בראשו. היה זה תפקיד רגיש במיוחד, שכלל ניהול של מסגרת פנימיות ומוסדות, ותרם לפיתוח ולקידום דרכי הטיפול וההתערבות בקרב אוכלוסיות עם מוגבלויות. בזמן שניהל את האגף הוזמן מאיר ללמוד במכללה לביטחון לאומי, במסגרת מדיניות שביקשה לשלב במכללה תלמידים אזרחים שייצגו בדיונים את משרדי הממשלה ואת חלקם בביטחון הלאומי של ישראל. באופן רשמי הוא הוגדר תלמיד, אך במקרים רבים האזינו המרצים והלומדים לתיאור ולניתוח מצבים שהכיר מאיר מניסיונו, וללקחים שחלק עם בכירים שלימדו ולמדו עימו. </w:t>
      </w:r>
    </w:p>
    <w:p w14:paraId="7DBDE3D0" w14:textId="77777777" w:rsidR="00FF08A2" w:rsidRPr="001B663D" w:rsidRDefault="00FF08A2" w:rsidP="00BA29F5">
      <w:pPr>
        <w:spacing w:after="180" w:line="280" w:lineRule="exact"/>
        <w:jc w:val="both"/>
        <w:rPr>
          <w:rFonts w:ascii="Georgia" w:hAnsi="Georgia"/>
          <w:sz w:val="18"/>
          <w:szCs w:val="20"/>
          <w:rtl/>
        </w:rPr>
      </w:pPr>
      <w:r w:rsidRPr="001B663D">
        <w:rPr>
          <w:rFonts w:ascii="Georgia" w:hAnsi="Georgia" w:hint="cs"/>
          <w:sz w:val="18"/>
          <w:szCs w:val="20"/>
          <w:rtl/>
        </w:rPr>
        <w:t xml:space="preserve">עם סיום הלימודים במכללה, לאחר שנים של ניהול האגף לטיפול באדם המפגר, נקרא מאיר לנהל את אגף הנוער, צעירים ושירותי </w:t>
      </w:r>
      <w:proofErr w:type="spellStart"/>
      <w:r w:rsidRPr="001B663D">
        <w:rPr>
          <w:rFonts w:ascii="Georgia" w:hAnsi="Georgia" w:hint="cs"/>
          <w:sz w:val="18"/>
          <w:szCs w:val="20"/>
          <w:rtl/>
        </w:rPr>
        <w:t>תקון</w:t>
      </w:r>
      <w:proofErr w:type="spellEnd"/>
      <w:r w:rsidRPr="001B663D">
        <w:rPr>
          <w:rFonts w:ascii="Georgia" w:hAnsi="Georgia" w:hint="cs"/>
          <w:sz w:val="18"/>
          <w:szCs w:val="20"/>
          <w:rtl/>
        </w:rPr>
        <w:t xml:space="preserve"> במשרד העבודה והרווחה. במסגרת זאת הוא היה מופקד על מגוון רחב של שירותים, ובהם </w:t>
      </w:r>
      <w:proofErr w:type="spellStart"/>
      <w:r w:rsidRPr="001B663D">
        <w:rPr>
          <w:rFonts w:ascii="Georgia" w:hAnsi="Georgia" w:hint="cs"/>
          <w:sz w:val="18"/>
          <w:szCs w:val="20"/>
          <w:rtl/>
        </w:rPr>
        <w:t>מפת"נים</w:t>
      </w:r>
      <w:proofErr w:type="spellEnd"/>
      <w:r w:rsidRPr="001B663D">
        <w:rPr>
          <w:rFonts w:ascii="Georgia" w:hAnsi="Georgia" w:hint="cs"/>
          <w:sz w:val="18"/>
          <w:szCs w:val="20"/>
          <w:rtl/>
        </w:rPr>
        <w:t xml:space="preserve"> (מפעלים לתעסוקת נוער), אחריות לקידום נוער וצעירים בסיכון, רשות חסות הנוער </w:t>
      </w:r>
      <w:r w:rsidRPr="001B663D">
        <w:rPr>
          <w:rFonts w:ascii="Georgia" w:hAnsi="Georgia"/>
          <w:sz w:val="18"/>
          <w:szCs w:val="20"/>
          <w:shd w:val="clear" w:color="auto" w:fill="FFFFFF"/>
          <w:rtl/>
        </w:rPr>
        <w:t>–</w:t>
      </w:r>
      <w:r w:rsidRPr="001B663D">
        <w:rPr>
          <w:rFonts w:ascii="Georgia" w:hAnsi="Georgia" w:hint="cs"/>
          <w:sz w:val="18"/>
          <w:szCs w:val="20"/>
          <w:rtl/>
        </w:rPr>
        <w:t xml:space="preserve"> כולל פנימיות נעולות לצעירות ולצעירים עוברי חוק, השירות לנשים ולנערות ועוד. היה זה תפקיד בכיר שבצידו אתגר מקצועי, ניהולי ואישי. ניהול האגף חייב ידע מקצועי מקיף בד בבד עם גמישות מחשבתית וניהולית בטיפול בסוגיות רגישות שנגעו בכל רובדי החברה הישראלית. על כל אלה הוענק למאיר בשנת 1999, ערב צאתו לגמלאות, </w:t>
      </w:r>
      <w:r w:rsidRPr="00D94EE0">
        <w:rPr>
          <w:rFonts w:ascii="Georgia" w:hAnsi="Georgia" w:hint="eastAsia"/>
          <w:sz w:val="18"/>
          <w:szCs w:val="20"/>
          <w:rtl/>
        </w:rPr>
        <w:t>פרס</w:t>
      </w:r>
      <w:r w:rsidRPr="00D94EE0">
        <w:rPr>
          <w:rFonts w:ascii="Georgia" w:hAnsi="Georgia"/>
          <w:sz w:val="18"/>
          <w:szCs w:val="20"/>
          <w:rtl/>
        </w:rPr>
        <w:t xml:space="preserve"> </w:t>
      </w:r>
      <w:r w:rsidRPr="00D94EE0">
        <w:rPr>
          <w:rFonts w:ascii="Georgia" w:hAnsi="Georgia" w:hint="eastAsia"/>
          <w:sz w:val="18"/>
          <w:szCs w:val="20"/>
          <w:rtl/>
        </w:rPr>
        <w:t>חזני</w:t>
      </w:r>
      <w:r w:rsidRPr="001B663D">
        <w:rPr>
          <w:rFonts w:ascii="Georgia" w:hAnsi="Georgia" w:hint="cs"/>
          <w:sz w:val="18"/>
          <w:szCs w:val="20"/>
          <w:rtl/>
        </w:rPr>
        <w:t xml:space="preserve">. בנימוקים לקבלת הפרס, לאחר פירוט ההיסטוריה המקצועית שלו, נכתב כך: </w:t>
      </w:r>
    </w:p>
    <w:p w14:paraId="78D99E44" w14:textId="77777777" w:rsidR="00FF08A2" w:rsidRPr="001B663D" w:rsidRDefault="00FF08A2" w:rsidP="00BA29F5">
      <w:pPr>
        <w:spacing w:after="180" w:line="280" w:lineRule="exact"/>
        <w:ind w:left="567"/>
        <w:jc w:val="both"/>
        <w:rPr>
          <w:rFonts w:ascii="Georgia" w:hAnsi="Georgia"/>
          <w:sz w:val="18"/>
          <w:szCs w:val="20"/>
          <w:rtl/>
        </w:rPr>
      </w:pPr>
      <w:r w:rsidRPr="001B663D">
        <w:rPr>
          <w:rFonts w:ascii="Georgia" w:hAnsi="Georgia" w:hint="cs"/>
          <w:sz w:val="18"/>
          <w:szCs w:val="20"/>
          <w:rtl/>
        </w:rPr>
        <w:t xml:space="preserve">ד"ר מאיר חובב הינו חלוץ, יוזם ומפתח שירותים חדשים בתחום הנוער והעבודה הסוציאלית [...] קידם קשרים בינלאומיים [...] ייצג את ישראל בוועדות בינלאומיות ובסמינרים ברחבי העולם בתחומי הרווחה השונים [...] בכל תחום בו עבד פיתח את </w:t>
      </w:r>
      <w:r w:rsidRPr="001B663D">
        <w:rPr>
          <w:rFonts w:ascii="Georgia" w:hAnsi="Georgia" w:hint="cs"/>
          <w:sz w:val="18"/>
          <w:szCs w:val="20"/>
          <w:rtl/>
        </w:rPr>
        <w:lastRenderedPageBreak/>
        <w:t xml:space="preserve">נושא המחקר והכתיבה המקצועית [...] הוא תרם לפיתוח השירותים בתחום הפיגור השכלי ועבריינות (חובב, 2020, עמ' 171). </w:t>
      </w:r>
    </w:p>
    <w:p w14:paraId="4F9992B5" w14:textId="77777777" w:rsidR="00FF08A2" w:rsidRPr="001B663D" w:rsidRDefault="00FF08A2" w:rsidP="00BA29F5">
      <w:pPr>
        <w:spacing w:after="180" w:line="280" w:lineRule="exact"/>
        <w:jc w:val="both"/>
        <w:rPr>
          <w:rFonts w:ascii="Georgia" w:hAnsi="Georgia"/>
          <w:sz w:val="18"/>
          <w:szCs w:val="20"/>
          <w:rtl/>
        </w:rPr>
      </w:pPr>
      <w:r w:rsidRPr="001B663D">
        <w:rPr>
          <w:rFonts w:ascii="Georgia" w:hAnsi="Georgia" w:hint="cs"/>
          <w:sz w:val="18"/>
          <w:szCs w:val="20"/>
          <w:rtl/>
        </w:rPr>
        <w:t xml:space="preserve">השער השלישי מציג את פעילותו של מאיר לאחר יציאתו לגמלאות, בשנת 2000. מאז ועד לכתיבת הסקירה (פברואר 2022) הקים מאיר עמותות, ניהל ארגונים בתחומי חברה מגוונים ויעץ להם, והכול בהסתמך על ידע וניסיון רבי שנים. במקביל הוא הקפיד להעביר את הידע שרכש בקורסים שלימד באוניברסיטאות שונות בישראל, והמשיך לתעד ולפרסם ספרים מובילים בתחומי עיסוקיו. רשימת הפרסומים שבסוף ספרו מקיפה 98 פריטים. אלה כוללים עשרות ספרים שכתב וערך, וכן מאמרים ופרקים שהתבקש לכתוב בתחום מומחיותו. על כל אלה קיבל בשנת 2019 </w:t>
      </w:r>
      <w:r w:rsidRPr="00D94EE0">
        <w:rPr>
          <w:rFonts w:ascii="Georgia" w:hAnsi="Georgia" w:hint="eastAsia"/>
          <w:sz w:val="18"/>
          <w:szCs w:val="20"/>
          <w:rtl/>
        </w:rPr>
        <w:t>פרס</w:t>
      </w:r>
      <w:r w:rsidRPr="00D94EE0">
        <w:rPr>
          <w:rFonts w:ascii="Georgia" w:hAnsi="Georgia"/>
          <w:sz w:val="18"/>
          <w:szCs w:val="20"/>
          <w:rtl/>
        </w:rPr>
        <w:t xml:space="preserve"> </w:t>
      </w:r>
      <w:r w:rsidRPr="00D94EE0">
        <w:rPr>
          <w:rFonts w:ascii="Georgia" w:hAnsi="Georgia" w:hint="eastAsia"/>
          <w:sz w:val="18"/>
          <w:szCs w:val="20"/>
          <w:rtl/>
        </w:rPr>
        <w:t>מפעל</w:t>
      </w:r>
      <w:r w:rsidRPr="00D94EE0">
        <w:rPr>
          <w:rFonts w:ascii="Georgia" w:hAnsi="Georgia"/>
          <w:sz w:val="18"/>
          <w:szCs w:val="20"/>
          <w:rtl/>
        </w:rPr>
        <w:t xml:space="preserve"> </w:t>
      </w:r>
      <w:r w:rsidRPr="00D94EE0">
        <w:rPr>
          <w:rFonts w:ascii="Georgia" w:hAnsi="Georgia" w:hint="eastAsia"/>
          <w:sz w:val="18"/>
          <w:szCs w:val="20"/>
          <w:rtl/>
        </w:rPr>
        <w:t>חיים</w:t>
      </w:r>
      <w:r w:rsidRPr="001B663D">
        <w:rPr>
          <w:rFonts w:ascii="Georgia" w:hAnsi="Georgia" w:hint="cs"/>
          <w:sz w:val="18"/>
          <w:szCs w:val="20"/>
          <w:rtl/>
        </w:rPr>
        <w:t xml:space="preserve"> מהאגודה הישראלית לקרימינולוגיה. </w:t>
      </w:r>
    </w:p>
    <w:p w14:paraId="519E1B45" w14:textId="77777777" w:rsidR="00FF08A2" w:rsidRPr="001B663D" w:rsidRDefault="00FF08A2" w:rsidP="00BA29F5">
      <w:pPr>
        <w:spacing w:after="180" w:line="280" w:lineRule="exact"/>
        <w:jc w:val="both"/>
        <w:rPr>
          <w:rFonts w:ascii="Georgia" w:hAnsi="Georgia"/>
          <w:b/>
          <w:bCs/>
          <w:sz w:val="18"/>
          <w:szCs w:val="20"/>
          <w:rtl/>
        </w:rPr>
      </w:pPr>
      <w:r w:rsidRPr="001B663D">
        <w:rPr>
          <w:rFonts w:ascii="Georgia" w:hAnsi="Georgia" w:hint="cs"/>
          <w:sz w:val="18"/>
          <w:szCs w:val="20"/>
          <w:rtl/>
        </w:rPr>
        <w:t xml:space="preserve">בשער הרביעי מסכם המחבר את הפעילות שפורטה בשערים הקודמים, ומספק תובנות על דרכי ניהול כלליות. באמצעות </w:t>
      </w:r>
      <w:r w:rsidRPr="00D94EE0">
        <w:rPr>
          <w:rFonts w:ascii="Georgia" w:hAnsi="Georgia" w:hint="eastAsia"/>
          <w:sz w:val="18"/>
          <w:szCs w:val="20"/>
          <w:rtl/>
        </w:rPr>
        <w:t>גישת</w:t>
      </w:r>
      <w:r w:rsidRPr="00D94EE0">
        <w:rPr>
          <w:rFonts w:ascii="Georgia" w:hAnsi="Georgia"/>
          <w:sz w:val="18"/>
          <w:szCs w:val="20"/>
          <w:rtl/>
        </w:rPr>
        <w:t xml:space="preserve"> </w:t>
      </w:r>
      <w:r w:rsidRPr="00D94EE0">
        <w:rPr>
          <w:rFonts w:ascii="Georgia" w:hAnsi="Georgia" w:hint="eastAsia"/>
          <w:sz w:val="18"/>
          <w:szCs w:val="20"/>
          <w:rtl/>
        </w:rPr>
        <w:t>המערכות</w:t>
      </w:r>
      <w:r w:rsidRPr="00D94EE0">
        <w:rPr>
          <w:rFonts w:ascii="Georgia" w:hAnsi="Georgia"/>
          <w:sz w:val="18"/>
          <w:szCs w:val="20"/>
          <w:rtl/>
        </w:rPr>
        <w:t xml:space="preserve"> </w:t>
      </w:r>
      <w:r w:rsidRPr="00D94EE0">
        <w:rPr>
          <w:rFonts w:ascii="Georgia" w:hAnsi="Georgia" w:hint="eastAsia"/>
          <w:sz w:val="18"/>
          <w:szCs w:val="20"/>
          <w:rtl/>
        </w:rPr>
        <w:t>המורכבות</w:t>
      </w:r>
      <w:r w:rsidRPr="001B663D">
        <w:rPr>
          <w:rFonts w:ascii="Georgia" w:hAnsi="Georgia" w:hint="cs"/>
          <w:i/>
          <w:iCs/>
          <w:sz w:val="18"/>
          <w:szCs w:val="20"/>
          <w:rtl/>
        </w:rPr>
        <w:t xml:space="preserve"> </w:t>
      </w:r>
      <w:r w:rsidRPr="001B663D">
        <w:rPr>
          <w:rFonts w:ascii="Georgia" w:hAnsi="Georgia" w:hint="cs"/>
          <w:sz w:val="18"/>
          <w:szCs w:val="20"/>
          <w:rtl/>
        </w:rPr>
        <w:t xml:space="preserve">מתוארת ההשפעה ההדדית של הארגונים שעבד בהם על התפתחותו של מאיר, ולהפך. ניתוח אינטגרטיבי מגובה בהפניה למקורות שונים מציג ארבעה מעגלים המקיפים זה את זה ושלובים זה בזה: האדם ואיש המשפחה, העובד בארגון, המערכת הכלל משרדית-ארגונית, ותהליכים סביבתיים כלל-חברתיים. </w:t>
      </w:r>
    </w:p>
    <w:p w14:paraId="39890706" w14:textId="77777777" w:rsidR="00FF08A2" w:rsidRPr="001B663D" w:rsidRDefault="00FF08A2" w:rsidP="00BA29F5">
      <w:pPr>
        <w:spacing w:after="180" w:line="280" w:lineRule="exact"/>
        <w:jc w:val="both"/>
        <w:rPr>
          <w:rFonts w:ascii="Georgia" w:hAnsi="Georgia"/>
          <w:sz w:val="18"/>
          <w:szCs w:val="20"/>
          <w:rtl/>
        </w:rPr>
      </w:pPr>
      <w:r w:rsidRPr="001B663D">
        <w:rPr>
          <w:rFonts w:ascii="Georgia" w:hAnsi="Georgia" w:hint="cs"/>
          <w:sz w:val="18"/>
          <w:szCs w:val="20"/>
          <w:rtl/>
        </w:rPr>
        <w:t xml:space="preserve">לסיכום, ספרו של ד"ר מאיר חובב הוא "מסע אישי" המשתלב באופן מרתק עם מגוון רחב של אירועים, היכרויות, מצבים ותהליכים שעברו על ארגונים מרכזיים בישראל. הספר ראוי לעיון לא רק בשל סיפור החיים המרתק, אלא גם בשל הניסיון, הידע והתבונה המשתקפים ממנו. הוא מעניין ומאתגר, ומומלץ בחום לכל מי שמתעניין, מנהל, מטפל וחוקר את התחום הכה חשוב של טיפול באוכלוסיות מוחלשות, ובנושאים רבים העומדים בחזית העשייה החברתית. </w:t>
      </w:r>
    </w:p>
    <w:p w14:paraId="58DF4CAA" w14:textId="01FA1A23" w:rsidR="00FF08A2" w:rsidRDefault="00FF08A2" w:rsidP="008F0FDD">
      <w:pPr>
        <w:spacing w:after="180" w:line="280" w:lineRule="exact"/>
        <w:jc w:val="both"/>
        <w:rPr>
          <w:sz w:val="18"/>
          <w:szCs w:val="20"/>
        </w:rPr>
      </w:pPr>
    </w:p>
    <w:p w14:paraId="72C97486" w14:textId="77777777" w:rsidR="00E519FB" w:rsidRDefault="00E519FB" w:rsidP="008F0FDD">
      <w:pPr>
        <w:spacing w:after="180" w:line="280" w:lineRule="exact"/>
        <w:jc w:val="both"/>
        <w:rPr>
          <w:sz w:val="18"/>
          <w:szCs w:val="20"/>
        </w:rPr>
      </w:pPr>
    </w:p>
    <w:p w14:paraId="098D0DA6" w14:textId="77777777" w:rsidR="00B11E66" w:rsidRPr="007214A0" w:rsidRDefault="00B11E66" w:rsidP="00E519FB">
      <w:pPr>
        <w:pStyle w:val="KOT4"/>
        <w:bidi w:val="0"/>
        <w:spacing w:after="60"/>
        <w:ind w:right="0"/>
        <w:rPr>
          <w:b w:val="0"/>
          <w:bCs w:val="0"/>
          <w:color w:val="00B0F0"/>
          <w:sz w:val="28"/>
          <w:szCs w:val="28"/>
        </w:rPr>
      </w:pPr>
      <w:r w:rsidRPr="007214A0">
        <w:rPr>
          <w:b w:val="0"/>
          <w:bCs w:val="0"/>
          <w:color w:val="00B0F0"/>
          <w:sz w:val="28"/>
          <w:szCs w:val="28"/>
        </w:rPr>
        <w:lastRenderedPageBreak/>
        <w:t>Policy entrepreneurship at the street level: Understanding the effect of the individual</w:t>
      </w:r>
    </w:p>
    <w:p w14:paraId="03513E66" w14:textId="77777777" w:rsidR="00B11E66" w:rsidRPr="00BA29F5" w:rsidRDefault="00B11E66" w:rsidP="00E519FB">
      <w:pPr>
        <w:pStyle w:val="KOT5T"/>
        <w:bidi w:val="0"/>
        <w:spacing w:before="0" w:after="60" w:line="240" w:lineRule="atLeast"/>
        <w:jc w:val="left"/>
        <w:rPr>
          <w:color w:val="00B0F0"/>
        </w:rPr>
      </w:pPr>
      <w:r w:rsidRPr="00BA29F5">
        <w:rPr>
          <w:color w:val="00B0F0"/>
        </w:rPr>
        <w:t>Nissim Cohen</w:t>
      </w:r>
    </w:p>
    <w:p w14:paraId="5ED37F28" w14:textId="77777777" w:rsidR="00B11E66" w:rsidRPr="00E519FB" w:rsidRDefault="00B11E66" w:rsidP="007214A0">
      <w:pPr>
        <w:pStyle w:val="Bauther"/>
        <w:keepNext/>
        <w:bidi w:val="0"/>
        <w:spacing w:before="0" w:after="0" w:line="240" w:lineRule="atLeast"/>
        <w:jc w:val="left"/>
        <w:rPr>
          <w:rFonts w:ascii="Tahoma" w:hAnsi="Tahoma" w:cs="Tahoma"/>
          <w:color w:val="00B0F0"/>
          <w:sz w:val="20"/>
          <w:szCs w:val="20"/>
          <w:rtl/>
        </w:rPr>
      </w:pPr>
      <w:r w:rsidRPr="00E519FB">
        <w:rPr>
          <w:rFonts w:ascii="Tahoma" w:hAnsi="Tahoma" w:cs="Tahoma"/>
          <w:color w:val="00B0F0"/>
          <w:sz w:val="20"/>
          <w:szCs w:val="20"/>
        </w:rPr>
        <w:t>Cambridge University Press: Cambridge Elements in Public and Non-profit Administration. 2021. 88 pages</w:t>
      </w:r>
    </w:p>
    <w:p w14:paraId="72C212E6" w14:textId="2BB9B978" w:rsidR="00B11E66" w:rsidRPr="00E519FB" w:rsidRDefault="00B11E66" w:rsidP="00E519FB">
      <w:pPr>
        <w:keepNext/>
        <w:spacing w:before="360" w:after="480" w:line="280" w:lineRule="exact"/>
        <w:rPr>
          <w:rFonts w:cs="Guttman Aharoni"/>
          <w:sz w:val="20"/>
          <w:szCs w:val="20"/>
        </w:rPr>
      </w:pPr>
      <w:r w:rsidRPr="00E519FB">
        <w:rPr>
          <w:rFonts w:cs="Guttman Aharoni" w:hint="cs"/>
          <w:sz w:val="20"/>
          <w:szCs w:val="20"/>
          <w:rtl/>
        </w:rPr>
        <w:t xml:space="preserve">סוקרים: רוני </w:t>
      </w:r>
      <w:proofErr w:type="spellStart"/>
      <w:r w:rsidRPr="00E519FB">
        <w:rPr>
          <w:rFonts w:cs="Guttman Aharoni" w:hint="cs"/>
          <w:sz w:val="20"/>
          <w:szCs w:val="20"/>
          <w:rtl/>
        </w:rPr>
        <w:t>סטריאר</w:t>
      </w:r>
      <w:proofErr w:type="spellEnd"/>
      <w:r w:rsidR="00E519FB" w:rsidRPr="00E519FB">
        <w:rPr>
          <w:rFonts w:cs="Guttman Aharoni"/>
          <w:sz w:val="20"/>
          <w:szCs w:val="20"/>
          <w:vertAlign w:val="superscript"/>
          <w:rtl/>
        </w:rPr>
        <w:footnoteReference w:id="3"/>
      </w:r>
      <w:r w:rsidRPr="00E519FB">
        <w:rPr>
          <w:rFonts w:cs="Guttman Aharoni" w:hint="cs"/>
          <w:sz w:val="20"/>
          <w:szCs w:val="20"/>
          <w:rtl/>
        </w:rPr>
        <w:t xml:space="preserve"> ותמר שורץ</w:t>
      </w:r>
      <w:r w:rsidRPr="00E519FB">
        <w:rPr>
          <w:rFonts w:cs="Guttman Aharoni"/>
          <w:sz w:val="20"/>
          <w:szCs w:val="20"/>
          <w:rtl/>
        </w:rPr>
        <w:t>-</w:t>
      </w:r>
      <w:r w:rsidRPr="00E519FB">
        <w:rPr>
          <w:rFonts w:cs="Guttman Aharoni" w:hint="cs"/>
          <w:sz w:val="20"/>
          <w:szCs w:val="20"/>
          <w:rtl/>
        </w:rPr>
        <w:t>זיו</w:t>
      </w:r>
      <w:r w:rsidR="00E519FB" w:rsidRPr="00E519FB">
        <w:rPr>
          <w:rFonts w:cs="Guttman Aharoni"/>
          <w:sz w:val="20"/>
          <w:szCs w:val="20"/>
          <w:vertAlign w:val="superscript"/>
          <w:rtl/>
        </w:rPr>
        <w:footnoteReference w:id="4"/>
      </w:r>
    </w:p>
    <w:p w14:paraId="1A5BEB95" w14:textId="77777777" w:rsidR="00B11E66" w:rsidRPr="001B663D" w:rsidRDefault="00B11E66" w:rsidP="00B11E66">
      <w:pPr>
        <w:spacing w:after="180" w:line="280" w:lineRule="exact"/>
        <w:jc w:val="both"/>
        <w:rPr>
          <w:rFonts w:ascii="Georgia" w:hAnsi="Georgia"/>
          <w:sz w:val="18"/>
          <w:szCs w:val="20"/>
          <w:rtl/>
        </w:rPr>
      </w:pPr>
      <w:bookmarkStart w:id="4" w:name="_Hlk105520592"/>
      <w:r w:rsidRPr="001B663D">
        <w:rPr>
          <w:rFonts w:ascii="Georgia" w:hAnsi="Georgia"/>
          <w:sz w:val="18"/>
          <w:szCs w:val="20"/>
          <w:rtl/>
        </w:rPr>
        <w:t>פרסום זה של פרופ' ניסים (נסי) כהן יצא לאור בהוצאת קיימברידג'</w:t>
      </w:r>
      <w:r w:rsidRPr="001B663D">
        <w:rPr>
          <w:rFonts w:ascii="Georgia" w:hAnsi="Georgia"/>
          <w:sz w:val="18"/>
          <w:szCs w:val="20"/>
        </w:rPr>
        <w:t xml:space="preserve"> </w:t>
      </w:r>
      <w:r w:rsidRPr="001B663D">
        <w:rPr>
          <w:rFonts w:ascii="Georgia" w:hAnsi="Georgia"/>
          <w:sz w:val="18"/>
          <w:szCs w:val="20"/>
          <w:rtl/>
        </w:rPr>
        <w:t xml:space="preserve">היוקרתית, בסדרה חדשה המכונה </w:t>
      </w:r>
      <w:r w:rsidRPr="001B663D">
        <w:rPr>
          <w:rFonts w:ascii="Georgia" w:hAnsi="Georgia"/>
          <w:sz w:val="18"/>
          <w:szCs w:val="20"/>
        </w:rPr>
        <w:t>Element</w:t>
      </w:r>
      <w:r w:rsidRPr="001B663D">
        <w:rPr>
          <w:rFonts w:ascii="Georgia" w:hAnsi="Georgia"/>
          <w:sz w:val="18"/>
          <w:szCs w:val="20"/>
          <w:rtl/>
        </w:rPr>
        <w:t xml:space="preserve">. הסדרה מקדמת פרסומים מדעיים מקוריים, תמציתיים וחדשניים, אשר עברו שיפוט מדעי ומציגים סקירה מקיפה של סוגיה תאורטית בתחומי המדע והאומנות. פרסומו החשוב של פרופ' כהן עוסק ביַזָּמוּת מְדִינִיּוּת של ביורוקרטים ברמת הרחוב המועסקים בשירות הציבורי. תחום זה זוכה בשנים האחרונות לתשומת לב רבה ולשיח ער במחקר. הפרסום המעניין עוסק בחיבור בין שני גופי ידע תאורטיים: האחד </w:t>
      </w:r>
      <w:r w:rsidRPr="001B663D">
        <w:rPr>
          <w:rFonts w:ascii="Georgia" w:hAnsi="Georgia"/>
          <w:sz w:val="18"/>
          <w:szCs w:val="20"/>
          <w:shd w:val="clear" w:color="auto" w:fill="FFFFFF"/>
          <w:rtl/>
        </w:rPr>
        <w:t>–</w:t>
      </w:r>
      <w:r w:rsidRPr="001B663D">
        <w:rPr>
          <w:rFonts w:ascii="Georgia" w:hAnsi="Georgia"/>
          <w:sz w:val="18"/>
          <w:szCs w:val="20"/>
          <w:rtl/>
        </w:rPr>
        <w:t xml:space="preserve"> התאוריה של ביורוקרטיה ברמת הרחוב, אשר פיתח הסוציולוג הנודע מייקל </w:t>
      </w:r>
      <w:proofErr w:type="spellStart"/>
      <w:r w:rsidRPr="001B663D">
        <w:rPr>
          <w:rFonts w:ascii="Georgia" w:hAnsi="Georgia"/>
          <w:sz w:val="18"/>
          <w:szCs w:val="20"/>
          <w:rtl/>
        </w:rPr>
        <w:t>ליפסקי</w:t>
      </w:r>
      <w:proofErr w:type="spellEnd"/>
      <w:r w:rsidRPr="001B663D">
        <w:rPr>
          <w:rFonts w:ascii="Georgia" w:hAnsi="Georgia"/>
          <w:sz w:val="18"/>
          <w:szCs w:val="20"/>
          <w:rtl/>
        </w:rPr>
        <w:t xml:space="preserve"> (</w:t>
      </w:r>
      <w:r w:rsidRPr="001B663D">
        <w:rPr>
          <w:rFonts w:ascii="Georgia" w:hAnsi="Georgia"/>
          <w:sz w:val="18"/>
          <w:szCs w:val="20"/>
        </w:rPr>
        <w:t>Lipsky</w:t>
      </w:r>
      <w:r w:rsidRPr="001B663D">
        <w:rPr>
          <w:rFonts w:ascii="Georgia" w:hAnsi="Georgia"/>
          <w:sz w:val="18"/>
          <w:szCs w:val="20"/>
          <w:rtl/>
        </w:rPr>
        <w:t xml:space="preserve">); האחר </w:t>
      </w:r>
      <w:r w:rsidRPr="001B663D">
        <w:rPr>
          <w:rFonts w:ascii="Georgia" w:hAnsi="Georgia"/>
          <w:sz w:val="18"/>
          <w:szCs w:val="20"/>
          <w:shd w:val="clear" w:color="auto" w:fill="FFFFFF"/>
          <w:rtl/>
        </w:rPr>
        <w:t>–</w:t>
      </w:r>
      <w:r w:rsidRPr="001B663D">
        <w:rPr>
          <w:rFonts w:ascii="Georgia" w:hAnsi="Georgia"/>
          <w:sz w:val="18"/>
          <w:szCs w:val="20"/>
          <w:rtl/>
        </w:rPr>
        <w:t xml:space="preserve"> ספרות המחקר המתפתחת בנושא יזמות מדיניות. כהן בוחן כיצד בעלי תפקידים בשירות הציבורי בתחומים שונים (חינוך, בריאות, רווחה וכולי) פועלים כיזמי מדיניות ברמת הרחוב. ה</w:t>
      </w:r>
      <w:r>
        <w:rPr>
          <w:rFonts w:ascii="Georgia" w:hAnsi="Georgia" w:hint="cs"/>
          <w:sz w:val="18"/>
          <w:szCs w:val="20"/>
          <w:rtl/>
        </w:rPr>
        <w:t>ספר</w:t>
      </w:r>
      <w:r w:rsidRPr="001B663D">
        <w:rPr>
          <w:rFonts w:ascii="Georgia" w:hAnsi="Georgia"/>
          <w:sz w:val="18"/>
          <w:szCs w:val="20"/>
          <w:rtl/>
        </w:rPr>
        <w:t xml:space="preserve"> מעוגן בממצאי מחקר נרחב שערך המחבר בישראל ואשר התבסס על סקר, ראיונות עומק, קבוצות מיקוד וניתוח מסמכים. </w:t>
      </w:r>
    </w:p>
    <w:bookmarkEnd w:id="4"/>
    <w:p w14:paraId="53696781" w14:textId="77777777" w:rsidR="00B11E66" w:rsidRPr="001B663D" w:rsidRDefault="00B11E66" w:rsidP="00B11E66">
      <w:pPr>
        <w:spacing w:after="180" w:line="280" w:lineRule="exact"/>
        <w:jc w:val="both"/>
        <w:rPr>
          <w:rFonts w:ascii="Georgia" w:hAnsi="Georgia"/>
          <w:sz w:val="18"/>
          <w:szCs w:val="20"/>
          <w:rtl/>
        </w:rPr>
      </w:pPr>
      <w:r w:rsidRPr="001B663D">
        <w:rPr>
          <w:rFonts w:ascii="Georgia" w:hAnsi="Georgia"/>
          <w:sz w:val="18"/>
          <w:szCs w:val="20"/>
          <w:rtl/>
        </w:rPr>
        <w:t xml:space="preserve">הספר מחולק לשישה פרקים: עבודה ברמת הרחוב; משרת הציבור כיזם מדיניות; יזמות מדיניות בפעולה: כיצד ביורוקרטים ברמת הרחוב יוזמים שינויים במנהל הציבורי; מה עובדים בשירות הציבורי חושבים על יזמות מדיניות; כיצד ניתן לעודד יזמות מדיניות בשירות הציבורי. הפרק האחרון דן במגבלות ובסכנות של יזמות מדיניות ברמת הרחוב. </w:t>
      </w:r>
    </w:p>
    <w:p w14:paraId="0DB4986F" w14:textId="77777777" w:rsidR="00B11E66" w:rsidRPr="001B663D" w:rsidRDefault="00B11E66" w:rsidP="00B11E66">
      <w:pPr>
        <w:spacing w:after="180" w:line="280" w:lineRule="exact"/>
        <w:jc w:val="both"/>
        <w:rPr>
          <w:rFonts w:ascii="Georgia" w:hAnsi="Georgia"/>
          <w:sz w:val="18"/>
          <w:szCs w:val="20"/>
          <w:rtl/>
        </w:rPr>
      </w:pPr>
      <w:r w:rsidRPr="001B663D">
        <w:rPr>
          <w:rFonts w:ascii="Georgia" w:hAnsi="Georgia"/>
          <w:sz w:val="18"/>
          <w:szCs w:val="20"/>
          <w:rtl/>
        </w:rPr>
        <w:t xml:space="preserve">המחבר מתבסס על תפיסותיו של </w:t>
      </w:r>
      <w:proofErr w:type="spellStart"/>
      <w:r w:rsidRPr="001B663D">
        <w:rPr>
          <w:rFonts w:ascii="Georgia" w:hAnsi="Georgia"/>
          <w:sz w:val="18"/>
          <w:szCs w:val="20"/>
          <w:rtl/>
        </w:rPr>
        <w:t>ליפסקי</w:t>
      </w:r>
      <w:proofErr w:type="spellEnd"/>
      <w:r w:rsidRPr="001B663D">
        <w:rPr>
          <w:rFonts w:ascii="Georgia" w:hAnsi="Georgia"/>
          <w:sz w:val="18"/>
          <w:szCs w:val="20"/>
          <w:rtl/>
        </w:rPr>
        <w:t>, אשר גרס שביורוקרטים ברמת הרחוב הם "עובדי שירות ציבורי אשר על פי תפקידם יוצרים אינטראקציה ישירה עם אזרחים במהלך עבודתם, ויש להם מרחב רחב של שיקול דעת מהותי בביצוע עבודתם" (</w:t>
      </w:r>
      <w:r w:rsidRPr="001B663D">
        <w:rPr>
          <w:rFonts w:ascii="Georgia" w:hAnsi="Georgia"/>
          <w:sz w:val="18"/>
          <w:szCs w:val="20"/>
        </w:rPr>
        <w:t>Lipsky, 2010, p. 3</w:t>
      </w:r>
      <w:r w:rsidRPr="001B663D">
        <w:rPr>
          <w:rFonts w:ascii="Georgia" w:hAnsi="Georgia"/>
          <w:sz w:val="18"/>
          <w:szCs w:val="20"/>
          <w:rtl/>
        </w:rPr>
        <w:t xml:space="preserve">), לרבות פירוש של המדיניות, יישומה ולעיתים ייזומה. מרחב פעולה זה מתאפשר בשל המאפיינים השונים של עבודתם של נציגי הביורוקרטיה הנמצאים במגע ישיר עם צרכני שירות. עובדי ציבור אלה פועלים על רקע מדיניות שלא תמיד הולמת את צורכיהם של צרכני השירות, על רקע הנחיות לא ברורות, וכן על רקע מגבלות תקציב המחייבות לעיתים קרובות יצירת סדרי עדיפויות. על פי </w:t>
      </w:r>
      <w:proofErr w:type="spellStart"/>
      <w:r w:rsidRPr="001B663D">
        <w:rPr>
          <w:rFonts w:ascii="Georgia" w:hAnsi="Georgia"/>
          <w:sz w:val="18"/>
          <w:szCs w:val="20"/>
          <w:rtl/>
        </w:rPr>
        <w:t>ליפסקי</w:t>
      </w:r>
      <w:proofErr w:type="spellEnd"/>
      <w:r w:rsidRPr="001B663D">
        <w:rPr>
          <w:rFonts w:ascii="Georgia" w:hAnsi="Georgia"/>
          <w:sz w:val="18"/>
          <w:szCs w:val="20"/>
          <w:rtl/>
        </w:rPr>
        <w:t xml:space="preserve">, עובדי ציבור אלה מונעים בעיקר מהרצון לפקח על לקוחותיהם תוך </w:t>
      </w:r>
      <w:r w:rsidRPr="001B663D">
        <w:rPr>
          <w:rFonts w:ascii="Georgia" w:hAnsi="Georgia"/>
          <w:sz w:val="18"/>
          <w:szCs w:val="20"/>
          <w:rtl/>
        </w:rPr>
        <w:lastRenderedPageBreak/>
        <w:t xml:space="preserve">שמירה על שיקול דעתם כבעלי מקצוע. במציאות המתאפיינת במשאבים מוגבלים, בדרישות סותרות ולא ברורות ובמדיניות עמומה, ביורוקרטים ברמת הרחוב אינם יכולים לעמוד בהיקף או במהות דרישותיו של הלקוח במלואן, ולכן הם מנצלים את מרחב שיקול הדעת המצוי בידם כדי לענות על צרכיו. </w:t>
      </w:r>
    </w:p>
    <w:p w14:paraId="64488242" w14:textId="77777777" w:rsidR="00B11E66" w:rsidRPr="001B663D" w:rsidRDefault="00B11E66" w:rsidP="00B11E66">
      <w:pPr>
        <w:spacing w:after="180" w:line="280" w:lineRule="exact"/>
        <w:jc w:val="both"/>
        <w:rPr>
          <w:rFonts w:ascii="Georgia" w:hAnsi="Georgia"/>
          <w:sz w:val="18"/>
          <w:szCs w:val="20"/>
          <w:rtl/>
        </w:rPr>
      </w:pPr>
      <w:bookmarkStart w:id="5" w:name="_Hlk105520645"/>
      <w:r w:rsidRPr="001B663D">
        <w:rPr>
          <w:rFonts w:ascii="Georgia" w:hAnsi="Georgia"/>
          <w:sz w:val="18"/>
          <w:szCs w:val="20"/>
          <w:rtl/>
        </w:rPr>
        <w:t>חקר דרכי השימוש בשיקול הדעת (</w:t>
      </w:r>
      <w:r w:rsidRPr="001B663D">
        <w:rPr>
          <w:rFonts w:ascii="Georgia" w:hAnsi="Georgia"/>
          <w:sz w:val="18"/>
          <w:szCs w:val="20"/>
        </w:rPr>
        <w:t>Discretion</w:t>
      </w:r>
      <w:r w:rsidRPr="001B663D">
        <w:rPr>
          <w:rFonts w:ascii="Georgia" w:hAnsi="Georgia"/>
          <w:sz w:val="18"/>
          <w:szCs w:val="20"/>
          <w:rtl/>
        </w:rPr>
        <w:t xml:space="preserve">) הוא אחד המוקדים המרכזיים של המחקר הקיים בתחומי הסוציולוגיה, מדעי המדינה והרווחה. חיבורו של פרופ' כהן מראה כיצד ביורוקרטים ברמת הרחוב מנצלים הזדמנויות הניתנות להם כדי ליזום מדיניות שתקדם את תחום עשייתם. לצד האינטרס לקדם את מעמדם בארגון באמצעות מעורבות ביזמות מדיניות, הם מנסים ליצור אפיקים חדשים והזדמנויות לפעולה באמצעות קידום מדיניות. בעלי תפקידים אלה מעלים רעיונות חדשניים כאסטרטגיה לקידום מדיניות רצויה. על פי כהן, אחד המאפיינים המגדירים יזמי מדיניות בקרב ביורוקרטים ברמת הרחוב הוא נכונותם להשקיע משאבים אישיים רבים דוגמת זמן, אנרגיה, מוניטין ולפעמים אף מימון עצמי, בתקווה לזכות בתמורה עתידית. עם זאת, הם גם עלולים לחסום שינויים שמציעים אחרים. </w:t>
      </w:r>
      <w:bookmarkEnd w:id="5"/>
    </w:p>
    <w:p w14:paraId="4CBA170F" w14:textId="77777777" w:rsidR="00B11E66" w:rsidRPr="001B663D" w:rsidRDefault="00B11E66" w:rsidP="00B11E66">
      <w:pPr>
        <w:spacing w:after="180" w:line="280" w:lineRule="exact"/>
        <w:jc w:val="both"/>
        <w:rPr>
          <w:rFonts w:ascii="Georgia" w:hAnsi="Georgia"/>
          <w:sz w:val="18"/>
          <w:szCs w:val="20"/>
          <w:rtl/>
        </w:rPr>
      </w:pPr>
      <w:r w:rsidRPr="001B663D">
        <w:rPr>
          <w:rFonts w:ascii="Georgia" w:hAnsi="Georgia"/>
          <w:sz w:val="18"/>
          <w:szCs w:val="20"/>
          <w:rtl/>
        </w:rPr>
        <w:t xml:space="preserve">הפרסום מציג ממצאי מחקר מטא-אנליזה בתחום של יזמות מדיניות שמתבסס על מאות מחקרים שנעשו ברחבי העולם (פריש-אבירם ואחרים, 2020). במחקר זה נמצא כי יזמות מדיניות בקרב ביורוקרטים ברמת הרחוב אינה תופעה ישראלית בלבד, וכי היא נפוצה בעשרות מדינות ובתחומי מדיניות שונים. יזמי מדיניות אלה מגיעים מהמגזר הציבורי ומהמגזר השלישי, ומנסים להשפיע על המדיניות ברמות שונות (מקומית, מחוזית ולאומית). זאת ועוד, הם פועלים בהקשר של משטרים שונים </w:t>
      </w:r>
      <w:r w:rsidRPr="001B663D">
        <w:rPr>
          <w:rFonts w:ascii="Georgia" w:hAnsi="Georgia"/>
          <w:sz w:val="18"/>
          <w:szCs w:val="20"/>
          <w:shd w:val="clear" w:color="auto" w:fill="FFFFFF"/>
          <w:rtl/>
        </w:rPr>
        <w:t>–</w:t>
      </w:r>
      <w:r w:rsidRPr="001B663D">
        <w:rPr>
          <w:rFonts w:ascii="Georgia" w:hAnsi="Georgia"/>
          <w:sz w:val="18"/>
          <w:szCs w:val="20"/>
          <w:rtl/>
        </w:rPr>
        <w:t xml:space="preserve"> דמוקרטיים ולא דמוקרטיים.</w:t>
      </w:r>
    </w:p>
    <w:p w14:paraId="1A1388AC" w14:textId="77777777" w:rsidR="00B11E66" w:rsidRPr="001B663D" w:rsidRDefault="00B11E66" w:rsidP="00B11E66">
      <w:pPr>
        <w:spacing w:after="180" w:line="280" w:lineRule="exact"/>
        <w:jc w:val="both"/>
        <w:rPr>
          <w:rFonts w:ascii="Georgia" w:hAnsi="Georgia"/>
          <w:sz w:val="18"/>
          <w:szCs w:val="20"/>
          <w:rtl/>
        </w:rPr>
      </w:pPr>
      <w:r w:rsidRPr="001B663D">
        <w:rPr>
          <w:rFonts w:ascii="Georgia" w:hAnsi="Georgia"/>
          <w:sz w:val="18"/>
          <w:szCs w:val="20"/>
          <w:rtl/>
        </w:rPr>
        <w:t xml:space="preserve">כהן מציג שלוש תכונות עיקריות של יזמות מדיניות ברמת הרחוב: (1) הרצון לקדם את האינטרס האישי בארגון באמצעות פעילות שמטרתה להשפיע על תוצאות מדיניות; (2) היעדר משאבים הדרושים להשפעה בעלת משמעות על תוצאות המדיניות בדרכים מקובלות; </w:t>
      </w:r>
      <w:r>
        <w:rPr>
          <w:rFonts w:ascii="Georgia" w:hAnsi="Georgia"/>
          <w:sz w:val="18"/>
          <w:szCs w:val="20"/>
        </w:rPr>
        <w:br/>
      </w:r>
      <w:r w:rsidRPr="001B663D">
        <w:rPr>
          <w:rFonts w:ascii="Georgia" w:hAnsi="Georgia"/>
          <w:sz w:val="18"/>
          <w:szCs w:val="20"/>
          <w:rtl/>
        </w:rPr>
        <w:t xml:space="preserve">(3) קיומה של הזדמנות להשפיע על תוצאות המדיניות. האסטרטגיות השכיחות הנסקרות בפרסום הן חיפוש פתרונות חדשים, יצירת קשרים בתוך הארגון ומחוצה לו, ומסגור מחדש של הבעיות. כהן אף סוקר בהרחבה דוגמאות היסטוריות ועכשוויות של ביורוקרטים ברמת הרחוב שהיו מעורבים ביזמות מדיניות. דוגמאות אלו ממחישות לקוראים כיצד יזמות זו מתבצעת הלכה למעשה בתחומים שונים. הפרסום שופך אור חשוב גם על עמדותיהם של ביורוקרטים ברמת הרחוב כלפי יזמות מדיניות. הוא מראה כי יחסם לתופעה חיובי, וכי הם רואים במעורבות בה הזדמנות שעשויה לייצר תחושת סיפוק ואתגר, וגם לשפר את פני החברה. </w:t>
      </w:r>
    </w:p>
    <w:p w14:paraId="7A6EE960" w14:textId="77777777" w:rsidR="00B11E66" w:rsidRPr="001B663D" w:rsidRDefault="00B11E66" w:rsidP="00B11E66">
      <w:pPr>
        <w:spacing w:after="180" w:line="280" w:lineRule="exact"/>
        <w:jc w:val="both"/>
        <w:rPr>
          <w:rFonts w:ascii="Georgia" w:hAnsi="Georgia"/>
          <w:sz w:val="18"/>
          <w:szCs w:val="20"/>
          <w:rtl/>
        </w:rPr>
      </w:pPr>
      <w:r w:rsidRPr="001B663D">
        <w:rPr>
          <w:rFonts w:ascii="Georgia" w:hAnsi="Georgia"/>
          <w:sz w:val="18"/>
          <w:szCs w:val="20"/>
          <w:rtl/>
        </w:rPr>
        <w:t xml:space="preserve">בפרק החמישי של הספר שוטח כהן בפני קובעי מדיניות המלצות פרקטיות שמטרתן לעודד יזמות מדיניות בקרב ביורוקרטים ברמת הרחוב. עם ההמלצות הללו נמנים חיזוק של ההשתתפות הפוליטית, יצירת סביבה ארגונית תומכת, הקניית ידע פרופסיונלי ופוליטי, וכן יצירת הזדמנויות. המלצות נרחבות אלו הן אחת החוזקות הבולטות של הפרסום, שכן הוא מיטיב לשלב בין תאוריה עשירה לבין המלצות לפרקטיקה. </w:t>
      </w:r>
    </w:p>
    <w:p w14:paraId="0BFBFF3D" w14:textId="77777777" w:rsidR="00B11E66" w:rsidRPr="001B663D" w:rsidRDefault="00B11E66" w:rsidP="00B11E66">
      <w:pPr>
        <w:spacing w:after="180" w:line="280" w:lineRule="exact"/>
        <w:jc w:val="both"/>
        <w:rPr>
          <w:rFonts w:ascii="Georgia" w:hAnsi="Georgia"/>
          <w:sz w:val="18"/>
          <w:szCs w:val="20"/>
          <w:rtl/>
        </w:rPr>
      </w:pPr>
      <w:r w:rsidRPr="001B663D">
        <w:rPr>
          <w:rFonts w:ascii="Georgia" w:hAnsi="Georgia"/>
          <w:sz w:val="18"/>
          <w:szCs w:val="20"/>
          <w:rtl/>
        </w:rPr>
        <w:lastRenderedPageBreak/>
        <w:t xml:space="preserve">השאלה המרכזית הנידונה בפרסום היא אם יזמות פוליטית של ביורוקרטים ברמת הרחוב היא רצויה. תשובתו של כהן לכך אינה חד-משמעית. מחד גיסא, יזמות מדיניות חשובה </w:t>
      </w:r>
      <w:proofErr w:type="spellStart"/>
      <w:r w:rsidRPr="001B663D">
        <w:rPr>
          <w:rFonts w:ascii="Georgia" w:hAnsi="Georgia"/>
          <w:sz w:val="18"/>
          <w:szCs w:val="20"/>
          <w:rtl/>
        </w:rPr>
        <w:t>לרענון</w:t>
      </w:r>
      <w:proofErr w:type="spellEnd"/>
      <w:r w:rsidRPr="001B663D">
        <w:rPr>
          <w:rFonts w:ascii="Georgia" w:hAnsi="Georgia"/>
          <w:sz w:val="18"/>
          <w:szCs w:val="20"/>
          <w:rtl/>
        </w:rPr>
        <w:t xml:space="preserve"> מדיניות ולקידום מענים לצורכי הציבור. כמי שפועלים בשדה באופן יום-יומי, ביורוקרטים ברמת הרחוב מכירים על </w:t>
      </w:r>
      <w:proofErr w:type="spellStart"/>
      <w:r w:rsidRPr="001B663D">
        <w:rPr>
          <w:rFonts w:ascii="Georgia" w:hAnsi="Georgia"/>
          <w:sz w:val="18"/>
          <w:szCs w:val="20"/>
          <w:rtl/>
        </w:rPr>
        <w:t>בוריים</w:t>
      </w:r>
      <w:proofErr w:type="spellEnd"/>
      <w:r w:rsidRPr="001B663D">
        <w:rPr>
          <w:rFonts w:ascii="Georgia" w:hAnsi="Georgia"/>
          <w:sz w:val="18"/>
          <w:szCs w:val="20"/>
          <w:rtl/>
        </w:rPr>
        <w:t xml:space="preserve"> את הצרכים והמצוקות של משתמשי השירות הציבורי, וביכולתם לשפוך אור חשוב על החסמים במדיניות הקיימת ובתוצאותיה. מאידך גיסא, תופעה זו מעצם מהותה מעלה סוגיות אתיות וארגוניות רבות. אלה מטילות צל על יכולתם של ביורוקרטים ברמת הרחוב לקדם מדיניות המבוססת על שיקול דעת רחב, המביא בחשבון אינטרסים כלליים </w:t>
      </w:r>
      <w:r w:rsidRPr="001B663D">
        <w:rPr>
          <w:rFonts w:ascii="Georgia" w:hAnsi="Georgia"/>
          <w:sz w:val="18"/>
          <w:szCs w:val="20"/>
          <w:shd w:val="clear" w:color="auto" w:fill="FFFFFF"/>
          <w:rtl/>
        </w:rPr>
        <w:t xml:space="preserve">– </w:t>
      </w:r>
      <w:r w:rsidRPr="001B663D">
        <w:rPr>
          <w:rFonts w:ascii="Georgia" w:hAnsi="Georgia"/>
          <w:sz w:val="18"/>
          <w:szCs w:val="20"/>
          <w:rtl/>
        </w:rPr>
        <w:t>ובראש וראשונה האינטרס הציבורי.</w:t>
      </w:r>
    </w:p>
    <w:p w14:paraId="5D7B8845" w14:textId="77777777" w:rsidR="00B11E66" w:rsidRDefault="00B11E66" w:rsidP="00B11E66">
      <w:pPr>
        <w:spacing w:after="180" w:line="280" w:lineRule="exact"/>
        <w:jc w:val="both"/>
        <w:rPr>
          <w:rFonts w:ascii="Georgia" w:hAnsi="Georgia"/>
          <w:sz w:val="18"/>
          <w:szCs w:val="20"/>
        </w:rPr>
      </w:pPr>
      <w:r w:rsidRPr="001B663D">
        <w:rPr>
          <w:rFonts w:ascii="Georgia" w:hAnsi="Georgia"/>
          <w:sz w:val="18"/>
          <w:szCs w:val="20"/>
          <w:rtl/>
        </w:rPr>
        <w:t xml:space="preserve">ספרו של פרופ' כהן הוא תוספת חשובה למדף הפרסומים העוסקים בתאוריה של ביורוקרטיה ברמת הרחוב, ורלוונטי לכל מי שמתעניין בעיצוב מדיניות חברתית המתגבשת מלמטה-למעלה. הספר תורם תרומה ניכרת הן לחוקרים באקדמיה הן לביורוקרטים ברמת הרחוב, למנהלים ולקובעי מדיניות. </w:t>
      </w:r>
    </w:p>
    <w:p w14:paraId="6727B959" w14:textId="77777777" w:rsidR="00B11E66" w:rsidRDefault="00B11E66" w:rsidP="00B11E66">
      <w:pPr>
        <w:spacing w:after="180" w:line="280" w:lineRule="exact"/>
        <w:jc w:val="both"/>
        <w:rPr>
          <w:rFonts w:ascii="Georgia" w:hAnsi="Georgia"/>
          <w:sz w:val="18"/>
          <w:szCs w:val="20"/>
        </w:rPr>
      </w:pPr>
    </w:p>
    <w:p w14:paraId="79FE75F4" w14:textId="77777777" w:rsidR="00B11E66" w:rsidRPr="001B663D" w:rsidRDefault="00B11E66" w:rsidP="00B11E66">
      <w:pPr>
        <w:spacing w:after="180" w:line="280" w:lineRule="exact"/>
        <w:jc w:val="both"/>
        <w:rPr>
          <w:rFonts w:ascii="Georgia" w:hAnsi="Georgia"/>
          <w:sz w:val="18"/>
          <w:szCs w:val="20"/>
          <w:rtl/>
        </w:rPr>
      </w:pPr>
    </w:p>
    <w:p w14:paraId="31FFFDB0" w14:textId="77777777" w:rsidR="00B11E66" w:rsidRPr="00E519FB" w:rsidRDefault="00B11E66" w:rsidP="00E519FB">
      <w:pPr>
        <w:pStyle w:val="KOT4"/>
        <w:bidi w:val="0"/>
        <w:spacing w:after="60"/>
        <w:ind w:right="0"/>
        <w:rPr>
          <w:b w:val="0"/>
          <w:bCs w:val="0"/>
          <w:color w:val="00B0F0"/>
          <w:sz w:val="28"/>
          <w:szCs w:val="28"/>
        </w:rPr>
      </w:pPr>
      <w:r w:rsidRPr="00E519FB">
        <w:rPr>
          <w:b w:val="0"/>
          <w:bCs w:val="0"/>
          <w:color w:val="00B0F0"/>
          <w:sz w:val="28"/>
          <w:szCs w:val="28"/>
        </w:rPr>
        <w:t>Social policy: A critical and intersectional analysis</w:t>
      </w:r>
    </w:p>
    <w:p w14:paraId="44B42014" w14:textId="77777777" w:rsidR="00B11E66" w:rsidRPr="00BA29F5" w:rsidRDefault="00B11E66" w:rsidP="00E519FB">
      <w:pPr>
        <w:pStyle w:val="KOT5T"/>
        <w:bidi w:val="0"/>
        <w:spacing w:before="0" w:after="60" w:line="240" w:lineRule="atLeast"/>
        <w:jc w:val="left"/>
        <w:rPr>
          <w:color w:val="00B0F0"/>
        </w:rPr>
      </w:pPr>
      <w:r w:rsidRPr="00BA29F5">
        <w:rPr>
          <w:color w:val="00B0F0"/>
        </w:rPr>
        <w:t>Fiona Williams</w:t>
      </w:r>
    </w:p>
    <w:p w14:paraId="4D3F829F" w14:textId="77777777" w:rsidR="00B11E66" w:rsidRPr="00E519FB" w:rsidRDefault="00B11E66" w:rsidP="00E519FB">
      <w:pPr>
        <w:pStyle w:val="Bauther"/>
        <w:keepNext/>
        <w:bidi w:val="0"/>
        <w:spacing w:before="0" w:after="0" w:line="240" w:lineRule="atLeast"/>
        <w:jc w:val="left"/>
        <w:rPr>
          <w:rFonts w:ascii="Tahoma" w:hAnsi="Tahoma" w:cs="Tahoma"/>
          <w:color w:val="00B0F0"/>
          <w:sz w:val="20"/>
          <w:szCs w:val="20"/>
        </w:rPr>
      </w:pPr>
      <w:r w:rsidRPr="00E519FB">
        <w:rPr>
          <w:rFonts w:ascii="Tahoma" w:hAnsi="Tahoma" w:cs="Tahoma"/>
          <w:color w:val="00B0F0"/>
          <w:sz w:val="20"/>
          <w:szCs w:val="20"/>
        </w:rPr>
        <w:t>Polity Press. 2021. 281 pages</w:t>
      </w:r>
    </w:p>
    <w:p w14:paraId="1882E20F" w14:textId="3CA9FFE5" w:rsidR="00B11E66" w:rsidRPr="00E519FB" w:rsidRDefault="00B11E66" w:rsidP="00E519FB">
      <w:pPr>
        <w:keepNext/>
        <w:spacing w:before="360" w:after="480" w:line="280" w:lineRule="exact"/>
        <w:rPr>
          <w:rFonts w:cs="Guttman Aharoni"/>
          <w:sz w:val="20"/>
          <w:szCs w:val="20"/>
          <w:rtl/>
        </w:rPr>
      </w:pPr>
      <w:r w:rsidRPr="00E519FB">
        <w:rPr>
          <w:rFonts w:cs="Guttman Aharoni" w:hint="cs"/>
          <w:sz w:val="20"/>
          <w:szCs w:val="20"/>
          <w:rtl/>
        </w:rPr>
        <w:t>סוקרת: אורלי בנימין</w:t>
      </w:r>
      <w:r w:rsidR="00E519FB" w:rsidRPr="00E519FB">
        <w:rPr>
          <w:rFonts w:cs="Guttman Aharoni"/>
          <w:sz w:val="20"/>
          <w:szCs w:val="20"/>
          <w:vertAlign w:val="superscript"/>
          <w:rtl/>
        </w:rPr>
        <w:footnoteReference w:id="5"/>
      </w:r>
    </w:p>
    <w:p w14:paraId="70271A2F" w14:textId="77777777" w:rsidR="00B11E66" w:rsidRPr="001B663D" w:rsidRDefault="00B11E66" w:rsidP="00B11E66">
      <w:pPr>
        <w:spacing w:after="180" w:line="280" w:lineRule="exact"/>
        <w:jc w:val="both"/>
        <w:rPr>
          <w:rFonts w:ascii="Georgia" w:hAnsi="Georgia"/>
          <w:sz w:val="18"/>
          <w:szCs w:val="20"/>
          <w:rtl/>
          <w:lang w:val="en-GB"/>
        </w:rPr>
      </w:pPr>
      <w:proofErr w:type="spellStart"/>
      <w:r w:rsidRPr="001B663D">
        <w:rPr>
          <w:rFonts w:ascii="Georgia" w:hAnsi="Georgia"/>
          <w:sz w:val="18"/>
          <w:szCs w:val="20"/>
          <w:rtl/>
          <w:lang w:val="en-GB"/>
        </w:rPr>
        <w:t>פיונה</w:t>
      </w:r>
      <w:proofErr w:type="spellEnd"/>
      <w:r w:rsidRPr="001B663D">
        <w:rPr>
          <w:rFonts w:ascii="Georgia" w:hAnsi="Georgia"/>
          <w:sz w:val="18"/>
          <w:szCs w:val="20"/>
          <w:rtl/>
          <w:lang w:val="en-GB"/>
        </w:rPr>
        <w:t xml:space="preserve"> ויליאמס היא חוקרת ותיקה של מדיניות חברתית, השוקדת זה שנים רבות על פיתוח הפרספקטיבה הביקורתית בתחום. ויליאמס היא פרופסור </w:t>
      </w:r>
      <w:proofErr w:type="spellStart"/>
      <w:r w:rsidRPr="001B663D">
        <w:rPr>
          <w:rFonts w:ascii="Georgia" w:hAnsi="Georgia"/>
          <w:sz w:val="18"/>
          <w:szCs w:val="20"/>
          <w:rtl/>
          <w:lang w:val="en-GB"/>
        </w:rPr>
        <w:t>אמריטה</w:t>
      </w:r>
      <w:proofErr w:type="spellEnd"/>
      <w:r w:rsidRPr="001B663D">
        <w:rPr>
          <w:rFonts w:ascii="Georgia" w:hAnsi="Georgia"/>
          <w:sz w:val="18"/>
          <w:szCs w:val="20"/>
          <w:rtl/>
          <w:lang w:val="en-GB"/>
        </w:rPr>
        <w:t xml:space="preserve"> של בית הספר לסוציולוגיה ולמדיניות חברתית באוניברסיטת לידס באנגליה, וזהו ספרה השמיני. הספר הנסקר כאן הוא פיתוח של ספר שפרסמה ב-1989 בשם דומה, וצוטט ביותר מאלף פרסומים קודמים: </w:t>
      </w:r>
      <w:r w:rsidRPr="001B663D">
        <w:rPr>
          <w:rFonts w:ascii="Georgia" w:hAnsi="Georgia"/>
          <w:b/>
          <w:bCs/>
          <w:sz w:val="18"/>
          <w:szCs w:val="20"/>
          <w:rtl/>
          <w:lang w:val="en-GB"/>
        </w:rPr>
        <w:t>מדיניות חברתית: מבוא ביקורתי לסוגיות של מגדר, גזע ומעמד</w:t>
      </w:r>
      <w:r w:rsidRPr="001B663D">
        <w:rPr>
          <w:rFonts w:ascii="Georgia" w:hAnsi="Georgia"/>
          <w:sz w:val="18"/>
          <w:szCs w:val="20"/>
          <w:rtl/>
          <w:lang w:val="en-GB"/>
        </w:rPr>
        <w:t>.</w:t>
      </w:r>
      <w:r w:rsidRPr="001B663D">
        <w:rPr>
          <w:rFonts w:ascii="Georgia" w:hAnsi="Georgia"/>
          <w:sz w:val="18"/>
          <w:szCs w:val="20"/>
          <w:vertAlign w:val="superscript"/>
          <w:rtl/>
          <w:lang w:val="en-GB"/>
        </w:rPr>
        <w:footnoteReference w:id="6"/>
      </w:r>
      <w:r w:rsidRPr="001B663D">
        <w:rPr>
          <w:rFonts w:ascii="Georgia" w:hAnsi="Georgia"/>
          <w:sz w:val="18"/>
          <w:szCs w:val="20"/>
          <w:rtl/>
          <w:lang w:val="en-GB"/>
        </w:rPr>
        <w:t xml:space="preserve"> אחת הסוגיות המרכזיות שהיא דנה בהן במהדורה הנוכחית היא הזיהוי של הכוחות החברתיים שהם כיום בעלי השפעה טרנספורמטיבית ויכולת לקרוא תיגר על מדיניות חברתית ניאו-ליברלית. ובניסוח אחר: האם כוחות חברתיים יכולים לצבור עוצמה במידה שתאפשר להם להנחיל דרכי מדיניות חברתית חדשניות, ליצור מערכת שבה הטווח הרחב של צרכים וזכויות רווחיות יזכו להיענות וליחס מכבד? בגישתה הביקורתית ומצליבת המיקומים, </w:t>
      </w:r>
      <w:proofErr w:type="spellStart"/>
      <w:r w:rsidRPr="001B663D">
        <w:rPr>
          <w:rFonts w:ascii="Georgia" w:hAnsi="Georgia"/>
          <w:sz w:val="18"/>
          <w:szCs w:val="20"/>
          <w:rtl/>
          <w:lang w:val="en-GB"/>
        </w:rPr>
        <w:t>פיונה</w:t>
      </w:r>
      <w:proofErr w:type="spellEnd"/>
      <w:r w:rsidRPr="001B663D">
        <w:rPr>
          <w:rFonts w:ascii="Georgia" w:hAnsi="Georgia"/>
          <w:sz w:val="18"/>
          <w:szCs w:val="20"/>
          <w:rtl/>
          <w:lang w:val="en-GB"/>
        </w:rPr>
        <w:t xml:space="preserve"> ויליאמס אינה דוחה </w:t>
      </w:r>
      <w:r w:rsidRPr="001B663D">
        <w:rPr>
          <w:rFonts w:ascii="Georgia" w:hAnsi="Georgia"/>
          <w:sz w:val="18"/>
          <w:szCs w:val="20"/>
          <w:rtl/>
          <w:lang w:val="en-GB"/>
        </w:rPr>
        <w:lastRenderedPageBreak/>
        <w:t xml:space="preserve">את שאלת ההתנגדות או המחאה לפרק אחרון ושולי, אלא מייחסת לכוחות המתנגדים ולשיתופי הפעולה ביניהם את האחריות למדיניות החברתית בתחום הרווחה </w:t>
      </w:r>
      <w:r w:rsidRPr="001B663D">
        <w:rPr>
          <w:rFonts w:ascii="Georgia" w:hAnsi="Georgia"/>
          <w:sz w:val="18"/>
          <w:szCs w:val="20"/>
          <w:shd w:val="clear" w:color="auto" w:fill="FFFFFF"/>
          <w:rtl/>
        </w:rPr>
        <w:t xml:space="preserve">– </w:t>
      </w:r>
      <w:r w:rsidRPr="001B663D">
        <w:rPr>
          <w:rFonts w:ascii="Georgia" w:hAnsi="Georgia"/>
          <w:sz w:val="18"/>
          <w:szCs w:val="20"/>
          <w:rtl/>
          <w:lang w:val="en-GB"/>
        </w:rPr>
        <w:t xml:space="preserve">במיוחד כשהם מתמידים בזעקתם. אם כך, היא אינה מתייגת את כוחות ההתנגדות למדיניות ניאו-ליברלית ממסחרת כנציגים של אידיאליזם הזוי הקורא באפלה ונותר בה, אלא ככוחות בעלי יכולת לשנות גם כשהם מכוננים כשוליים במתקפות ריאקציוניות ופופוליסטיות. </w:t>
      </w:r>
    </w:p>
    <w:p w14:paraId="27247AE1" w14:textId="77777777" w:rsidR="00B11E66" w:rsidRPr="001B663D" w:rsidRDefault="00B11E66" w:rsidP="00B11E66">
      <w:pPr>
        <w:spacing w:after="180" w:line="280" w:lineRule="exact"/>
        <w:jc w:val="both"/>
        <w:rPr>
          <w:rFonts w:ascii="Georgia" w:hAnsi="Georgia"/>
          <w:sz w:val="18"/>
          <w:szCs w:val="20"/>
          <w:rtl/>
          <w:lang w:val="en-GB"/>
        </w:rPr>
      </w:pPr>
      <w:r w:rsidRPr="001B663D">
        <w:rPr>
          <w:rFonts w:ascii="Georgia" w:hAnsi="Georgia"/>
          <w:sz w:val="18"/>
          <w:szCs w:val="20"/>
          <w:rtl/>
          <w:lang w:val="en-GB"/>
        </w:rPr>
        <w:t xml:space="preserve">מנקודת מבטה של ויליאמס, יש למקם מאבקים חברתיים גבוה במדרג הכוחות המעצבים מדיניות חברתית. לראיה היא מצביעה על ההצלחה של כוחות ההתנגדות לגרום בזמן משבר הקורונה לנסיגה מהמדיניות הנאו-ליברלית, עד כדי מימון של תמיכה חברתית והתייחסות לצרכים דחופים של אוכלוסיות פגיעות ובהן חולים, קשישים ונפגעות אלימות. באמצעות החיבור בין גישה ביקורתית לבין הצלבת מיקומים מראה ויליאמס כיצד התנגדות מאורגנת חייבה את בריטניה להתייחס לעובדה כי אלו שבתחתית המדרג הגזעי/מעמדי נפגעו בקורונה קשה יותר מאחרים. </w:t>
      </w:r>
    </w:p>
    <w:p w14:paraId="3D8AE2AE" w14:textId="77777777" w:rsidR="00B11E66" w:rsidRPr="001B663D" w:rsidRDefault="00B11E66" w:rsidP="00B11E66">
      <w:pPr>
        <w:spacing w:after="180" w:line="280" w:lineRule="exact"/>
        <w:jc w:val="both"/>
        <w:rPr>
          <w:rFonts w:ascii="Georgia" w:hAnsi="Georgia"/>
          <w:sz w:val="18"/>
          <w:szCs w:val="20"/>
          <w:rtl/>
          <w:lang w:val="en-GB"/>
        </w:rPr>
      </w:pPr>
      <w:bookmarkStart w:id="7" w:name="_Hlk105520861"/>
      <w:r w:rsidRPr="001B663D">
        <w:rPr>
          <w:rFonts w:ascii="Georgia" w:hAnsi="Georgia"/>
          <w:sz w:val="18"/>
          <w:szCs w:val="20"/>
          <w:rtl/>
          <w:lang w:val="en-GB"/>
        </w:rPr>
        <w:t xml:space="preserve">נקודת המבט המקורית שלה מכוונת לחקר משמעות הצטלבותם של המשברים העכשוויים. ההגדרה "מצטלב" בהקשר זה משמעה שכל משבר תורם לאחר ונתרם ממנו, ובמיוחד </w:t>
      </w:r>
      <w:r w:rsidRPr="001B663D">
        <w:rPr>
          <w:rFonts w:ascii="Georgia" w:hAnsi="Georgia"/>
          <w:sz w:val="18"/>
          <w:szCs w:val="20"/>
          <w:shd w:val="clear" w:color="auto" w:fill="FFFFFF"/>
          <w:rtl/>
        </w:rPr>
        <w:t>–</w:t>
      </w:r>
      <w:r w:rsidRPr="001B663D">
        <w:rPr>
          <w:rFonts w:ascii="Georgia" w:hAnsi="Georgia"/>
          <w:sz w:val="18"/>
          <w:szCs w:val="20"/>
          <w:rtl/>
          <w:lang w:val="en-GB"/>
        </w:rPr>
        <w:t xml:space="preserve"> כל משבר מהווה הקשר קריטי למשבר האחר: המשבר הפיננסי של הקפיטליזם מצטלב עם משבר הטיפול (היעדרו של כוח עבודה ברמות המיומנות השונות ובהיקף ההולמים את גודל האוכלוסייה בשירותי הבריאות, החינוך והרווחה). שני אלו מצטלבים גם עם המשבר </w:t>
      </w:r>
      <w:r>
        <w:rPr>
          <w:rFonts w:ascii="Georgia" w:hAnsi="Georgia"/>
          <w:sz w:val="18"/>
          <w:szCs w:val="20"/>
          <w:rtl/>
          <w:lang w:val="en-GB"/>
        </w:rPr>
        <w:br/>
      </w:r>
      <w:r w:rsidRPr="001B663D">
        <w:rPr>
          <w:rFonts w:ascii="Georgia" w:hAnsi="Georgia"/>
          <w:sz w:val="18"/>
          <w:szCs w:val="20"/>
          <w:rtl/>
          <w:lang w:val="en-GB"/>
        </w:rPr>
        <w:t xml:space="preserve">הפוסט-קולוניאלי בצורתו כרצף משברי ההגירה מהדרום הגלובלי, משבר האקלים ומשבר האלימות הגואה, וגם אלה מצטלבים במידה מסוימת עם משבר הדמוקרטיה, למשל, כפי שהוא מתבטא כאובדן היכולת לתת אמון במומחים. הוספת ההתבוננות בהצטלבות משברים גלובליים להתבוננות בהצטלבות של מיקומי המגדר/מעמד/גזע ועוד מאפיינת את המחשבה של ויליאמס בדבר הצורך המתמיד במחקרים שאינם מבחינים בין המאקרו של החיים החברתיים לבין המיקרו שלהם, אלא מבליטים את מנגנוני ההשפעה ההדדית ביניהם, ומכאן הדגש החזק שלה על </w:t>
      </w:r>
      <w:proofErr w:type="spellStart"/>
      <w:r w:rsidRPr="001B663D">
        <w:rPr>
          <w:rFonts w:ascii="Georgia" w:hAnsi="Georgia"/>
          <w:sz w:val="18"/>
          <w:szCs w:val="20"/>
          <w:rtl/>
          <w:lang w:val="en-GB"/>
        </w:rPr>
        <w:t>פועלוּת</w:t>
      </w:r>
      <w:proofErr w:type="spellEnd"/>
      <w:r w:rsidRPr="001B663D">
        <w:rPr>
          <w:rFonts w:ascii="Georgia" w:hAnsi="Georgia"/>
          <w:sz w:val="18"/>
          <w:szCs w:val="20"/>
          <w:rtl/>
          <w:lang w:val="en-GB"/>
        </w:rPr>
        <w:t xml:space="preserve"> (</w:t>
      </w:r>
      <w:proofErr w:type="spellStart"/>
      <w:r w:rsidRPr="001B663D">
        <w:rPr>
          <w:rFonts w:ascii="Georgia" w:hAnsi="Georgia"/>
          <w:sz w:val="18"/>
          <w:szCs w:val="20"/>
          <w:rtl/>
          <w:lang w:val="en-GB"/>
        </w:rPr>
        <w:t>אייג'נסי</w:t>
      </w:r>
      <w:proofErr w:type="spellEnd"/>
      <w:r w:rsidRPr="001B663D">
        <w:rPr>
          <w:rFonts w:ascii="Georgia" w:hAnsi="Georgia"/>
          <w:sz w:val="18"/>
          <w:szCs w:val="20"/>
          <w:rtl/>
          <w:lang w:val="en-GB"/>
        </w:rPr>
        <w:t xml:space="preserve">). הגישה הסוציולוגית של אנתוני </w:t>
      </w:r>
      <w:proofErr w:type="spellStart"/>
      <w:r w:rsidRPr="001B663D">
        <w:rPr>
          <w:rFonts w:ascii="Georgia" w:hAnsi="Georgia"/>
          <w:sz w:val="18"/>
          <w:szCs w:val="20"/>
          <w:rtl/>
          <w:lang w:val="en-GB"/>
        </w:rPr>
        <w:t>גידנס</w:t>
      </w:r>
      <w:proofErr w:type="spellEnd"/>
      <w:r w:rsidRPr="001B663D">
        <w:rPr>
          <w:rFonts w:ascii="Georgia" w:hAnsi="Georgia"/>
          <w:sz w:val="18"/>
          <w:szCs w:val="20"/>
          <w:rtl/>
          <w:lang w:val="en-GB"/>
        </w:rPr>
        <w:t xml:space="preserve"> (</w:t>
      </w:r>
      <w:r w:rsidRPr="001B663D">
        <w:rPr>
          <w:rFonts w:ascii="Georgia" w:hAnsi="Georgia"/>
          <w:sz w:val="18"/>
          <w:szCs w:val="20"/>
          <w:lang w:val="en-GB"/>
        </w:rPr>
        <w:t>Giddens</w:t>
      </w:r>
      <w:r w:rsidRPr="001B663D">
        <w:rPr>
          <w:rFonts w:ascii="Georgia" w:hAnsi="Georgia"/>
          <w:sz w:val="18"/>
          <w:szCs w:val="20"/>
          <w:rtl/>
          <w:lang w:val="en-GB"/>
        </w:rPr>
        <w:t xml:space="preserve">) מיושמת כאן לחקר תהליכי התעצבותה של המדיניות החברתית בכל הרמות. מתוך הצטלבות המשברים ויליאמס בוחרת להצליב ארבעה: הקפיטליסטי, הטיפול, החברתי-רבייתי והאקלימי. היא מניחה את היסודות להצלבת המשברים באמצעות טיעוניה של ננסי </w:t>
      </w:r>
      <w:proofErr w:type="spellStart"/>
      <w:r w:rsidRPr="001B663D">
        <w:rPr>
          <w:rFonts w:ascii="Georgia" w:hAnsi="Georgia"/>
          <w:sz w:val="18"/>
          <w:szCs w:val="20"/>
          <w:rtl/>
          <w:lang w:val="en-GB"/>
        </w:rPr>
        <w:t>פרייזר</w:t>
      </w:r>
      <w:proofErr w:type="spellEnd"/>
      <w:r w:rsidRPr="001B663D">
        <w:rPr>
          <w:rFonts w:ascii="Georgia" w:hAnsi="Georgia"/>
          <w:sz w:val="18"/>
          <w:szCs w:val="20"/>
          <w:rtl/>
          <w:lang w:val="en-GB"/>
        </w:rPr>
        <w:t xml:space="preserve"> (</w:t>
      </w:r>
      <w:r w:rsidRPr="00385A0B">
        <w:rPr>
          <w:rFonts w:ascii="Georgia" w:hAnsi="Georgia"/>
          <w:sz w:val="18"/>
          <w:szCs w:val="20"/>
          <w:lang w:val="en-GB"/>
        </w:rPr>
        <w:t>Fraser</w:t>
      </w:r>
      <w:r w:rsidRPr="001B663D">
        <w:rPr>
          <w:rFonts w:ascii="Georgia" w:hAnsi="Georgia"/>
          <w:color w:val="000000"/>
          <w:sz w:val="18"/>
          <w:szCs w:val="20"/>
          <w:shd w:val="clear" w:color="auto" w:fill="F7F5F5"/>
          <w:rtl/>
        </w:rPr>
        <w:t>)</w:t>
      </w:r>
      <w:r w:rsidRPr="00385A0B">
        <w:rPr>
          <w:rFonts w:ascii="Georgia" w:hAnsi="Georgia"/>
          <w:sz w:val="18"/>
          <w:szCs w:val="20"/>
          <w:rtl/>
          <w:lang w:val="en-GB"/>
        </w:rPr>
        <w:t xml:space="preserve"> </w:t>
      </w:r>
      <w:r w:rsidRPr="001B663D">
        <w:rPr>
          <w:rFonts w:ascii="Georgia" w:hAnsi="Georgia"/>
          <w:sz w:val="18"/>
          <w:szCs w:val="20"/>
          <w:rtl/>
          <w:lang w:val="en-GB"/>
        </w:rPr>
        <w:t xml:space="preserve">בדבר התלות ההדדית בין המשברים, וביתר ספציפיות: התהליך שבו האובססיה הקפיטליסטית לצמיחה ולרווחיות יצרה את משבר הטיפול, את משבר ההגירה הפוסט-קולוניאלי ואת משבר האקלים, עד כדי הותרת כדור הארץ ללא עתיד. </w:t>
      </w:r>
      <w:bookmarkEnd w:id="7"/>
    </w:p>
    <w:p w14:paraId="1426F7FE" w14:textId="77777777" w:rsidR="00B11E66" w:rsidRPr="001B663D" w:rsidRDefault="00B11E66" w:rsidP="00B11E66">
      <w:pPr>
        <w:spacing w:after="180" w:line="280" w:lineRule="exact"/>
        <w:jc w:val="both"/>
        <w:rPr>
          <w:rFonts w:ascii="Georgia" w:hAnsi="Georgia"/>
          <w:sz w:val="18"/>
          <w:szCs w:val="20"/>
          <w:rtl/>
          <w:lang w:val="en-GB"/>
        </w:rPr>
      </w:pPr>
      <w:bookmarkStart w:id="8" w:name="_Hlk105520879"/>
      <w:r w:rsidRPr="001B663D">
        <w:rPr>
          <w:rFonts w:ascii="Georgia" w:hAnsi="Georgia"/>
          <w:sz w:val="18"/>
          <w:szCs w:val="20"/>
          <w:rtl/>
          <w:lang w:val="en-GB"/>
        </w:rPr>
        <w:t xml:space="preserve">ויליאמס קוראת תיגר על חוקרי המדיניות החברתית, שנמנעו עד היום מהעיסוק בהצטלבות המשברים וניסחו דרכי מדיניות חברתית המתעלמות מטווח רחב של </w:t>
      </w:r>
      <w:proofErr w:type="spellStart"/>
      <w:r w:rsidRPr="001B663D">
        <w:rPr>
          <w:rFonts w:ascii="Georgia" w:hAnsi="Georgia"/>
          <w:sz w:val="18"/>
          <w:szCs w:val="20"/>
          <w:rtl/>
          <w:lang w:val="en-GB"/>
        </w:rPr>
        <w:t>פגיעויות</w:t>
      </w:r>
      <w:proofErr w:type="spellEnd"/>
      <w:r w:rsidRPr="001B663D">
        <w:rPr>
          <w:rFonts w:ascii="Georgia" w:hAnsi="Georgia"/>
          <w:sz w:val="18"/>
          <w:szCs w:val="20"/>
          <w:rtl/>
          <w:lang w:val="en-GB"/>
        </w:rPr>
        <w:t xml:space="preserve"> שיצרו הניהוליות המוסדית, הגזענות, הסקסיזם, העדפת הגוף השלם ועוד. רק גישה של הצלבת משברים תאפשר ניתוח של הכלכלה הפוליטית הטראנס-לאומית, ניתוח הנדרש לנו כיום להבנת המדיניות החברתית והכוח שלה לכונן בני אדם והתנהגויות. כשהיא שוזרת יחד הצלבת מיקומים וביקורתיות, ויליאמס מתעקשת על הרלוונטיות של כל צורותיהם של מבני העוצמה </w:t>
      </w:r>
      <w:r w:rsidRPr="001B663D">
        <w:rPr>
          <w:rFonts w:ascii="Georgia" w:hAnsi="Georgia"/>
          <w:sz w:val="18"/>
          <w:szCs w:val="20"/>
          <w:rtl/>
          <w:lang w:val="en-GB"/>
        </w:rPr>
        <w:lastRenderedPageBreak/>
        <w:t xml:space="preserve">ואי השוויון החברתיים לדיון במדיניות חברתית. מיפוי של המערכות הפוליטיות בכל אחת מהמדיניות מחד גיסא, ושל המערכת הפוליטית הטרנס-לאומית מאידך גיסא, הוא הקשר חיוני להבנת צמיחתן של </w:t>
      </w:r>
      <w:proofErr w:type="spellStart"/>
      <w:r w:rsidRPr="001B663D">
        <w:rPr>
          <w:rFonts w:ascii="Georgia" w:hAnsi="Georgia"/>
          <w:sz w:val="18"/>
          <w:szCs w:val="20"/>
          <w:rtl/>
          <w:lang w:val="en-GB"/>
        </w:rPr>
        <w:t>פרקטיקות</w:t>
      </w:r>
      <w:proofErr w:type="spellEnd"/>
      <w:r w:rsidRPr="001B663D">
        <w:rPr>
          <w:rFonts w:ascii="Georgia" w:hAnsi="Georgia"/>
          <w:sz w:val="18"/>
          <w:szCs w:val="20"/>
          <w:rtl/>
          <w:lang w:val="en-GB"/>
        </w:rPr>
        <w:t xml:space="preserve"> מדיניות חברתית. יתרה מזו, הקשר זה הכרחי להבנת דרכי השעתוק של כלל ממדי אי השוויון החברתי, ברמות השונות של ביטוייו: החל מזהויות וגבולות, עבור דרך האתיקה הפוליטית של הטיפול (הזכות לעסוק בעיסוקי הטיפול בלי לשלם את מחיר העוני והתלות הכלכלית), וכלה בעוצמת השליטה של </w:t>
      </w:r>
      <w:proofErr w:type="spellStart"/>
      <w:r w:rsidRPr="001B663D">
        <w:rPr>
          <w:rFonts w:ascii="Georgia" w:hAnsi="Georgia"/>
          <w:sz w:val="18"/>
          <w:szCs w:val="20"/>
          <w:rtl/>
          <w:lang w:val="en-GB"/>
        </w:rPr>
        <w:t>הפיננסיאליזציה</w:t>
      </w:r>
      <w:proofErr w:type="spellEnd"/>
      <w:r w:rsidRPr="001B663D">
        <w:rPr>
          <w:rFonts w:ascii="Georgia" w:hAnsi="Georgia"/>
          <w:sz w:val="18"/>
          <w:szCs w:val="20"/>
          <w:rtl/>
          <w:lang w:val="en-GB"/>
        </w:rPr>
        <w:t xml:space="preserve"> בקפיטליזם הגלובלי העכשווי. במילים אחרות, גישתה של ויליאמס לחקר המדיניות החברתית מכלילה לא רק אקטיביסטיות/ים המובילות/ים מאבקים חברתיים, אלא גם חוקרות/ים של מדיניות חברתית המיישמות/ים גישות ביקורתיות כלפי כלל העמדות החברתיות המוצלבות. אף שהיא אינה מתעלמת מן הכשלים בגישות המנסות ליישם ניתוחי הצלבה מורכבים, היא גורסת כי הכרחי לשלבן בכל גישה ביקורתית למדיניות חברתית, ובניתוחים המתמקדים באתיקת טיפול פוליטית (</w:t>
      </w:r>
      <w:r w:rsidRPr="001B663D">
        <w:rPr>
          <w:rFonts w:ascii="Georgia" w:hAnsi="Georgia"/>
          <w:sz w:val="18"/>
          <w:szCs w:val="20"/>
          <w:lang w:val="en-GB"/>
        </w:rPr>
        <w:t>political ethics of care</w:t>
      </w:r>
      <w:r w:rsidRPr="001B663D">
        <w:rPr>
          <w:rFonts w:ascii="Georgia" w:hAnsi="Georgia"/>
          <w:sz w:val="18"/>
          <w:szCs w:val="20"/>
          <w:rtl/>
          <w:lang w:val="en-GB"/>
        </w:rPr>
        <w:t xml:space="preserve">). שילובן הכרחי לחשיפת כוחה של המדיניות החברתית הנוהגת לכונן משטרים </w:t>
      </w:r>
      <w:proofErr w:type="spellStart"/>
      <w:r w:rsidRPr="001B663D">
        <w:rPr>
          <w:rFonts w:ascii="Georgia" w:hAnsi="Georgia"/>
          <w:sz w:val="18"/>
          <w:szCs w:val="20"/>
          <w:rtl/>
          <w:lang w:val="en-GB"/>
        </w:rPr>
        <w:t>דכאניים</w:t>
      </w:r>
      <w:proofErr w:type="spellEnd"/>
      <w:r w:rsidRPr="001B663D">
        <w:rPr>
          <w:rFonts w:ascii="Georgia" w:hAnsi="Georgia"/>
          <w:sz w:val="18"/>
          <w:szCs w:val="20"/>
          <w:rtl/>
          <w:lang w:val="en-GB"/>
        </w:rPr>
        <w:t xml:space="preserve"> ביחס לכל מיקום חברתי. </w:t>
      </w:r>
      <w:bookmarkEnd w:id="8"/>
    </w:p>
    <w:p w14:paraId="36048964" w14:textId="77777777" w:rsidR="00B11E66" w:rsidRPr="001B663D" w:rsidRDefault="00B11E66" w:rsidP="00B11E66">
      <w:pPr>
        <w:spacing w:after="180" w:line="280" w:lineRule="exact"/>
        <w:jc w:val="both"/>
        <w:rPr>
          <w:rFonts w:ascii="Georgia" w:hAnsi="Georgia"/>
          <w:sz w:val="18"/>
          <w:szCs w:val="20"/>
          <w:rtl/>
          <w:lang w:val="en-GB"/>
        </w:rPr>
      </w:pPr>
      <w:r w:rsidRPr="001B663D">
        <w:rPr>
          <w:rFonts w:ascii="Georgia" w:hAnsi="Georgia"/>
          <w:sz w:val="18"/>
          <w:szCs w:val="20"/>
          <w:rtl/>
          <w:lang w:val="en-GB"/>
        </w:rPr>
        <w:t xml:space="preserve">דרכה של ויליאמס לכונן את אחריות האקטיביזם למדיניות החברתית שנוקטות הרשויות עוברת דרך טווח של גישות ביקורתיות ומצליבות מיקומים, אשר תנועות חברתיות שונות וארגוני חברה אזרחית רבים ניסחו וקידמו מאז המשבר של 2008. לשיטתה, התמקדות זו בפעולה הפוליטית המשותפת והמאורגנת היא המתודולוגיה הנכונה לחילוץ כיוונים אפשריים להצמחת שיתופי פעולה, ולהנחיית מאבקים עתידיים למען מדיניות חברתית המגלמת צדק חברתי. המיפוי של המפגש המתמשך בין מעצבי מדיניות לבין אקטיביסטיות/ים של צדק חברתי, הקוראות/ים לשינוי חברתי במגוון סוגיות, חושף את הקוראות/ים לחזון התאורטי של ויליאמס, שתכליתו התקדמות לקראת כלכלה פוליטית של טיפול ברמה הטראנס-לאומית. בחזונה היא מדגישה את הצורך בחשיבה שהיא טראנס-לאומית, כחלופה להיסטוריה של מערכות רווחה לאומיות אשר צמחו מתוך הקשרים תרבותיים ספציפיים. מבחינה זו היא מאמצת את המסורת הפוסט-קולוניאלית הביקורתית, הטוענת כי מימונה של מדיניות חברתית אינו יכול להיעצר בגבולותיו של הצפון הגלובלי, ועליו להביא בחשבון שנים של ניצול ושעבוד של הדרום הגלובלי. לדידה, על חוקרי המדיניות החברתית לבחון את משבר הטיפול, את אי הצדק האקלימי ואת הגבולות </w:t>
      </w:r>
      <w:proofErr w:type="spellStart"/>
      <w:r w:rsidRPr="001B663D">
        <w:rPr>
          <w:rFonts w:ascii="Georgia" w:hAnsi="Georgia"/>
          <w:sz w:val="18"/>
          <w:szCs w:val="20"/>
          <w:rtl/>
          <w:lang w:val="en-GB"/>
        </w:rPr>
        <w:t>המוגזעים</w:t>
      </w:r>
      <w:proofErr w:type="spellEnd"/>
      <w:r w:rsidRPr="001B663D">
        <w:rPr>
          <w:rFonts w:ascii="Georgia" w:hAnsi="Georgia"/>
          <w:sz w:val="18"/>
          <w:szCs w:val="20"/>
          <w:rtl/>
          <w:lang w:val="en-GB"/>
        </w:rPr>
        <w:t xml:space="preserve"> כמקשה אחת. רק בדרך זו ניתן יהיה לדחות את הנחת העבודה ולפיה אפשר להקנות זכאות לזכויות חברתיות רק לקולקטיב הומוגני. </w:t>
      </w:r>
    </w:p>
    <w:p w14:paraId="67178B0E" w14:textId="77777777" w:rsidR="00B11E66" w:rsidRPr="001B663D" w:rsidRDefault="00B11E66" w:rsidP="00B11E66">
      <w:pPr>
        <w:spacing w:after="180" w:line="280" w:lineRule="exact"/>
        <w:jc w:val="both"/>
        <w:rPr>
          <w:rFonts w:ascii="Georgia" w:hAnsi="Georgia"/>
          <w:sz w:val="18"/>
          <w:szCs w:val="20"/>
          <w:rtl/>
          <w:lang w:val="en-GB"/>
        </w:rPr>
      </w:pPr>
      <w:bookmarkStart w:id="9" w:name="_Hlk105520901"/>
      <w:r w:rsidRPr="001B663D">
        <w:rPr>
          <w:rFonts w:ascii="Georgia" w:hAnsi="Georgia"/>
          <w:sz w:val="18"/>
          <w:szCs w:val="20"/>
          <w:rtl/>
          <w:lang w:val="en-GB"/>
        </w:rPr>
        <w:t xml:space="preserve">הספר נחלק לשלושה. בחלקו הראשון נבחנים המקורות התאורטיים של המסגרת האנליטית המנחה את ויליאמס. שני הפרקים בחלק זה מציגים את האופן שבו היא מציעה לטוות יחד את הגישה הביקורתית ואת גישת הצלבת המיקומים, ומציעה להצליב, כאמור, לא רק מיקומים חברתיים אלא את המשברים עצמם. הפרספקטיבה האינטגרטיבית שהיא מעמידה מתורגמת לניתוח מדיניות רווחה באמצעות התמקדות בשעתוק של עמדות הכוח כפי שהוא מובטח על ידי </w:t>
      </w:r>
      <w:proofErr w:type="spellStart"/>
      <w:r w:rsidRPr="001B663D">
        <w:rPr>
          <w:rFonts w:ascii="Georgia" w:hAnsi="Georgia"/>
          <w:sz w:val="18"/>
          <w:szCs w:val="20"/>
          <w:rtl/>
          <w:lang w:val="en-GB"/>
        </w:rPr>
        <w:t>פרקטיקות</w:t>
      </w:r>
      <w:proofErr w:type="spellEnd"/>
      <w:r w:rsidRPr="001B663D">
        <w:rPr>
          <w:rFonts w:ascii="Georgia" w:hAnsi="Georgia"/>
          <w:sz w:val="18"/>
          <w:szCs w:val="20"/>
          <w:rtl/>
          <w:lang w:val="en-GB"/>
        </w:rPr>
        <w:t xml:space="preserve"> מדיניות, ובמיוחד אלו המכונות צעדי צנע (</w:t>
      </w:r>
      <w:r w:rsidRPr="001B663D">
        <w:rPr>
          <w:rFonts w:ascii="Georgia" w:hAnsi="Georgia"/>
          <w:sz w:val="18"/>
          <w:szCs w:val="20"/>
        </w:rPr>
        <w:t>Austerity</w:t>
      </w:r>
      <w:r>
        <w:rPr>
          <w:rFonts w:ascii="Georgia" w:hAnsi="Georgia" w:hint="cs"/>
          <w:sz w:val="18"/>
          <w:szCs w:val="20"/>
          <w:rtl/>
          <w:lang w:val="en-GB"/>
        </w:rPr>
        <w:t>)</w:t>
      </w:r>
      <w:r w:rsidRPr="001B663D">
        <w:rPr>
          <w:rFonts w:ascii="Georgia" w:hAnsi="Georgia"/>
          <w:sz w:val="18"/>
          <w:szCs w:val="20"/>
          <w:rtl/>
          <w:lang w:val="en-GB"/>
        </w:rPr>
        <w:t xml:space="preserve">. הדרך האנליטית לניתוחן של הרמה הגלובלית והרמה המקומית בד בבד מודגמת באמצעות ארבעה עמודי תווך של ניתוח מדיניות: משפחה, אומה, עבודה וטבע. כל אחד מאלו מעוצב על ידי גבולות </w:t>
      </w:r>
      <w:proofErr w:type="spellStart"/>
      <w:r w:rsidRPr="001B663D">
        <w:rPr>
          <w:rFonts w:ascii="Georgia" w:hAnsi="Georgia"/>
          <w:sz w:val="18"/>
          <w:szCs w:val="20"/>
          <w:rtl/>
          <w:lang w:val="en-GB"/>
        </w:rPr>
        <w:t>מוגזעים</w:t>
      </w:r>
      <w:proofErr w:type="spellEnd"/>
      <w:r w:rsidRPr="001B663D">
        <w:rPr>
          <w:rFonts w:ascii="Georgia" w:hAnsi="Georgia"/>
          <w:sz w:val="18"/>
          <w:szCs w:val="20"/>
          <w:rtl/>
          <w:lang w:val="en-GB"/>
        </w:rPr>
        <w:t xml:space="preserve"> </w:t>
      </w:r>
      <w:r w:rsidRPr="001B663D">
        <w:rPr>
          <w:rFonts w:ascii="Georgia" w:hAnsi="Georgia"/>
          <w:sz w:val="18"/>
          <w:szCs w:val="20"/>
          <w:rtl/>
          <w:lang w:val="en-GB"/>
        </w:rPr>
        <w:lastRenderedPageBreak/>
        <w:t xml:space="preserve">(המתייחסים למשמעויות של גזע כפי שעוצבו בעבדות, בקולוניאליזם, במשבר ההגירה), משבר האקלים וההרס האקולוגי, פריון חברתי והולדה, וכמובן, הניהול הפיננסי. בדרך זו היא מראה כי עלינו לכתוב על מדיניות חברתית בלי לשמוט את ההיסטוריה הגזענית שהותירה בה את רישומה. החשיבות הרבה שוויליאמס מייחסת לגזענות כרוכה בהכרה כי ההיסטוריה הגזענית היא יצרנית של טראומה, ניצול, נישול ודיכוי, ושכל אחד מאלו הוא יצרן של צורך המחייב התייחסות ומענה מצד המדיניות החברתית. בהקשר זה ויליאמס מציבה תמרור אזהרה, כלומר תובעת חשיבה מקיפה שתבטיח כי היעדר כוח לא ימנע מימוש זכויות וקבלת מענה. </w:t>
      </w:r>
      <w:bookmarkEnd w:id="9"/>
    </w:p>
    <w:p w14:paraId="0D3E8E1A" w14:textId="77777777" w:rsidR="00B11E66" w:rsidRPr="001B663D" w:rsidRDefault="00B11E66" w:rsidP="00B11E66">
      <w:pPr>
        <w:spacing w:after="180" w:line="280" w:lineRule="exact"/>
        <w:jc w:val="both"/>
        <w:rPr>
          <w:rFonts w:ascii="Georgia" w:hAnsi="Georgia"/>
          <w:sz w:val="18"/>
          <w:szCs w:val="20"/>
          <w:rtl/>
          <w:lang w:val="en-GB"/>
        </w:rPr>
      </w:pPr>
      <w:r w:rsidRPr="001B663D">
        <w:rPr>
          <w:rFonts w:ascii="Georgia" w:hAnsi="Georgia"/>
          <w:sz w:val="18"/>
          <w:szCs w:val="20"/>
          <w:rtl/>
          <w:lang w:val="en-GB"/>
        </w:rPr>
        <w:t xml:space="preserve">חלקו השני של הספר מיישם את המסגרת התאורטית לבחינת שלושה שדות מובחנים: מדיניות הצנע באנגליה (פרק 4); שאלת </w:t>
      </w:r>
      <w:proofErr w:type="spellStart"/>
      <w:r w:rsidRPr="001B663D">
        <w:rPr>
          <w:rFonts w:ascii="Georgia" w:hAnsi="Georgia"/>
          <w:sz w:val="18"/>
          <w:szCs w:val="20"/>
          <w:rtl/>
          <w:lang w:val="en-GB"/>
        </w:rPr>
        <w:t>הפועלוּת</w:t>
      </w:r>
      <w:proofErr w:type="spellEnd"/>
      <w:r w:rsidRPr="001B663D">
        <w:rPr>
          <w:rFonts w:ascii="Georgia" w:hAnsi="Georgia"/>
          <w:sz w:val="18"/>
          <w:szCs w:val="20"/>
          <w:rtl/>
          <w:lang w:val="en-GB"/>
        </w:rPr>
        <w:t xml:space="preserve">, האקטיביזם וההתנגדות (פרק 5); והפוליטיקה הטראנס-לאומית של הטיפול (פרק 6). שלושת הפרקים הללו מפנים את תשומת הלב להתנסויותיהן של נשים כפי שעוצבו בשנים של מדיניות צנע, במיוחד מבחינת העוני והתלות שלהן כמחויבות לטיפול בשכר ושלא בשכר. היא טוענת שהתדרדרות זו, והאצת הגירעון הטיפולי בהקשר זה, הביאו לכך שכשהופיע משבר הקוביד-19 מערכות הבריאות, החינוך והרווחה היו מכורסמות, אם לא הרוסות, וללא יכולת להתמודד עם המגפה. בהינתן הפרספקטיבה הממוקדת באחראיות לעבודת הטיפול בבית ובעבודה, ויליאמס עוקבת אחר טווח רחב של מיקומים חברתיים ופוליטיים כדי להראות עד כמה משבר הבריאות גבה את מחיריו דווקא מאלו הממוקמים וממוקמות בעשירונים התחתונים. </w:t>
      </w:r>
    </w:p>
    <w:p w14:paraId="33DE3225" w14:textId="77777777" w:rsidR="00B11E66" w:rsidRPr="001B663D" w:rsidRDefault="00B11E66" w:rsidP="00B11E66">
      <w:pPr>
        <w:spacing w:after="180" w:line="280" w:lineRule="exact"/>
        <w:jc w:val="both"/>
        <w:rPr>
          <w:rFonts w:ascii="Georgia" w:hAnsi="Georgia"/>
          <w:sz w:val="18"/>
          <w:szCs w:val="20"/>
          <w:rtl/>
          <w:lang w:val="en-GB"/>
        </w:rPr>
      </w:pPr>
      <w:bookmarkStart w:id="10" w:name="_Hlk105520926"/>
      <w:r w:rsidRPr="001B663D">
        <w:rPr>
          <w:rFonts w:ascii="Georgia" w:hAnsi="Georgia"/>
          <w:sz w:val="18"/>
          <w:szCs w:val="20"/>
          <w:rtl/>
          <w:lang w:val="en-GB"/>
        </w:rPr>
        <w:t xml:space="preserve">ויליאמס מייחסת את </w:t>
      </w:r>
      <w:proofErr w:type="spellStart"/>
      <w:r w:rsidRPr="001B663D">
        <w:rPr>
          <w:rFonts w:ascii="Georgia" w:hAnsi="Georgia"/>
          <w:sz w:val="18"/>
          <w:szCs w:val="20"/>
          <w:rtl/>
          <w:lang w:val="en-GB"/>
        </w:rPr>
        <w:t>הפועלוּת</w:t>
      </w:r>
      <w:proofErr w:type="spellEnd"/>
      <w:r w:rsidRPr="001B663D">
        <w:rPr>
          <w:rFonts w:ascii="Georgia" w:hAnsi="Georgia"/>
          <w:sz w:val="18"/>
          <w:szCs w:val="20"/>
          <w:rtl/>
          <w:lang w:val="en-GB"/>
        </w:rPr>
        <w:t xml:space="preserve"> ואת היכולת להצטרף לפעולת התנגדות קולקטיבית לאלו היודעים לזהות הזדמנויות, וכך מצליחים להפוך את מערכת הרווחה למערכת אמביוולנטית, למערך של מרחבים שבהם מנגישות הטיפול פוגשות את הנזקקים והנזקקות לטיפול ובונות עימם מערכות יחסים משמעותיות. הן עושות זאת למרות ההסדרה הכלכלית המכוונת להשלטת עקרון המסחור, המאיין את היחסים שהם כה קריטיים לטיפול. מושג </w:t>
      </w:r>
      <w:proofErr w:type="spellStart"/>
      <w:r w:rsidRPr="001B663D">
        <w:rPr>
          <w:rFonts w:ascii="Georgia" w:hAnsi="Georgia"/>
          <w:sz w:val="18"/>
          <w:szCs w:val="20"/>
          <w:rtl/>
          <w:lang w:val="en-GB"/>
        </w:rPr>
        <w:t>הפועלוּת</w:t>
      </w:r>
      <w:proofErr w:type="spellEnd"/>
      <w:r w:rsidRPr="001B663D">
        <w:rPr>
          <w:rFonts w:ascii="Georgia" w:hAnsi="Georgia"/>
          <w:sz w:val="18"/>
          <w:szCs w:val="20"/>
          <w:rtl/>
          <w:lang w:val="en-GB"/>
        </w:rPr>
        <w:t xml:space="preserve"> של ויליאמס, ובמיוחד ראייתה את התנאים שבהם </w:t>
      </w:r>
      <w:proofErr w:type="spellStart"/>
      <w:r w:rsidRPr="001B663D">
        <w:rPr>
          <w:rFonts w:ascii="Georgia" w:hAnsi="Georgia"/>
          <w:sz w:val="18"/>
          <w:szCs w:val="20"/>
          <w:rtl/>
          <w:lang w:val="en-GB"/>
        </w:rPr>
        <w:t>הפועלוּת</w:t>
      </w:r>
      <w:proofErr w:type="spellEnd"/>
      <w:r w:rsidRPr="001B663D">
        <w:rPr>
          <w:rFonts w:ascii="Georgia" w:hAnsi="Georgia"/>
          <w:sz w:val="18"/>
          <w:szCs w:val="20"/>
          <w:rtl/>
          <w:lang w:val="en-GB"/>
        </w:rPr>
        <w:t xml:space="preserve"> משגשגת למרות המשילות </w:t>
      </w:r>
      <w:r>
        <w:rPr>
          <w:rFonts w:ascii="Georgia" w:hAnsi="Georgia"/>
          <w:sz w:val="18"/>
          <w:szCs w:val="20"/>
          <w:rtl/>
          <w:lang w:val="en-GB"/>
        </w:rPr>
        <w:br/>
      </w:r>
      <w:r w:rsidRPr="001B663D">
        <w:rPr>
          <w:rFonts w:ascii="Georgia" w:hAnsi="Georgia"/>
          <w:sz w:val="18"/>
          <w:szCs w:val="20"/>
          <w:rtl/>
          <w:lang w:val="en-GB"/>
        </w:rPr>
        <w:t xml:space="preserve">הניאו-ליברלית, צומח מתוך שלושה פרויקטים תאורטיים מוקדמים: מרחבים של עוצמה פוליטית, מבני רגשות, וסובייקטים מוכפפים. כל השלושה מכוננים </w:t>
      </w:r>
      <w:proofErr w:type="spellStart"/>
      <w:r w:rsidRPr="001B663D">
        <w:rPr>
          <w:rFonts w:ascii="Georgia" w:hAnsi="Georgia"/>
          <w:sz w:val="18"/>
          <w:szCs w:val="20"/>
          <w:rtl/>
          <w:lang w:val="en-GB"/>
        </w:rPr>
        <w:t>פועלוּת</w:t>
      </w:r>
      <w:proofErr w:type="spellEnd"/>
      <w:r w:rsidRPr="001B663D">
        <w:rPr>
          <w:rFonts w:ascii="Georgia" w:hAnsi="Georgia"/>
          <w:sz w:val="18"/>
          <w:szCs w:val="20"/>
          <w:rtl/>
          <w:lang w:val="en-GB"/>
        </w:rPr>
        <w:t xml:space="preserve"> ככוח הנחוש המקיים את הרוח הדמוקרטית של אזרחות וזכאות. בצורותיה השונות, </w:t>
      </w:r>
      <w:proofErr w:type="spellStart"/>
      <w:r w:rsidRPr="001B663D">
        <w:rPr>
          <w:rFonts w:ascii="Georgia" w:hAnsi="Georgia"/>
          <w:sz w:val="18"/>
          <w:szCs w:val="20"/>
          <w:rtl/>
          <w:lang w:val="en-GB"/>
        </w:rPr>
        <w:t>הפועלוּת</w:t>
      </w:r>
      <w:proofErr w:type="spellEnd"/>
      <w:r w:rsidRPr="001B663D">
        <w:rPr>
          <w:rFonts w:ascii="Georgia" w:hAnsi="Georgia"/>
          <w:sz w:val="18"/>
          <w:szCs w:val="20"/>
          <w:rtl/>
          <w:lang w:val="en-GB"/>
        </w:rPr>
        <w:t xml:space="preserve"> מתחברת לעוצמה המצליחה לפעול גם נגד כוחות שיטור המגינים על האליטות. שוב, ויליאמס אינה מותירה את הדיון בהתנגדות בשוליים, אלא מנכיחה ומאדירה את המאמצים הקולקטיביים לקרוא תיגר על אופני התפעול העכשוויים של מערכות חברתיות. ניתוח הדינמיקה שבין אי שוויון קיצוני לבין מאמצי ההתנגדות להשלכותיו מורחב ומגיע גם אל הדרום הגלובלי וגם לאלו הלכודות ביחסים הירארכיים של טיפול, אלו שמצאו את עצמן חשופות לחלוטין בזמן המגפה. גישת הצלבת המיקומים מיוש</w:t>
      </w:r>
      <w:r>
        <w:rPr>
          <w:rFonts w:ascii="Georgia" w:hAnsi="Georgia" w:hint="cs"/>
          <w:sz w:val="18"/>
          <w:szCs w:val="20"/>
          <w:rtl/>
          <w:lang w:val="en-GB"/>
        </w:rPr>
        <w:t>מת</w:t>
      </w:r>
      <w:r w:rsidRPr="001B663D">
        <w:rPr>
          <w:rFonts w:ascii="Georgia" w:hAnsi="Georgia"/>
          <w:sz w:val="18"/>
          <w:szCs w:val="20"/>
          <w:rtl/>
          <w:lang w:val="en-GB"/>
        </w:rPr>
        <w:t xml:space="preserve"> גם </w:t>
      </w:r>
      <w:r>
        <w:rPr>
          <w:rFonts w:ascii="Georgia" w:hAnsi="Georgia" w:hint="cs"/>
          <w:sz w:val="18"/>
          <w:szCs w:val="20"/>
          <w:rtl/>
          <w:lang w:val="en-GB"/>
        </w:rPr>
        <w:t>ב</w:t>
      </w:r>
      <w:r w:rsidRPr="001B663D">
        <w:rPr>
          <w:rFonts w:ascii="Georgia" w:hAnsi="Georgia"/>
          <w:sz w:val="18"/>
          <w:szCs w:val="20"/>
          <w:rtl/>
          <w:lang w:val="en-GB"/>
        </w:rPr>
        <w:t>ניתוח התנסויותיהן של מהגרות עבודה המגיעות מהדרום הגלובלי לצפון הגלובלי, והחוזקה של גישתה של ויליאמס מתגלה שוב כאשר היא מכוונת את תשומת הלב לתנאים הקשים, המשעבדים כמעט, שמהגרות העבודה נתקלות בהם.</w:t>
      </w:r>
      <w:bookmarkEnd w:id="10"/>
    </w:p>
    <w:p w14:paraId="6E367FD8" w14:textId="77777777" w:rsidR="00B11E66" w:rsidRPr="001B663D" w:rsidRDefault="00B11E66" w:rsidP="00B11E66">
      <w:pPr>
        <w:spacing w:after="180" w:line="280" w:lineRule="exact"/>
        <w:jc w:val="both"/>
        <w:rPr>
          <w:rFonts w:ascii="Georgia" w:hAnsi="Georgia"/>
          <w:sz w:val="18"/>
          <w:szCs w:val="20"/>
          <w:rtl/>
          <w:lang w:val="en-GB"/>
        </w:rPr>
      </w:pPr>
      <w:r w:rsidRPr="001B663D">
        <w:rPr>
          <w:rFonts w:ascii="Georgia" w:hAnsi="Georgia"/>
          <w:sz w:val="18"/>
          <w:szCs w:val="20"/>
          <w:rtl/>
          <w:lang w:val="en-GB"/>
        </w:rPr>
        <w:lastRenderedPageBreak/>
        <w:t xml:space="preserve">בחלקו השלישי של הספר ויליאמס מציגה שני פרקי חזון. בפרק 7 היא פורסת חזונות שמעלות כיום פמיניסטיות מכל העולם בניסיון לדמיין את החברה הצודקת – זו שתהיה מבוססת על אתיקה פוליטית של טיפול המעוגנת בטיפול </w:t>
      </w:r>
      <w:proofErr w:type="spellStart"/>
      <w:r w:rsidRPr="001B663D">
        <w:rPr>
          <w:rFonts w:ascii="Georgia" w:hAnsi="Georgia"/>
          <w:sz w:val="18"/>
          <w:szCs w:val="20"/>
          <w:rtl/>
          <w:lang w:val="en-GB"/>
        </w:rPr>
        <w:t>הדיאלוגי</w:t>
      </w:r>
      <w:proofErr w:type="spellEnd"/>
      <w:r w:rsidRPr="001B663D">
        <w:rPr>
          <w:rFonts w:ascii="Georgia" w:hAnsi="Georgia"/>
          <w:sz w:val="18"/>
          <w:szCs w:val="20"/>
          <w:rtl/>
          <w:lang w:val="en-GB"/>
        </w:rPr>
        <w:t>, בצדק אקלימי ובדה-</w:t>
      </w:r>
      <w:proofErr w:type="spellStart"/>
      <w:r w:rsidRPr="001B663D">
        <w:rPr>
          <w:rFonts w:ascii="Georgia" w:hAnsi="Georgia"/>
          <w:sz w:val="18"/>
          <w:szCs w:val="20"/>
          <w:rtl/>
          <w:lang w:val="en-GB"/>
        </w:rPr>
        <w:t>קולוניאליזציה</w:t>
      </w:r>
      <w:proofErr w:type="spellEnd"/>
      <w:r w:rsidRPr="001B663D">
        <w:rPr>
          <w:rFonts w:ascii="Georgia" w:hAnsi="Georgia"/>
          <w:sz w:val="18"/>
          <w:szCs w:val="20"/>
          <w:rtl/>
          <w:lang w:val="en-GB"/>
        </w:rPr>
        <w:t>. היא מפתחת את הדיון באפשרויות הנוצרות כיום באמצעות מאבקים ושיתופי פעולה סולידאריים אקו-</w:t>
      </w:r>
      <w:proofErr w:type="spellStart"/>
      <w:r w:rsidRPr="001B663D">
        <w:rPr>
          <w:rFonts w:ascii="Georgia" w:hAnsi="Georgia"/>
          <w:sz w:val="18"/>
          <w:szCs w:val="20"/>
          <w:rtl/>
          <w:lang w:val="en-GB"/>
        </w:rPr>
        <w:t>רווחתיים</w:t>
      </w:r>
      <w:proofErr w:type="spellEnd"/>
      <w:r w:rsidRPr="001B663D">
        <w:rPr>
          <w:rFonts w:ascii="Georgia" w:hAnsi="Georgia"/>
          <w:sz w:val="18"/>
          <w:szCs w:val="20"/>
          <w:rtl/>
          <w:lang w:val="en-GB"/>
        </w:rPr>
        <w:t>,</w:t>
      </w:r>
      <w:r w:rsidRPr="001B663D">
        <w:rPr>
          <w:rFonts w:ascii="Georgia" w:hAnsi="Georgia"/>
          <w:sz w:val="18"/>
          <w:szCs w:val="20"/>
          <w:vertAlign w:val="superscript"/>
          <w:rtl/>
          <w:lang w:val="en-GB"/>
        </w:rPr>
        <w:footnoteReference w:id="7"/>
      </w:r>
      <w:r w:rsidRPr="001B663D">
        <w:rPr>
          <w:rFonts w:ascii="Georgia" w:hAnsi="Georgia"/>
          <w:sz w:val="18"/>
          <w:szCs w:val="20"/>
          <w:rtl/>
          <w:lang w:val="en-GB"/>
        </w:rPr>
        <w:t xml:space="preserve"> אשר מקדמים את עקרונות האתיקה הפוליטית של הטיפול. עיקרה של זו הוא כבוד הן לזכותה של </w:t>
      </w:r>
      <w:proofErr w:type="spellStart"/>
      <w:r w:rsidRPr="001B663D">
        <w:rPr>
          <w:rFonts w:ascii="Georgia" w:hAnsi="Georgia"/>
          <w:sz w:val="18"/>
          <w:szCs w:val="20"/>
          <w:rtl/>
          <w:lang w:val="en-GB"/>
        </w:rPr>
        <w:t>מעניקת</w:t>
      </w:r>
      <w:proofErr w:type="spellEnd"/>
      <w:r w:rsidRPr="001B663D">
        <w:rPr>
          <w:rFonts w:ascii="Georgia" w:hAnsi="Georgia"/>
          <w:sz w:val="18"/>
          <w:szCs w:val="20"/>
          <w:rtl/>
          <w:lang w:val="en-GB"/>
        </w:rPr>
        <w:t xml:space="preserve"> הטיפול לחיים בכבוד הן לזכותה של מקבלת הטיפול להקשבה מכבדת לצרכיה. הפרק המסכם, המציג שוב את גישתה התאורטית של ויליאמס כפי שפותחה לאורך הספר, פורס חזון של דיסציפלינה אקדמית של מדיניות ציבורית אשר תושתת על העקרונות של ביקורתיות ושל הצלבת מיקומים. בחזונה, ויליאמס רואה שדה הצבר ידע המחויב שלא להעביר לשוליים שום היבט של גזע וגזענות, אלא משלב בכל רמות הניתוח חשיבה ביקורתית נגד גזענות. </w:t>
      </w:r>
    </w:p>
    <w:p w14:paraId="3BD36978" w14:textId="77777777" w:rsidR="00B11E66" w:rsidRDefault="00B11E66" w:rsidP="00B11E66">
      <w:pPr>
        <w:spacing w:after="180" w:line="280" w:lineRule="exact"/>
        <w:jc w:val="both"/>
        <w:rPr>
          <w:rFonts w:ascii="Georgia" w:hAnsi="Georgia"/>
          <w:sz w:val="18"/>
          <w:szCs w:val="20"/>
          <w:lang w:val="en-GB"/>
        </w:rPr>
      </w:pPr>
      <w:r w:rsidRPr="001B663D">
        <w:rPr>
          <w:rFonts w:ascii="Georgia" w:hAnsi="Georgia"/>
          <w:sz w:val="18"/>
          <w:szCs w:val="20"/>
          <w:rtl/>
          <w:lang w:val="en-GB"/>
        </w:rPr>
        <w:t xml:space="preserve">דעתי היא שהניתוח המצוין המובא בספר ישמש סטודנטים וחוקרים בתחום המדיניות החברתית, בכל הדרגות, כמשאב הוראה ומחקר מעולה. אני סבורה </w:t>
      </w:r>
      <w:proofErr w:type="spellStart"/>
      <w:r w:rsidRPr="001B663D">
        <w:rPr>
          <w:rFonts w:ascii="Georgia" w:hAnsi="Georgia"/>
          <w:sz w:val="18"/>
          <w:szCs w:val="20"/>
          <w:rtl/>
          <w:lang w:val="en-GB"/>
        </w:rPr>
        <w:t>שפיונה</w:t>
      </w:r>
      <w:proofErr w:type="spellEnd"/>
      <w:r w:rsidRPr="001B663D">
        <w:rPr>
          <w:rFonts w:ascii="Georgia" w:hAnsi="Georgia"/>
          <w:sz w:val="18"/>
          <w:szCs w:val="20"/>
          <w:rtl/>
          <w:lang w:val="en-GB"/>
        </w:rPr>
        <w:t xml:space="preserve"> ויליאמס הצליחה להציג דוגמה לניתוח פמיניסטי אתי של הזמן שאנו חיים בו, זמן שעוד יזין וישכיל את הדור הבא של הגות פמיניסטית, דור שעבורו הצלבת מיקומים היא כבר מחויבות אתית וביקורתית קיימת ואף מתחזקת.</w:t>
      </w:r>
    </w:p>
    <w:p w14:paraId="3881FEEE" w14:textId="77777777" w:rsidR="00B11E66" w:rsidRDefault="00B11E66" w:rsidP="00B11E66">
      <w:pPr>
        <w:spacing w:after="180" w:line="280" w:lineRule="exact"/>
        <w:jc w:val="both"/>
        <w:rPr>
          <w:rFonts w:ascii="Georgia" w:hAnsi="Georgia"/>
          <w:sz w:val="18"/>
          <w:szCs w:val="20"/>
          <w:lang w:val="en-GB"/>
        </w:rPr>
      </w:pPr>
    </w:p>
    <w:sectPr w:rsidR="00B11E66" w:rsidSect="00ED2E52">
      <w:headerReference w:type="even" r:id="rId8"/>
      <w:headerReference w:type="default" r:id="rId9"/>
      <w:headerReference w:type="first" r:id="rId10"/>
      <w:footnotePr>
        <w:numRestart w:val="eachPage"/>
      </w:footnotePr>
      <w:pgSz w:w="11906" w:h="16838" w:code="9"/>
      <w:pgMar w:top="3402" w:right="2608" w:bottom="2722" w:left="2608" w:header="2552" w:footer="2438" w:gutter="0"/>
      <w:pgNumType w:start="1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D508" w14:textId="77777777" w:rsidR="00FD304C" w:rsidRDefault="00FD304C">
      <w:pPr>
        <w:spacing w:line="240" w:lineRule="auto"/>
      </w:pPr>
      <w:r>
        <w:separator/>
      </w:r>
    </w:p>
  </w:endnote>
  <w:endnote w:type="continuationSeparator" w:id="0">
    <w:p w14:paraId="4D28166B" w14:textId="77777777" w:rsidR="00FD304C" w:rsidRDefault="00FD3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haroni">
    <w:altName w:val="Arial"/>
    <w:panose1 w:val="02010401010101010101"/>
    <w:charset w:val="B1"/>
    <w:family w:val="auto"/>
    <w:pitch w:val="variable"/>
    <w:sig w:usb0="00000801" w:usb1="40000000" w:usb2="00000000" w:usb3="00000000" w:csb0="00000020" w:csb1="00000000"/>
  </w:font>
  <w:font w:name="Guttman Hodes">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804D" w14:textId="77777777" w:rsidR="00FD304C" w:rsidRDefault="00FD304C" w:rsidP="00A04D35">
      <w:pPr>
        <w:spacing w:before="120" w:after="80"/>
        <w:rPr>
          <w:rFonts w:cs="FrankRuehl"/>
          <w:sz w:val="18"/>
          <w:szCs w:val="18"/>
        </w:rPr>
      </w:pPr>
      <w:r>
        <w:rPr>
          <w:rFonts w:cs="FrankRuehl" w:hint="cs"/>
          <w:sz w:val="18"/>
          <w:szCs w:val="18"/>
          <w:rtl/>
        </w:rPr>
        <w:t>_____________</w:t>
      </w:r>
    </w:p>
  </w:footnote>
  <w:footnote w:type="continuationSeparator" w:id="0">
    <w:p w14:paraId="761FB358" w14:textId="77777777" w:rsidR="00FD304C" w:rsidRDefault="00FD304C">
      <w:r>
        <w:continuationSeparator/>
      </w:r>
    </w:p>
  </w:footnote>
  <w:footnote w:type="continuationNotice" w:id="1">
    <w:p w14:paraId="08151814" w14:textId="77777777" w:rsidR="00FD304C" w:rsidRDefault="00FD304C">
      <w:pPr>
        <w:rPr>
          <w:rtl/>
        </w:rPr>
      </w:pPr>
    </w:p>
  </w:footnote>
  <w:footnote w:id="2">
    <w:p w14:paraId="42E0B63D" w14:textId="77777777" w:rsidR="001B663D" w:rsidRPr="00FF08A2" w:rsidRDefault="001B663D" w:rsidP="007B1BF0">
      <w:pPr>
        <w:pStyle w:val="FootnoteText"/>
        <w:keepLines/>
        <w:spacing w:line="200" w:lineRule="exact"/>
        <w:ind w:left="397" w:hanging="397"/>
        <w:jc w:val="both"/>
        <w:rPr>
          <w:rStyle w:val="FootnoteReference"/>
          <w:rFonts w:cs="David"/>
          <w:sz w:val="12"/>
          <w:szCs w:val="14"/>
          <w:vertAlign w:val="baseline"/>
        </w:rPr>
      </w:pPr>
      <w:r w:rsidRPr="00FF08A2">
        <w:rPr>
          <w:rStyle w:val="FootnoteReference"/>
          <w:rFonts w:cs="David"/>
          <w:sz w:val="12"/>
          <w:szCs w:val="14"/>
          <w:vertAlign w:val="baseline"/>
        </w:rPr>
        <w:footnoteRef/>
      </w:r>
      <w:r w:rsidRPr="00FF08A2">
        <w:rPr>
          <w:rStyle w:val="FootnoteReference"/>
          <w:rFonts w:cs="David"/>
          <w:sz w:val="12"/>
          <w:szCs w:val="14"/>
          <w:vertAlign w:val="baseline"/>
          <w:rtl/>
        </w:rPr>
        <w:t xml:space="preserve"> </w:t>
      </w:r>
      <w:r w:rsidRPr="00FF08A2">
        <w:rPr>
          <w:rStyle w:val="FootnoteReference"/>
          <w:rFonts w:cs="David"/>
          <w:sz w:val="12"/>
          <w:szCs w:val="14"/>
          <w:vertAlign w:val="baseline"/>
          <w:rtl/>
        </w:rPr>
        <w:tab/>
      </w:r>
      <w:bookmarkStart w:id="0" w:name="_Hlk105520732"/>
      <w:r w:rsidRPr="00FF08A2">
        <w:rPr>
          <w:rStyle w:val="FootnoteReference"/>
          <w:rFonts w:cs="David"/>
          <w:sz w:val="12"/>
          <w:szCs w:val="14"/>
          <w:vertAlign w:val="baseline"/>
          <w:rtl/>
        </w:rPr>
        <w:t>פרופסור</w:t>
      </w:r>
      <w:r w:rsidR="007B1BF0">
        <w:rPr>
          <w:rFonts w:cs="David" w:hint="cs"/>
          <w:sz w:val="12"/>
          <w:szCs w:val="14"/>
          <w:rtl/>
        </w:rPr>
        <w:t>,</w:t>
      </w:r>
      <w:r w:rsidRPr="00FF08A2">
        <w:rPr>
          <w:rStyle w:val="FootnoteReference"/>
          <w:rFonts w:cs="David"/>
          <w:sz w:val="12"/>
          <w:szCs w:val="14"/>
          <w:vertAlign w:val="baseline"/>
          <w:rtl/>
        </w:rPr>
        <w:t xml:space="preserve"> </w:t>
      </w:r>
      <w:r w:rsidRPr="00FF08A2">
        <w:rPr>
          <w:rStyle w:val="FootnoteReference"/>
          <w:rFonts w:cs="David" w:hint="cs"/>
          <w:sz w:val="12"/>
          <w:szCs w:val="14"/>
          <w:vertAlign w:val="baseline"/>
          <w:rtl/>
        </w:rPr>
        <w:t>ראשת ה</w:t>
      </w:r>
      <w:r w:rsidRPr="00FF08A2">
        <w:rPr>
          <w:rStyle w:val="FootnoteReference"/>
          <w:rFonts w:cs="David"/>
          <w:sz w:val="12"/>
          <w:szCs w:val="14"/>
          <w:vertAlign w:val="baseline"/>
          <w:rtl/>
        </w:rPr>
        <w:t>חוג לקרימינולוגיה, אוניברסיטת אריאל</w:t>
      </w:r>
      <w:bookmarkEnd w:id="0"/>
    </w:p>
  </w:footnote>
  <w:footnote w:id="3">
    <w:p w14:paraId="6216E4A4" w14:textId="77777777" w:rsidR="00E519FB" w:rsidRPr="00FF08A2" w:rsidRDefault="00E519FB" w:rsidP="00B11E66">
      <w:pPr>
        <w:pStyle w:val="FootnoteText"/>
        <w:keepLines/>
        <w:spacing w:line="200" w:lineRule="exact"/>
        <w:ind w:left="397" w:hanging="397"/>
        <w:jc w:val="both"/>
        <w:rPr>
          <w:rStyle w:val="FootnoteReference"/>
          <w:rFonts w:cs="David"/>
          <w:sz w:val="12"/>
          <w:szCs w:val="14"/>
          <w:vertAlign w:val="baseline"/>
        </w:rPr>
      </w:pPr>
      <w:r w:rsidRPr="00FF08A2">
        <w:rPr>
          <w:rStyle w:val="FootnoteReference"/>
          <w:rFonts w:cs="David"/>
          <w:sz w:val="12"/>
          <w:szCs w:val="14"/>
          <w:vertAlign w:val="baseline"/>
        </w:rPr>
        <w:footnoteRef/>
      </w:r>
      <w:r w:rsidRPr="00FF08A2">
        <w:rPr>
          <w:rStyle w:val="FootnoteReference"/>
          <w:rFonts w:cs="David"/>
          <w:sz w:val="12"/>
          <w:szCs w:val="14"/>
          <w:vertAlign w:val="baseline"/>
          <w:rtl/>
        </w:rPr>
        <w:t xml:space="preserve"> </w:t>
      </w:r>
      <w:r w:rsidRPr="00FF08A2">
        <w:rPr>
          <w:rStyle w:val="FootnoteReference"/>
          <w:rFonts w:cs="David"/>
          <w:sz w:val="12"/>
          <w:szCs w:val="14"/>
          <w:vertAlign w:val="baseline"/>
          <w:rtl/>
        </w:rPr>
        <w:tab/>
      </w:r>
      <w:bookmarkStart w:id="2" w:name="_Hlk105520615"/>
      <w:r w:rsidRPr="00FF08A2">
        <w:rPr>
          <w:rStyle w:val="FootnoteReference"/>
          <w:rFonts w:cs="David"/>
          <w:sz w:val="12"/>
          <w:szCs w:val="14"/>
          <w:vertAlign w:val="baseline"/>
          <w:rtl/>
        </w:rPr>
        <w:t>פרופסור אמריטוס</w:t>
      </w:r>
      <w:r>
        <w:rPr>
          <w:rFonts w:cs="David" w:hint="cs"/>
          <w:sz w:val="12"/>
          <w:szCs w:val="14"/>
          <w:rtl/>
        </w:rPr>
        <w:t xml:space="preserve">, </w:t>
      </w:r>
      <w:r w:rsidRPr="00FF08A2">
        <w:rPr>
          <w:rStyle w:val="FootnoteReference"/>
          <w:rFonts w:cs="David"/>
          <w:sz w:val="12"/>
          <w:szCs w:val="14"/>
          <w:vertAlign w:val="baseline"/>
          <w:rtl/>
        </w:rPr>
        <w:t>בית הספר לעבודה סוציאלית, אוניברסיטת חיפה</w:t>
      </w:r>
      <w:bookmarkEnd w:id="2"/>
    </w:p>
  </w:footnote>
  <w:footnote w:id="4">
    <w:p w14:paraId="0F0D080A" w14:textId="77777777" w:rsidR="00E519FB" w:rsidRPr="00FF08A2" w:rsidRDefault="00E519FB" w:rsidP="00B11E66">
      <w:pPr>
        <w:pStyle w:val="FootnoteText"/>
        <w:keepLines/>
        <w:spacing w:line="200" w:lineRule="exact"/>
        <w:ind w:left="397" w:hanging="397"/>
        <w:jc w:val="both"/>
        <w:rPr>
          <w:rStyle w:val="FootnoteReference"/>
          <w:rFonts w:cs="David"/>
          <w:sz w:val="12"/>
          <w:szCs w:val="14"/>
          <w:vertAlign w:val="baseline"/>
          <w:rtl/>
        </w:rPr>
      </w:pPr>
      <w:r w:rsidRPr="00FF08A2">
        <w:rPr>
          <w:rStyle w:val="FootnoteReference"/>
          <w:rFonts w:cs="David"/>
          <w:sz w:val="12"/>
          <w:szCs w:val="14"/>
          <w:vertAlign w:val="baseline"/>
        </w:rPr>
        <w:footnoteRef/>
      </w:r>
      <w:r w:rsidRPr="00FF08A2">
        <w:rPr>
          <w:rStyle w:val="FootnoteReference"/>
          <w:rFonts w:cs="David"/>
          <w:sz w:val="12"/>
          <w:szCs w:val="14"/>
          <w:vertAlign w:val="baseline"/>
          <w:rtl/>
        </w:rPr>
        <w:t xml:space="preserve"> </w:t>
      </w:r>
      <w:r w:rsidRPr="00FF08A2">
        <w:rPr>
          <w:rStyle w:val="FootnoteReference"/>
          <w:rFonts w:cs="David"/>
          <w:sz w:val="12"/>
          <w:szCs w:val="14"/>
          <w:vertAlign w:val="baseline"/>
          <w:rtl/>
        </w:rPr>
        <w:tab/>
      </w:r>
      <w:bookmarkStart w:id="3" w:name="_Hlk105520623"/>
      <w:r w:rsidRPr="00FF08A2">
        <w:rPr>
          <w:rStyle w:val="FootnoteReference"/>
          <w:rFonts w:cs="David"/>
          <w:sz w:val="12"/>
          <w:szCs w:val="14"/>
          <w:vertAlign w:val="baseline"/>
          <w:rtl/>
        </w:rPr>
        <w:t>דוקטורנטית</w:t>
      </w:r>
      <w:r>
        <w:rPr>
          <w:rStyle w:val="FootnoteReference"/>
          <w:rFonts w:cs="David" w:hint="cs"/>
          <w:sz w:val="12"/>
          <w:szCs w:val="14"/>
          <w:vertAlign w:val="baseline"/>
          <w:rtl/>
        </w:rPr>
        <w:t>,</w:t>
      </w:r>
      <w:r w:rsidRPr="00FF08A2">
        <w:rPr>
          <w:rStyle w:val="FootnoteReference"/>
          <w:rFonts w:cs="David"/>
          <w:sz w:val="12"/>
          <w:szCs w:val="14"/>
          <w:vertAlign w:val="baseline"/>
          <w:rtl/>
        </w:rPr>
        <w:t xml:space="preserve"> בית הספר לעבודה סוציאלית, אוניברסיטת חיפה</w:t>
      </w:r>
      <w:bookmarkEnd w:id="3"/>
    </w:p>
  </w:footnote>
  <w:footnote w:id="5">
    <w:p w14:paraId="60CAB946" w14:textId="77777777" w:rsidR="00E519FB" w:rsidRPr="00FF08A2" w:rsidRDefault="00E519FB" w:rsidP="00B11E66">
      <w:pPr>
        <w:pStyle w:val="FootnoteText"/>
        <w:keepLines/>
        <w:spacing w:line="200" w:lineRule="exact"/>
        <w:ind w:left="397" w:hanging="397"/>
        <w:jc w:val="both"/>
        <w:rPr>
          <w:rStyle w:val="FootnoteReference"/>
          <w:rFonts w:cs="David"/>
          <w:sz w:val="12"/>
          <w:szCs w:val="14"/>
          <w:vertAlign w:val="baseline"/>
          <w:rtl/>
        </w:rPr>
      </w:pPr>
      <w:r w:rsidRPr="00FF08A2">
        <w:rPr>
          <w:rStyle w:val="FootnoteReference"/>
          <w:rFonts w:cs="David"/>
          <w:sz w:val="12"/>
          <w:szCs w:val="14"/>
          <w:vertAlign w:val="baseline"/>
        </w:rPr>
        <w:footnoteRef/>
      </w:r>
      <w:r w:rsidRPr="00FF08A2">
        <w:rPr>
          <w:rStyle w:val="FootnoteReference"/>
          <w:rFonts w:cs="David" w:hint="cs"/>
          <w:sz w:val="12"/>
          <w:szCs w:val="14"/>
          <w:vertAlign w:val="baseline"/>
          <w:rtl/>
        </w:rPr>
        <w:t xml:space="preserve"> </w:t>
      </w:r>
      <w:r w:rsidRPr="00FF08A2">
        <w:rPr>
          <w:rStyle w:val="FootnoteReference"/>
          <w:rFonts w:cs="David"/>
          <w:sz w:val="12"/>
          <w:szCs w:val="14"/>
          <w:vertAlign w:val="baseline"/>
          <w:rtl/>
        </w:rPr>
        <w:tab/>
      </w:r>
      <w:bookmarkStart w:id="6" w:name="_Hlk105520695"/>
      <w:r w:rsidRPr="00FF08A2">
        <w:rPr>
          <w:rStyle w:val="FootnoteReference"/>
          <w:rFonts w:cs="David"/>
          <w:sz w:val="12"/>
          <w:szCs w:val="14"/>
          <w:vertAlign w:val="baseline"/>
          <w:rtl/>
        </w:rPr>
        <w:t>פרופסור</w:t>
      </w:r>
      <w:r>
        <w:rPr>
          <w:rStyle w:val="FootnoteReference"/>
          <w:rFonts w:cs="David" w:hint="cs"/>
          <w:sz w:val="12"/>
          <w:szCs w:val="14"/>
          <w:vertAlign w:val="baseline"/>
          <w:rtl/>
        </w:rPr>
        <w:t>,</w:t>
      </w:r>
      <w:r>
        <w:rPr>
          <w:rFonts w:cs="David" w:hint="cs"/>
          <w:sz w:val="12"/>
          <w:szCs w:val="14"/>
          <w:rtl/>
        </w:rPr>
        <w:t xml:space="preserve"> </w:t>
      </w:r>
      <w:r>
        <w:rPr>
          <w:rFonts w:cs="David" w:hint="cs"/>
          <w:sz w:val="12"/>
          <w:szCs w:val="14"/>
          <w:rtl/>
        </w:rPr>
        <w:t>ה</w:t>
      </w:r>
      <w:r w:rsidRPr="00FF08A2">
        <w:rPr>
          <w:rStyle w:val="FootnoteReference"/>
          <w:rFonts w:cs="David"/>
          <w:sz w:val="12"/>
          <w:szCs w:val="14"/>
          <w:vertAlign w:val="baseline"/>
          <w:rtl/>
        </w:rPr>
        <w:t>מחלקה לסוציולוגיה ואנתרופולוגיה, אוניברסיטת בר</w:t>
      </w:r>
      <w:r w:rsidRPr="00FF08A2">
        <w:rPr>
          <w:rStyle w:val="FootnoteReference"/>
          <w:rFonts w:cs="David"/>
          <w:sz w:val="12"/>
          <w:szCs w:val="14"/>
          <w:vertAlign w:val="baseline"/>
        </w:rPr>
        <w:t>-</w:t>
      </w:r>
      <w:r w:rsidRPr="00FF08A2">
        <w:rPr>
          <w:rStyle w:val="FootnoteReference"/>
          <w:rFonts w:cs="David"/>
          <w:sz w:val="12"/>
          <w:szCs w:val="14"/>
          <w:vertAlign w:val="baseline"/>
          <w:rtl/>
        </w:rPr>
        <w:t xml:space="preserve">אילן </w:t>
      </w:r>
      <w:bookmarkEnd w:id="6"/>
    </w:p>
  </w:footnote>
  <w:footnote w:id="6">
    <w:p w14:paraId="277957C9" w14:textId="77777777" w:rsidR="00B11E66" w:rsidRPr="001B663D" w:rsidRDefault="00B11E66" w:rsidP="00B11E66">
      <w:pPr>
        <w:pStyle w:val="FootnoteText"/>
        <w:keepLines/>
        <w:spacing w:line="200" w:lineRule="exact"/>
        <w:ind w:left="397" w:hanging="397"/>
        <w:jc w:val="both"/>
        <w:rPr>
          <w:rFonts w:ascii="Georgia" w:hAnsi="Georgia"/>
          <w:sz w:val="12"/>
          <w:szCs w:val="12"/>
          <w:rtl/>
          <w:lang w:val="en-GB"/>
        </w:rPr>
      </w:pPr>
      <w:r w:rsidRPr="00FF08A2">
        <w:rPr>
          <w:rStyle w:val="FootnoteReference"/>
          <w:rFonts w:cs="David"/>
          <w:sz w:val="12"/>
          <w:szCs w:val="14"/>
          <w:vertAlign w:val="baseline"/>
        </w:rPr>
        <w:footnoteRef/>
      </w:r>
      <w:r w:rsidRPr="00FF08A2">
        <w:rPr>
          <w:rStyle w:val="FootnoteReference"/>
          <w:rFonts w:cs="David"/>
          <w:sz w:val="12"/>
          <w:szCs w:val="14"/>
          <w:vertAlign w:val="baseline"/>
          <w:rtl/>
        </w:rPr>
        <w:t xml:space="preserve"> </w:t>
      </w:r>
      <w:r w:rsidRPr="00FF08A2">
        <w:rPr>
          <w:rStyle w:val="FootnoteReference"/>
          <w:rFonts w:cs="David"/>
          <w:sz w:val="12"/>
          <w:szCs w:val="12"/>
          <w:vertAlign w:val="baseline"/>
          <w:rtl/>
        </w:rPr>
        <w:tab/>
      </w:r>
      <w:r w:rsidRPr="001B663D">
        <w:rPr>
          <w:rFonts w:ascii="Georgia" w:hAnsi="Georgia"/>
          <w:sz w:val="12"/>
          <w:szCs w:val="12"/>
        </w:rPr>
        <w:t xml:space="preserve">Williams, F. (1989). </w:t>
      </w:r>
      <w:r w:rsidRPr="001B663D">
        <w:rPr>
          <w:rFonts w:ascii="Georgia" w:hAnsi="Georgia"/>
          <w:i/>
          <w:iCs/>
          <w:sz w:val="12"/>
          <w:szCs w:val="12"/>
        </w:rPr>
        <w:t>Social policy: Issues of race, gender and class</w:t>
      </w:r>
      <w:r w:rsidRPr="001B663D">
        <w:rPr>
          <w:rFonts w:ascii="Georgia" w:hAnsi="Georgia"/>
          <w:sz w:val="12"/>
          <w:szCs w:val="12"/>
        </w:rPr>
        <w:t>. Polity Press</w:t>
      </w:r>
    </w:p>
  </w:footnote>
  <w:footnote w:id="7">
    <w:p w14:paraId="75298BEA" w14:textId="77777777" w:rsidR="00B11E66" w:rsidRPr="00FF08A2" w:rsidRDefault="00B11E66" w:rsidP="00B11E66">
      <w:pPr>
        <w:pStyle w:val="FootnoteText"/>
        <w:keepLines/>
        <w:spacing w:line="200" w:lineRule="exact"/>
        <w:ind w:left="397" w:hanging="397"/>
        <w:jc w:val="both"/>
        <w:rPr>
          <w:rStyle w:val="FootnoteReference"/>
          <w:rFonts w:cs="David"/>
          <w:sz w:val="12"/>
          <w:szCs w:val="14"/>
          <w:vertAlign w:val="baseline"/>
        </w:rPr>
      </w:pPr>
      <w:r w:rsidRPr="00FF08A2">
        <w:rPr>
          <w:rStyle w:val="FootnoteReference"/>
          <w:rFonts w:cs="David"/>
          <w:sz w:val="12"/>
          <w:szCs w:val="14"/>
          <w:vertAlign w:val="baseline"/>
        </w:rPr>
        <w:footnoteRef/>
      </w:r>
      <w:r w:rsidRPr="00FF08A2">
        <w:rPr>
          <w:rStyle w:val="FootnoteReference"/>
          <w:rFonts w:cs="David"/>
          <w:sz w:val="12"/>
          <w:szCs w:val="14"/>
          <w:vertAlign w:val="baseline"/>
          <w:rtl/>
        </w:rPr>
        <w:t xml:space="preserve"> </w:t>
      </w:r>
      <w:r w:rsidRPr="00FF08A2">
        <w:rPr>
          <w:rStyle w:val="FootnoteReference"/>
          <w:rFonts w:cs="David"/>
          <w:sz w:val="12"/>
          <w:szCs w:val="14"/>
          <w:vertAlign w:val="baseline"/>
          <w:rtl/>
        </w:rPr>
        <w:tab/>
        <w:t xml:space="preserve">מאבקים המשלבים במאבק במשבר האקלים מודעות לכך שאלו העתידים לשאת את מחיריו הם בראש ובראשונה מי שכיום מופקרים ומופקרות על ידי מערכות הרווחה וסובלים מהיעדר דיור, דיור מסוכן, עוני אנרגטי, ואלימות מגדרית - כולם גורמים המגבירים את הפגיעות לאסונות אקלים.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F5F6" w14:textId="77777777" w:rsidR="00FF08A2" w:rsidRPr="00A6479A" w:rsidRDefault="00FF08A2" w:rsidP="00FF08A2">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337A25">
      <w:rPr>
        <w:rFonts w:ascii="David" w:hAnsi="David" w:cs="David"/>
        <w:noProof/>
        <w:sz w:val="24"/>
        <w:szCs w:val="24"/>
        <w:rtl/>
      </w:rPr>
      <w:t>162</w:t>
    </w:r>
    <w:r w:rsidRPr="00A17DA2">
      <w:rPr>
        <w:rFonts w:ascii="David" w:hAnsi="David" w:cs="David"/>
        <w:noProof/>
        <w:sz w:val="24"/>
        <w:szCs w:val="24"/>
      </w:rPr>
      <w:fldChar w:fldCharType="end"/>
    </w:r>
    <w:r w:rsidRPr="001403E5">
      <w:rPr>
        <w:rFonts w:ascii="David" w:hAnsi="David" w:cs="David"/>
        <w:b w:val="0"/>
        <w:bCs w:val="0"/>
        <w:sz w:val="18"/>
        <w:szCs w:val="18"/>
        <w:rtl/>
      </w:rPr>
      <w:t xml:space="preserve">  |  ביטחון סוציאלי </w:t>
    </w:r>
    <w:r w:rsidRPr="001403E5">
      <w:rPr>
        <w:rFonts w:ascii="David" w:hAnsi="David" w:cs="David" w:hint="cs"/>
        <w:b w:val="0"/>
        <w:bCs w:val="0"/>
        <w:sz w:val="18"/>
        <w:szCs w:val="18"/>
        <w:rtl/>
      </w:rPr>
      <w:t>11</w:t>
    </w:r>
    <w:r>
      <w:rPr>
        <w:rFonts w:ascii="David" w:hAnsi="David" w:cs="David" w:hint="cs"/>
        <w:b w:val="0"/>
        <w:bCs w:val="0"/>
        <w:sz w:val="18"/>
        <w:szCs w:val="18"/>
        <w:rtl/>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4C5F" w14:textId="77777777" w:rsidR="00FF08A2" w:rsidRPr="00CA633F" w:rsidRDefault="001B663D" w:rsidP="00FF08A2">
    <w:pPr>
      <w:pStyle w:val="Heading1"/>
      <w:tabs>
        <w:tab w:val="center" w:pos="4536"/>
        <w:tab w:val="right" w:pos="9072"/>
      </w:tabs>
      <w:jc w:val="right"/>
      <w:rPr>
        <w:rFonts w:ascii="David" w:hAnsi="David" w:cs="David"/>
        <w:b w:val="0"/>
        <w:bCs w:val="0"/>
        <w:noProof/>
        <w:color w:val="A6A6A6"/>
        <w:sz w:val="20"/>
        <w:szCs w:val="20"/>
      </w:rPr>
    </w:pPr>
    <w:r w:rsidRPr="001B663D">
      <w:rPr>
        <w:rFonts w:ascii="David" w:hAnsi="David" w:cs="David"/>
        <w:b w:val="0"/>
        <w:bCs w:val="0"/>
        <w:noProof/>
        <w:sz w:val="18"/>
        <w:szCs w:val="18"/>
        <w:rtl/>
      </w:rPr>
      <w:t>סקירת ספרים חדשים</w:t>
    </w:r>
    <w:r w:rsidR="00FF08A2" w:rsidRPr="001403E5">
      <w:rPr>
        <w:rFonts w:ascii="David" w:hAnsi="David" w:cs="David"/>
        <w:b w:val="0"/>
        <w:bCs w:val="0"/>
        <w:noProof/>
        <w:sz w:val="18"/>
        <w:szCs w:val="18"/>
        <w:rtl/>
      </w:rPr>
      <w:t xml:space="preserve">  |  </w:t>
    </w:r>
    <w:r w:rsidR="00FF08A2" w:rsidRPr="00A17DA2">
      <w:rPr>
        <w:rFonts w:ascii="David" w:hAnsi="David" w:cs="David"/>
        <w:noProof/>
        <w:sz w:val="24"/>
        <w:szCs w:val="24"/>
      </w:rPr>
      <w:fldChar w:fldCharType="begin"/>
    </w:r>
    <w:r w:rsidR="00FF08A2" w:rsidRPr="00A17DA2">
      <w:rPr>
        <w:rFonts w:ascii="David" w:hAnsi="David" w:cs="David"/>
        <w:noProof/>
        <w:sz w:val="24"/>
        <w:szCs w:val="24"/>
      </w:rPr>
      <w:instrText xml:space="preserve"> PAGE   \* MERGEFORMAT </w:instrText>
    </w:r>
    <w:r w:rsidR="00FF08A2" w:rsidRPr="00A17DA2">
      <w:rPr>
        <w:rFonts w:ascii="David" w:hAnsi="David" w:cs="David"/>
        <w:noProof/>
        <w:sz w:val="24"/>
        <w:szCs w:val="24"/>
      </w:rPr>
      <w:fldChar w:fldCharType="separate"/>
    </w:r>
    <w:r w:rsidR="00337A25">
      <w:rPr>
        <w:rFonts w:ascii="David" w:hAnsi="David" w:cs="David"/>
        <w:noProof/>
        <w:sz w:val="24"/>
        <w:szCs w:val="24"/>
        <w:rtl/>
      </w:rPr>
      <w:t>161</w:t>
    </w:r>
    <w:r w:rsidR="00FF08A2"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21CF" w14:textId="77777777" w:rsidR="00FF08A2" w:rsidRPr="00CA633F" w:rsidRDefault="00FF08A2" w:rsidP="00426E92">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186978">
    <w:abstractNumId w:val="12"/>
  </w:num>
  <w:num w:numId="2" w16cid:durableId="1925459080">
    <w:abstractNumId w:val="15"/>
  </w:num>
  <w:num w:numId="3" w16cid:durableId="965967702">
    <w:abstractNumId w:val="23"/>
  </w:num>
  <w:num w:numId="4" w16cid:durableId="1234271623">
    <w:abstractNumId w:val="19"/>
  </w:num>
  <w:num w:numId="5" w16cid:durableId="25955028">
    <w:abstractNumId w:val="7"/>
  </w:num>
  <w:num w:numId="6" w16cid:durableId="1896159290">
    <w:abstractNumId w:val="18"/>
  </w:num>
  <w:num w:numId="7" w16cid:durableId="61490762">
    <w:abstractNumId w:val="13"/>
  </w:num>
  <w:num w:numId="8" w16cid:durableId="1114053948">
    <w:abstractNumId w:val="0"/>
  </w:num>
  <w:num w:numId="9" w16cid:durableId="2107800359">
    <w:abstractNumId w:val="6"/>
  </w:num>
  <w:num w:numId="10" w16cid:durableId="1619406394">
    <w:abstractNumId w:val="22"/>
  </w:num>
  <w:num w:numId="11" w16cid:durableId="1150172067">
    <w:abstractNumId w:val="20"/>
  </w:num>
  <w:num w:numId="12" w16cid:durableId="231889018">
    <w:abstractNumId w:val="16"/>
  </w:num>
  <w:num w:numId="13" w16cid:durableId="1117406311">
    <w:abstractNumId w:val="11"/>
  </w:num>
  <w:num w:numId="14" w16cid:durableId="2118404749">
    <w:abstractNumId w:val="5"/>
  </w:num>
  <w:num w:numId="15" w16cid:durableId="1236551591">
    <w:abstractNumId w:val="10"/>
  </w:num>
  <w:num w:numId="16" w16cid:durableId="1129974634">
    <w:abstractNumId w:val="3"/>
  </w:num>
  <w:num w:numId="17" w16cid:durableId="145365039">
    <w:abstractNumId w:val="24"/>
  </w:num>
  <w:num w:numId="18" w16cid:durableId="186795661">
    <w:abstractNumId w:val="17"/>
  </w:num>
  <w:num w:numId="19" w16cid:durableId="208617684">
    <w:abstractNumId w:val="8"/>
  </w:num>
  <w:num w:numId="20" w16cid:durableId="595989048">
    <w:abstractNumId w:val="2"/>
  </w:num>
  <w:num w:numId="21" w16cid:durableId="523591998">
    <w:abstractNumId w:val="1"/>
  </w:num>
  <w:num w:numId="22" w16cid:durableId="180776027">
    <w:abstractNumId w:val="4"/>
  </w:num>
  <w:num w:numId="23" w16cid:durableId="1671251318">
    <w:abstractNumId w:val="14"/>
  </w:num>
  <w:num w:numId="24" w16cid:durableId="941914371">
    <w:abstractNumId w:val="9"/>
  </w:num>
  <w:num w:numId="25" w16cid:durableId="12657663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113FB"/>
    <w:rsid w:val="0002727F"/>
    <w:rsid w:val="00036E97"/>
    <w:rsid w:val="000552ED"/>
    <w:rsid w:val="00087316"/>
    <w:rsid w:val="000A3731"/>
    <w:rsid w:val="000A7604"/>
    <w:rsid w:val="000C13C4"/>
    <w:rsid w:val="000C236E"/>
    <w:rsid w:val="000C32F6"/>
    <w:rsid w:val="000C4352"/>
    <w:rsid w:val="000C7415"/>
    <w:rsid w:val="000D10A7"/>
    <w:rsid w:val="000D7955"/>
    <w:rsid w:val="000E38FA"/>
    <w:rsid w:val="00102024"/>
    <w:rsid w:val="00114B39"/>
    <w:rsid w:val="001309F9"/>
    <w:rsid w:val="00135C37"/>
    <w:rsid w:val="00157782"/>
    <w:rsid w:val="00160BCD"/>
    <w:rsid w:val="00164AB3"/>
    <w:rsid w:val="00165C15"/>
    <w:rsid w:val="00170E1D"/>
    <w:rsid w:val="00172CFD"/>
    <w:rsid w:val="001742E8"/>
    <w:rsid w:val="0018721E"/>
    <w:rsid w:val="00192673"/>
    <w:rsid w:val="001A0002"/>
    <w:rsid w:val="001B663D"/>
    <w:rsid w:val="001D2C96"/>
    <w:rsid w:val="001D2FDC"/>
    <w:rsid w:val="001D3641"/>
    <w:rsid w:val="001D6E7E"/>
    <w:rsid w:val="001F4A87"/>
    <w:rsid w:val="002044C6"/>
    <w:rsid w:val="00212324"/>
    <w:rsid w:val="00217A08"/>
    <w:rsid w:val="00224C6A"/>
    <w:rsid w:val="00227591"/>
    <w:rsid w:val="00234C6B"/>
    <w:rsid w:val="002519BC"/>
    <w:rsid w:val="00261F65"/>
    <w:rsid w:val="00264BEC"/>
    <w:rsid w:val="00272B00"/>
    <w:rsid w:val="002A2B0C"/>
    <w:rsid w:val="002B3E4A"/>
    <w:rsid w:val="002C45DF"/>
    <w:rsid w:val="002F0EE3"/>
    <w:rsid w:val="002F0FCF"/>
    <w:rsid w:val="003119FD"/>
    <w:rsid w:val="003151B1"/>
    <w:rsid w:val="00317DCD"/>
    <w:rsid w:val="00337A25"/>
    <w:rsid w:val="003446BB"/>
    <w:rsid w:val="0035035B"/>
    <w:rsid w:val="00360F01"/>
    <w:rsid w:val="00374196"/>
    <w:rsid w:val="0038402D"/>
    <w:rsid w:val="00385A0B"/>
    <w:rsid w:val="003B04E0"/>
    <w:rsid w:val="003B537C"/>
    <w:rsid w:val="003D1152"/>
    <w:rsid w:val="003D4AF9"/>
    <w:rsid w:val="003F0A7C"/>
    <w:rsid w:val="003F3EC1"/>
    <w:rsid w:val="00405788"/>
    <w:rsid w:val="004112B2"/>
    <w:rsid w:val="004115F5"/>
    <w:rsid w:val="00416142"/>
    <w:rsid w:val="00424C06"/>
    <w:rsid w:val="00426E92"/>
    <w:rsid w:val="00427E02"/>
    <w:rsid w:val="00446E1E"/>
    <w:rsid w:val="004543DB"/>
    <w:rsid w:val="00463B6C"/>
    <w:rsid w:val="00466666"/>
    <w:rsid w:val="00471658"/>
    <w:rsid w:val="0048342B"/>
    <w:rsid w:val="004A6F8B"/>
    <w:rsid w:val="004A71EC"/>
    <w:rsid w:val="004B1C7A"/>
    <w:rsid w:val="00504B29"/>
    <w:rsid w:val="00512B59"/>
    <w:rsid w:val="0051775C"/>
    <w:rsid w:val="005211F2"/>
    <w:rsid w:val="00527001"/>
    <w:rsid w:val="005368B8"/>
    <w:rsid w:val="0053690F"/>
    <w:rsid w:val="005416E9"/>
    <w:rsid w:val="005550EA"/>
    <w:rsid w:val="005619D8"/>
    <w:rsid w:val="0057021D"/>
    <w:rsid w:val="00584764"/>
    <w:rsid w:val="0059386B"/>
    <w:rsid w:val="00594BEC"/>
    <w:rsid w:val="0059668B"/>
    <w:rsid w:val="005A4E4A"/>
    <w:rsid w:val="005C3FA8"/>
    <w:rsid w:val="005D7151"/>
    <w:rsid w:val="005F608C"/>
    <w:rsid w:val="005F635C"/>
    <w:rsid w:val="005F7159"/>
    <w:rsid w:val="00610B49"/>
    <w:rsid w:val="006154FA"/>
    <w:rsid w:val="0062321C"/>
    <w:rsid w:val="006358E3"/>
    <w:rsid w:val="0065160D"/>
    <w:rsid w:val="00652D7C"/>
    <w:rsid w:val="00657997"/>
    <w:rsid w:val="00667945"/>
    <w:rsid w:val="0068148C"/>
    <w:rsid w:val="006824DB"/>
    <w:rsid w:val="00683B19"/>
    <w:rsid w:val="006A07E8"/>
    <w:rsid w:val="006A0E9A"/>
    <w:rsid w:val="006B1072"/>
    <w:rsid w:val="006B543C"/>
    <w:rsid w:val="006C61A3"/>
    <w:rsid w:val="006E0F39"/>
    <w:rsid w:val="006E425D"/>
    <w:rsid w:val="006E6FF0"/>
    <w:rsid w:val="006F5773"/>
    <w:rsid w:val="00702D1B"/>
    <w:rsid w:val="007178F3"/>
    <w:rsid w:val="00720415"/>
    <w:rsid w:val="007214A0"/>
    <w:rsid w:val="007240DD"/>
    <w:rsid w:val="00725FD5"/>
    <w:rsid w:val="00733272"/>
    <w:rsid w:val="007377A3"/>
    <w:rsid w:val="007405C7"/>
    <w:rsid w:val="007506C0"/>
    <w:rsid w:val="00754C25"/>
    <w:rsid w:val="007667D8"/>
    <w:rsid w:val="007742CB"/>
    <w:rsid w:val="00776EE2"/>
    <w:rsid w:val="00787937"/>
    <w:rsid w:val="00796021"/>
    <w:rsid w:val="007A6CDA"/>
    <w:rsid w:val="007B1BF0"/>
    <w:rsid w:val="007B7399"/>
    <w:rsid w:val="007C7168"/>
    <w:rsid w:val="007C726C"/>
    <w:rsid w:val="007D3C93"/>
    <w:rsid w:val="007E6EFF"/>
    <w:rsid w:val="007F1459"/>
    <w:rsid w:val="007F29C9"/>
    <w:rsid w:val="008046BD"/>
    <w:rsid w:val="008118B6"/>
    <w:rsid w:val="00815147"/>
    <w:rsid w:val="00826FF6"/>
    <w:rsid w:val="00830DEF"/>
    <w:rsid w:val="00837F2F"/>
    <w:rsid w:val="00840D01"/>
    <w:rsid w:val="0084161C"/>
    <w:rsid w:val="00851BDA"/>
    <w:rsid w:val="0085752E"/>
    <w:rsid w:val="00881FB9"/>
    <w:rsid w:val="00892A98"/>
    <w:rsid w:val="008C0830"/>
    <w:rsid w:val="008E3AB0"/>
    <w:rsid w:val="008E7C7C"/>
    <w:rsid w:val="008F0FDD"/>
    <w:rsid w:val="008F3BF4"/>
    <w:rsid w:val="008F5AA2"/>
    <w:rsid w:val="008F7821"/>
    <w:rsid w:val="009023FC"/>
    <w:rsid w:val="009041F4"/>
    <w:rsid w:val="00907078"/>
    <w:rsid w:val="00910E15"/>
    <w:rsid w:val="00913099"/>
    <w:rsid w:val="00940C99"/>
    <w:rsid w:val="00941E15"/>
    <w:rsid w:val="00941F73"/>
    <w:rsid w:val="009456CE"/>
    <w:rsid w:val="009522CA"/>
    <w:rsid w:val="00980980"/>
    <w:rsid w:val="0098175F"/>
    <w:rsid w:val="009873F5"/>
    <w:rsid w:val="009B0859"/>
    <w:rsid w:val="009B53E8"/>
    <w:rsid w:val="009C5E89"/>
    <w:rsid w:val="009D7325"/>
    <w:rsid w:val="009E1AC8"/>
    <w:rsid w:val="009E4BBC"/>
    <w:rsid w:val="00A04D35"/>
    <w:rsid w:val="00A06109"/>
    <w:rsid w:val="00A15A33"/>
    <w:rsid w:val="00A17156"/>
    <w:rsid w:val="00A23653"/>
    <w:rsid w:val="00A27C04"/>
    <w:rsid w:val="00A34A5C"/>
    <w:rsid w:val="00A35FB3"/>
    <w:rsid w:val="00A36D7F"/>
    <w:rsid w:val="00A41266"/>
    <w:rsid w:val="00A41FB6"/>
    <w:rsid w:val="00A50FBE"/>
    <w:rsid w:val="00A54674"/>
    <w:rsid w:val="00A61580"/>
    <w:rsid w:val="00A8097E"/>
    <w:rsid w:val="00A84CB3"/>
    <w:rsid w:val="00A910EE"/>
    <w:rsid w:val="00A91BB1"/>
    <w:rsid w:val="00A95308"/>
    <w:rsid w:val="00A953FC"/>
    <w:rsid w:val="00A95F73"/>
    <w:rsid w:val="00AB78B4"/>
    <w:rsid w:val="00AC5C15"/>
    <w:rsid w:val="00AD38FA"/>
    <w:rsid w:val="00AE03A0"/>
    <w:rsid w:val="00AE0A3D"/>
    <w:rsid w:val="00AE31E1"/>
    <w:rsid w:val="00AF2301"/>
    <w:rsid w:val="00AF7379"/>
    <w:rsid w:val="00B02F69"/>
    <w:rsid w:val="00B045C9"/>
    <w:rsid w:val="00B11E66"/>
    <w:rsid w:val="00B23956"/>
    <w:rsid w:val="00B405E1"/>
    <w:rsid w:val="00B468E5"/>
    <w:rsid w:val="00B86C71"/>
    <w:rsid w:val="00BA21AF"/>
    <w:rsid w:val="00BA29F5"/>
    <w:rsid w:val="00BB0C17"/>
    <w:rsid w:val="00BC0FE8"/>
    <w:rsid w:val="00BE7538"/>
    <w:rsid w:val="00BF32DB"/>
    <w:rsid w:val="00BF50E7"/>
    <w:rsid w:val="00C12622"/>
    <w:rsid w:val="00C36CE5"/>
    <w:rsid w:val="00C44CE1"/>
    <w:rsid w:val="00C541C3"/>
    <w:rsid w:val="00C75652"/>
    <w:rsid w:val="00C93533"/>
    <w:rsid w:val="00CA3EF1"/>
    <w:rsid w:val="00CA5B5A"/>
    <w:rsid w:val="00CA6981"/>
    <w:rsid w:val="00CA7399"/>
    <w:rsid w:val="00CA7495"/>
    <w:rsid w:val="00CB48B4"/>
    <w:rsid w:val="00CD2DFC"/>
    <w:rsid w:val="00CE732A"/>
    <w:rsid w:val="00CE7E78"/>
    <w:rsid w:val="00CF5FCA"/>
    <w:rsid w:val="00CF7A4A"/>
    <w:rsid w:val="00D1759C"/>
    <w:rsid w:val="00D20DE5"/>
    <w:rsid w:val="00D21D40"/>
    <w:rsid w:val="00D31A54"/>
    <w:rsid w:val="00D60CEB"/>
    <w:rsid w:val="00D92080"/>
    <w:rsid w:val="00D9338F"/>
    <w:rsid w:val="00D94E6C"/>
    <w:rsid w:val="00D94EE0"/>
    <w:rsid w:val="00D97001"/>
    <w:rsid w:val="00DB0203"/>
    <w:rsid w:val="00DB36BD"/>
    <w:rsid w:val="00DC0593"/>
    <w:rsid w:val="00DC7E68"/>
    <w:rsid w:val="00DF30C9"/>
    <w:rsid w:val="00DF330D"/>
    <w:rsid w:val="00E055BD"/>
    <w:rsid w:val="00E21B0C"/>
    <w:rsid w:val="00E347DC"/>
    <w:rsid w:val="00E4703D"/>
    <w:rsid w:val="00E510A1"/>
    <w:rsid w:val="00E519FB"/>
    <w:rsid w:val="00E574E8"/>
    <w:rsid w:val="00E61D38"/>
    <w:rsid w:val="00E6797F"/>
    <w:rsid w:val="00E7703B"/>
    <w:rsid w:val="00E86DC5"/>
    <w:rsid w:val="00E94167"/>
    <w:rsid w:val="00E95DB4"/>
    <w:rsid w:val="00EB244B"/>
    <w:rsid w:val="00EC6F48"/>
    <w:rsid w:val="00ED2E52"/>
    <w:rsid w:val="00ED3C01"/>
    <w:rsid w:val="00ED6F02"/>
    <w:rsid w:val="00EF07B4"/>
    <w:rsid w:val="00EF2087"/>
    <w:rsid w:val="00F0418C"/>
    <w:rsid w:val="00F077DB"/>
    <w:rsid w:val="00F20863"/>
    <w:rsid w:val="00F20E96"/>
    <w:rsid w:val="00F216E0"/>
    <w:rsid w:val="00F243ED"/>
    <w:rsid w:val="00F30EC2"/>
    <w:rsid w:val="00F3107D"/>
    <w:rsid w:val="00F32B2F"/>
    <w:rsid w:val="00F341CC"/>
    <w:rsid w:val="00F70364"/>
    <w:rsid w:val="00F97D85"/>
    <w:rsid w:val="00F97F9E"/>
    <w:rsid w:val="00FB16BF"/>
    <w:rsid w:val="00FB4B8A"/>
    <w:rsid w:val="00FB58B5"/>
    <w:rsid w:val="00FC336F"/>
    <w:rsid w:val="00FD1A0B"/>
    <w:rsid w:val="00FD304C"/>
    <w:rsid w:val="00FE0965"/>
    <w:rsid w:val="00FE7079"/>
    <w:rsid w:val="00FF08A2"/>
    <w:rsid w:val="00FF67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BC967"/>
  <w15:docId w15:val="{3E8E4ED2-B0E3-4D98-857C-A12FD84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eastAsia="en-US"/>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styleId="Revision">
    <w:name w:val="Revision"/>
    <w:hidden/>
    <w:uiPriority w:val="99"/>
    <w:semiHidden/>
    <w:rsid w:val="00DB36BD"/>
    <w:rPr>
      <w:rFonts w:cs="David"/>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F495510EF3C8C41B54B537B51BB8B4E" ma:contentTypeVersion="1" ma:contentTypeDescription="צור מסמך חדש." ma:contentTypeScope="" ma:versionID="82c12b1085e6b2a26ef5be15539ab03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2CFE19-C1C0-4048-B7EB-591AA4615107}">
  <ds:schemaRefs>
    <ds:schemaRef ds:uri="http://schemas.openxmlformats.org/officeDocument/2006/bibliography"/>
  </ds:schemaRefs>
</ds:datastoreItem>
</file>

<file path=customXml/itemProps2.xml><?xml version="1.0" encoding="utf-8"?>
<ds:datastoreItem xmlns:ds="http://schemas.openxmlformats.org/officeDocument/2006/customXml" ds:itemID="{E8BC6816-D906-417B-9C7D-0A0C1EF69FCB}"/>
</file>

<file path=customXml/itemProps3.xml><?xml version="1.0" encoding="utf-8"?>
<ds:datastoreItem xmlns:ds="http://schemas.openxmlformats.org/officeDocument/2006/customXml" ds:itemID="{3993D423-E260-49AF-A105-1226A47C24F4}"/>
</file>

<file path=customXml/itemProps4.xml><?xml version="1.0" encoding="utf-8"?>
<ds:datastoreItem xmlns:ds="http://schemas.openxmlformats.org/officeDocument/2006/customXml" ds:itemID="{825001A0-A5EF-469B-9B0C-44841BA01394}"/>
</file>

<file path=docProps/app.xml><?xml version="1.0" encoding="utf-8"?>
<Properties xmlns="http://schemas.openxmlformats.org/officeDocument/2006/extended-properties" xmlns:vt="http://schemas.openxmlformats.org/officeDocument/2006/docPropsVTypes">
  <Template>Normal.dotm</Template>
  <TotalTime>444</TotalTime>
  <Pages>10</Pages>
  <Words>3089</Words>
  <Characters>17612</Characters>
  <Application>Microsoft Office Word</Application>
  <DocSecurity>0</DocSecurity>
  <Lines>146</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סקירת ספרים חדשים</vt:lpstr>
      <vt:lpstr>סקירת ספרים חדשים</vt:lpstr>
    </vt:vector>
  </TitlesOfParts>
  <Company>Onit Computer Services Ltd</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סקירת ספרים חדשים</dc:title>
  <dc:creator>Mordechai Frankel</dc:creator>
  <cp:lastModifiedBy>Mordechai Frankel</cp:lastModifiedBy>
  <cp:revision>78</cp:revision>
  <cp:lastPrinted>2022-06-06T17:11:00Z</cp:lastPrinted>
  <dcterms:created xsi:type="dcterms:W3CDTF">2018-06-02T19:32:00Z</dcterms:created>
  <dcterms:modified xsi:type="dcterms:W3CDTF">2022-06-21T13:02:00Z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0x0101004F495510EF3C8C41B54B537B51BB8B4E</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