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0FD374" w14:textId="77777777" w:rsidR="00B6001E" w:rsidRPr="004772F9" w:rsidRDefault="00B6001E" w:rsidP="00605F71">
      <w:pPr>
        <w:pStyle w:val="Heading9"/>
        <w:jc w:val="center"/>
        <w:rPr>
          <w:color w:val="auto"/>
        </w:rPr>
      </w:pPr>
      <w:r w:rsidRPr="004772F9">
        <w:rPr>
          <w:rFonts w:hint="cs"/>
          <w:color w:val="auto"/>
          <w:rtl/>
        </w:rPr>
        <w:t>الضمان الاجتماعي</w:t>
      </w:r>
    </w:p>
    <w:p w14:paraId="162FF065" w14:textId="77777777" w:rsidR="001A7A8E" w:rsidRPr="004772F9" w:rsidRDefault="00D10B38" w:rsidP="00605F71">
      <w:pPr>
        <w:spacing w:line="240" w:lineRule="atLeast"/>
        <w:jc w:val="center"/>
        <w:rPr>
          <w:rFonts w:ascii="Arial" w:hAnsi="Arial" w:cs="Arial"/>
          <w:b/>
          <w:bCs/>
          <w:sz w:val="36"/>
          <w:szCs w:val="36"/>
          <w:rtl/>
        </w:rPr>
      </w:pPr>
      <w:r w:rsidRPr="004772F9">
        <w:rPr>
          <w:rFonts w:ascii="Arial" w:hAnsi="Arial" w:cs="Arial"/>
          <w:b/>
          <w:bCs/>
          <w:sz w:val="36"/>
          <w:szCs w:val="36"/>
          <w:rtl/>
          <w:lang w:bidi="ar-LB"/>
        </w:rPr>
        <w:t xml:space="preserve">المجلة </w:t>
      </w:r>
      <w:proofErr w:type="spellStart"/>
      <w:r w:rsidRPr="004772F9">
        <w:rPr>
          <w:rFonts w:ascii="Arial" w:hAnsi="Arial" w:cs="Arial"/>
          <w:b/>
          <w:bCs/>
          <w:sz w:val="36"/>
          <w:szCs w:val="36"/>
          <w:rtl/>
          <w:lang w:bidi="ar-LB"/>
        </w:rPr>
        <w:t>الاسرائيليه</w:t>
      </w:r>
      <w:proofErr w:type="spellEnd"/>
      <w:r w:rsidRPr="004772F9">
        <w:rPr>
          <w:rFonts w:ascii="Arial" w:hAnsi="Arial" w:cs="Arial"/>
          <w:b/>
          <w:bCs/>
          <w:sz w:val="36"/>
          <w:szCs w:val="36"/>
          <w:rtl/>
          <w:lang w:bidi="ar-LB"/>
        </w:rPr>
        <w:t xml:space="preserve"> للضمان الاجتماعي</w:t>
      </w:r>
    </w:p>
    <w:p w14:paraId="482611B5" w14:textId="77777777" w:rsidR="00B6001E" w:rsidRPr="004772F9" w:rsidRDefault="00B6001E" w:rsidP="00605F71">
      <w:pPr>
        <w:spacing w:line="240" w:lineRule="atLeast"/>
        <w:jc w:val="center"/>
        <w:rPr>
          <w:b/>
          <w:bCs/>
          <w:sz w:val="20"/>
          <w:rtl/>
          <w:lang w:bidi="ar-LB"/>
        </w:rPr>
      </w:pPr>
    </w:p>
    <w:p w14:paraId="77821D60" w14:textId="77777777" w:rsidR="00B6001E" w:rsidRPr="004772F9" w:rsidRDefault="00B6001E" w:rsidP="00605F71">
      <w:pPr>
        <w:spacing w:line="240" w:lineRule="atLeast"/>
        <w:jc w:val="center"/>
        <w:rPr>
          <w:b/>
          <w:bCs/>
          <w:sz w:val="20"/>
          <w:rtl/>
        </w:rPr>
      </w:pPr>
    </w:p>
    <w:p w14:paraId="55ADD6CC" w14:textId="77777777" w:rsidR="00B6001E" w:rsidRPr="004772F9" w:rsidRDefault="00B6001E" w:rsidP="00605F71">
      <w:pPr>
        <w:spacing w:line="240" w:lineRule="atLeast"/>
        <w:jc w:val="center"/>
        <w:rPr>
          <w:b/>
          <w:bCs/>
          <w:sz w:val="20"/>
          <w:rtl/>
        </w:rPr>
      </w:pPr>
    </w:p>
    <w:p w14:paraId="091631BF" w14:textId="77777777" w:rsidR="00B6001E" w:rsidRPr="004772F9" w:rsidRDefault="00B6001E" w:rsidP="00605F71">
      <w:pPr>
        <w:spacing w:line="240" w:lineRule="atLeast"/>
        <w:jc w:val="center"/>
        <w:rPr>
          <w:b/>
          <w:bCs/>
          <w:sz w:val="20"/>
          <w:rtl/>
        </w:rPr>
      </w:pPr>
    </w:p>
    <w:p w14:paraId="337F1380" w14:textId="77777777" w:rsidR="00B6001E" w:rsidRPr="004772F9" w:rsidRDefault="00B6001E" w:rsidP="00605F71">
      <w:pPr>
        <w:spacing w:line="240" w:lineRule="atLeast"/>
        <w:jc w:val="center"/>
        <w:rPr>
          <w:b/>
          <w:bCs/>
          <w:sz w:val="20"/>
          <w:rtl/>
        </w:rPr>
      </w:pPr>
    </w:p>
    <w:p w14:paraId="2D1BE84C" w14:textId="77777777" w:rsidR="00B6001E" w:rsidRPr="004772F9" w:rsidRDefault="00B6001E" w:rsidP="00605F71">
      <w:pPr>
        <w:spacing w:line="240" w:lineRule="atLeast"/>
        <w:jc w:val="center"/>
        <w:rPr>
          <w:b/>
          <w:bCs/>
          <w:sz w:val="20"/>
          <w:rtl/>
        </w:rPr>
      </w:pPr>
    </w:p>
    <w:p w14:paraId="22AB7A70" w14:textId="5B69C964" w:rsidR="00B6001E" w:rsidRPr="00787295" w:rsidRDefault="00B6001E" w:rsidP="00605F71">
      <w:pPr>
        <w:spacing w:line="240" w:lineRule="atLeast"/>
        <w:jc w:val="center"/>
        <w:rPr>
          <w:b/>
          <w:bCs/>
          <w:sz w:val="22"/>
          <w:szCs w:val="28"/>
          <w:rtl/>
        </w:rPr>
      </w:pPr>
    </w:p>
    <w:p w14:paraId="2784D176" w14:textId="77777777" w:rsidR="00B6001E" w:rsidRPr="004772F9" w:rsidRDefault="00B6001E" w:rsidP="00605F71">
      <w:pPr>
        <w:spacing w:line="240" w:lineRule="atLeast"/>
        <w:jc w:val="center"/>
        <w:rPr>
          <w:b/>
          <w:bCs/>
          <w:sz w:val="20"/>
          <w:rtl/>
        </w:rPr>
      </w:pPr>
    </w:p>
    <w:p w14:paraId="5291DB57" w14:textId="77777777" w:rsidR="00B6001E" w:rsidRPr="004772F9" w:rsidRDefault="00B6001E" w:rsidP="00605F71">
      <w:pPr>
        <w:spacing w:line="240" w:lineRule="atLeast"/>
        <w:jc w:val="center"/>
        <w:rPr>
          <w:b/>
          <w:bCs/>
          <w:sz w:val="20"/>
        </w:rPr>
      </w:pPr>
    </w:p>
    <w:p w14:paraId="36D5353C" w14:textId="77777777" w:rsidR="00605F71" w:rsidRPr="004772F9" w:rsidRDefault="00605F71" w:rsidP="00605F71">
      <w:pPr>
        <w:spacing w:line="240" w:lineRule="atLeast"/>
        <w:jc w:val="center"/>
        <w:rPr>
          <w:b/>
          <w:bCs/>
          <w:sz w:val="20"/>
        </w:rPr>
      </w:pPr>
    </w:p>
    <w:p w14:paraId="6663FCC6" w14:textId="045FEC2E" w:rsidR="00787295" w:rsidRPr="00787295" w:rsidRDefault="00787295" w:rsidP="00787295">
      <w:pPr>
        <w:spacing w:line="240" w:lineRule="atLeast"/>
        <w:jc w:val="center"/>
        <w:rPr>
          <w:b/>
          <w:bCs/>
          <w:sz w:val="20"/>
          <w:rtl/>
        </w:rPr>
      </w:pPr>
    </w:p>
    <w:p w14:paraId="2C681D5C" w14:textId="6EF454EF" w:rsidR="00605F71" w:rsidRPr="004772F9" w:rsidRDefault="00605F71" w:rsidP="00787295">
      <w:pPr>
        <w:spacing w:line="240" w:lineRule="atLeast"/>
        <w:jc w:val="center"/>
        <w:rPr>
          <w:b/>
          <w:bCs/>
          <w:sz w:val="20"/>
        </w:rPr>
      </w:pPr>
    </w:p>
    <w:p w14:paraId="313B0EBE" w14:textId="77777777" w:rsidR="00605F71" w:rsidRPr="004772F9" w:rsidRDefault="00605F71" w:rsidP="00605F71">
      <w:pPr>
        <w:spacing w:line="240" w:lineRule="atLeast"/>
        <w:jc w:val="center"/>
        <w:rPr>
          <w:b/>
          <w:bCs/>
          <w:sz w:val="20"/>
        </w:rPr>
      </w:pPr>
    </w:p>
    <w:p w14:paraId="41B14AF7" w14:textId="77777777" w:rsidR="00605F71" w:rsidRPr="004772F9" w:rsidRDefault="00605F71" w:rsidP="00605F71">
      <w:pPr>
        <w:spacing w:line="240" w:lineRule="atLeast"/>
        <w:jc w:val="center"/>
        <w:rPr>
          <w:b/>
          <w:bCs/>
          <w:sz w:val="20"/>
          <w:rtl/>
        </w:rPr>
      </w:pPr>
    </w:p>
    <w:p w14:paraId="4995CB8F" w14:textId="77777777" w:rsidR="00B6001E" w:rsidRPr="004772F9" w:rsidRDefault="00B6001E" w:rsidP="00605F71">
      <w:pPr>
        <w:spacing w:line="240" w:lineRule="atLeast"/>
        <w:jc w:val="center"/>
        <w:rPr>
          <w:b/>
          <w:bCs/>
          <w:sz w:val="20"/>
          <w:lang w:bidi="ar-LB"/>
        </w:rPr>
      </w:pPr>
    </w:p>
    <w:p w14:paraId="12AF0106" w14:textId="77777777" w:rsidR="00B6001E" w:rsidRPr="004772F9" w:rsidRDefault="00B6001E" w:rsidP="00605F71">
      <w:pPr>
        <w:spacing w:line="240" w:lineRule="atLeast"/>
        <w:jc w:val="center"/>
        <w:rPr>
          <w:b/>
          <w:bCs/>
          <w:sz w:val="20"/>
          <w:rtl/>
          <w:lang w:bidi="ar-LB"/>
        </w:rPr>
      </w:pPr>
    </w:p>
    <w:p w14:paraId="5EC6EF03" w14:textId="77777777" w:rsidR="00B6001E" w:rsidRPr="004772F9" w:rsidRDefault="00B6001E" w:rsidP="00605F71">
      <w:pPr>
        <w:spacing w:line="240" w:lineRule="atLeast"/>
        <w:jc w:val="center"/>
        <w:rPr>
          <w:b/>
          <w:bCs/>
          <w:sz w:val="20"/>
          <w:rtl/>
          <w:lang w:bidi="ar-LB"/>
        </w:rPr>
      </w:pPr>
    </w:p>
    <w:p w14:paraId="10CC29E6" w14:textId="77777777" w:rsidR="00B6001E" w:rsidRPr="004772F9" w:rsidRDefault="00B6001E" w:rsidP="00605F71">
      <w:pPr>
        <w:spacing w:line="240" w:lineRule="atLeast"/>
        <w:jc w:val="center"/>
        <w:rPr>
          <w:b/>
          <w:bCs/>
          <w:sz w:val="20"/>
          <w:rtl/>
          <w:lang w:bidi="ar-LB"/>
        </w:rPr>
      </w:pPr>
    </w:p>
    <w:p w14:paraId="03700DF0" w14:textId="77777777" w:rsidR="00B6001E" w:rsidRPr="004772F9" w:rsidRDefault="00B6001E" w:rsidP="00605F71">
      <w:pPr>
        <w:spacing w:line="240" w:lineRule="atLeast"/>
        <w:jc w:val="center"/>
        <w:rPr>
          <w:b/>
          <w:bCs/>
          <w:sz w:val="20"/>
          <w:lang w:bidi="ar-LB"/>
        </w:rPr>
      </w:pPr>
    </w:p>
    <w:p w14:paraId="7CD35832" w14:textId="77777777" w:rsidR="00B6001E" w:rsidRPr="004772F9" w:rsidRDefault="00B6001E" w:rsidP="00605F71">
      <w:pPr>
        <w:spacing w:line="240" w:lineRule="atLeast"/>
        <w:jc w:val="center"/>
        <w:rPr>
          <w:b/>
          <w:bCs/>
          <w:sz w:val="20"/>
          <w:rtl/>
          <w:lang w:bidi="ar-LB"/>
        </w:rPr>
      </w:pPr>
    </w:p>
    <w:p w14:paraId="52EB7637" w14:textId="77777777" w:rsidR="00B6001E" w:rsidRPr="004772F9" w:rsidRDefault="00B6001E" w:rsidP="00605F71">
      <w:pPr>
        <w:spacing w:line="240" w:lineRule="atLeast"/>
        <w:jc w:val="center"/>
        <w:rPr>
          <w:b/>
          <w:bCs/>
          <w:sz w:val="20"/>
          <w:rtl/>
          <w:lang w:bidi="ar-LB"/>
        </w:rPr>
      </w:pPr>
    </w:p>
    <w:p w14:paraId="2E230628" w14:textId="77777777" w:rsidR="008F360C" w:rsidRPr="004772F9" w:rsidRDefault="00546B60" w:rsidP="00605F71">
      <w:pPr>
        <w:spacing w:line="240" w:lineRule="atLeast"/>
        <w:jc w:val="center"/>
        <w:rPr>
          <w:b/>
          <w:bCs/>
          <w:sz w:val="20"/>
          <w:rtl/>
        </w:rPr>
      </w:pPr>
      <w:r w:rsidRPr="004772F9">
        <w:rPr>
          <w:b/>
          <w:bCs/>
          <w:noProof/>
          <w:sz w:val="20"/>
        </w:rPr>
        <w:drawing>
          <wp:inline distT="0" distB="0" distL="0" distR="0" wp14:anchorId="49B3078D" wp14:editId="74358323">
            <wp:extent cx="638175" cy="628650"/>
            <wp:effectExtent l="0" t="0" r="0" b="0"/>
            <wp:docPr id="1" name="תמונה 1" descr="לוגו צבע אח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לוגו צבע אחד"/>
                    <pic:cNvPicPr>
                      <a:picLocks noChangeAspect="1" noChangeArrowheads="1"/>
                    </pic:cNvPicPr>
                  </pic:nvPicPr>
                  <pic:blipFill>
                    <a:blip r:embed="rId8" cstate="print">
                      <a:extLst>
                        <a:ext uri="{28A0092B-C50C-407E-A947-70E740481C1C}">
                          <a14:useLocalDpi xmlns:a14="http://schemas.microsoft.com/office/drawing/2010/main" val="0"/>
                        </a:ext>
                      </a:extLst>
                    </a:blip>
                    <a:srcRect l="20958" t="12486" r="22606" b="47513"/>
                    <a:stretch>
                      <a:fillRect/>
                    </a:stretch>
                  </pic:blipFill>
                  <pic:spPr bwMode="auto">
                    <a:xfrm>
                      <a:off x="0" y="0"/>
                      <a:ext cx="638175" cy="628650"/>
                    </a:xfrm>
                    <a:prstGeom prst="rect">
                      <a:avLst/>
                    </a:prstGeom>
                    <a:noFill/>
                    <a:ln>
                      <a:noFill/>
                    </a:ln>
                  </pic:spPr>
                </pic:pic>
              </a:graphicData>
            </a:graphic>
          </wp:inline>
        </w:drawing>
      </w:r>
    </w:p>
    <w:p w14:paraId="10AFEEC5" w14:textId="42463D4C" w:rsidR="001A7A8E" w:rsidRDefault="001A7A8E" w:rsidP="00605F71">
      <w:pPr>
        <w:pStyle w:val="Caption"/>
        <w:jc w:val="center"/>
        <w:rPr>
          <w:color w:val="auto"/>
          <w:rtl/>
        </w:rPr>
      </w:pPr>
      <w:r w:rsidRPr="004772F9">
        <w:rPr>
          <w:color w:val="auto"/>
          <w:rtl/>
        </w:rPr>
        <w:t>تصدر عن مؤسسة التأمين الوطني</w:t>
      </w:r>
    </w:p>
    <w:p w14:paraId="1BAA6ACC" w14:textId="73CFD3F2" w:rsidR="007A7450" w:rsidRDefault="007A7450" w:rsidP="007A7450">
      <w:pPr>
        <w:jc w:val="center"/>
        <w:rPr>
          <w:rtl/>
          <w:lang w:bidi="ar-LB"/>
        </w:rPr>
      </w:pPr>
    </w:p>
    <w:p w14:paraId="0702E1D4" w14:textId="64623977" w:rsidR="007A7450" w:rsidRPr="007A7450" w:rsidRDefault="007A7450" w:rsidP="007A7450">
      <w:pPr>
        <w:jc w:val="center"/>
        <w:rPr>
          <w:rtl/>
          <w:lang w:bidi="ar-LB"/>
        </w:rPr>
      </w:pPr>
      <w:r w:rsidRPr="004772F9">
        <w:rPr>
          <w:rFonts w:ascii="Arial" w:hAnsi="Arial" w:cs="Arial"/>
          <w:rtl/>
          <w:lang w:bidi="ar-LB"/>
        </w:rPr>
        <w:t>كراس 11</w:t>
      </w:r>
      <w:r w:rsidR="002F34B7">
        <w:rPr>
          <w:rFonts w:ascii="Arial" w:hAnsi="Arial" w:cs="Arial" w:hint="cs"/>
          <w:rtl/>
        </w:rPr>
        <w:t>9</w:t>
      </w:r>
    </w:p>
    <w:p w14:paraId="4FFA64E7" w14:textId="4AF0FBB0" w:rsidR="00B6001E" w:rsidRPr="004772F9" w:rsidRDefault="005E5DF4" w:rsidP="007A7450">
      <w:pPr>
        <w:spacing w:line="240" w:lineRule="atLeast"/>
        <w:jc w:val="center"/>
        <w:rPr>
          <w:rFonts w:ascii="Arial" w:hAnsi="Arial" w:cs="Arial"/>
          <w:sz w:val="22"/>
          <w:szCs w:val="22"/>
        </w:rPr>
      </w:pPr>
      <w:r w:rsidRPr="005E5DF4">
        <w:rPr>
          <w:rFonts w:ascii="Arial" w:hAnsi="Arial" w:cs="Arial"/>
          <w:rtl/>
          <w:lang w:bidi="ar-LB"/>
        </w:rPr>
        <w:t>نيسان</w:t>
      </w:r>
      <w:r>
        <w:rPr>
          <w:rFonts w:ascii="Arial" w:hAnsi="Arial" w:cs="Arial"/>
          <w:rtl/>
          <w:lang w:bidi="ar-LB"/>
        </w:rPr>
        <w:t xml:space="preserve"> </w:t>
      </w:r>
      <w:r w:rsidR="00787295" w:rsidRPr="00787295">
        <w:rPr>
          <w:rFonts w:ascii="Arial" w:hAnsi="Arial" w:cs="Arial"/>
          <w:rtl/>
          <w:lang w:bidi="ar-LB"/>
        </w:rPr>
        <w:t>202</w:t>
      </w:r>
      <w:r w:rsidR="002F34B7">
        <w:rPr>
          <w:rFonts w:ascii="Arial" w:hAnsi="Arial" w:cs="Arial" w:hint="cs"/>
          <w:rtl/>
        </w:rPr>
        <w:t>3</w:t>
      </w:r>
    </w:p>
    <w:p w14:paraId="53FDE395" w14:textId="5FE31D14" w:rsidR="00B6001E" w:rsidRPr="004772F9" w:rsidRDefault="00B6001E" w:rsidP="00D10B38">
      <w:pPr>
        <w:spacing w:line="240" w:lineRule="atLeast"/>
        <w:jc w:val="center"/>
        <w:rPr>
          <w:rFonts w:ascii="Arial" w:hAnsi="Arial" w:cs="Arial"/>
          <w:rtl/>
        </w:rPr>
      </w:pPr>
    </w:p>
    <w:p w14:paraId="4E10BA06" w14:textId="77777777" w:rsidR="00AC68D5" w:rsidRPr="004772F9" w:rsidRDefault="00AC68D5" w:rsidP="008F360C">
      <w:pPr>
        <w:spacing w:line="240" w:lineRule="atLeast"/>
        <w:jc w:val="right"/>
        <w:rPr>
          <w:rFonts w:ascii="Arial" w:hAnsi="Arial" w:cs="Arial"/>
          <w:sz w:val="22"/>
          <w:szCs w:val="22"/>
          <w:rtl/>
        </w:rPr>
        <w:sectPr w:rsidR="00AC68D5" w:rsidRPr="004772F9" w:rsidSect="0092720F">
          <w:headerReference w:type="even" r:id="rId9"/>
          <w:headerReference w:type="default" r:id="rId10"/>
          <w:footerReference w:type="even" r:id="rId11"/>
          <w:footerReference w:type="default" r:id="rId12"/>
          <w:headerReference w:type="first" r:id="rId13"/>
          <w:footerReference w:type="first" r:id="rId14"/>
          <w:footnotePr>
            <w:numRestart w:val="eachPage"/>
          </w:footnotePr>
          <w:pgSz w:w="11906" w:h="16838" w:code="9"/>
          <w:pgMar w:top="3402" w:right="2608" w:bottom="2552" w:left="2608" w:header="2552" w:footer="2268" w:gutter="0"/>
          <w:pgNumType w:start="211"/>
          <w:cols w:space="708"/>
          <w:titlePg/>
          <w:docGrid w:linePitch="360"/>
        </w:sectPr>
      </w:pPr>
    </w:p>
    <w:p w14:paraId="1402311C" w14:textId="78C9E99A" w:rsidR="008B4530" w:rsidRPr="004772F9" w:rsidRDefault="008B4530" w:rsidP="008B4530">
      <w:pPr>
        <w:pStyle w:val="NoSpacing"/>
        <w:bidi w:val="0"/>
        <w:spacing w:after="2280" w:line="280" w:lineRule="exact"/>
        <w:rPr>
          <w:rFonts w:ascii="Times New Roman" w:eastAsia="Times New Roman" w:hAnsi="Times New Roman" w:cs="David"/>
        </w:rPr>
      </w:pPr>
      <w:r w:rsidRPr="004772F9">
        <w:rPr>
          <w:rtl/>
        </w:rPr>
        <w:lastRenderedPageBreak/>
        <w:br w:type="page"/>
      </w:r>
    </w:p>
    <w:p w14:paraId="3322AC5B" w14:textId="77777777" w:rsidR="00E738B2" w:rsidRPr="004772F9" w:rsidRDefault="00E738B2" w:rsidP="00E738B2">
      <w:pPr>
        <w:pStyle w:val="NoSpacing"/>
        <w:bidi w:val="0"/>
        <w:spacing w:after="2280" w:line="280" w:lineRule="exact"/>
        <w:rPr>
          <w:rFonts w:ascii="Times New Roman" w:eastAsia="Times New Roman" w:hAnsi="Times New Roman" w:cs="David"/>
        </w:rPr>
      </w:pPr>
    </w:p>
    <w:p w14:paraId="543AE6D7" w14:textId="77777777" w:rsidR="008B4530" w:rsidRPr="004772F9" w:rsidRDefault="00AB018A" w:rsidP="00E738B2">
      <w:pPr>
        <w:pStyle w:val="Header"/>
        <w:tabs>
          <w:tab w:val="clear" w:pos="4153"/>
          <w:tab w:val="clear" w:pos="8306"/>
        </w:tabs>
        <w:spacing w:after="240" w:line="240" w:lineRule="atLeast"/>
        <w:jc w:val="center"/>
        <w:outlineLvl w:val="1"/>
        <w:rPr>
          <w:b/>
          <w:bCs/>
          <w:sz w:val="44"/>
          <w:szCs w:val="44"/>
        </w:rPr>
      </w:pPr>
      <w:r w:rsidRPr="004772F9">
        <w:rPr>
          <w:rFonts w:cs="Times New Roman"/>
          <w:b/>
          <w:bCs/>
          <w:sz w:val="44"/>
          <w:szCs w:val="44"/>
          <w:rtl/>
          <w:lang w:bidi="ar-SA"/>
        </w:rPr>
        <w:t>تلخيص الابحاث</w:t>
      </w:r>
    </w:p>
    <w:p w14:paraId="72B6A064" w14:textId="77777777" w:rsidR="008B4530" w:rsidRPr="004772F9" w:rsidRDefault="008B4530" w:rsidP="00785169">
      <w:pPr>
        <w:spacing w:line="240" w:lineRule="atLeast"/>
        <w:rPr>
          <w:rFonts w:ascii="Arial" w:hAnsi="Arial" w:cs="Arial"/>
          <w:sz w:val="22"/>
          <w:szCs w:val="22"/>
          <w:rtl/>
        </w:rPr>
      </w:pPr>
      <w:r w:rsidRPr="004772F9">
        <w:rPr>
          <w:rFonts w:ascii="Arial" w:hAnsi="Arial" w:cs="Arial"/>
          <w:sz w:val="22"/>
          <w:szCs w:val="22"/>
          <w:rtl/>
        </w:rPr>
        <w:br w:type="page"/>
      </w:r>
    </w:p>
    <w:p w14:paraId="633417CF" w14:textId="77777777" w:rsidR="008B4530" w:rsidRPr="004772F9" w:rsidRDefault="008B4530" w:rsidP="00785169">
      <w:pPr>
        <w:spacing w:line="240" w:lineRule="atLeast"/>
        <w:rPr>
          <w:rFonts w:ascii="Arial" w:hAnsi="Arial" w:cs="Arial"/>
          <w:sz w:val="22"/>
          <w:szCs w:val="22"/>
          <w:rtl/>
        </w:rPr>
      </w:pPr>
    </w:p>
    <w:p w14:paraId="60824739" w14:textId="77777777" w:rsidR="00B6001E" w:rsidRPr="004772F9" w:rsidRDefault="00B6001E">
      <w:pPr>
        <w:spacing w:after="180" w:line="280" w:lineRule="exact"/>
        <w:jc w:val="both"/>
        <w:rPr>
          <w:rFonts w:ascii="Arial" w:hAnsi="Arial" w:cs="Times New Roman"/>
          <w:rtl/>
          <w:lang w:bidi="ar-LB"/>
        </w:rPr>
        <w:sectPr w:rsidR="00B6001E" w:rsidRPr="004772F9" w:rsidSect="00C44B71">
          <w:headerReference w:type="even" r:id="rId15"/>
          <w:headerReference w:type="default" r:id="rId16"/>
          <w:footnotePr>
            <w:numRestart w:val="eachPage"/>
          </w:footnotePr>
          <w:pgSz w:w="11906" w:h="16838" w:code="9"/>
          <w:pgMar w:top="3402" w:right="2608" w:bottom="2552" w:left="2608" w:header="2552" w:footer="2268" w:gutter="0"/>
          <w:cols w:space="708"/>
          <w:titlePg/>
          <w:docGrid w:linePitch="360"/>
        </w:sectPr>
      </w:pPr>
    </w:p>
    <w:p w14:paraId="7F2A8B68" w14:textId="77777777" w:rsidR="002F34B7" w:rsidRPr="002F34B7" w:rsidRDefault="002F34B7" w:rsidP="002F34B7">
      <w:pPr>
        <w:pStyle w:val="Heading1"/>
        <w:spacing w:line="440" w:lineRule="exact"/>
        <w:rPr>
          <w:rFonts w:cs="Times New Roman"/>
          <w:color w:val="2A8E8C"/>
          <w:rtl/>
          <w:lang w:eastAsia="he-IL"/>
        </w:rPr>
      </w:pPr>
      <w:bookmarkStart w:id="0" w:name="_Hlk113722266"/>
      <w:r w:rsidRPr="002F34B7">
        <w:rPr>
          <w:rFonts w:cs="Times New Roman"/>
          <w:color w:val="2A8E8C"/>
          <w:rtl/>
          <w:lang w:eastAsia="he-IL" w:bidi="ar-SA"/>
        </w:rPr>
        <w:lastRenderedPageBreak/>
        <w:t xml:space="preserve">الأهل </w:t>
      </w:r>
      <w:r w:rsidRPr="002F34B7">
        <w:rPr>
          <w:rFonts w:cs="Times New Roman" w:hint="cs"/>
          <w:color w:val="2A8E8C"/>
          <w:rtl/>
          <w:lang w:eastAsia="he-IL" w:bidi="ar-SA"/>
        </w:rPr>
        <w:t>هم العامود الفقري</w:t>
      </w:r>
      <w:r w:rsidRPr="002F34B7">
        <w:rPr>
          <w:rFonts w:cs="Times New Roman"/>
          <w:color w:val="2A8E8C"/>
          <w:rtl/>
          <w:lang w:eastAsia="he-IL" w:bidi="ar-SA"/>
        </w:rPr>
        <w:t xml:space="preserve"> في المجتمع الإسرائيلي: قراءة نحو سياسات وطنية لتعزيز الأهل في حالات الأزمة والروتين - مقالة رأي</w:t>
      </w:r>
    </w:p>
    <w:p w14:paraId="1E330AA5" w14:textId="1A02D592" w:rsidR="002F34B7" w:rsidRPr="002F34B7" w:rsidRDefault="002F34B7" w:rsidP="002F34B7">
      <w:pPr>
        <w:pStyle w:val="KOT5T"/>
        <w:spacing w:before="0" w:after="240" w:line="280" w:lineRule="exact"/>
        <w:ind w:right="0"/>
        <w:jc w:val="left"/>
        <w:rPr>
          <w:rFonts w:ascii="Times New Roman" w:hAnsi="Times New Roman" w:cs="Times New Roman"/>
          <w:b w:val="0"/>
          <w:bCs w:val="0"/>
          <w:color w:val="auto"/>
          <w:rtl/>
          <w:lang w:bidi="ar-SA"/>
        </w:rPr>
      </w:pPr>
      <w:r w:rsidRPr="002F34B7">
        <w:rPr>
          <w:rFonts w:ascii="Times New Roman" w:hAnsi="Times New Roman" w:cs="Times New Roman"/>
          <w:b w:val="0"/>
          <w:bCs w:val="0"/>
          <w:color w:val="auto"/>
          <w:rtl/>
          <w:lang w:bidi="ar-SA"/>
        </w:rPr>
        <w:t xml:space="preserve">رينا كوهين </w:t>
      </w:r>
      <w:proofErr w:type="spellStart"/>
      <w:r w:rsidRPr="002F34B7">
        <w:rPr>
          <w:rFonts w:ascii="Times New Roman" w:hAnsi="Times New Roman" w:cs="Times New Roman"/>
          <w:b w:val="0"/>
          <w:bCs w:val="0"/>
          <w:color w:val="auto"/>
          <w:rtl/>
          <w:lang w:bidi="ar-SA"/>
        </w:rPr>
        <w:t>سوتسكيفر</w:t>
      </w:r>
      <w:proofErr w:type="spellEnd"/>
      <w:r w:rsidR="004820DD" w:rsidRPr="004820DD">
        <w:rPr>
          <w:rFonts w:ascii="Times New Roman" w:hAnsi="Times New Roman" w:cs="Times New Roman"/>
          <w:b w:val="0"/>
          <w:bCs w:val="0"/>
          <w:color w:val="auto"/>
          <w:vertAlign w:val="superscript"/>
          <w:lang w:bidi="ar-SA"/>
        </w:rPr>
        <w:footnoteReference w:id="2"/>
      </w:r>
    </w:p>
    <w:p w14:paraId="6DF9C20A" w14:textId="77777777" w:rsidR="002F34B7" w:rsidRPr="004772F9" w:rsidRDefault="002F34B7" w:rsidP="002F34B7">
      <w:pPr>
        <w:pStyle w:val="BodyText2"/>
        <w:keepNext/>
        <w:keepLines/>
        <w:rPr>
          <w:rFonts w:cs="Times New Roman"/>
          <w:sz w:val="22"/>
          <w:szCs w:val="22"/>
          <w:rtl/>
        </w:rPr>
      </w:pPr>
      <w:bookmarkStart w:id="1" w:name="_Hlk111932512"/>
    </w:p>
    <w:p w14:paraId="272C2B24" w14:textId="77777777" w:rsidR="002F34B7" w:rsidRDefault="002F34B7" w:rsidP="002F34B7">
      <w:pPr>
        <w:spacing w:after="180" w:line="280" w:lineRule="exact"/>
        <w:jc w:val="both"/>
        <w:rPr>
          <w:rFonts w:asciiTheme="majorBidi" w:hAnsiTheme="majorBidi" w:cstheme="majorBidi"/>
          <w:sz w:val="22"/>
          <w:szCs w:val="22"/>
          <w:lang w:bidi="ar"/>
        </w:rPr>
      </w:pPr>
      <w:r w:rsidRPr="002F34B7">
        <w:rPr>
          <w:rFonts w:asciiTheme="majorBidi" w:hAnsiTheme="majorBidi" w:cstheme="majorBidi"/>
          <w:sz w:val="22"/>
          <w:szCs w:val="22"/>
          <w:rtl/>
          <w:lang w:bidi="ar-SA"/>
        </w:rPr>
        <w:t xml:space="preserve">زادت أزمات القرن الـ </w:t>
      </w:r>
      <w:r w:rsidRPr="002F34B7">
        <w:rPr>
          <w:rFonts w:asciiTheme="majorBidi" w:hAnsiTheme="majorBidi" w:cstheme="majorBidi"/>
          <w:sz w:val="22"/>
          <w:szCs w:val="22"/>
          <w:rtl/>
          <w:lang w:bidi="ar"/>
        </w:rPr>
        <w:t xml:space="preserve">21 </w:t>
      </w:r>
      <w:r w:rsidRPr="002F34B7">
        <w:rPr>
          <w:rFonts w:asciiTheme="majorBidi" w:hAnsiTheme="majorBidi" w:cstheme="majorBidi"/>
          <w:sz w:val="22"/>
          <w:szCs w:val="22"/>
          <w:rtl/>
          <w:lang w:bidi="ar-SA"/>
        </w:rPr>
        <w:t xml:space="preserve">وتحدّياته </w:t>
      </w:r>
      <w:r w:rsidRPr="002F34B7">
        <w:rPr>
          <w:rFonts w:asciiTheme="majorBidi" w:hAnsiTheme="majorBidi" w:cstheme="majorBidi"/>
          <w:sz w:val="22"/>
          <w:szCs w:val="22"/>
          <w:rtl/>
          <w:lang w:bidi="ar"/>
        </w:rPr>
        <w:t xml:space="preserve">- </w:t>
      </w:r>
      <w:r w:rsidRPr="002F34B7">
        <w:rPr>
          <w:rFonts w:asciiTheme="majorBidi" w:hAnsiTheme="majorBidi" w:cstheme="majorBidi"/>
          <w:sz w:val="22"/>
          <w:szCs w:val="22"/>
          <w:rtl/>
          <w:lang w:bidi="ar-SA"/>
        </w:rPr>
        <w:t xml:space="preserve">وباء </w:t>
      </w:r>
      <w:proofErr w:type="spellStart"/>
      <w:r w:rsidRPr="002F34B7">
        <w:rPr>
          <w:rFonts w:asciiTheme="majorBidi" w:hAnsiTheme="majorBidi" w:cstheme="majorBidi"/>
          <w:sz w:val="22"/>
          <w:szCs w:val="22"/>
          <w:rtl/>
          <w:lang w:bidi="ar-SA"/>
        </w:rPr>
        <w:t>الكورونا</w:t>
      </w:r>
      <w:proofErr w:type="spellEnd"/>
      <w:r w:rsidRPr="002F34B7">
        <w:rPr>
          <w:rFonts w:asciiTheme="majorBidi" w:hAnsiTheme="majorBidi" w:cstheme="majorBidi"/>
          <w:sz w:val="22"/>
          <w:szCs w:val="22"/>
          <w:rtl/>
          <w:lang w:bidi="ar-SA"/>
        </w:rPr>
        <w:t xml:space="preserve">، الحروب، الهجرة، الفجوات الاجتماعية، الفقر وغيرها </w:t>
      </w:r>
      <w:r w:rsidRPr="002F34B7">
        <w:rPr>
          <w:rFonts w:asciiTheme="majorBidi" w:hAnsiTheme="majorBidi" w:cstheme="majorBidi"/>
          <w:sz w:val="22"/>
          <w:szCs w:val="22"/>
          <w:rtl/>
          <w:lang w:bidi="ar"/>
        </w:rPr>
        <w:t xml:space="preserve">- </w:t>
      </w:r>
      <w:r w:rsidRPr="002F34B7">
        <w:rPr>
          <w:rFonts w:asciiTheme="majorBidi" w:hAnsiTheme="majorBidi" w:cstheme="majorBidi"/>
          <w:sz w:val="22"/>
          <w:szCs w:val="22"/>
          <w:rtl/>
          <w:lang w:bidi="ar-SA"/>
        </w:rPr>
        <w:t>عمّقت وعزّزت في إسرائيل وفي العالم كله، ظواهر ومشاكل اجتماعية، تربوية واقتصادية كانت منتشرة منذ القرن السابق</w:t>
      </w:r>
      <w:r w:rsidRPr="002F34B7">
        <w:rPr>
          <w:rFonts w:asciiTheme="majorBidi" w:hAnsiTheme="majorBidi" w:cstheme="majorBidi"/>
          <w:sz w:val="22"/>
          <w:szCs w:val="22"/>
          <w:rtl/>
          <w:lang w:bidi="ar"/>
        </w:rPr>
        <w:t xml:space="preserve">. </w:t>
      </w:r>
      <w:r w:rsidRPr="002F34B7">
        <w:rPr>
          <w:rFonts w:asciiTheme="majorBidi" w:hAnsiTheme="majorBidi" w:cstheme="majorBidi"/>
          <w:sz w:val="22"/>
          <w:szCs w:val="22"/>
          <w:rtl/>
          <w:lang w:bidi="ar-SA"/>
        </w:rPr>
        <w:t>يضع هذا الواقع تحدّيات معقّدة ومتنوّعة أمام كل شخص وكل منظومة اجتماعية وسياسية</w:t>
      </w:r>
      <w:r w:rsidRPr="002F34B7">
        <w:rPr>
          <w:rFonts w:asciiTheme="majorBidi" w:hAnsiTheme="majorBidi" w:cstheme="majorBidi"/>
          <w:sz w:val="22"/>
          <w:szCs w:val="22"/>
          <w:rtl/>
          <w:lang w:bidi="ar"/>
        </w:rPr>
        <w:t>.</w:t>
      </w:r>
      <w:r w:rsidRPr="002F34B7">
        <w:rPr>
          <w:rFonts w:asciiTheme="majorBidi" w:hAnsiTheme="majorBidi" w:cstheme="majorBidi"/>
          <w:b/>
          <w:bCs/>
          <w:sz w:val="22"/>
          <w:szCs w:val="22"/>
          <w:rtl/>
          <w:lang w:bidi="ar"/>
        </w:rPr>
        <w:t xml:space="preserve"> </w:t>
      </w:r>
      <w:r w:rsidRPr="002F34B7">
        <w:rPr>
          <w:rFonts w:asciiTheme="majorBidi" w:hAnsiTheme="majorBidi" w:cstheme="majorBidi"/>
          <w:sz w:val="22"/>
          <w:szCs w:val="22"/>
          <w:rtl/>
          <w:lang w:bidi="ar-SA"/>
        </w:rPr>
        <w:t>تثير كثرة التحديات وقوّتها، الحاجة للبحث عن الموارد ذات العلاقة والتي من شأنها أن توفّر مساعدة ناجحة وفعّالة</w:t>
      </w:r>
      <w:r w:rsidRPr="002F34B7">
        <w:rPr>
          <w:rFonts w:asciiTheme="majorBidi" w:hAnsiTheme="majorBidi" w:cstheme="majorBidi"/>
          <w:sz w:val="22"/>
          <w:szCs w:val="22"/>
          <w:rtl/>
          <w:lang w:bidi="ar"/>
        </w:rPr>
        <w:t xml:space="preserve">. </w:t>
      </w:r>
      <w:r w:rsidRPr="002F34B7">
        <w:rPr>
          <w:rFonts w:asciiTheme="majorBidi" w:hAnsiTheme="majorBidi" w:cstheme="majorBidi"/>
          <w:sz w:val="22"/>
          <w:szCs w:val="22"/>
          <w:rtl/>
          <w:lang w:bidi="ar-SA"/>
        </w:rPr>
        <w:t>أحد الموارد الحيوية وذات الأهمية، المعروف بكونه كذلك، هو الأهل والوالدية، والذي يتعلّق أداؤهم وتأثيرهم على كل طفل، عائلة ومنظومة</w:t>
      </w:r>
      <w:r w:rsidRPr="002F34B7">
        <w:rPr>
          <w:rFonts w:asciiTheme="majorBidi" w:hAnsiTheme="majorBidi" w:cstheme="majorBidi"/>
          <w:sz w:val="22"/>
          <w:szCs w:val="22"/>
          <w:rtl/>
          <w:lang w:bidi="ar"/>
        </w:rPr>
        <w:t xml:space="preserve">. </w:t>
      </w:r>
      <w:r w:rsidRPr="002F34B7">
        <w:rPr>
          <w:rFonts w:asciiTheme="majorBidi" w:hAnsiTheme="majorBidi" w:cstheme="majorBidi"/>
          <w:sz w:val="22"/>
          <w:szCs w:val="22"/>
          <w:rtl/>
          <w:lang w:bidi="ar-SA"/>
        </w:rPr>
        <w:t>لكي يستطيع الأهل تفعيل قيادتهم وتأثيرهم، ويخرجونها من النظرية إلى التطبيق، ويستخدموا أفضل مواردهم الوالدية، يجب إتاحة التوجيه الوالدي المهني والمسؤول، المتاح والملائم لكل والد بحسب احتياجاته، تطلّعاته وثقافته</w:t>
      </w:r>
      <w:r w:rsidRPr="002F34B7">
        <w:rPr>
          <w:rFonts w:asciiTheme="majorBidi" w:hAnsiTheme="majorBidi" w:cstheme="majorBidi"/>
          <w:sz w:val="22"/>
          <w:szCs w:val="22"/>
          <w:rtl/>
          <w:lang w:bidi="ar"/>
        </w:rPr>
        <w:t xml:space="preserve">. </w:t>
      </w:r>
      <w:r w:rsidRPr="002F34B7">
        <w:rPr>
          <w:rFonts w:asciiTheme="majorBidi" w:hAnsiTheme="majorBidi" w:cstheme="majorBidi"/>
          <w:sz w:val="22"/>
          <w:szCs w:val="22"/>
          <w:rtl/>
          <w:lang w:bidi="ar-SA"/>
        </w:rPr>
        <w:t>تظهر تجربة النُّظُم الاجتماعية</w:t>
      </w:r>
      <w:r w:rsidRPr="002F34B7">
        <w:rPr>
          <w:rFonts w:asciiTheme="majorBidi" w:hAnsiTheme="majorBidi" w:cstheme="majorBidi"/>
          <w:sz w:val="22"/>
          <w:szCs w:val="22"/>
          <w:rtl/>
          <w:lang w:bidi="ar"/>
        </w:rPr>
        <w:t>-</w:t>
      </w:r>
      <w:r w:rsidRPr="002F34B7">
        <w:rPr>
          <w:rFonts w:asciiTheme="majorBidi" w:hAnsiTheme="majorBidi" w:cstheme="majorBidi"/>
          <w:sz w:val="22"/>
          <w:szCs w:val="22"/>
          <w:rtl/>
          <w:lang w:bidi="ar-SA"/>
        </w:rPr>
        <w:t>التربوية في إسرائيل والعالم أن مثل هذا التوجيه يساعد الأهل في تطوير الوالدية المستنيرة، ذات العلاقة والداعمة، والتي تبني مناعة ومستقبلا أفضل وأكثر إتاحة</w:t>
      </w:r>
      <w:r w:rsidRPr="002F34B7">
        <w:rPr>
          <w:rFonts w:asciiTheme="majorBidi" w:hAnsiTheme="majorBidi" w:cstheme="majorBidi"/>
          <w:sz w:val="22"/>
          <w:szCs w:val="22"/>
          <w:rtl/>
          <w:lang w:bidi="ar"/>
        </w:rPr>
        <w:t xml:space="preserve">. </w:t>
      </w:r>
      <w:r w:rsidRPr="002F34B7">
        <w:rPr>
          <w:rFonts w:asciiTheme="majorBidi" w:hAnsiTheme="majorBidi" w:cstheme="majorBidi"/>
          <w:sz w:val="22"/>
          <w:szCs w:val="22"/>
          <w:rtl/>
          <w:lang w:bidi="ar-SA"/>
        </w:rPr>
        <w:t>تستعرض هذه المقالة النشاطات التي تجري في إسرائيل بشأن موضوع توجيه الأهل، وتقترح وضع سياسات وطنية لتعزيز الأهل</w:t>
      </w:r>
      <w:r w:rsidRPr="002F34B7">
        <w:rPr>
          <w:rFonts w:asciiTheme="majorBidi" w:hAnsiTheme="majorBidi" w:cstheme="majorBidi"/>
          <w:sz w:val="22"/>
          <w:szCs w:val="22"/>
          <w:rtl/>
          <w:lang w:bidi="ar"/>
        </w:rPr>
        <w:t xml:space="preserve">. </w:t>
      </w:r>
      <w:r w:rsidRPr="002F34B7">
        <w:rPr>
          <w:rFonts w:asciiTheme="majorBidi" w:hAnsiTheme="majorBidi" w:cstheme="majorBidi"/>
          <w:sz w:val="22"/>
          <w:szCs w:val="22"/>
          <w:rtl/>
          <w:lang w:bidi="ar-SA"/>
        </w:rPr>
        <w:t>تذكر المقالة الفوائد الجوهرية التي ستكون لمثل هذه السياسات على الفرد، العائلة والمجتمع، في الأيام العادية وفي أيام الأزمات المليئة بعدم الوضوح، الضبابية، المهام والترددات الوالدية</w:t>
      </w:r>
      <w:r w:rsidRPr="002F34B7">
        <w:rPr>
          <w:rFonts w:asciiTheme="majorBidi" w:hAnsiTheme="majorBidi" w:cstheme="majorBidi"/>
          <w:sz w:val="22"/>
          <w:szCs w:val="22"/>
          <w:rtl/>
          <w:lang w:bidi="ar"/>
        </w:rPr>
        <w:t xml:space="preserve">. </w:t>
      </w:r>
      <w:r w:rsidRPr="002F34B7">
        <w:rPr>
          <w:rFonts w:asciiTheme="majorBidi" w:hAnsiTheme="majorBidi" w:cstheme="majorBidi"/>
          <w:sz w:val="22"/>
          <w:szCs w:val="22"/>
          <w:rtl/>
          <w:lang w:bidi="ar-SA"/>
        </w:rPr>
        <w:t>تدّعي المقالة أن القيادة الوالدية الرائدة والمؤثرة هي حاجة الزمان والمكان</w:t>
      </w:r>
      <w:r w:rsidRPr="002F34B7">
        <w:rPr>
          <w:rFonts w:asciiTheme="majorBidi" w:hAnsiTheme="majorBidi" w:cstheme="majorBidi"/>
          <w:sz w:val="22"/>
          <w:szCs w:val="22"/>
          <w:rtl/>
          <w:lang w:bidi="ar"/>
        </w:rPr>
        <w:t xml:space="preserve">. </w:t>
      </w:r>
      <w:r w:rsidRPr="002F34B7">
        <w:rPr>
          <w:rFonts w:asciiTheme="majorBidi" w:hAnsiTheme="majorBidi" w:cstheme="majorBidi"/>
          <w:sz w:val="22"/>
          <w:szCs w:val="22"/>
          <w:rtl/>
          <w:lang w:bidi="ar-SA"/>
        </w:rPr>
        <w:t xml:space="preserve">لكي يحظى كل والد بتوجيه الأهل المهني والداعم الذي يرافقه في رحلاته الوالدية المحفوفة بالمخاطر والخطورة، يجب أن تكون هناك سياسات وطنية حول موضوع </w:t>
      </w:r>
      <w:r w:rsidRPr="002F34B7">
        <w:rPr>
          <w:rFonts w:asciiTheme="majorBidi" w:hAnsiTheme="majorBidi" w:cstheme="majorBidi"/>
          <w:sz w:val="22"/>
          <w:szCs w:val="22"/>
          <w:rtl/>
          <w:lang w:bidi="ar"/>
        </w:rPr>
        <w:t>"</w:t>
      </w:r>
      <w:r w:rsidRPr="002F34B7">
        <w:rPr>
          <w:rFonts w:asciiTheme="majorBidi" w:hAnsiTheme="majorBidi" w:cstheme="majorBidi"/>
          <w:sz w:val="22"/>
          <w:szCs w:val="22"/>
          <w:rtl/>
          <w:lang w:bidi="ar-SA"/>
        </w:rPr>
        <w:t>تقوية الأهل وتعزيز الوالدية</w:t>
      </w:r>
      <w:r w:rsidRPr="002F34B7">
        <w:rPr>
          <w:rFonts w:asciiTheme="majorBidi" w:hAnsiTheme="majorBidi" w:cstheme="majorBidi"/>
          <w:sz w:val="22"/>
          <w:szCs w:val="22"/>
          <w:rtl/>
          <w:lang w:bidi="ar"/>
        </w:rPr>
        <w:t>"</w:t>
      </w:r>
      <w:r w:rsidRPr="002F34B7">
        <w:rPr>
          <w:rFonts w:asciiTheme="majorBidi" w:hAnsiTheme="majorBidi" w:cstheme="majorBidi"/>
          <w:sz w:val="22"/>
          <w:szCs w:val="22"/>
          <w:rtl/>
          <w:lang w:bidi="ar-SA"/>
        </w:rPr>
        <w:t>، تديرها منظومة الحكم والمجتمع، وتكون هي المسؤولة عنها والمموّلة لها</w:t>
      </w:r>
      <w:r w:rsidRPr="002F34B7">
        <w:rPr>
          <w:rFonts w:asciiTheme="majorBidi" w:hAnsiTheme="majorBidi" w:cstheme="majorBidi"/>
          <w:sz w:val="22"/>
          <w:szCs w:val="22"/>
          <w:rtl/>
          <w:lang w:bidi="ar"/>
        </w:rPr>
        <w:t>.</w:t>
      </w:r>
    </w:p>
    <w:p w14:paraId="11715BCB" w14:textId="77777777" w:rsidR="002F34B7" w:rsidRDefault="002F34B7" w:rsidP="002F34B7">
      <w:pPr>
        <w:spacing w:after="180" w:line="280" w:lineRule="exact"/>
        <w:jc w:val="both"/>
        <w:rPr>
          <w:rFonts w:asciiTheme="majorBidi" w:hAnsiTheme="majorBidi" w:cstheme="majorBidi"/>
          <w:sz w:val="22"/>
          <w:szCs w:val="22"/>
          <w:lang w:bidi="ar"/>
        </w:rPr>
      </w:pPr>
    </w:p>
    <w:p w14:paraId="4FBC5C2B" w14:textId="77777777" w:rsidR="002F34B7" w:rsidRPr="002F34B7" w:rsidRDefault="002F34B7" w:rsidP="002F34B7">
      <w:pPr>
        <w:spacing w:after="180" w:line="280" w:lineRule="exact"/>
        <w:jc w:val="both"/>
        <w:rPr>
          <w:rFonts w:asciiTheme="majorBidi" w:hAnsiTheme="majorBidi" w:cstheme="majorBidi"/>
          <w:sz w:val="22"/>
          <w:szCs w:val="22"/>
          <w:rtl/>
        </w:rPr>
      </w:pPr>
    </w:p>
    <w:bookmarkEnd w:id="1"/>
    <w:p w14:paraId="647FDDB1" w14:textId="77777777" w:rsidR="002F34B7" w:rsidRPr="002F34B7" w:rsidRDefault="002F34B7" w:rsidP="002F34B7">
      <w:pPr>
        <w:pStyle w:val="Heading1"/>
        <w:spacing w:line="440" w:lineRule="exact"/>
        <w:rPr>
          <w:rFonts w:cs="Times New Roman"/>
          <w:color w:val="2A8E8C"/>
          <w:lang w:eastAsia="he-IL" w:bidi="ar-SA"/>
        </w:rPr>
      </w:pPr>
      <w:r w:rsidRPr="002F34B7">
        <w:rPr>
          <w:rFonts w:cs="Times New Roman"/>
          <w:color w:val="2A8E8C"/>
          <w:rtl/>
          <w:lang w:eastAsia="he-IL" w:bidi="ar-SA"/>
        </w:rPr>
        <w:lastRenderedPageBreak/>
        <w:t xml:space="preserve">وباء </w:t>
      </w:r>
      <w:proofErr w:type="spellStart"/>
      <w:r w:rsidRPr="002F34B7">
        <w:rPr>
          <w:rFonts w:cs="Times New Roman"/>
          <w:color w:val="2A8E8C"/>
          <w:rtl/>
          <w:lang w:eastAsia="he-IL" w:bidi="ar-SA"/>
        </w:rPr>
        <w:t>الكورونا</w:t>
      </w:r>
      <w:proofErr w:type="spellEnd"/>
      <w:r w:rsidRPr="002F34B7">
        <w:rPr>
          <w:rFonts w:cs="Times New Roman"/>
          <w:color w:val="2A8E8C"/>
          <w:rtl/>
          <w:lang w:eastAsia="he-IL" w:bidi="ar-SA"/>
        </w:rPr>
        <w:t xml:space="preserve"> وتأثيره على تعليمات العمل الاجتماعي: تجربة الانتقال للتعلّم عن بعد بالنسبة لطلاب/ طالبات ال</w:t>
      </w:r>
      <w:r w:rsidRPr="002F34B7">
        <w:rPr>
          <w:rFonts w:cs="Times New Roman" w:hint="cs"/>
          <w:color w:val="2A8E8C"/>
          <w:rtl/>
          <w:lang w:eastAsia="he-IL" w:bidi="ar-SA"/>
        </w:rPr>
        <w:t>عمل</w:t>
      </w:r>
      <w:r w:rsidRPr="002F34B7">
        <w:rPr>
          <w:rFonts w:cs="Times New Roman"/>
          <w:color w:val="2A8E8C"/>
          <w:rtl/>
          <w:lang w:eastAsia="he-IL" w:bidi="ar-SA"/>
        </w:rPr>
        <w:t xml:space="preserve"> الاجتماعي في إسرائيل</w:t>
      </w:r>
    </w:p>
    <w:p w14:paraId="1868B26F" w14:textId="482F2404" w:rsidR="002F34B7" w:rsidRPr="002F34B7" w:rsidRDefault="002F34B7" w:rsidP="002F34B7">
      <w:pPr>
        <w:pStyle w:val="KOT5T"/>
        <w:spacing w:before="0" w:after="240" w:line="280" w:lineRule="exact"/>
        <w:ind w:right="0"/>
        <w:jc w:val="left"/>
        <w:rPr>
          <w:rFonts w:ascii="Times New Roman" w:hAnsi="Times New Roman" w:cs="Times New Roman"/>
          <w:b w:val="0"/>
          <w:bCs w:val="0"/>
          <w:color w:val="auto"/>
          <w:rtl/>
        </w:rPr>
      </w:pPr>
      <w:r w:rsidRPr="002F34B7">
        <w:rPr>
          <w:rFonts w:ascii="Times New Roman" w:hAnsi="Times New Roman" w:cs="Times New Roman"/>
          <w:b w:val="0"/>
          <w:bCs w:val="0"/>
          <w:color w:val="auto"/>
          <w:rtl/>
          <w:lang w:bidi="ar-SA"/>
        </w:rPr>
        <w:t>يعارا باز</w:t>
      </w:r>
      <w:r w:rsidR="004820DD" w:rsidRPr="004820DD">
        <w:rPr>
          <w:rFonts w:ascii="Times New Roman" w:hAnsi="Times New Roman" w:cs="Times New Roman"/>
          <w:b w:val="0"/>
          <w:bCs w:val="0"/>
          <w:color w:val="auto"/>
          <w:vertAlign w:val="superscript"/>
          <w:rtl/>
          <w:lang w:bidi="ar-SA"/>
        </w:rPr>
        <w:footnoteReference w:id="3"/>
      </w:r>
      <w:r w:rsidRPr="002F34B7">
        <w:rPr>
          <w:rFonts w:ascii="Times New Roman" w:hAnsi="Times New Roman" w:cs="Times New Roman"/>
          <w:b w:val="0"/>
          <w:bCs w:val="0"/>
          <w:color w:val="auto"/>
          <w:rtl/>
          <w:lang w:bidi="ar-SA"/>
        </w:rPr>
        <w:t xml:space="preserve">، </w:t>
      </w:r>
      <w:proofErr w:type="spellStart"/>
      <w:r w:rsidRPr="002F34B7">
        <w:rPr>
          <w:rFonts w:ascii="Times New Roman" w:hAnsi="Times New Roman" w:cs="Times New Roman"/>
          <w:b w:val="0"/>
          <w:bCs w:val="0"/>
          <w:color w:val="auto"/>
          <w:rtl/>
          <w:lang w:bidi="ar-SA"/>
        </w:rPr>
        <w:t>ياعيل</w:t>
      </w:r>
      <w:proofErr w:type="spellEnd"/>
      <w:r w:rsidRPr="002F34B7">
        <w:rPr>
          <w:rFonts w:ascii="Times New Roman" w:hAnsi="Times New Roman" w:cs="Times New Roman"/>
          <w:b w:val="0"/>
          <w:bCs w:val="0"/>
          <w:color w:val="auto"/>
          <w:rtl/>
          <w:lang w:bidi="ar-SA"/>
        </w:rPr>
        <w:t xml:space="preserve"> لاتسر2 </w:t>
      </w:r>
      <w:proofErr w:type="spellStart"/>
      <w:r w:rsidRPr="002F34B7">
        <w:rPr>
          <w:rFonts w:ascii="Times New Roman" w:hAnsi="Times New Roman" w:cs="Times New Roman"/>
          <w:b w:val="0"/>
          <w:bCs w:val="0"/>
          <w:color w:val="auto"/>
          <w:rtl/>
          <w:lang w:bidi="ar-SA"/>
        </w:rPr>
        <w:t>وليئات</w:t>
      </w:r>
      <w:proofErr w:type="spellEnd"/>
      <w:r w:rsidRPr="002F34B7">
        <w:rPr>
          <w:rFonts w:ascii="Times New Roman" w:hAnsi="Times New Roman" w:cs="Times New Roman"/>
          <w:b w:val="0"/>
          <w:bCs w:val="0"/>
          <w:color w:val="auto"/>
          <w:rtl/>
          <w:lang w:bidi="ar-SA"/>
        </w:rPr>
        <w:t xml:space="preserve"> </w:t>
      </w:r>
      <w:proofErr w:type="spellStart"/>
      <w:r w:rsidRPr="002F34B7">
        <w:rPr>
          <w:rFonts w:ascii="Times New Roman" w:hAnsi="Times New Roman" w:cs="Times New Roman"/>
          <w:b w:val="0"/>
          <w:bCs w:val="0"/>
          <w:color w:val="auto"/>
          <w:rtl/>
          <w:lang w:bidi="ar-SA"/>
        </w:rPr>
        <w:t>شكلرسكي</w:t>
      </w:r>
      <w:proofErr w:type="spellEnd"/>
      <w:r w:rsidR="004820DD" w:rsidRPr="004820DD">
        <w:rPr>
          <w:rFonts w:ascii="Times New Roman" w:hAnsi="Times New Roman" w:cs="Times New Roman"/>
          <w:b w:val="0"/>
          <w:bCs w:val="0"/>
          <w:color w:val="auto"/>
          <w:vertAlign w:val="superscript"/>
          <w:rtl/>
          <w:lang w:bidi="ar-SA"/>
        </w:rPr>
        <w:footnoteReference w:id="4"/>
      </w:r>
      <w:r w:rsidRPr="002F34B7">
        <w:rPr>
          <w:rFonts w:ascii="Times New Roman" w:hAnsi="Times New Roman" w:cs="Times New Roman"/>
          <w:b w:val="0"/>
          <w:bCs w:val="0"/>
          <w:color w:val="auto"/>
          <w:rtl/>
          <w:lang w:bidi="ar-SA"/>
        </w:rPr>
        <w:t xml:space="preserve"> </w:t>
      </w:r>
    </w:p>
    <w:p w14:paraId="6AD2E2E6" w14:textId="77777777" w:rsidR="002F34B7" w:rsidRPr="004772F9" w:rsidRDefault="002F34B7" w:rsidP="002F34B7">
      <w:pPr>
        <w:pStyle w:val="BodyText2"/>
        <w:keepNext/>
        <w:keepLines/>
        <w:rPr>
          <w:rFonts w:cs="Times New Roman"/>
          <w:sz w:val="22"/>
          <w:szCs w:val="22"/>
          <w:rtl/>
        </w:rPr>
      </w:pPr>
    </w:p>
    <w:p w14:paraId="03920BB8" w14:textId="77777777" w:rsidR="002F34B7" w:rsidRDefault="002F34B7" w:rsidP="002F34B7">
      <w:pPr>
        <w:spacing w:after="180" w:line="280" w:lineRule="exact"/>
        <w:jc w:val="both"/>
        <w:rPr>
          <w:rFonts w:asciiTheme="majorBidi" w:hAnsiTheme="majorBidi" w:cstheme="majorBidi"/>
          <w:sz w:val="20"/>
          <w:szCs w:val="22"/>
          <w:lang w:bidi="ar"/>
        </w:rPr>
      </w:pPr>
      <w:r w:rsidRPr="002F34B7">
        <w:rPr>
          <w:rFonts w:asciiTheme="majorBidi" w:hAnsiTheme="majorBidi" w:cstheme="majorBidi"/>
          <w:color w:val="000000"/>
          <w:sz w:val="20"/>
          <w:szCs w:val="22"/>
          <w:rtl/>
          <w:lang w:bidi="ar-SA"/>
        </w:rPr>
        <w:t xml:space="preserve">مع انتشار وباء </w:t>
      </w:r>
      <w:proofErr w:type="spellStart"/>
      <w:r w:rsidRPr="002F34B7">
        <w:rPr>
          <w:rFonts w:asciiTheme="majorBidi" w:hAnsiTheme="majorBidi" w:cstheme="majorBidi"/>
          <w:color w:val="000000"/>
          <w:sz w:val="20"/>
          <w:szCs w:val="22"/>
          <w:rtl/>
          <w:lang w:bidi="ar-SA"/>
        </w:rPr>
        <w:t>الكورونا</w:t>
      </w:r>
      <w:proofErr w:type="spellEnd"/>
      <w:r w:rsidRPr="002F34B7">
        <w:rPr>
          <w:rFonts w:asciiTheme="majorBidi" w:hAnsiTheme="majorBidi" w:cstheme="majorBidi"/>
          <w:color w:val="000000"/>
          <w:sz w:val="20"/>
          <w:szCs w:val="22"/>
          <w:rtl/>
          <w:lang w:bidi="ar-SA"/>
        </w:rPr>
        <w:t>، انتقل التعليم الأكاديمي في إسرائيل وحول العالم، بصورة فورية، إلى التعليم عن بعد</w:t>
      </w:r>
      <w:r w:rsidRPr="002F34B7">
        <w:rPr>
          <w:rFonts w:asciiTheme="majorBidi" w:hAnsiTheme="majorBidi" w:cstheme="majorBidi"/>
          <w:color w:val="000000"/>
          <w:sz w:val="20"/>
          <w:szCs w:val="22"/>
          <w:rtl/>
          <w:lang w:bidi="ar"/>
        </w:rPr>
        <w:t xml:space="preserve">. </w:t>
      </w:r>
      <w:r w:rsidRPr="002F34B7">
        <w:rPr>
          <w:rFonts w:asciiTheme="majorBidi" w:hAnsiTheme="majorBidi" w:cstheme="majorBidi"/>
          <w:color w:val="000000"/>
          <w:sz w:val="20"/>
          <w:szCs w:val="22"/>
          <w:rtl/>
          <w:lang w:bidi="ar-SA"/>
        </w:rPr>
        <w:t>لم يتم بعد بحث ودراسة تأثير هذا الانتقال على تجربة الدراسة لدى طلاب العمل الاجتماعي، بالصورة الكافية</w:t>
      </w:r>
      <w:r w:rsidRPr="002F34B7">
        <w:rPr>
          <w:rFonts w:asciiTheme="majorBidi" w:hAnsiTheme="majorBidi" w:cstheme="majorBidi"/>
          <w:color w:val="000000"/>
          <w:sz w:val="20"/>
          <w:szCs w:val="22"/>
          <w:rtl/>
          <w:lang w:bidi="ar"/>
        </w:rPr>
        <w:t>.</w:t>
      </w:r>
      <w:r w:rsidRPr="002F34B7">
        <w:rPr>
          <w:rFonts w:asciiTheme="majorBidi" w:hAnsiTheme="majorBidi" w:cstheme="majorBidi"/>
          <w:sz w:val="20"/>
          <w:szCs w:val="22"/>
          <w:rtl/>
          <w:lang w:bidi="ar-SA"/>
        </w:rPr>
        <w:t xml:space="preserve"> الهدف من هذا البحث هو</w:t>
      </w:r>
      <w:r w:rsidRPr="002F34B7">
        <w:rPr>
          <w:rFonts w:asciiTheme="majorBidi" w:hAnsiTheme="majorBidi" w:cstheme="majorBidi"/>
          <w:color w:val="000000"/>
          <w:sz w:val="20"/>
          <w:szCs w:val="22"/>
          <w:rtl/>
          <w:lang w:bidi="ar-SA"/>
        </w:rPr>
        <w:t xml:space="preserve"> فحص تأثير وباء </w:t>
      </w:r>
      <w:proofErr w:type="spellStart"/>
      <w:r w:rsidRPr="002F34B7">
        <w:rPr>
          <w:rFonts w:asciiTheme="majorBidi" w:hAnsiTheme="majorBidi" w:cstheme="majorBidi"/>
          <w:color w:val="000000"/>
          <w:sz w:val="20"/>
          <w:szCs w:val="22"/>
          <w:rtl/>
          <w:lang w:bidi="ar-SA"/>
        </w:rPr>
        <w:t>الكورونا</w:t>
      </w:r>
      <w:proofErr w:type="spellEnd"/>
      <w:r w:rsidRPr="002F34B7">
        <w:rPr>
          <w:rFonts w:asciiTheme="majorBidi" w:hAnsiTheme="majorBidi" w:cstheme="majorBidi"/>
          <w:color w:val="000000"/>
          <w:sz w:val="20"/>
          <w:szCs w:val="22"/>
          <w:rtl/>
          <w:lang w:bidi="ar-SA"/>
        </w:rPr>
        <w:t xml:space="preserve"> والانتفال إلى التعّلم عن بعد في مجال العمل الاجتماعي على التجربة العاطفية والعقلية</w:t>
      </w:r>
      <w:r w:rsidRPr="002F34B7">
        <w:rPr>
          <w:rFonts w:asciiTheme="majorBidi" w:hAnsiTheme="majorBidi" w:cstheme="majorBidi"/>
          <w:color w:val="000000"/>
          <w:sz w:val="20"/>
          <w:szCs w:val="22"/>
          <w:lang w:bidi="ar"/>
        </w:rPr>
        <w:t xml:space="preserve"> </w:t>
      </w:r>
      <w:r w:rsidRPr="002F34B7">
        <w:rPr>
          <w:rFonts w:asciiTheme="majorBidi" w:hAnsiTheme="majorBidi" w:cstheme="majorBidi"/>
          <w:color w:val="000000"/>
          <w:sz w:val="20"/>
          <w:szCs w:val="22"/>
          <w:rtl/>
          <w:lang w:bidi="ar"/>
        </w:rPr>
        <w:t xml:space="preserve">/ </w:t>
      </w:r>
      <w:r w:rsidRPr="002F34B7">
        <w:rPr>
          <w:rFonts w:asciiTheme="majorBidi" w:hAnsiTheme="majorBidi" w:cstheme="majorBidi"/>
          <w:color w:val="000000"/>
          <w:sz w:val="20"/>
          <w:szCs w:val="22"/>
          <w:rtl/>
          <w:lang w:bidi="ar-SA"/>
        </w:rPr>
        <w:t>الإدراكية لدى الطلاب، وعلى الطريقة التي يرون جودة التعليم بها</w:t>
      </w:r>
      <w:r w:rsidRPr="002F34B7">
        <w:rPr>
          <w:rFonts w:asciiTheme="majorBidi" w:hAnsiTheme="majorBidi" w:cstheme="majorBidi"/>
          <w:color w:val="000000"/>
          <w:sz w:val="20"/>
          <w:szCs w:val="22"/>
          <w:rtl/>
          <w:lang w:bidi="ar"/>
        </w:rPr>
        <w:t>.</w:t>
      </w:r>
      <w:r w:rsidRPr="002F34B7">
        <w:rPr>
          <w:rFonts w:asciiTheme="majorBidi" w:hAnsiTheme="majorBidi" w:cstheme="majorBidi"/>
          <w:sz w:val="20"/>
          <w:szCs w:val="22"/>
          <w:rtl/>
          <w:lang w:bidi="ar-SA"/>
        </w:rPr>
        <w:t xml:space="preserve"> شارك في البحث </w:t>
      </w:r>
      <w:r w:rsidRPr="002F34B7">
        <w:rPr>
          <w:rFonts w:asciiTheme="majorBidi" w:hAnsiTheme="majorBidi" w:cstheme="majorBidi"/>
          <w:sz w:val="20"/>
          <w:szCs w:val="22"/>
          <w:rtl/>
          <w:lang w:bidi="ar"/>
        </w:rPr>
        <w:t xml:space="preserve">150 </w:t>
      </w:r>
      <w:r w:rsidRPr="002F34B7">
        <w:rPr>
          <w:rFonts w:asciiTheme="majorBidi" w:hAnsiTheme="majorBidi" w:cstheme="majorBidi"/>
          <w:sz w:val="20"/>
          <w:szCs w:val="22"/>
          <w:rtl/>
          <w:lang w:bidi="ar-SA"/>
        </w:rPr>
        <w:t xml:space="preserve">طالبا للعمل الاجتماعي من مؤسسات أكاديمية مختلفة في إسرائيل، من خلال </w:t>
      </w:r>
      <w:proofErr w:type="gramStart"/>
      <w:r w:rsidRPr="002F34B7">
        <w:rPr>
          <w:rFonts w:asciiTheme="majorBidi" w:hAnsiTheme="majorBidi" w:cstheme="majorBidi"/>
          <w:sz w:val="20"/>
          <w:szCs w:val="22"/>
          <w:rtl/>
          <w:lang w:bidi="ar-SA"/>
        </w:rPr>
        <w:t>استبيان</w:t>
      </w:r>
      <w:proofErr w:type="gramEnd"/>
      <w:r w:rsidRPr="002F34B7">
        <w:rPr>
          <w:rFonts w:asciiTheme="majorBidi" w:hAnsiTheme="majorBidi" w:cstheme="majorBidi"/>
          <w:sz w:val="20"/>
          <w:szCs w:val="22"/>
          <w:rtl/>
          <w:lang w:bidi="ar-SA"/>
        </w:rPr>
        <w:t xml:space="preserve"> عبر الإنترنت تم تمريره لهم عبر الشبكات الاجتماعية</w:t>
      </w:r>
      <w:r w:rsidRPr="002F34B7">
        <w:rPr>
          <w:rFonts w:asciiTheme="majorBidi" w:hAnsiTheme="majorBidi" w:cstheme="majorBidi"/>
          <w:sz w:val="20"/>
          <w:szCs w:val="22"/>
          <w:rtl/>
          <w:lang w:bidi="ar"/>
        </w:rPr>
        <w:t xml:space="preserve">. </w:t>
      </w:r>
      <w:r w:rsidRPr="002F34B7">
        <w:rPr>
          <w:rFonts w:asciiTheme="majorBidi" w:hAnsiTheme="majorBidi" w:cstheme="majorBidi"/>
          <w:color w:val="000000"/>
          <w:sz w:val="20"/>
          <w:szCs w:val="22"/>
          <w:rtl/>
          <w:lang w:bidi="ar-SA"/>
        </w:rPr>
        <w:t xml:space="preserve">اعتمد </w:t>
      </w:r>
      <w:proofErr w:type="gramStart"/>
      <w:r w:rsidRPr="002F34B7">
        <w:rPr>
          <w:rFonts w:asciiTheme="majorBidi" w:hAnsiTheme="majorBidi" w:cstheme="majorBidi"/>
          <w:color w:val="000000"/>
          <w:sz w:val="20"/>
          <w:szCs w:val="22"/>
          <w:rtl/>
          <w:lang w:bidi="ar-SA"/>
        </w:rPr>
        <w:t>الاستبيان</w:t>
      </w:r>
      <w:proofErr w:type="gramEnd"/>
      <w:r w:rsidRPr="002F34B7">
        <w:rPr>
          <w:rFonts w:asciiTheme="majorBidi" w:hAnsiTheme="majorBidi" w:cstheme="majorBidi"/>
          <w:color w:val="000000"/>
          <w:sz w:val="20"/>
          <w:szCs w:val="22"/>
          <w:rtl/>
          <w:lang w:bidi="ar-SA"/>
        </w:rPr>
        <w:t xml:space="preserve"> على أداة تم بناؤها </w:t>
      </w:r>
      <w:r w:rsidRPr="002F34B7">
        <w:rPr>
          <w:rFonts w:asciiTheme="majorBidi" w:hAnsiTheme="majorBidi" w:cstheme="majorBidi"/>
          <w:sz w:val="20"/>
          <w:szCs w:val="22"/>
          <w:rtl/>
          <w:lang w:bidi="ar-SA"/>
        </w:rPr>
        <w:t>في نيو جيرسي وشمل استطلاعا ديموغرافيّا، مقولات وأسئلة مفتوحة</w:t>
      </w:r>
      <w:r w:rsidRPr="002F34B7">
        <w:rPr>
          <w:rFonts w:asciiTheme="majorBidi" w:hAnsiTheme="majorBidi" w:cstheme="majorBidi"/>
          <w:sz w:val="20"/>
          <w:szCs w:val="22"/>
          <w:rtl/>
          <w:lang w:bidi="ar"/>
        </w:rPr>
        <w:t xml:space="preserve">. </w:t>
      </w:r>
      <w:r w:rsidRPr="002F34B7">
        <w:rPr>
          <w:rFonts w:asciiTheme="majorBidi" w:hAnsiTheme="majorBidi" w:cstheme="majorBidi"/>
          <w:sz w:val="20"/>
          <w:szCs w:val="22"/>
          <w:rtl/>
          <w:lang w:bidi="ar-SA"/>
        </w:rPr>
        <w:t>تؤكد نتائج البحث على المشاعر المختلطة التي رافقت الطلاب عند الانتقال إلى التعلّم عن بعد</w:t>
      </w:r>
      <w:r w:rsidRPr="002F34B7">
        <w:rPr>
          <w:rFonts w:asciiTheme="majorBidi" w:hAnsiTheme="majorBidi" w:cstheme="majorBidi"/>
          <w:color w:val="000000"/>
          <w:sz w:val="20"/>
          <w:szCs w:val="22"/>
          <w:rtl/>
          <w:lang w:bidi="ar-SA"/>
        </w:rPr>
        <w:t xml:space="preserve"> منذ المرحلة الأولى للوباء، </w:t>
      </w:r>
      <w:r w:rsidRPr="002F34B7">
        <w:rPr>
          <w:rFonts w:asciiTheme="majorBidi" w:hAnsiTheme="majorBidi" w:cstheme="majorBidi"/>
          <w:sz w:val="20"/>
          <w:szCs w:val="22"/>
          <w:rtl/>
          <w:lang w:bidi="ar-SA"/>
        </w:rPr>
        <w:t xml:space="preserve">وضع </w:t>
      </w:r>
      <w:r w:rsidRPr="002F34B7">
        <w:rPr>
          <w:rFonts w:asciiTheme="majorBidi" w:hAnsiTheme="majorBidi" w:cstheme="majorBidi"/>
          <w:sz w:val="20"/>
          <w:szCs w:val="22"/>
          <w:rtl/>
          <w:lang w:bidi="ar"/>
        </w:rPr>
        <w:t xml:space="preserve">52% </w:t>
      </w:r>
      <w:r w:rsidRPr="002F34B7">
        <w:rPr>
          <w:rFonts w:asciiTheme="majorBidi" w:hAnsiTheme="majorBidi" w:cstheme="majorBidi"/>
          <w:sz w:val="20"/>
          <w:szCs w:val="22"/>
          <w:rtl/>
          <w:lang w:bidi="ar-SA"/>
        </w:rPr>
        <w:t>من المشاركين أنفسهم</w:t>
      </w:r>
      <w:r w:rsidRPr="002F34B7">
        <w:rPr>
          <w:rFonts w:asciiTheme="majorBidi" w:hAnsiTheme="majorBidi" w:cstheme="majorBidi"/>
          <w:color w:val="000000"/>
          <w:sz w:val="20"/>
          <w:szCs w:val="22"/>
          <w:rtl/>
          <w:lang w:bidi="ar-SA"/>
        </w:rPr>
        <w:t xml:space="preserve"> في إجابة </w:t>
      </w:r>
      <w:r w:rsidRPr="002F34B7">
        <w:rPr>
          <w:rFonts w:asciiTheme="majorBidi" w:hAnsiTheme="majorBidi" w:cstheme="majorBidi"/>
          <w:color w:val="000000"/>
          <w:sz w:val="20"/>
          <w:szCs w:val="22"/>
          <w:rtl/>
          <w:lang w:bidi="ar"/>
        </w:rPr>
        <w:t>"</w:t>
      </w:r>
      <w:r w:rsidRPr="002F34B7">
        <w:rPr>
          <w:rFonts w:asciiTheme="majorBidi" w:hAnsiTheme="majorBidi" w:cstheme="majorBidi"/>
          <w:color w:val="000000"/>
          <w:sz w:val="20"/>
          <w:szCs w:val="22"/>
          <w:rtl/>
          <w:lang w:bidi="ar-SA"/>
        </w:rPr>
        <w:t>التجربة والتأقلم</w:t>
      </w:r>
      <w:r w:rsidRPr="002F34B7">
        <w:rPr>
          <w:rFonts w:asciiTheme="majorBidi" w:hAnsiTheme="majorBidi" w:cstheme="majorBidi"/>
          <w:color w:val="000000"/>
          <w:sz w:val="20"/>
          <w:szCs w:val="22"/>
          <w:rtl/>
          <w:lang w:bidi="ar"/>
        </w:rPr>
        <w:t xml:space="preserve">" </w:t>
      </w:r>
      <w:r w:rsidRPr="002F34B7">
        <w:rPr>
          <w:rFonts w:asciiTheme="majorBidi" w:hAnsiTheme="majorBidi" w:cstheme="majorBidi"/>
          <w:color w:val="000000"/>
          <w:sz w:val="20"/>
          <w:szCs w:val="22"/>
          <w:rtl/>
          <w:lang w:bidi="ar-SA"/>
        </w:rPr>
        <w:t xml:space="preserve">على دالّة </w:t>
      </w:r>
      <w:proofErr w:type="spellStart"/>
      <w:r w:rsidRPr="002F34B7">
        <w:rPr>
          <w:rFonts w:asciiTheme="majorBidi" w:hAnsiTheme="majorBidi" w:cstheme="majorBidi"/>
          <w:color w:val="000000"/>
          <w:sz w:val="20"/>
          <w:szCs w:val="22"/>
          <w:rtl/>
          <w:lang w:bidi="ar-SA"/>
        </w:rPr>
        <w:t>كوبلر</w:t>
      </w:r>
      <w:proofErr w:type="spellEnd"/>
      <w:r w:rsidRPr="002F34B7">
        <w:rPr>
          <w:rFonts w:asciiTheme="majorBidi" w:hAnsiTheme="majorBidi" w:cstheme="majorBidi"/>
          <w:color w:val="000000"/>
          <w:sz w:val="20"/>
          <w:szCs w:val="22"/>
          <w:rtl/>
          <w:lang w:bidi="ar-SA"/>
        </w:rPr>
        <w:t xml:space="preserve"> روس للتغيير </w:t>
      </w:r>
      <w:r w:rsidRPr="002F34B7">
        <w:rPr>
          <w:rFonts w:asciiTheme="majorBidi" w:hAnsiTheme="majorBidi" w:cstheme="majorBidi"/>
          <w:color w:val="000000"/>
          <w:sz w:val="20"/>
          <w:szCs w:val="22"/>
          <w:rtl/>
          <w:lang w:bidi="ar"/>
        </w:rPr>
        <w:t xml:space="preserve">(1969). </w:t>
      </w:r>
      <w:r w:rsidRPr="002F34B7">
        <w:rPr>
          <w:rFonts w:asciiTheme="majorBidi" w:hAnsiTheme="majorBidi" w:cstheme="majorBidi"/>
          <w:color w:val="000000"/>
          <w:sz w:val="20"/>
          <w:szCs w:val="22"/>
          <w:rtl/>
          <w:lang w:bidi="ar-SA"/>
        </w:rPr>
        <w:t xml:space="preserve">مع ذلك، قال </w:t>
      </w:r>
      <w:r w:rsidRPr="002F34B7">
        <w:rPr>
          <w:rFonts w:asciiTheme="majorBidi" w:hAnsiTheme="majorBidi" w:cstheme="majorBidi"/>
          <w:color w:val="000000"/>
          <w:sz w:val="20"/>
          <w:szCs w:val="22"/>
          <w:rtl/>
          <w:lang w:bidi="ar"/>
        </w:rPr>
        <w:t xml:space="preserve">62.6% </w:t>
      </w:r>
      <w:r w:rsidRPr="002F34B7">
        <w:rPr>
          <w:rFonts w:asciiTheme="majorBidi" w:hAnsiTheme="majorBidi" w:cstheme="majorBidi"/>
          <w:color w:val="000000"/>
          <w:sz w:val="20"/>
          <w:szCs w:val="22"/>
          <w:rtl/>
          <w:lang w:bidi="ar-SA"/>
        </w:rPr>
        <w:t xml:space="preserve">إنه كان لهذه الفترة تأثير عاطفي مسببا للشكوك، وأبلغ </w:t>
      </w:r>
      <w:r w:rsidRPr="002F34B7">
        <w:rPr>
          <w:rFonts w:asciiTheme="majorBidi" w:hAnsiTheme="majorBidi" w:cstheme="majorBidi"/>
          <w:color w:val="000000"/>
          <w:sz w:val="20"/>
          <w:szCs w:val="22"/>
          <w:rtl/>
          <w:lang w:bidi="ar"/>
        </w:rPr>
        <w:t xml:space="preserve">68% </w:t>
      </w:r>
      <w:r w:rsidRPr="002F34B7">
        <w:rPr>
          <w:rFonts w:asciiTheme="majorBidi" w:hAnsiTheme="majorBidi" w:cstheme="majorBidi"/>
          <w:color w:val="000000"/>
          <w:sz w:val="20"/>
          <w:szCs w:val="22"/>
          <w:rtl/>
          <w:lang w:bidi="ar-SA"/>
        </w:rPr>
        <w:t>عن ارتباك وشعور بالعجز</w:t>
      </w:r>
      <w:r w:rsidRPr="002F34B7">
        <w:rPr>
          <w:rFonts w:asciiTheme="majorBidi" w:hAnsiTheme="majorBidi" w:cstheme="majorBidi"/>
          <w:color w:val="000000"/>
          <w:sz w:val="20"/>
          <w:szCs w:val="22"/>
          <w:rtl/>
          <w:lang w:bidi="ar"/>
        </w:rPr>
        <w:t xml:space="preserve">. </w:t>
      </w:r>
      <w:r w:rsidRPr="002F34B7">
        <w:rPr>
          <w:rFonts w:asciiTheme="majorBidi" w:hAnsiTheme="majorBidi" w:cstheme="majorBidi"/>
          <w:color w:val="000000"/>
          <w:sz w:val="20"/>
          <w:szCs w:val="22"/>
          <w:rtl/>
          <w:lang w:bidi="ar-SA"/>
        </w:rPr>
        <w:t xml:space="preserve">هذا، بالإضافة إلى أن أكثر من نصفهم قالوا إن الانتقال للتعليم عن بعد مسّ بجودة التعليم </w:t>
      </w:r>
      <w:r w:rsidRPr="002F34B7">
        <w:rPr>
          <w:rFonts w:asciiTheme="majorBidi" w:hAnsiTheme="majorBidi" w:cstheme="majorBidi"/>
          <w:color w:val="000000"/>
          <w:sz w:val="20"/>
          <w:szCs w:val="22"/>
          <w:rtl/>
          <w:lang w:bidi="ar"/>
        </w:rPr>
        <w:t>(64.6%)</w:t>
      </w:r>
      <w:r w:rsidRPr="002F34B7">
        <w:rPr>
          <w:rFonts w:asciiTheme="majorBidi" w:hAnsiTheme="majorBidi" w:cstheme="majorBidi"/>
          <w:color w:val="000000"/>
          <w:sz w:val="20"/>
          <w:szCs w:val="22"/>
          <w:rtl/>
          <w:lang w:bidi="ar-SA"/>
        </w:rPr>
        <w:t xml:space="preserve">، وإنهم وجودوا صعوبة في الوصول إلى نفس الحميمية التي كانوا معتادين عليها ضمن المجموعات الصغيرة </w:t>
      </w:r>
      <w:r w:rsidRPr="002F34B7">
        <w:rPr>
          <w:rFonts w:asciiTheme="majorBidi" w:hAnsiTheme="majorBidi" w:cstheme="majorBidi"/>
          <w:color w:val="000000"/>
          <w:sz w:val="20"/>
          <w:szCs w:val="22"/>
          <w:rtl/>
          <w:lang w:bidi="ar"/>
        </w:rPr>
        <w:t>(77.4%)</w:t>
      </w:r>
      <w:r w:rsidRPr="002F34B7">
        <w:rPr>
          <w:rFonts w:asciiTheme="majorBidi" w:hAnsiTheme="majorBidi" w:cstheme="majorBidi"/>
          <w:color w:val="000000"/>
          <w:sz w:val="20"/>
          <w:szCs w:val="22"/>
          <w:rtl/>
          <w:lang w:bidi="ar-SA"/>
        </w:rPr>
        <w:t xml:space="preserve">، ويرى غالبيتهم </w:t>
      </w:r>
      <w:r w:rsidRPr="002F34B7">
        <w:rPr>
          <w:rFonts w:asciiTheme="majorBidi" w:hAnsiTheme="majorBidi" w:cstheme="majorBidi"/>
          <w:color w:val="000000"/>
          <w:sz w:val="20"/>
          <w:szCs w:val="22"/>
          <w:rtl/>
          <w:lang w:bidi="ar"/>
        </w:rPr>
        <w:t xml:space="preserve">(71.3%) </w:t>
      </w:r>
      <w:r w:rsidRPr="002F34B7">
        <w:rPr>
          <w:rFonts w:asciiTheme="majorBidi" w:hAnsiTheme="majorBidi" w:cstheme="majorBidi"/>
          <w:color w:val="000000"/>
          <w:sz w:val="20"/>
          <w:szCs w:val="22"/>
          <w:rtl/>
          <w:lang w:bidi="ar-SA"/>
        </w:rPr>
        <w:t xml:space="preserve">أفضلية في التعليم عن بعد، ومنفتحين على هذه الإمكانية في المستقبل أيضا </w:t>
      </w:r>
      <w:r w:rsidRPr="002F34B7">
        <w:rPr>
          <w:rFonts w:asciiTheme="majorBidi" w:hAnsiTheme="majorBidi" w:cstheme="majorBidi"/>
          <w:color w:val="000000"/>
          <w:sz w:val="20"/>
          <w:szCs w:val="22"/>
          <w:rtl/>
          <w:lang w:bidi="ar"/>
        </w:rPr>
        <w:t xml:space="preserve">(76%). </w:t>
      </w:r>
      <w:r w:rsidRPr="002F34B7">
        <w:rPr>
          <w:rFonts w:asciiTheme="majorBidi" w:hAnsiTheme="majorBidi" w:cstheme="majorBidi"/>
          <w:sz w:val="20"/>
          <w:szCs w:val="22"/>
          <w:rtl/>
          <w:lang w:bidi="ar-SA"/>
        </w:rPr>
        <w:t>ينظر هذا البحث إلى التعلّم عن بعد كظاهرة جديدة، ذات تأثير على مستقبل سياسات التعليم في مجال العمل الاجتماعي</w:t>
      </w:r>
      <w:r w:rsidRPr="002F34B7">
        <w:rPr>
          <w:rFonts w:asciiTheme="majorBidi" w:hAnsiTheme="majorBidi" w:cstheme="majorBidi"/>
          <w:sz w:val="20"/>
          <w:szCs w:val="22"/>
          <w:rtl/>
          <w:lang w:bidi="ar"/>
        </w:rPr>
        <w:t xml:space="preserve">. </w:t>
      </w:r>
      <w:r w:rsidRPr="002F34B7">
        <w:rPr>
          <w:rFonts w:asciiTheme="majorBidi" w:hAnsiTheme="majorBidi" w:cstheme="majorBidi"/>
          <w:sz w:val="20"/>
          <w:szCs w:val="22"/>
          <w:rtl/>
          <w:lang w:bidi="ar-SA"/>
        </w:rPr>
        <w:t>تشكل نتائج البحث بنية تحتية لفهم التعقيد الكامن في التعلّم عن بعد في هذا المجال، والذي يعتمد على التعلّم من خلال التجربة، ومواصلة البحث في المجال</w:t>
      </w:r>
      <w:r w:rsidRPr="002F34B7">
        <w:rPr>
          <w:rFonts w:asciiTheme="majorBidi" w:hAnsiTheme="majorBidi" w:cstheme="majorBidi"/>
          <w:sz w:val="20"/>
          <w:szCs w:val="22"/>
          <w:rtl/>
          <w:lang w:bidi="ar"/>
        </w:rPr>
        <w:t xml:space="preserve">. </w:t>
      </w:r>
    </w:p>
    <w:p w14:paraId="011DBF14" w14:textId="77777777" w:rsidR="002F34B7" w:rsidRDefault="002F34B7" w:rsidP="002F34B7">
      <w:pPr>
        <w:spacing w:after="180" w:line="280" w:lineRule="exact"/>
        <w:jc w:val="both"/>
        <w:rPr>
          <w:rFonts w:asciiTheme="majorBidi" w:hAnsiTheme="majorBidi" w:cstheme="majorBidi"/>
          <w:sz w:val="20"/>
          <w:szCs w:val="22"/>
          <w:lang w:bidi="ar"/>
        </w:rPr>
      </w:pPr>
    </w:p>
    <w:p w14:paraId="1D700E22" w14:textId="77777777" w:rsidR="002F34B7" w:rsidRPr="002F34B7" w:rsidRDefault="002F34B7" w:rsidP="002F34B7">
      <w:pPr>
        <w:spacing w:after="180" w:line="280" w:lineRule="exact"/>
        <w:jc w:val="both"/>
        <w:rPr>
          <w:rFonts w:asciiTheme="majorBidi" w:hAnsiTheme="majorBidi" w:cstheme="majorBidi"/>
          <w:sz w:val="20"/>
          <w:szCs w:val="22"/>
          <w:rtl/>
        </w:rPr>
      </w:pPr>
    </w:p>
    <w:p w14:paraId="14D83896" w14:textId="750E7F6F" w:rsidR="002F34B7" w:rsidRPr="002F34B7" w:rsidRDefault="002F34B7" w:rsidP="002F34B7">
      <w:pPr>
        <w:pStyle w:val="Heading1"/>
        <w:spacing w:line="440" w:lineRule="exact"/>
        <w:rPr>
          <w:rFonts w:cs="Times New Roman"/>
          <w:color w:val="2A8E8C"/>
          <w:rtl/>
          <w:lang w:eastAsia="he-IL"/>
        </w:rPr>
      </w:pPr>
      <w:r w:rsidRPr="002F34B7">
        <w:rPr>
          <w:rFonts w:cs="Times New Roman"/>
          <w:color w:val="2A8E8C"/>
          <w:rtl/>
          <w:lang w:eastAsia="he-IL" w:bidi="ar-SA"/>
        </w:rPr>
        <w:lastRenderedPageBreak/>
        <w:t xml:space="preserve">دمج مندوبي الجمهور في الهيئات القضائية: استعراض </w:t>
      </w:r>
      <w:r w:rsidRPr="002F34B7">
        <w:rPr>
          <w:rFonts w:cs="Times New Roman" w:hint="cs"/>
          <w:color w:val="2A8E8C"/>
          <w:rtl/>
          <w:lang w:eastAsia="he-IL" w:bidi="ar-SA"/>
        </w:rPr>
        <w:t>تربوي</w:t>
      </w:r>
      <w:r w:rsidRPr="002F34B7">
        <w:rPr>
          <w:rFonts w:cs="Times New Roman"/>
          <w:color w:val="2A8E8C"/>
          <w:rtl/>
          <w:lang w:eastAsia="he-IL" w:bidi="ar-SA"/>
        </w:rPr>
        <w:t xml:space="preserve"> منهجي</w:t>
      </w:r>
      <w:r w:rsidR="004820DD">
        <w:rPr>
          <w:rFonts w:cs="Times New Roman"/>
          <w:color w:val="2A8E8C"/>
          <w:rtl/>
          <w:lang w:eastAsia="he-IL" w:bidi="ar-SA"/>
        </w:rPr>
        <w:t xml:space="preserve"> </w:t>
      </w:r>
    </w:p>
    <w:p w14:paraId="45FF8272" w14:textId="61706F83" w:rsidR="002F34B7" w:rsidRPr="002F34B7" w:rsidRDefault="002F34B7" w:rsidP="002F34B7">
      <w:pPr>
        <w:pStyle w:val="KOT5T"/>
        <w:spacing w:before="0" w:after="240" w:line="280" w:lineRule="exact"/>
        <w:ind w:right="0"/>
        <w:jc w:val="left"/>
        <w:rPr>
          <w:rFonts w:ascii="Times New Roman" w:hAnsi="Times New Roman" w:cs="Times New Roman"/>
          <w:b w:val="0"/>
          <w:bCs w:val="0"/>
          <w:color w:val="auto"/>
          <w:rtl/>
        </w:rPr>
      </w:pPr>
      <w:r w:rsidRPr="002F34B7">
        <w:rPr>
          <w:rFonts w:ascii="Times New Roman" w:hAnsi="Times New Roman" w:cs="Times New Roman"/>
          <w:b w:val="0"/>
          <w:bCs w:val="0"/>
          <w:color w:val="auto"/>
          <w:rtl/>
          <w:lang w:bidi="ar-SA"/>
        </w:rPr>
        <w:t xml:space="preserve">نعما بار-أون </w:t>
      </w:r>
      <w:proofErr w:type="spellStart"/>
      <w:r w:rsidRPr="002F34B7">
        <w:rPr>
          <w:rFonts w:ascii="Times New Roman" w:hAnsi="Times New Roman" w:cs="Times New Roman"/>
          <w:b w:val="0"/>
          <w:bCs w:val="0"/>
          <w:color w:val="auto"/>
          <w:rtl/>
          <w:lang w:bidi="ar-SA"/>
        </w:rPr>
        <w:t>شميلوفيتش</w:t>
      </w:r>
      <w:proofErr w:type="spellEnd"/>
      <w:r w:rsidR="004820DD" w:rsidRPr="004820DD">
        <w:rPr>
          <w:rFonts w:ascii="Times New Roman" w:hAnsi="Times New Roman" w:cs="Times New Roman"/>
          <w:b w:val="0"/>
          <w:bCs w:val="0"/>
          <w:color w:val="auto"/>
          <w:vertAlign w:val="superscript"/>
          <w:rtl/>
          <w:lang w:bidi="ar-SA"/>
        </w:rPr>
        <w:footnoteReference w:id="5"/>
      </w:r>
      <w:r w:rsidRPr="002F34B7">
        <w:rPr>
          <w:rFonts w:ascii="Times New Roman" w:hAnsi="Times New Roman" w:cs="Times New Roman"/>
          <w:b w:val="0"/>
          <w:bCs w:val="0"/>
          <w:color w:val="auto"/>
          <w:rtl/>
          <w:lang w:bidi="ar-SA"/>
        </w:rPr>
        <w:t xml:space="preserve">، شاي </w:t>
      </w:r>
      <w:proofErr w:type="spellStart"/>
      <w:r w:rsidRPr="002F34B7">
        <w:rPr>
          <w:rFonts w:ascii="Times New Roman" w:hAnsi="Times New Roman" w:cs="Times New Roman"/>
          <w:b w:val="0"/>
          <w:bCs w:val="0"/>
          <w:color w:val="auto"/>
          <w:rtl/>
          <w:lang w:bidi="ar-SA"/>
        </w:rPr>
        <w:t>تسفرير</w:t>
      </w:r>
      <w:proofErr w:type="spellEnd"/>
      <w:r w:rsidR="004820DD" w:rsidRPr="004820DD">
        <w:rPr>
          <w:rFonts w:ascii="Times New Roman" w:hAnsi="Times New Roman" w:cs="Times New Roman"/>
          <w:b w:val="0"/>
          <w:bCs w:val="0"/>
          <w:color w:val="auto"/>
          <w:vertAlign w:val="superscript"/>
          <w:rtl/>
          <w:lang w:bidi="ar-SA"/>
        </w:rPr>
        <w:footnoteReference w:id="6"/>
      </w:r>
      <w:r w:rsidRPr="002F34B7">
        <w:rPr>
          <w:rFonts w:ascii="Times New Roman" w:hAnsi="Times New Roman" w:cs="Times New Roman"/>
          <w:b w:val="0"/>
          <w:bCs w:val="0"/>
          <w:color w:val="auto"/>
          <w:rtl/>
          <w:lang w:bidi="ar-SA"/>
        </w:rPr>
        <w:t xml:space="preserve"> </w:t>
      </w:r>
      <w:proofErr w:type="spellStart"/>
      <w:r w:rsidRPr="002F34B7">
        <w:rPr>
          <w:rFonts w:ascii="Times New Roman" w:hAnsi="Times New Roman" w:cs="Times New Roman"/>
          <w:b w:val="0"/>
          <w:bCs w:val="0"/>
          <w:color w:val="auto"/>
          <w:rtl/>
          <w:lang w:bidi="ar-SA"/>
        </w:rPr>
        <w:t>ويسرائيل</w:t>
      </w:r>
      <w:proofErr w:type="spellEnd"/>
      <w:r w:rsidRPr="002F34B7">
        <w:rPr>
          <w:rFonts w:ascii="Times New Roman" w:hAnsi="Times New Roman" w:cs="Times New Roman"/>
          <w:b w:val="0"/>
          <w:bCs w:val="0"/>
          <w:color w:val="auto"/>
          <w:rtl/>
          <w:lang w:bidi="ar-SA"/>
        </w:rPr>
        <w:t xml:space="preserve"> (إيسي) </w:t>
      </w:r>
      <w:proofErr w:type="spellStart"/>
      <w:r w:rsidRPr="002F34B7">
        <w:rPr>
          <w:rFonts w:ascii="Times New Roman" w:hAnsi="Times New Roman" w:cs="Times New Roman"/>
          <w:b w:val="0"/>
          <w:bCs w:val="0"/>
          <w:color w:val="auto"/>
          <w:rtl/>
          <w:lang w:bidi="ar-SA"/>
        </w:rPr>
        <w:t>دورون</w:t>
      </w:r>
      <w:proofErr w:type="spellEnd"/>
      <w:r w:rsidR="004820DD" w:rsidRPr="004820DD">
        <w:rPr>
          <w:rFonts w:ascii="Times New Roman" w:hAnsi="Times New Roman" w:cs="Times New Roman"/>
          <w:b w:val="0"/>
          <w:bCs w:val="0"/>
          <w:color w:val="auto"/>
          <w:vertAlign w:val="superscript"/>
          <w:rtl/>
          <w:lang w:bidi="ar-SA"/>
        </w:rPr>
        <w:footnoteReference w:id="7"/>
      </w:r>
      <w:r w:rsidRPr="002F34B7">
        <w:rPr>
          <w:rFonts w:ascii="Times New Roman" w:hAnsi="Times New Roman" w:cs="Times New Roman"/>
          <w:b w:val="0"/>
          <w:bCs w:val="0"/>
          <w:color w:val="auto"/>
          <w:rtl/>
          <w:lang w:bidi="ar-SA"/>
        </w:rPr>
        <w:t xml:space="preserve"> </w:t>
      </w:r>
    </w:p>
    <w:p w14:paraId="37578E16" w14:textId="77777777" w:rsidR="002F34B7" w:rsidRPr="004772F9" w:rsidRDefault="002F34B7" w:rsidP="002F34B7">
      <w:pPr>
        <w:pStyle w:val="BodyText2"/>
        <w:keepNext/>
        <w:keepLines/>
        <w:rPr>
          <w:rFonts w:cs="Times New Roman"/>
          <w:sz w:val="22"/>
          <w:szCs w:val="22"/>
          <w:rtl/>
        </w:rPr>
      </w:pPr>
    </w:p>
    <w:p w14:paraId="763C32D7" w14:textId="77777777" w:rsidR="002F34B7" w:rsidRDefault="002F34B7" w:rsidP="002F34B7">
      <w:pPr>
        <w:spacing w:after="180" w:line="280" w:lineRule="exact"/>
        <w:jc w:val="both"/>
        <w:rPr>
          <w:rFonts w:asciiTheme="majorBidi" w:hAnsiTheme="majorBidi" w:cstheme="majorBidi"/>
          <w:sz w:val="22"/>
          <w:szCs w:val="22"/>
          <w:lang w:bidi="ar"/>
        </w:rPr>
      </w:pPr>
      <w:r w:rsidRPr="002F34B7">
        <w:rPr>
          <w:rFonts w:asciiTheme="majorBidi" w:hAnsiTheme="majorBidi" w:cstheme="majorBidi"/>
          <w:sz w:val="22"/>
          <w:szCs w:val="22"/>
          <w:rtl/>
          <w:lang w:bidi="ar-SA"/>
        </w:rPr>
        <w:t xml:space="preserve">تبنّت الكثير من دول العامل، على مدار السنين، </w:t>
      </w:r>
      <w:proofErr w:type="gramStart"/>
      <w:r w:rsidRPr="002F34B7">
        <w:rPr>
          <w:rFonts w:asciiTheme="majorBidi" w:hAnsiTheme="majorBidi" w:cstheme="majorBidi"/>
          <w:sz w:val="22"/>
          <w:szCs w:val="22"/>
          <w:rtl/>
          <w:lang w:bidi="ar-SA"/>
        </w:rPr>
        <w:t>موديلات</w:t>
      </w:r>
      <w:proofErr w:type="gramEnd"/>
      <w:r w:rsidRPr="002F34B7">
        <w:rPr>
          <w:rFonts w:asciiTheme="majorBidi" w:hAnsiTheme="majorBidi" w:cstheme="majorBidi"/>
          <w:sz w:val="22"/>
          <w:szCs w:val="22"/>
          <w:rtl/>
          <w:lang w:bidi="ar-SA"/>
        </w:rPr>
        <w:t xml:space="preserve"> قضائية مختلفة لدمج المواطنين في الهيئات القضائية، وقد أصبح دمج المواطنين في اتخاذ القرارات القضائية الحاسمة داخل قاعات المحاكم، أكثر انتشارا خلال العقود القليلة الماضية</w:t>
      </w:r>
      <w:r w:rsidRPr="002F34B7">
        <w:rPr>
          <w:rFonts w:asciiTheme="majorBidi" w:hAnsiTheme="majorBidi" w:cstheme="majorBidi"/>
          <w:sz w:val="22"/>
          <w:szCs w:val="22"/>
          <w:rtl/>
          <w:lang w:bidi="ar"/>
        </w:rPr>
        <w:t xml:space="preserve">. </w:t>
      </w:r>
      <w:r w:rsidRPr="002F34B7">
        <w:rPr>
          <w:rFonts w:asciiTheme="majorBidi" w:hAnsiTheme="majorBidi" w:cstheme="majorBidi"/>
          <w:sz w:val="22"/>
          <w:szCs w:val="22"/>
          <w:rtl/>
          <w:lang w:bidi="ar-SA"/>
        </w:rPr>
        <w:t xml:space="preserve">يجلب هؤلاء المواطنين، الذين يطلق عليهم أيضا </w:t>
      </w:r>
      <w:r w:rsidRPr="002F34B7">
        <w:rPr>
          <w:rFonts w:asciiTheme="majorBidi" w:hAnsiTheme="majorBidi" w:cstheme="majorBidi"/>
          <w:b/>
          <w:bCs/>
          <w:sz w:val="22"/>
          <w:szCs w:val="22"/>
          <w:rtl/>
          <w:lang w:bidi="ar-SA"/>
        </w:rPr>
        <w:t xml:space="preserve">مندوبي الجمهور </w:t>
      </w:r>
      <w:r w:rsidRPr="002F34B7">
        <w:rPr>
          <w:rFonts w:asciiTheme="majorBidi" w:hAnsiTheme="majorBidi" w:cstheme="majorBidi"/>
          <w:sz w:val="22"/>
          <w:szCs w:val="22"/>
          <w:rtl/>
          <w:lang w:bidi="ar-SA"/>
        </w:rPr>
        <w:t xml:space="preserve">أو </w:t>
      </w:r>
      <w:r w:rsidRPr="002F34B7">
        <w:rPr>
          <w:rFonts w:asciiTheme="majorBidi" w:hAnsiTheme="majorBidi" w:cstheme="majorBidi"/>
          <w:b/>
          <w:bCs/>
          <w:sz w:val="22"/>
          <w:szCs w:val="22"/>
          <w:rtl/>
          <w:lang w:bidi="ar-SA"/>
        </w:rPr>
        <w:t xml:space="preserve">القضاة العاديين </w:t>
      </w:r>
      <w:r w:rsidRPr="002F34B7">
        <w:rPr>
          <w:rFonts w:asciiTheme="majorBidi" w:hAnsiTheme="majorBidi" w:cstheme="majorBidi"/>
          <w:sz w:val="22"/>
          <w:szCs w:val="22"/>
          <w:rtl/>
          <w:lang w:bidi="ar"/>
        </w:rPr>
        <w:t>(</w:t>
      </w:r>
      <w:r w:rsidRPr="002F34B7">
        <w:rPr>
          <w:rFonts w:asciiTheme="majorBidi" w:hAnsiTheme="majorBidi" w:cstheme="majorBidi"/>
          <w:sz w:val="22"/>
          <w:szCs w:val="22"/>
        </w:rPr>
        <w:t>Lay Judge</w:t>
      </w:r>
      <w:r w:rsidRPr="002F34B7">
        <w:rPr>
          <w:rFonts w:asciiTheme="majorBidi" w:hAnsiTheme="majorBidi" w:cstheme="majorBidi"/>
          <w:sz w:val="22"/>
          <w:szCs w:val="22"/>
          <w:rtl/>
          <w:lang w:bidi="ar"/>
        </w:rPr>
        <w:t>)</w:t>
      </w:r>
      <w:r w:rsidRPr="002F34B7">
        <w:rPr>
          <w:rFonts w:asciiTheme="majorBidi" w:hAnsiTheme="majorBidi" w:cstheme="majorBidi"/>
          <w:sz w:val="22"/>
          <w:szCs w:val="22"/>
          <w:rtl/>
          <w:lang w:bidi="ar-SA"/>
        </w:rPr>
        <w:t xml:space="preserve">، معهم إلى الإجراءات القضائية، المنطق السليم، الشعور الطبيعي بالعدالة، وفي بعض الأحيان حتى معرفة مهنية </w:t>
      </w:r>
      <w:r w:rsidRPr="002F34B7">
        <w:rPr>
          <w:rFonts w:asciiTheme="majorBidi" w:hAnsiTheme="majorBidi" w:cstheme="majorBidi"/>
          <w:sz w:val="22"/>
          <w:szCs w:val="22"/>
          <w:rtl/>
          <w:lang w:bidi="ar"/>
        </w:rPr>
        <w:t xml:space="preserve">- </w:t>
      </w:r>
      <w:r w:rsidRPr="002F34B7">
        <w:rPr>
          <w:rFonts w:asciiTheme="majorBidi" w:hAnsiTheme="majorBidi" w:cstheme="majorBidi"/>
          <w:sz w:val="22"/>
          <w:szCs w:val="22"/>
          <w:rtl/>
          <w:lang w:bidi="ar-SA"/>
        </w:rPr>
        <w:t>بحسب المحكمة التي يتم دمجهم فيها</w:t>
      </w:r>
      <w:r w:rsidRPr="002F34B7">
        <w:rPr>
          <w:rFonts w:asciiTheme="majorBidi" w:hAnsiTheme="majorBidi" w:cstheme="majorBidi"/>
          <w:sz w:val="22"/>
          <w:szCs w:val="22"/>
          <w:rtl/>
          <w:lang w:bidi="ar"/>
        </w:rPr>
        <w:t xml:space="preserve">. </w:t>
      </w:r>
      <w:r w:rsidRPr="002F34B7">
        <w:rPr>
          <w:rFonts w:asciiTheme="majorBidi" w:hAnsiTheme="majorBidi" w:cstheme="majorBidi"/>
          <w:sz w:val="22"/>
          <w:szCs w:val="22"/>
          <w:rtl/>
          <w:lang w:bidi="ar-SA"/>
        </w:rPr>
        <w:t>على مدار سنوات طويلة، أثارت قضية دمج مندوبي الجمهور في إسرائيل وحول العالم نقاشا نشطا حول مساهمتهم في العملية القضائية</w:t>
      </w:r>
      <w:r w:rsidRPr="002F34B7">
        <w:rPr>
          <w:rFonts w:asciiTheme="majorBidi" w:hAnsiTheme="majorBidi" w:cstheme="majorBidi"/>
          <w:sz w:val="22"/>
          <w:szCs w:val="22"/>
          <w:rtl/>
          <w:lang w:bidi="ar"/>
        </w:rPr>
        <w:t xml:space="preserve">. </w:t>
      </w:r>
      <w:r w:rsidRPr="002F34B7">
        <w:rPr>
          <w:rFonts w:asciiTheme="majorBidi" w:hAnsiTheme="majorBidi" w:cstheme="majorBidi"/>
          <w:sz w:val="22"/>
          <w:szCs w:val="22"/>
          <w:rtl/>
          <w:lang w:bidi="ar-SA"/>
        </w:rPr>
        <w:t xml:space="preserve">في هذا البحث، سعينا لإضافة زاوية أخرى للنقاش، ومن خلال منهجية </w:t>
      </w:r>
      <w:r w:rsidRPr="002F34B7">
        <w:rPr>
          <w:rFonts w:asciiTheme="majorBidi" w:hAnsiTheme="majorBidi" w:cstheme="majorBidi"/>
          <w:b/>
          <w:bCs/>
          <w:sz w:val="22"/>
          <w:szCs w:val="22"/>
          <w:rtl/>
          <w:lang w:bidi="ar-SA"/>
        </w:rPr>
        <w:t xml:space="preserve">الاستعراض الاستقصائي المنهجي </w:t>
      </w:r>
      <w:r w:rsidRPr="002F34B7">
        <w:rPr>
          <w:rFonts w:asciiTheme="majorBidi" w:hAnsiTheme="majorBidi" w:cstheme="majorBidi"/>
          <w:sz w:val="22"/>
          <w:szCs w:val="22"/>
          <w:rtl/>
          <w:lang w:bidi="ar"/>
        </w:rPr>
        <w:t>(</w:t>
      </w:r>
      <w:r w:rsidRPr="002F34B7">
        <w:rPr>
          <w:rFonts w:asciiTheme="majorBidi" w:hAnsiTheme="majorBidi" w:cstheme="majorBidi"/>
          <w:sz w:val="22"/>
          <w:szCs w:val="22"/>
        </w:rPr>
        <w:t>Systematic Scoping Review, SSR</w:t>
      </w:r>
      <w:r w:rsidRPr="002F34B7">
        <w:rPr>
          <w:rFonts w:asciiTheme="majorBidi" w:hAnsiTheme="majorBidi" w:cstheme="majorBidi"/>
          <w:sz w:val="22"/>
          <w:szCs w:val="22"/>
          <w:rtl/>
          <w:lang w:bidi="ar"/>
        </w:rPr>
        <w:t xml:space="preserve">) </w:t>
      </w:r>
      <w:r w:rsidRPr="002F34B7">
        <w:rPr>
          <w:rFonts w:asciiTheme="majorBidi" w:hAnsiTheme="majorBidi" w:cstheme="majorBidi"/>
          <w:sz w:val="22"/>
          <w:szCs w:val="22"/>
          <w:rtl/>
          <w:lang w:bidi="ar-SA"/>
        </w:rPr>
        <w:t xml:space="preserve">عثرنا على </w:t>
      </w:r>
      <w:r w:rsidRPr="002F34B7">
        <w:rPr>
          <w:rFonts w:asciiTheme="majorBidi" w:hAnsiTheme="majorBidi" w:cstheme="majorBidi"/>
          <w:sz w:val="22"/>
          <w:szCs w:val="22"/>
          <w:rtl/>
          <w:lang w:bidi="ar"/>
        </w:rPr>
        <w:t xml:space="preserve">57 </w:t>
      </w:r>
      <w:r w:rsidRPr="002F34B7">
        <w:rPr>
          <w:rFonts w:asciiTheme="majorBidi" w:hAnsiTheme="majorBidi" w:cstheme="majorBidi"/>
          <w:sz w:val="22"/>
          <w:szCs w:val="22"/>
          <w:rtl/>
          <w:lang w:bidi="ar-SA"/>
        </w:rPr>
        <w:t>بحثا دوليا، علميا ونظريا، تتمحور بصورة مباشرة حول موضوع دمج مندوبي الجمهور</w:t>
      </w:r>
      <w:r w:rsidRPr="002F34B7">
        <w:rPr>
          <w:rFonts w:asciiTheme="majorBidi" w:hAnsiTheme="majorBidi" w:cstheme="majorBidi"/>
          <w:sz w:val="22"/>
          <w:szCs w:val="22"/>
          <w:rtl/>
          <w:lang w:bidi="ar"/>
        </w:rPr>
        <w:t xml:space="preserve">. </w:t>
      </w:r>
      <w:r w:rsidRPr="002F34B7">
        <w:rPr>
          <w:rFonts w:asciiTheme="majorBidi" w:hAnsiTheme="majorBidi" w:cstheme="majorBidi"/>
          <w:sz w:val="22"/>
          <w:szCs w:val="22"/>
          <w:rtl/>
          <w:lang w:bidi="ar-SA"/>
        </w:rPr>
        <w:t>سعينا، من خلال هذه الأبحاث، إلى معرفة مكانة ووظيفة مندوبي الجمهور في الهيئات القضائية في مختلف أنحاء العالم، والتعرف على التحديات التي ترافق دمجهم</w:t>
      </w:r>
      <w:r w:rsidRPr="002F34B7">
        <w:rPr>
          <w:rFonts w:asciiTheme="majorBidi" w:hAnsiTheme="majorBidi" w:cstheme="majorBidi"/>
          <w:sz w:val="22"/>
          <w:szCs w:val="22"/>
          <w:rtl/>
          <w:lang w:bidi="ar"/>
        </w:rPr>
        <w:t xml:space="preserve">. </w:t>
      </w:r>
      <w:r w:rsidRPr="002F34B7">
        <w:rPr>
          <w:rFonts w:asciiTheme="majorBidi" w:hAnsiTheme="majorBidi" w:cstheme="majorBidi"/>
          <w:sz w:val="22"/>
          <w:szCs w:val="22"/>
          <w:rtl/>
          <w:lang w:bidi="ar-SA"/>
        </w:rPr>
        <w:t xml:space="preserve">تظهر نتائج البحث حجم الظاهرة المساهمات الأساسية لدمج مندوبي الجمهور </w:t>
      </w:r>
      <w:r w:rsidRPr="002F34B7">
        <w:rPr>
          <w:rFonts w:asciiTheme="majorBidi" w:hAnsiTheme="majorBidi" w:cstheme="majorBidi"/>
          <w:sz w:val="22"/>
          <w:szCs w:val="22"/>
          <w:rtl/>
          <w:lang w:bidi="ar"/>
        </w:rPr>
        <w:t xml:space="preserve">- </w:t>
      </w:r>
      <w:r w:rsidRPr="002F34B7">
        <w:rPr>
          <w:rFonts w:asciiTheme="majorBidi" w:hAnsiTheme="majorBidi" w:cstheme="majorBidi"/>
          <w:sz w:val="22"/>
          <w:szCs w:val="22"/>
          <w:rtl/>
          <w:lang w:bidi="ar-SA"/>
        </w:rPr>
        <w:t xml:space="preserve">سواء على مستوى المجتمع ككل وخارج المجال القضائي، أو على مستوى النيابة وداخل المنظومة </w:t>
      </w:r>
      <w:proofErr w:type="spellStart"/>
      <w:proofErr w:type="gramStart"/>
      <w:r w:rsidRPr="002F34B7">
        <w:rPr>
          <w:rFonts w:asciiTheme="majorBidi" w:hAnsiTheme="majorBidi" w:cstheme="majorBidi"/>
          <w:sz w:val="22"/>
          <w:szCs w:val="22"/>
          <w:rtl/>
          <w:lang w:bidi="ar-SA"/>
        </w:rPr>
        <w:t>القضائيه</w:t>
      </w:r>
      <w:proofErr w:type="spellEnd"/>
      <w:r w:rsidRPr="002F34B7">
        <w:rPr>
          <w:rFonts w:asciiTheme="majorBidi" w:hAnsiTheme="majorBidi" w:cstheme="majorBidi"/>
          <w:sz w:val="22"/>
          <w:szCs w:val="22"/>
          <w:rtl/>
          <w:lang w:bidi="ar-SA"/>
        </w:rPr>
        <w:t xml:space="preserve"> </w:t>
      </w:r>
      <w:r w:rsidRPr="002F34B7">
        <w:rPr>
          <w:rFonts w:asciiTheme="majorBidi" w:hAnsiTheme="majorBidi" w:cstheme="majorBidi"/>
          <w:sz w:val="22"/>
          <w:szCs w:val="22"/>
          <w:rtl/>
          <w:lang w:bidi="ar"/>
        </w:rPr>
        <w:t>.</w:t>
      </w:r>
      <w:proofErr w:type="gramEnd"/>
      <w:r w:rsidRPr="002F34B7">
        <w:rPr>
          <w:rFonts w:asciiTheme="majorBidi" w:hAnsiTheme="majorBidi" w:cstheme="majorBidi"/>
          <w:sz w:val="22"/>
          <w:szCs w:val="22"/>
          <w:rtl/>
          <w:lang w:bidi="ar"/>
        </w:rPr>
        <w:t xml:space="preserve"> </w:t>
      </w:r>
    </w:p>
    <w:p w14:paraId="0C3A8433" w14:textId="77777777" w:rsidR="002F34B7" w:rsidRDefault="002F34B7" w:rsidP="002F34B7">
      <w:pPr>
        <w:spacing w:after="180" w:line="280" w:lineRule="exact"/>
        <w:jc w:val="both"/>
        <w:rPr>
          <w:rFonts w:asciiTheme="majorBidi" w:hAnsiTheme="majorBidi" w:cstheme="majorBidi"/>
          <w:sz w:val="22"/>
          <w:szCs w:val="22"/>
          <w:lang w:bidi="ar"/>
        </w:rPr>
      </w:pPr>
    </w:p>
    <w:p w14:paraId="41D4FDCB" w14:textId="77777777" w:rsidR="002F34B7" w:rsidRPr="002F34B7" w:rsidRDefault="002F34B7" w:rsidP="002F34B7">
      <w:pPr>
        <w:spacing w:after="180" w:line="280" w:lineRule="exact"/>
        <w:jc w:val="both"/>
        <w:rPr>
          <w:rFonts w:asciiTheme="majorBidi" w:hAnsiTheme="majorBidi" w:cstheme="majorBidi"/>
          <w:sz w:val="22"/>
          <w:szCs w:val="22"/>
          <w:rtl/>
        </w:rPr>
      </w:pPr>
    </w:p>
    <w:p w14:paraId="7E7763BA" w14:textId="77777777" w:rsidR="002F34B7" w:rsidRPr="002F34B7" w:rsidRDefault="00000000" w:rsidP="002F34B7">
      <w:pPr>
        <w:pStyle w:val="Heading1"/>
        <w:spacing w:line="440" w:lineRule="exact"/>
        <w:rPr>
          <w:rFonts w:cs="Times New Roman"/>
          <w:color w:val="2A8E8C"/>
          <w:rtl/>
          <w:lang w:eastAsia="he-IL"/>
        </w:rPr>
      </w:pPr>
      <w:hyperlink w:history="1">
        <w:proofErr w:type="spellStart"/>
        <w:r w:rsidR="002F34B7" w:rsidRPr="002F34B7">
          <w:rPr>
            <w:rFonts w:cs="Times New Roman"/>
            <w:color w:val="2A8E8C"/>
            <w:rtl/>
            <w:lang w:eastAsia="he-IL" w:bidi="ar-SA"/>
          </w:rPr>
          <w:t>الآخريّة</w:t>
        </w:r>
        <w:proofErr w:type="spellEnd"/>
      </w:hyperlink>
      <w:r w:rsidR="002F34B7" w:rsidRPr="002F34B7">
        <w:rPr>
          <w:rFonts w:cs="Times New Roman"/>
          <w:color w:val="2A8E8C"/>
          <w:rtl/>
          <w:lang w:eastAsia="he-IL" w:bidi="ar-SA"/>
        </w:rPr>
        <w:t>، الفقر والقضاء: حالة المتسولين في ساحة الحائط الغربي</w:t>
      </w:r>
    </w:p>
    <w:p w14:paraId="4539E010" w14:textId="5673E111" w:rsidR="002F34B7" w:rsidRPr="002F34B7" w:rsidRDefault="002F34B7" w:rsidP="002F34B7">
      <w:pPr>
        <w:pStyle w:val="KOT5T"/>
        <w:spacing w:before="0" w:after="240" w:line="280" w:lineRule="exact"/>
        <w:ind w:right="0"/>
        <w:jc w:val="left"/>
        <w:rPr>
          <w:rFonts w:ascii="Times New Roman" w:hAnsi="Times New Roman" w:cs="Times New Roman"/>
          <w:b w:val="0"/>
          <w:bCs w:val="0"/>
          <w:color w:val="auto"/>
          <w:lang w:bidi="ar-SA"/>
        </w:rPr>
      </w:pPr>
      <w:proofErr w:type="spellStart"/>
      <w:r w:rsidRPr="002F34B7">
        <w:rPr>
          <w:rFonts w:ascii="Times New Roman" w:hAnsi="Times New Roman" w:cs="Times New Roman"/>
          <w:b w:val="0"/>
          <w:bCs w:val="0"/>
          <w:color w:val="auto"/>
          <w:rtl/>
          <w:lang w:bidi="ar-SA"/>
        </w:rPr>
        <w:t>شلوميت</w:t>
      </w:r>
      <w:proofErr w:type="spellEnd"/>
      <w:r w:rsidRPr="002F34B7">
        <w:rPr>
          <w:rFonts w:ascii="Times New Roman" w:hAnsi="Times New Roman" w:cs="Times New Roman"/>
          <w:b w:val="0"/>
          <w:bCs w:val="0"/>
          <w:color w:val="auto"/>
          <w:rtl/>
          <w:lang w:bidi="ar-SA"/>
        </w:rPr>
        <w:t xml:space="preserve"> </w:t>
      </w:r>
      <w:proofErr w:type="spellStart"/>
      <w:r w:rsidRPr="002F34B7">
        <w:rPr>
          <w:rFonts w:ascii="Times New Roman" w:hAnsi="Times New Roman" w:cs="Times New Roman"/>
          <w:b w:val="0"/>
          <w:bCs w:val="0"/>
          <w:color w:val="auto"/>
          <w:rtl/>
          <w:lang w:bidi="ar-SA"/>
        </w:rPr>
        <w:t>فايس</w:t>
      </w:r>
      <w:proofErr w:type="spellEnd"/>
      <w:r w:rsidRPr="002F34B7">
        <w:rPr>
          <w:rFonts w:ascii="Times New Roman" w:hAnsi="Times New Roman" w:cs="Times New Roman"/>
          <w:b w:val="0"/>
          <w:bCs w:val="0"/>
          <w:color w:val="auto"/>
          <w:rtl/>
          <w:lang w:bidi="ar-SA"/>
        </w:rPr>
        <w:t xml:space="preserve"> </w:t>
      </w:r>
      <w:proofErr w:type="spellStart"/>
      <w:r w:rsidRPr="002F34B7">
        <w:rPr>
          <w:rFonts w:ascii="Times New Roman" w:hAnsi="Times New Roman" w:cs="Times New Roman"/>
          <w:b w:val="0"/>
          <w:bCs w:val="0"/>
          <w:color w:val="auto"/>
          <w:rtl/>
          <w:lang w:bidi="ar-SA"/>
        </w:rPr>
        <w:t>دغان</w:t>
      </w:r>
      <w:proofErr w:type="spellEnd"/>
      <w:r w:rsidR="004820DD" w:rsidRPr="004820DD">
        <w:rPr>
          <w:rFonts w:ascii="Times New Roman" w:hAnsi="Times New Roman" w:cs="Times New Roman"/>
          <w:b w:val="0"/>
          <w:bCs w:val="0"/>
          <w:color w:val="auto"/>
          <w:vertAlign w:val="superscript"/>
          <w:rtl/>
          <w:lang w:bidi="ar-SA"/>
        </w:rPr>
        <w:footnoteReference w:id="8"/>
      </w:r>
      <w:r w:rsidRPr="002F34B7">
        <w:rPr>
          <w:rFonts w:ascii="Times New Roman" w:hAnsi="Times New Roman" w:cs="Times New Roman"/>
          <w:b w:val="0"/>
          <w:bCs w:val="0"/>
          <w:color w:val="auto"/>
          <w:rtl/>
          <w:lang w:bidi="ar-SA"/>
        </w:rPr>
        <w:t xml:space="preserve">، </w:t>
      </w:r>
      <w:proofErr w:type="spellStart"/>
      <w:r w:rsidRPr="002F34B7">
        <w:rPr>
          <w:rFonts w:ascii="Times New Roman" w:hAnsi="Times New Roman" w:cs="Times New Roman"/>
          <w:b w:val="0"/>
          <w:bCs w:val="0"/>
          <w:color w:val="auto"/>
          <w:rtl/>
          <w:lang w:bidi="ar-SA"/>
        </w:rPr>
        <w:t>نتنئيل</w:t>
      </w:r>
      <w:proofErr w:type="spellEnd"/>
      <w:r w:rsidRPr="002F34B7">
        <w:rPr>
          <w:rFonts w:ascii="Times New Roman" w:hAnsi="Times New Roman" w:cs="Times New Roman"/>
          <w:b w:val="0"/>
          <w:bCs w:val="0"/>
          <w:color w:val="auto"/>
          <w:rtl/>
          <w:lang w:bidi="ar-SA"/>
        </w:rPr>
        <w:t xml:space="preserve"> </w:t>
      </w:r>
      <w:proofErr w:type="spellStart"/>
      <w:r w:rsidRPr="002F34B7">
        <w:rPr>
          <w:rFonts w:ascii="Times New Roman" w:hAnsi="Times New Roman" w:cs="Times New Roman"/>
          <w:b w:val="0"/>
          <w:bCs w:val="0"/>
          <w:color w:val="auto"/>
          <w:rtl/>
          <w:lang w:bidi="ar-SA"/>
        </w:rPr>
        <w:t>دغان</w:t>
      </w:r>
      <w:proofErr w:type="spellEnd"/>
      <w:r w:rsidR="004820DD" w:rsidRPr="004820DD">
        <w:rPr>
          <w:rFonts w:ascii="Times New Roman" w:hAnsi="Times New Roman" w:cs="Times New Roman"/>
          <w:b w:val="0"/>
          <w:bCs w:val="0"/>
          <w:color w:val="auto"/>
          <w:vertAlign w:val="superscript"/>
          <w:rtl/>
          <w:lang w:bidi="ar-SA"/>
        </w:rPr>
        <w:footnoteReference w:id="9"/>
      </w:r>
      <w:r w:rsidRPr="002F34B7">
        <w:rPr>
          <w:rFonts w:ascii="Times New Roman" w:hAnsi="Times New Roman" w:cs="Times New Roman"/>
          <w:b w:val="0"/>
          <w:bCs w:val="0"/>
          <w:color w:val="auto"/>
          <w:rtl/>
          <w:lang w:bidi="ar-SA"/>
        </w:rPr>
        <w:t xml:space="preserve"> </w:t>
      </w:r>
      <w:proofErr w:type="spellStart"/>
      <w:r w:rsidRPr="002F34B7">
        <w:rPr>
          <w:rFonts w:ascii="Times New Roman" w:hAnsi="Times New Roman" w:cs="Times New Roman"/>
          <w:b w:val="0"/>
          <w:bCs w:val="0"/>
          <w:color w:val="auto"/>
          <w:rtl/>
          <w:lang w:bidi="ar-SA"/>
        </w:rPr>
        <w:t>وميخال</w:t>
      </w:r>
      <w:proofErr w:type="spellEnd"/>
      <w:r w:rsidRPr="002F34B7">
        <w:rPr>
          <w:rFonts w:ascii="Times New Roman" w:hAnsi="Times New Roman" w:cs="Times New Roman"/>
          <w:b w:val="0"/>
          <w:bCs w:val="0"/>
          <w:color w:val="auto"/>
          <w:rtl/>
          <w:lang w:bidi="ar-SA"/>
        </w:rPr>
        <w:t xml:space="preserve"> كرومر-نافو</w:t>
      </w:r>
      <w:r w:rsidR="004820DD" w:rsidRPr="004820DD">
        <w:rPr>
          <w:rFonts w:ascii="Times New Roman" w:hAnsi="Times New Roman" w:cs="Times New Roman"/>
          <w:b w:val="0"/>
          <w:bCs w:val="0"/>
          <w:color w:val="auto"/>
          <w:vertAlign w:val="superscript"/>
          <w:lang w:bidi="ar-SA"/>
        </w:rPr>
        <w:footnoteReference w:id="10"/>
      </w:r>
    </w:p>
    <w:p w14:paraId="34F2B7A3" w14:textId="77777777" w:rsidR="002F34B7" w:rsidRPr="004772F9" w:rsidRDefault="002F34B7" w:rsidP="002F34B7">
      <w:pPr>
        <w:pStyle w:val="BodyText2"/>
        <w:keepNext/>
        <w:keepLines/>
        <w:rPr>
          <w:rFonts w:cs="Times New Roman"/>
          <w:sz w:val="22"/>
          <w:szCs w:val="22"/>
          <w:rtl/>
        </w:rPr>
      </w:pPr>
    </w:p>
    <w:p w14:paraId="5855ABA4" w14:textId="77777777" w:rsidR="002F34B7" w:rsidRDefault="002F34B7" w:rsidP="002F34B7">
      <w:pPr>
        <w:autoSpaceDE w:val="0"/>
        <w:autoSpaceDN w:val="0"/>
        <w:adjustRightInd w:val="0"/>
        <w:spacing w:after="180" w:line="280" w:lineRule="exact"/>
        <w:jc w:val="both"/>
        <w:rPr>
          <w:rFonts w:asciiTheme="majorBidi" w:hAnsiTheme="majorBidi" w:cstheme="majorBidi"/>
          <w:sz w:val="22"/>
          <w:szCs w:val="22"/>
          <w:lang w:bidi="ar"/>
        </w:rPr>
      </w:pPr>
      <w:r w:rsidRPr="002F34B7">
        <w:rPr>
          <w:rFonts w:asciiTheme="majorBidi" w:hAnsiTheme="majorBidi" w:cstheme="majorBidi"/>
          <w:sz w:val="22"/>
          <w:szCs w:val="22"/>
          <w:rtl/>
          <w:lang w:bidi="ar-SA"/>
        </w:rPr>
        <w:t>تهدف هذه المقالة إلى فحص كيف تعمل إجراءات الغيرية</w:t>
      </w:r>
      <w:r w:rsidRPr="002F34B7">
        <w:rPr>
          <w:rFonts w:asciiTheme="majorBidi" w:hAnsiTheme="majorBidi" w:cstheme="majorBidi"/>
          <w:sz w:val="22"/>
          <w:szCs w:val="22"/>
          <w:rtl/>
          <w:lang w:bidi="ar"/>
        </w:rPr>
        <w:t>/</w:t>
      </w:r>
      <w:proofErr w:type="spellStart"/>
      <w:r w:rsidRPr="002F34B7">
        <w:rPr>
          <w:rFonts w:asciiTheme="majorBidi" w:hAnsiTheme="majorBidi" w:cstheme="majorBidi"/>
          <w:sz w:val="22"/>
          <w:szCs w:val="22"/>
          <w:rtl/>
          <w:lang w:bidi="ar-SA"/>
        </w:rPr>
        <w:t>الآخرية</w:t>
      </w:r>
      <w:proofErr w:type="spellEnd"/>
      <w:r w:rsidRPr="002F34B7">
        <w:rPr>
          <w:rFonts w:asciiTheme="majorBidi" w:hAnsiTheme="majorBidi" w:cstheme="majorBidi"/>
          <w:sz w:val="22"/>
          <w:szCs w:val="22"/>
          <w:rtl/>
          <w:lang w:bidi="ar-SA"/>
        </w:rPr>
        <w:t xml:space="preserve"> </w:t>
      </w:r>
      <w:r w:rsidRPr="002F34B7">
        <w:rPr>
          <w:rFonts w:asciiTheme="majorBidi" w:hAnsiTheme="majorBidi" w:cstheme="majorBidi"/>
          <w:sz w:val="22"/>
          <w:szCs w:val="22"/>
          <w:rtl/>
          <w:lang w:bidi="ar"/>
        </w:rPr>
        <w:t>(</w:t>
      </w:r>
      <w:r w:rsidRPr="002F34B7">
        <w:rPr>
          <w:rFonts w:asciiTheme="majorBidi" w:hAnsiTheme="majorBidi" w:cstheme="majorBidi"/>
          <w:sz w:val="22"/>
          <w:szCs w:val="22"/>
        </w:rPr>
        <w:t>othering</w:t>
      </w:r>
      <w:r w:rsidRPr="002F34B7">
        <w:rPr>
          <w:rFonts w:asciiTheme="majorBidi" w:hAnsiTheme="majorBidi" w:cstheme="majorBidi"/>
          <w:sz w:val="22"/>
          <w:szCs w:val="22"/>
          <w:rtl/>
          <w:lang w:bidi="ar"/>
        </w:rPr>
        <w:t xml:space="preserve">) </w:t>
      </w:r>
      <w:r w:rsidRPr="002F34B7">
        <w:rPr>
          <w:rFonts w:asciiTheme="majorBidi" w:hAnsiTheme="majorBidi" w:cstheme="majorBidi"/>
          <w:sz w:val="22"/>
          <w:szCs w:val="22"/>
          <w:rtl/>
          <w:lang w:bidi="ar-SA"/>
        </w:rPr>
        <w:t xml:space="preserve">والاعتراض على </w:t>
      </w:r>
      <w:proofErr w:type="spellStart"/>
      <w:r w:rsidRPr="002F34B7">
        <w:rPr>
          <w:rFonts w:asciiTheme="majorBidi" w:hAnsiTheme="majorBidi" w:cstheme="majorBidi"/>
          <w:sz w:val="22"/>
          <w:szCs w:val="22"/>
          <w:rtl/>
          <w:lang w:bidi="ar-SA"/>
        </w:rPr>
        <w:t>الآخرية</w:t>
      </w:r>
      <w:proofErr w:type="spellEnd"/>
      <w:r w:rsidRPr="002F34B7">
        <w:rPr>
          <w:rFonts w:asciiTheme="majorBidi" w:hAnsiTheme="majorBidi" w:cstheme="majorBidi"/>
          <w:sz w:val="22"/>
          <w:szCs w:val="22"/>
          <w:rtl/>
          <w:lang w:bidi="ar-SA"/>
        </w:rPr>
        <w:t>، تجاه الأشخاص الذين يعيشون في فقر، من خلال أحكام المحاكم</w:t>
      </w:r>
      <w:r w:rsidRPr="002F34B7">
        <w:rPr>
          <w:rFonts w:asciiTheme="majorBidi" w:hAnsiTheme="majorBidi" w:cstheme="majorBidi"/>
          <w:sz w:val="22"/>
          <w:szCs w:val="22"/>
          <w:rtl/>
          <w:lang w:bidi="ar"/>
        </w:rPr>
        <w:t xml:space="preserve">. </w:t>
      </w:r>
      <w:r w:rsidRPr="002F34B7">
        <w:rPr>
          <w:rFonts w:asciiTheme="majorBidi" w:hAnsiTheme="majorBidi" w:cstheme="majorBidi"/>
          <w:sz w:val="22"/>
          <w:szCs w:val="22"/>
          <w:rtl/>
          <w:lang w:bidi="ar-SA"/>
        </w:rPr>
        <w:t xml:space="preserve">تقوم المقالة بذلك من خلال تحليل الإجراءات في ثلاث هيئات، من محكمة الصلح وحتى المحكمة العليا، بعيون أشخاص قاموا بالتسوّل في ساحة الحائط الغربي </w:t>
      </w:r>
      <w:r w:rsidRPr="002F34B7">
        <w:rPr>
          <w:rFonts w:asciiTheme="majorBidi" w:hAnsiTheme="majorBidi" w:cstheme="majorBidi"/>
          <w:sz w:val="22"/>
          <w:szCs w:val="22"/>
          <w:rtl/>
          <w:lang w:bidi="ar"/>
        </w:rPr>
        <w:t>(</w:t>
      </w:r>
      <w:r w:rsidRPr="002F34B7">
        <w:rPr>
          <w:rFonts w:asciiTheme="majorBidi" w:hAnsiTheme="majorBidi" w:cstheme="majorBidi"/>
          <w:sz w:val="22"/>
          <w:szCs w:val="22"/>
          <w:rtl/>
          <w:lang w:bidi="ar-SA"/>
        </w:rPr>
        <w:t>حائط المبكى</w:t>
      </w:r>
      <w:r w:rsidRPr="002F34B7">
        <w:rPr>
          <w:rFonts w:asciiTheme="majorBidi" w:hAnsiTheme="majorBidi" w:cstheme="majorBidi"/>
          <w:sz w:val="22"/>
          <w:szCs w:val="22"/>
          <w:rtl/>
          <w:lang w:bidi="ar"/>
        </w:rPr>
        <w:t xml:space="preserve">): </w:t>
      </w:r>
      <w:r w:rsidRPr="002F34B7">
        <w:rPr>
          <w:rFonts w:asciiTheme="majorBidi" w:hAnsiTheme="majorBidi" w:cstheme="majorBidi"/>
          <w:b/>
          <w:bCs/>
          <w:sz w:val="22"/>
          <w:szCs w:val="22"/>
          <w:rtl/>
          <w:lang w:bidi="ar-SA"/>
        </w:rPr>
        <w:t xml:space="preserve">دولة إسرائيل ضد </w:t>
      </w:r>
      <w:proofErr w:type="spellStart"/>
      <w:r w:rsidRPr="002F34B7">
        <w:rPr>
          <w:rFonts w:asciiTheme="majorBidi" w:hAnsiTheme="majorBidi" w:cstheme="majorBidi"/>
          <w:b/>
          <w:bCs/>
          <w:sz w:val="22"/>
          <w:szCs w:val="22"/>
          <w:rtl/>
          <w:lang w:bidi="ar-SA"/>
        </w:rPr>
        <w:t>شفارتس</w:t>
      </w:r>
      <w:proofErr w:type="spellEnd"/>
      <w:r w:rsidRPr="002F34B7">
        <w:rPr>
          <w:rFonts w:asciiTheme="majorBidi" w:hAnsiTheme="majorBidi" w:cstheme="majorBidi"/>
          <w:b/>
          <w:bCs/>
          <w:sz w:val="22"/>
          <w:szCs w:val="22"/>
          <w:rtl/>
          <w:lang w:bidi="ar-SA"/>
        </w:rPr>
        <w:t xml:space="preserve"> </w:t>
      </w:r>
      <w:proofErr w:type="gramStart"/>
      <w:r w:rsidRPr="002F34B7">
        <w:rPr>
          <w:rFonts w:asciiTheme="majorBidi" w:hAnsiTheme="majorBidi" w:cstheme="majorBidi"/>
          <w:b/>
          <w:bCs/>
          <w:sz w:val="22"/>
          <w:szCs w:val="22"/>
          <w:rtl/>
          <w:lang w:bidi="ar-SA"/>
        </w:rPr>
        <w:t>وموسي</w:t>
      </w:r>
      <w:proofErr w:type="gramEnd"/>
      <w:r w:rsidRPr="002F34B7">
        <w:rPr>
          <w:rFonts w:asciiTheme="majorBidi" w:hAnsiTheme="majorBidi" w:cstheme="majorBidi"/>
          <w:sz w:val="22"/>
          <w:szCs w:val="22"/>
          <w:rtl/>
          <w:lang w:bidi="ar"/>
        </w:rPr>
        <w:t xml:space="preserve">. </w:t>
      </w:r>
      <w:r w:rsidRPr="002F34B7">
        <w:rPr>
          <w:rFonts w:asciiTheme="majorBidi" w:hAnsiTheme="majorBidi" w:cstheme="majorBidi"/>
          <w:sz w:val="22"/>
          <w:szCs w:val="22"/>
          <w:rtl/>
          <w:lang w:bidi="ar-SA"/>
        </w:rPr>
        <w:t xml:space="preserve">تقترح المقالة اختبارين لتحليل عملية </w:t>
      </w:r>
      <w:proofErr w:type="spellStart"/>
      <w:r w:rsidRPr="002F34B7">
        <w:rPr>
          <w:rFonts w:asciiTheme="majorBidi" w:hAnsiTheme="majorBidi" w:cstheme="majorBidi"/>
          <w:sz w:val="22"/>
          <w:szCs w:val="22"/>
          <w:rtl/>
          <w:lang w:bidi="ar-SA"/>
        </w:rPr>
        <w:t>الآخرية</w:t>
      </w:r>
      <w:proofErr w:type="spellEnd"/>
      <w:r w:rsidRPr="002F34B7">
        <w:rPr>
          <w:rFonts w:asciiTheme="majorBidi" w:hAnsiTheme="majorBidi" w:cstheme="majorBidi"/>
          <w:sz w:val="22"/>
          <w:szCs w:val="22"/>
          <w:rtl/>
          <w:lang w:bidi="ar-SA"/>
        </w:rPr>
        <w:t xml:space="preserve"> والاعتراض على </w:t>
      </w:r>
      <w:proofErr w:type="spellStart"/>
      <w:r w:rsidRPr="002F34B7">
        <w:rPr>
          <w:rFonts w:asciiTheme="majorBidi" w:hAnsiTheme="majorBidi" w:cstheme="majorBidi"/>
          <w:sz w:val="22"/>
          <w:szCs w:val="22"/>
          <w:rtl/>
          <w:lang w:bidi="ar-SA"/>
        </w:rPr>
        <w:t>الآخرية</w:t>
      </w:r>
      <w:proofErr w:type="spellEnd"/>
      <w:r w:rsidRPr="002F34B7">
        <w:rPr>
          <w:rFonts w:asciiTheme="majorBidi" w:hAnsiTheme="majorBidi" w:cstheme="majorBidi"/>
          <w:sz w:val="22"/>
          <w:szCs w:val="22"/>
          <w:rtl/>
          <w:lang w:bidi="ar-SA"/>
        </w:rPr>
        <w:t xml:space="preserve"> من خلال شاغلي المناصب</w:t>
      </w:r>
      <w:r w:rsidRPr="002F34B7">
        <w:rPr>
          <w:rFonts w:asciiTheme="majorBidi" w:hAnsiTheme="majorBidi" w:cstheme="majorBidi"/>
          <w:sz w:val="22"/>
          <w:szCs w:val="22"/>
          <w:rtl/>
          <w:lang w:bidi="ar"/>
        </w:rPr>
        <w:t xml:space="preserve">/ </w:t>
      </w:r>
      <w:r w:rsidRPr="002F34B7">
        <w:rPr>
          <w:rFonts w:asciiTheme="majorBidi" w:hAnsiTheme="majorBidi" w:cstheme="majorBidi"/>
          <w:sz w:val="22"/>
          <w:szCs w:val="22"/>
          <w:rtl/>
          <w:lang w:bidi="ar-SA"/>
        </w:rPr>
        <w:t xml:space="preserve">الوظائف في </w:t>
      </w:r>
      <w:r w:rsidRPr="002F34B7">
        <w:rPr>
          <w:rFonts w:asciiTheme="majorBidi" w:hAnsiTheme="majorBidi" w:cstheme="majorBidi"/>
          <w:sz w:val="22"/>
          <w:szCs w:val="22"/>
          <w:rtl/>
          <w:lang w:bidi="ar-SA"/>
        </w:rPr>
        <w:lastRenderedPageBreak/>
        <w:t>القضاء</w:t>
      </w:r>
      <w:r w:rsidRPr="002F34B7">
        <w:rPr>
          <w:rFonts w:asciiTheme="majorBidi" w:hAnsiTheme="majorBidi" w:cstheme="majorBidi"/>
          <w:sz w:val="22"/>
          <w:szCs w:val="22"/>
          <w:rtl/>
          <w:lang w:bidi="ar"/>
        </w:rPr>
        <w:t xml:space="preserve">: </w:t>
      </w:r>
      <w:r w:rsidRPr="002F34B7">
        <w:rPr>
          <w:rFonts w:asciiTheme="majorBidi" w:hAnsiTheme="majorBidi" w:cstheme="majorBidi"/>
          <w:b/>
          <w:bCs/>
          <w:sz w:val="22"/>
          <w:szCs w:val="22"/>
          <w:rtl/>
          <w:lang w:bidi="ar-SA"/>
        </w:rPr>
        <w:t>اختبار الموضوعية الإنسانية واختبار السياق</w:t>
      </w:r>
      <w:r w:rsidRPr="002F34B7">
        <w:rPr>
          <w:rFonts w:asciiTheme="majorBidi" w:hAnsiTheme="majorBidi" w:cstheme="majorBidi"/>
          <w:b/>
          <w:bCs/>
          <w:sz w:val="22"/>
          <w:szCs w:val="22"/>
          <w:rtl/>
          <w:lang w:bidi="ar"/>
        </w:rPr>
        <w:t>.</w:t>
      </w:r>
      <w:r w:rsidRPr="002F34B7">
        <w:rPr>
          <w:rFonts w:asciiTheme="majorBidi" w:hAnsiTheme="majorBidi" w:cstheme="majorBidi"/>
          <w:sz w:val="22"/>
          <w:szCs w:val="22"/>
          <w:rtl/>
          <w:lang w:bidi="ar-SA"/>
        </w:rPr>
        <w:t xml:space="preserve"> تميل النصوص التي تتطرق إلى موضوعية المتهمين وتاريخهم وكذلك إلى السياق الذي أدى بهم لارتكاب المخالفة، بصورة أقل للقيام بعملية </w:t>
      </w:r>
      <w:proofErr w:type="spellStart"/>
      <w:r w:rsidRPr="002F34B7">
        <w:rPr>
          <w:rFonts w:asciiTheme="majorBidi" w:hAnsiTheme="majorBidi" w:cstheme="majorBidi"/>
          <w:sz w:val="22"/>
          <w:szCs w:val="22"/>
          <w:rtl/>
          <w:lang w:bidi="ar-SA"/>
        </w:rPr>
        <w:t>آخرية</w:t>
      </w:r>
      <w:proofErr w:type="spellEnd"/>
      <w:r w:rsidRPr="002F34B7">
        <w:rPr>
          <w:rFonts w:asciiTheme="majorBidi" w:hAnsiTheme="majorBidi" w:cstheme="majorBidi"/>
          <w:sz w:val="22"/>
          <w:szCs w:val="22"/>
          <w:rtl/>
          <w:lang w:bidi="ar-SA"/>
        </w:rPr>
        <w:t xml:space="preserve"> للمتهمين</w:t>
      </w:r>
      <w:r w:rsidRPr="002F34B7">
        <w:rPr>
          <w:rFonts w:asciiTheme="majorBidi" w:hAnsiTheme="majorBidi" w:cstheme="majorBidi"/>
          <w:sz w:val="22"/>
          <w:szCs w:val="22"/>
          <w:rtl/>
          <w:lang w:bidi="ar"/>
        </w:rPr>
        <w:t xml:space="preserve">. </w:t>
      </w:r>
      <w:r w:rsidRPr="002F34B7">
        <w:rPr>
          <w:rFonts w:asciiTheme="majorBidi" w:hAnsiTheme="majorBidi" w:cstheme="majorBidi"/>
          <w:sz w:val="22"/>
          <w:szCs w:val="22"/>
          <w:rtl/>
          <w:lang w:bidi="ar-SA"/>
        </w:rPr>
        <w:t xml:space="preserve">في الحالة التي أمامنا، تبين في امتحان الموضوعية أن هناك قدر قليل من التطرق والتعامل الشخصي مع موسي </w:t>
      </w:r>
      <w:proofErr w:type="spellStart"/>
      <w:r w:rsidRPr="002F34B7">
        <w:rPr>
          <w:rFonts w:asciiTheme="majorBidi" w:hAnsiTheme="majorBidi" w:cstheme="majorBidi"/>
          <w:sz w:val="22"/>
          <w:szCs w:val="22"/>
          <w:rtl/>
          <w:lang w:bidi="ar-SA"/>
        </w:rPr>
        <w:t>وشفارتس</w:t>
      </w:r>
      <w:proofErr w:type="spellEnd"/>
      <w:r w:rsidRPr="002F34B7">
        <w:rPr>
          <w:rFonts w:asciiTheme="majorBidi" w:hAnsiTheme="majorBidi" w:cstheme="majorBidi"/>
          <w:sz w:val="22"/>
          <w:szCs w:val="22"/>
          <w:rtl/>
          <w:lang w:bidi="ar"/>
        </w:rPr>
        <w:t xml:space="preserve">. </w:t>
      </w:r>
      <w:r w:rsidRPr="002F34B7">
        <w:rPr>
          <w:rFonts w:asciiTheme="majorBidi" w:hAnsiTheme="majorBidi" w:cstheme="majorBidi"/>
          <w:sz w:val="22"/>
          <w:szCs w:val="22"/>
          <w:rtl/>
          <w:lang w:bidi="ar-SA"/>
        </w:rPr>
        <w:t>كان الاثنان حاضران</w:t>
      </w:r>
      <w:r w:rsidRPr="002F34B7">
        <w:rPr>
          <w:rFonts w:asciiTheme="majorBidi" w:hAnsiTheme="majorBidi" w:cstheme="majorBidi"/>
          <w:sz w:val="22"/>
          <w:szCs w:val="22"/>
          <w:rtl/>
          <w:lang w:bidi="ar"/>
        </w:rPr>
        <w:t>-</w:t>
      </w:r>
      <w:r w:rsidRPr="002F34B7">
        <w:rPr>
          <w:rFonts w:asciiTheme="majorBidi" w:hAnsiTheme="majorBidi" w:cstheme="majorBidi"/>
          <w:sz w:val="22"/>
          <w:szCs w:val="22"/>
          <w:rtl/>
          <w:lang w:bidi="ar-SA"/>
        </w:rPr>
        <w:t xml:space="preserve">غائبات في مختلف الإجراءات، على المستوى الجسدي والرّمزي، بل إنه تم تسب صفات سلبية لهم </w:t>
      </w:r>
      <w:r w:rsidRPr="002F34B7">
        <w:rPr>
          <w:rFonts w:asciiTheme="majorBidi" w:hAnsiTheme="majorBidi" w:cstheme="majorBidi"/>
          <w:sz w:val="22"/>
          <w:szCs w:val="22"/>
          <w:rtl/>
          <w:lang w:bidi="ar"/>
        </w:rPr>
        <w:t xml:space="preserve">- </w:t>
      </w:r>
      <w:r w:rsidRPr="002F34B7">
        <w:rPr>
          <w:rFonts w:asciiTheme="majorBidi" w:hAnsiTheme="majorBidi" w:cstheme="majorBidi"/>
          <w:sz w:val="22"/>
          <w:szCs w:val="22"/>
          <w:rtl/>
          <w:lang w:bidi="ar-SA"/>
        </w:rPr>
        <w:t>بالأساس خلال الإجراءات في محكمة الصلح</w:t>
      </w:r>
      <w:r w:rsidRPr="002F34B7">
        <w:rPr>
          <w:rFonts w:asciiTheme="majorBidi" w:hAnsiTheme="majorBidi" w:cstheme="majorBidi"/>
          <w:sz w:val="22"/>
          <w:szCs w:val="22"/>
          <w:rtl/>
          <w:lang w:bidi="ar"/>
        </w:rPr>
        <w:t xml:space="preserve">. </w:t>
      </w:r>
      <w:r w:rsidRPr="002F34B7">
        <w:rPr>
          <w:rFonts w:asciiTheme="majorBidi" w:hAnsiTheme="majorBidi" w:cstheme="majorBidi"/>
          <w:sz w:val="22"/>
          <w:szCs w:val="22"/>
          <w:rtl/>
          <w:lang w:bidi="ar-SA"/>
        </w:rPr>
        <w:t>في اختبار السياق، كانت محكمة الصلح، والمحكمة المركزية، وكذلك وكلاء الدولة في مختلف الهيئات، أقل تطرّقا لسياق حياتهما واسع النطاق</w:t>
      </w:r>
      <w:r w:rsidRPr="002F34B7">
        <w:rPr>
          <w:rFonts w:asciiTheme="majorBidi" w:hAnsiTheme="majorBidi" w:cstheme="majorBidi"/>
          <w:sz w:val="22"/>
          <w:szCs w:val="22"/>
          <w:rtl/>
          <w:lang w:bidi="ar"/>
        </w:rPr>
        <w:t xml:space="preserve">. </w:t>
      </w:r>
      <w:r w:rsidRPr="002F34B7">
        <w:rPr>
          <w:rFonts w:asciiTheme="majorBidi" w:hAnsiTheme="majorBidi" w:cstheme="majorBidi"/>
          <w:sz w:val="22"/>
          <w:szCs w:val="22"/>
          <w:rtl/>
          <w:lang w:bidi="ar-SA"/>
        </w:rPr>
        <w:t xml:space="preserve">بالمقابل، ناقش شاغلوا المناصب والوظائف الأخرى، مثل جمعية حقوق المواطن وغالبية قضاء المحكمة العليا، سياق الظروف الاجتماعية التي تؤدي لنشوء حالة التسوّل، الحاجة لمواجهة الظاهرة من خلال سياسات الرفاه، وقضايا عدم </w:t>
      </w:r>
      <w:proofErr w:type="spellStart"/>
      <w:r w:rsidRPr="002F34B7">
        <w:rPr>
          <w:rFonts w:asciiTheme="majorBidi" w:hAnsiTheme="majorBidi" w:cstheme="majorBidi"/>
          <w:sz w:val="22"/>
          <w:szCs w:val="22"/>
          <w:rtl/>
          <w:lang w:bidi="ar-SA"/>
        </w:rPr>
        <w:t>متاحية</w:t>
      </w:r>
      <w:proofErr w:type="spellEnd"/>
      <w:r w:rsidRPr="002F34B7">
        <w:rPr>
          <w:rFonts w:asciiTheme="majorBidi" w:hAnsiTheme="majorBidi" w:cstheme="majorBidi"/>
          <w:sz w:val="22"/>
          <w:szCs w:val="22"/>
          <w:rtl/>
          <w:lang w:bidi="ar-SA"/>
        </w:rPr>
        <w:t xml:space="preserve"> العدالة للأشخاص الفقراء</w:t>
      </w:r>
      <w:r w:rsidRPr="002F34B7">
        <w:rPr>
          <w:rFonts w:asciiTheme="majorBidi" w:hAnsiTheme="majorBidi" w:cstheme="majorBidi"/>
          <w:sz w:val="22"/>
          <w:szCs w:val="22"/>
          <w:rtl/>
          <w:lang w:bidi="ar"/>
        </w:rPr>
        <w:t xml:space="preserve">. </w:t>
      </w:r>
      <w:r w:rsidRPr="002F34B7">
        <w:rPr>
          <w:rFonts w:asciiTheme="majorBidi" w:hAnsiTheme="majorBidi" w:cstheme="majorBidi"/>
          <w:sz w:val="22"/>
          <w:szCs w:val="22"/>
          <w:rtl/>
          <w:lang w:bidi="ar-SA"/>
        </w:rPr>
        <w:t xml:space="preserve">تناقش المقالة المعاني المترتبة على عملية </w:t>
      </w:r>
      <w:proofErr w:type="spellStart"/>
      <w:r w:rsidRPr="002F34B7">
        <w:rPr>
          <w:rFonts w:asciiTheme="majorBidi" w:hAnsiTheme="majorBidi" w:cstheme="majorBidi"/>
          <w:sz w:val="22"/>
          <w:szCs w:val="22"/>
          <w:rtl/>
          <w:lang w:bidi="ar-SA"/>
        </w:rPr>
        <w:t>الآخرية</w:t>
      </w:r>
      <w:proofErr w:type="spellEnd"/>
      <w:r w:rsidRPr="002F34B7">
        <w:rPr>
          <w:rFonts w:asciiTheme="majorBidi" w:hAnsiTheme="majorBidi" w:cstheme="majorBidi"/>
          <w:sz w:val="22"/>
          <w:szCs w:val="22"/>
          <w:rtl/>
          <w:lang w:bidi="ar-SA"/>
        </w:rPr>
        <w:t xml:space="preserve"> والاعتراض على </w:t>
      </w:r>
      <w:proofErr w:type="spellStart"/>
      <w:r w:rsidRPr="002F34B7">
        <w:rPr>
          <w:rFonts w:asciiTheme="majorBidi" w:hAnsiTheme="majorBidi" w:cstheme="majorBidi"/>
          <w:sz w:val="22"/>
          <w:szCs w:val="22"/>
          <w:rtl/>
          <w:lang w:bidi="ar-SA"/>
        </w:rPr>
        <w:t>الآخرية</w:t>
      </w:r>
      <w:proofErr w:type="spellEnd"/>
      <w:r w:rsidRPr="002F34B7">
        <w:rPr>
          <w:rFonts w:asciiTheme="majorBidi" w:hAnsiTheme="majorBidi" w:cstheme="majorBidi"/>
          <w:sz w:val="22"/>
          <w:szCs w:val="22"/>
          <w:rtl/>
          <w:lang w:bidi="ar-SA"/>
        </w:rPr>
        <w:t xml:space="preserve"> في ملفات المتسولين، وتأثيراتها النظرية والعملية</w:t>
      </w:r>
      <w:r w:rsidRPr="002F34B7">
        <w:rPr>
          <w:rFonts w:asciiTheme="majorBidi" w:hAnsiTheme="majorBidi" w:cstheme="majorBidi"/>
          <w:sz w:val="22"/>
          <w:szCs w:val="22"/>
          <w:rtl/>
          <w:lang w:bidi="ar"/>
        </w:rPr>
        <w:t>.</w:t>
      </w:r>
    </w:p>
    <w:p w14:paraId="63FFB384" w14:textId="77777777" w:rsidR="002F34B7" w:rsidRDefault="002F34B7" w:rsidP="002F34B7">
      <w:pPr>
        <w:autoSpaceDE w:val="0"/>
        <w:autoSpaceDN w:val="0"/>
        <w:adjustRightInd w:val="0"/>
        <w:spacing w:after="180" w:line="280" w:lineRule="exact"/>
        <w:jc w:val="both"/>
        <w:rPr>
          <w:rFonts w:asciiTheme="majorBidi" w:hAnsiTheme="majorBidi" w:cstheme="majorBidi"/>
          <w:sz w:val="22"/>
          <w:szCs w:val="22"/>
          <w:lang w:bidi="ar"/>
        </w:rPr>
      </w:pPr>
    </w:p>
    <w:p w14:paraId="2A73B044" w14:textId="77777777" w:rsidR="002F34B7" w:rsidRPr="002F34B7" w:rsidRDefault="002F34B7" w:rsidP="002F34B7">
      <w:pPr>
        <w:autoSpaceDE w:val="0"/>
        <w:autoSpaceDN w:val="0"/>
        <w:adjustRightInd w:val="0"/>
        <w:spacing w:after="180" w:line="280" w:lineRule="exact"/>
        <w:jc w:val="both"/>
        <w:rPr>
          <w:rFonts w:asciiTheme="majorBidi" w:hAnsiTheme="majorBidi" w:cstheme="majorBidi"/>
          <w:sz w:val="22"/>
          <w:szCs w:val="22"/>
          <w:rtl/>
        </w:rPr>
      </w:pPr>
    </w:p>
    <w:p w14:paraId="69A686A5" w14:textId="77777777" w:rsidR="002F34B7" w:rsidRPr="002F34B7" w:rsidRDefault="002F34B7" w:rsidP="002F34B7">
      <w:pPr>
        <w:pStyle w:val="Heading1"/>
        <w:spacing w:line="440" w:lineRule="exact"/>
        <w:rPr>
          <w:rFonts w:cs="Times New Roman"/>
          <w:color w:val="2A8E8C"/>
          <w:rtl/>
          <w:lang w:eastAsia="he-IL"/>
        </w:rPr>
      </w:pPr>
      <w:r w:rsidRPr="002F34B7">
        <w:rPr>
          <w:rFonts w:cs="Times New Roman"/>
          <w:color w:val="2A8E8C"/>
          <w:rtl/>
          <w:lang w:eastAsia="he-IL" w:bidi="ar-SA"/>
        </w:rPr>
        <w:t>أن تكون مهاجرا- مقدما للرعاية: تجربة العبء على القادمين من الاتحاد السوفييتي السابق، الذين يقدّمون الرعاية لفرد من العائلة مصاب بمرض نفسي خطير</w:t>
      </w:r>
    </w:p>
    <w:bookmarkEnd w:id="0"/>
    <w:p w14:paraId="34886081" w14:textId="475F530D" w:rsidR="002F34B7" w:rsidRPr="002F34B7" w:rsidRDefault="002F34B7" w:rsidP="002F34B7">
      <w:pPr>
        <w:pStyle w:val="KOT5T"/>
        <w:spacing w:before="0" w:after="240" w:line="280" w:lineRule="exact"/>
        <w:ind w:right="0"/>
        <w:jc w:val="left"/>
        <w:rPr>
          <w:rFonts w:ascii="Times New Roman" w:hAnsi="Times New Roman" w:cs="Times New Roman"/>
          <w:b w:val="0"/>
          <w:bCs w:val="0"/>
          <w:color w:val="auto"/>
          <w:lang w:bidi="ar-SA"/>
        </w:rPr>
      </w:pPr>
      <w:proofErr w:type="spellStart"/>
      <w:r w:rsidRPr="002F34B7">
        <w:rPr>
          <w:rFonts w:ascii="Times New Roman" w:hAnsi="Times New Roman" w:cs="Times New Roman"/>
          <w:b w:val="0"/>
          <w:bCs w:val="0"/>
          <w:color w:val="auto"/>
          <w:rtl/>
          <w:lang w:bidi="ar-SA"/>
        </w:rPr>
        <w:t>يفجيني</w:t>
      </w:r>
      <w:proofErr w:type="spellEnd"/>
      <w:r w:rsidRPr="002F34B7">
        <w:rPr>
          <w:rFonts w:ascii="Times New Roman" w:hAnsi="Times New Roman" w:cs="Times New Roman"/>
          <w:b w:val="0"/>
          <w:bCs w:val="0"/>
          <w:color w:val="auto"/>
          <w:rtl/>
          <w:lang w:bidi="ar-SA"/>
        </w:rPr>
        <w:t xml:space="preserve"> </w:t>
      </w:r>
      <w:proofErr w:type="spellStart"/>
      <w:r w:rsidRPr="002F34B7">
        <w:rPr>
          <w:rFonts w:ascii="Times New Roman" w:hAnsi="Times New Roman" w:cs="Times New Roman"/>
          <w:b w:val="0"/>
          <w:bCs w:val="0"/>
          <w:color w:val="auto"/>
          <w:rtl/>
          <w:lang w:bidi="ar-SA"/>
        </w:rPr>
        <w:t>كنايفل</w:t>
      </w:r>
      <w:proofErr w:type="spellEnd"/>
      <w:r w:rsidR="004820DD" w:rsidRPr="004820DD">
        <w:rPr>
          <w:rFonts w:ascii="Times New Roman" w:hAnsi="Times New Roman" w:cs="Times New Roman"/>
          <w:b w:val="0"/>
          <w:bCs w:val="0"/>
          <w:color w:val="auto"/>
          <w:vertAlign w:val="superscript"/>
          <w:rtl/>
          <w:lang w:bidi="ar-SA"/>
        </w:rPr>
        <w:footnoteReference w:id="11"/>
      </w:r>
      <w:r w:rsidRPr="002F34B7">
        <w:rPr>
          <w:rFonts w:ascii="Times New Roman" w:hAnsi="Times New Roman" w:cs="Times New Roman"/>
          <w:b w:val="0"/>
          <w:bCs w:val="0"/>
          <w:color w:val="auto"/>
          <w:rtl/>
          <w:lang w:bidi="ar-SA"/>
        </w:rPr>
        <w:t xml:space="preserve"> </w:t>
      </w:r>
    </w:p>
    <w:p w14:paraId="5E7BB34B" w14:textId="77777777" w:rsidR="002F34B7" w:rsidRPr="004772F9" w:rsidRDefault="002F34B7" w:rsidP="002F34B7">
      <w:pPr>
        <w:pStyle w:val="BodyText2"/>
        <w:keepNext/>
        <w:keepLines/>
        <w:rPr>
          <w:rFonts w:cs="Times New Roman"/>
          <w:sz w:val="22"/>
          <w:szCs w:val="22"/>
          <w:rtl/>
        </w:rPr>
      </w:pPr>
    </w:p>
    <w:p w14:paraId="6EEAF24D" w14:textId="77777777" w:rsidR="002F34B7" w:rsidRDefault="002F34B7" w:rsidP="004820DD">
      <w:pPr>
        <w:spacing w:after="180" w:line="280" w:lineRule="exact"/>
        <w:jc w:val="both"/>
        <w:rPr>
          <w:rFonts w:asciiTheme="majorBidi" w:hAnsiTheme="majorBidi" w:cstheme="majorBidi"/>
          <w:sz w:val="22"/>
          <w:szCs w:val="22"/>
          <w:lang w:bidi="ar"/>
        </w:rPr>
      </w:pPr>
      <w:r w:rsidRPr="004820DD">
        <w:rPr>
          <w:rFonts w:asciiTheme="majorBidi" w:hAnsiTheme="majorBidi" w:cstheme="majorBidi"/>
          <w:sz w:val="22"/>
          <w:szCs w:val="22"/>
          <w:rtl/>
          <w:lang w:bidi="ar-SA"/>
        </w:rPr>
        <w:t>يشعر أفراد العائلة الذين يقدمون الرعاية لأقاربهم المصابين بالأمراض النفسية الخطيرة، بالضغط والعبء الشديدين في روتين حياتهم اليومي</w:t>
      </w:r>
      <w:r w:rsidRPr="004820DD">
        <w:rPr>
          <w:rFonts w:asciiTheme="majorBidi" w:hAnsiTheme="majorBidi" w:cstheme="majorBidi"/>
          <w:sz w:val="22"/>
          <w:szCs w:val="22"/>
          <w:rtl/>
          <w:lang w:bidi="ar"/>
        </w:rPr>
        <w:t xml:space="preserve">. </w:t>
      </w:r>
      <w:r w:rsidRPr="004820DD">
        <w:rPr>
          <w:rFonts w:asciiTheme="majorBidi" w:hAnsiTheme="majorBidi" w:cstheme="majorBidi"/>
          <w:sz w:val="22"/>
          <w:szCs w:val="22"/>
          <w:rtl/>
          <w:lang w:bidi="ar-SA"/>
        </w:rPr>
        <w:t xml:space="preserve">يتواجد </w:t>
      </w:r>
      <w:r w:rsidRPr="004820DD">
        <w:rPr>
          <w:rFonts w:asciiTheme="majorBidi" w:hAnsiTheme="majorBidi" w:cstheme="majorBidi"/>
          <w:b/>
          <w:bCs/>
          <w:sz w:val="22"/>
          <w:szCs w:val="22"/>
          <w:rtl/>
          <w:lang w:bidi="ar-SA"/>
        </w:rPr>
        <w:t xml:space="preserve">المهاجرون مقدمو الرعاية </w:t>
      </w:r>
      <w:r w:rsidRPr="004820DD">
        <w:rPr>
          <w:rFonts w:asciiTheme="majorBidi" w:hAnsiTheme="majorBidi" w:cstheme="majorBidi"/>
          <w:sz w:val="22"/>
          <w:szCs w:val="22"/>
          <w:rtl/>
          <w:lang w:bidi="ar"/>
        </w:rPr>
        <w:t>(</w:t>
      </w:r>
      <w:r w:rsidRPr="004820DD">
        <w:rPr>
          <w:rFonts w:asciiTheme="majorBidi" w:hAnsiTheme="majorBidi" w:cstheme="majorBidi"/>
          <w:sz w:val="22"/>
          <w:szCs w:val="22"/>
        </w:rPr>
        <w:t>immigrant caregivers</w:t>
      </w:r>
      <w:r w:rsidRPr="004820DD">
        <w:rPr>
          <w:rFonts w:asciiTheme="majorBidi" w:hAnsiTheme="majorBidi" w:cstheme="majorBidi"/>
          <w:sz w:val="22"/>
          <w:szCs w:val="22"/>
          <w:rtl/>
          <w:lang w:bidi="ar"/>
        </w:rPr>
        <w:t xml:space="preserve">) </w:t>
      </w:r>
      <w:r w:rsidRPr="004820DD">
        <w:rPr>
          <w:rFonts w:asciiTheme="majorBidi" w:hAnsiTheme="majorBidi" w:cstheme="majorBidi"/>
          <w:sz w:val="22"/>
          <w:szCs w:val="22"/>
          <w:rtl/>
          <w:lang w:bidi="ar-SA"/>
        </w:rPr>
        <w:t>المنخرطون في رعاية أحد أفراد العائلة المصاب بمرض نفسي خطير، وبأنفسهم، في سيرورة من التأقلم مع الهجرة، يتعرضون لكثرة حالات الضغط والعبء</w:t>
      </w:r>
      <w:r w:rsidRPr="004820DD">
        <w:rPr>
          <w:rFonts w:asciiTheme="majorBidi" w:hAnsiTheme="majorBidi" w:cstheme="majorBidi"/>
          <w:sz w:val="22"/>
          <w:szCs w:val="22"/>
          <w:rtl/>
          <w:lang w:bidi="ar"/>
        </w:rPr>
        <w:t xml:space="preserve">. </w:t>
      </w:r>
      <w:r w:rsidRPr="004820DD">
        <w:rPr>
          <w:rFonts w:asciiTheme="majorBidi" w:hAnsiTheme="majorBidi" w:cstheme="majorBidi"/>
          <w:sz w:val="22"/>
          <w:szCs w:val="22"/>
          <w:rtl/>
          <w:lang w:bidi="ar-SA"/>
        </w:rPr>
        <w:t>مع ذلك، فإننا نعرف القليل فقط حول شعورهم بهذا العبء، وما هي تأثيراته على حياتهم الشخصية والعائلية</w:t>
      </w:r>
      <w:r w:rsidRPr="004820DD">
        <w:rPr>
          <w:rFonts w:asciiTheme="majorBidi" w:hAnsiTheme="majorBidi" w:cstheme="majorBidi"/>
          <w:sz w:val="22"/>
          <w:szCs w:val="22"/>
          <w:rtl/>
          <w:lang w:bidi="ar"/>
        </w:rPr>
        <w:t xml:space="preserve">. </w:t>
      </w:r>
      <w:r w:rsidRPr="004820DD">
        <w:rPr>
          <w:rFonts w:asciiTheme="majorBidi" w:hAnsiTheme="majorBidi" w:cstheme="majorBidi"/>
          <w:color w:val="222222"/>
          <w:sz w:val="22"/>
          <w:szCs w:val="22"/>
          <w:rtl/>
          <w:lang w:bidi="ar-SA"/>
        </w:rPr>
        <w:t>يسعى هذا البحث النوعي لفحص ما هي العوامل التي تشكّل الشعور بالعبء لدى القادمين من الاتحاد السوفييتي السابق في إسرائيل، الذين يقدّمون الرعاية لفرد من العائلة مصاب بمرض نفسي خطير</w:t>
      </w:r>
      <w:r w:rsidRPr="004820DD">
        <w:rPr>
          <w:rFonts w:asciiTheme="majorBidi" w:hAnsiTheme="majorBidi" w:cstheme="majorBidi"/>
          <w:color w:val="222222"/>
          <w:sz w:val="22"/>
          <w:szCs w:val="22"/>
          <w:rtl/>
          <w:lang w:bidi="ar"/>
        </w:rPr>
        <w:t>.</w:t>
      </w:r>
      <w:r w:rsidRPr="004820DD">
        <w:rPr>
          <w:rFonts w:asciiTheme="majorBidi" w:hAnsiTheme="majorBidi" w:cstheme="majorBidi"/>
          <w:sz w:val="22"/>
          <w:szCs w:val="22"/>
          <w:rtl/>
          <w:lang w:bidi="ar-SA"/>
        </w:rPr>
        <w:t xml:space="preserve"> خلال البحث، تم إجراء مقابلات عميقه شبه مدمجة مع </w:t>
      </w:r>
      <w:r w:rsidRPr="004820DD">
        <w:rPr>
          <w:rFonts w:asciiTheme="majorBidi" w:hAnsiTheme="majorBidi" w:cstheme="majorBidi"/>
          <w:sz w:val="22"/>
          <w:szCs w:val="22"/>
          <w:rtl/>
          <w:lang w:bidi="ar"/>
        </w:rPr>
        <w:t xml:space="preserve">32 </w:t>
      </w:r>
      <w:r w:rsidRPr="004820DD">
        <w:rPr>
          <w:rFonts w:asciiTheme="majorBidi" w:hAnsiTheme="majorBidi" w:cstheme="majorBidi"/>
          <w:sz w:val="22"/>
          <w:szCs w:val="22"/>
          <w:rtl/>
          <w:lang w:bidi="ar-SA"/>
        </w:rPr>
        <w:t>قادما مهاجرا مقدّما للرعاية من الاتحاد السوفييتي السابق</w:t>
      </w:r>
      <w:r w:rsidRPr="004820DD">
        <w:rPr>
          <w:rFonts w:asciiTheme="majorBidi" w:hAnsiTheme="majorBidi" w:cstheme="majorBidi"/>
          <w:sz w:val="22"/>
          <w:szCs w:val="22"/>
          <w:rtl/>
          <w:lang w:bidi="ar"/>
        </w:rPr>
        <w:t xml:space="preserve">. </w:t>
      </w:r>
      <w:r w:rsidRPr="004820DD">
        <w:rPr>
          <w:rFonts w:asciiTheme="majorBidi" w:hAnsiTheme="majorBidi" w:cstheme="majorBidi"/>
          <w:sz w:val="22"/>
          <w:szCs w:val="22"/>
          <w:rtl/>
          <w:lang w:bidi="ar-SA"/>
        </w:rPr>
        <w:t>تم تحليل المقابلات بواسطة تحليل المضامين النوعي</w:t>
      </w:r>
      <w:r w:rsidRPr="004820DD">
        <w:rPr>
          <w:rFonts w:asciiTheme="majorBidi" w:hAnsiTheme="majorBidi" w:cstheme="majorBidi"/>
          <w:sz w:val="22"/>
          <w:szCs w:val="22"/>
          <w:rtl/>
          <w:lang w:bidi="ar"/>
        </w:rPr>
        <w:t xml:space="preserve">. </w:t>
      </w:r>
      <w:r w:rsidRPr="004820DD">
        <w:rPr>
          <w:rFonts w:asciiTheme="majorBidi" w:hAnsiTheme="majorBidi" w:cstheme="majorBidi"/>
          <w:sz w:val="22"/>
          <w:szCs w:val="22"/>
          <w:rtl/>
          <w:lang w:bidi="ar-SA"/>
        </w:rPr>
        <w:t>من تم إجراء المقابلات معهم يصفون العبء الذي يشعرون به كتراكم ضغوط وصعوبات في كسب الرزق، الاقتصاد، اللغة والاندماج الاجتماعي، إلى جانب مشاكل عاطفية وصحية، حيث تؤثر كل هذه بصورة سلبية على مواجهتهم وتأقلمهم على المستوى الشخصي والعائلي</w:t>
      </w:r>
      <w:r w:rsidRPr="004820DD">
        <w:rPr>
          <w:rFonts w:asciiTheme="majorBidi" w:hAnsiTheme="majorBidi" w:cstheme="majorBidi"/>
          <w:sz w:val="22"/>
          <w:szCs w:val="22"/>
          <w:rtl/>
          <w:lang w:bidi="ar"/>
        </w:rPr>
        <w:t xml:space="preserve">. </w:t>
      </w:r>
      <w:r w:rsidRPr="004820DD">
        <w:rPr>
          <w:rFonts w:asciiTheme="majorBidi" w:hAnsiTheme="majorBidi" w:cstheme="majorBidi"/>
          <w:sz w:val="22"/>
          <w:szCs w:val="22"/>
          <w:rtl/>
          <w:lang w:bidi="ar-SA"/>
        </w:rPr>
        <w:t xml:space="preserve">يتضح من النتائج أن العبء الموضوعي والانتقائي الذي يشعر به من تم إجراء المقابلات معهم يشمل جوانب تتعلق بدورهم كأفراد عائلة مقدمين للرعاية، جوانب تتعلق </w:t>
      </w:r>
      <w:r w:rsidRPr="004820DD">
        <w:rPr>
          <w:rFonts w:asciiTheme="majorBidi" w:hAnsiTheme="majorBidi" w:cstheme="majorBidi"/>
          <w:sz w:val="22"/>
          <w:szCs w:val="22"/>
          <w:rtl/>
          <w:lang w:bidi="ar-SA"/>
        </w:rPr>
        <w:lastRenderedPageBreak/>
        <w:t>بمكانتهم كمهاجرين، وكذلك العلاقة الدائرية التي بينهم والتي تعزز الشعور العام بالعبء</w:t>
      </w:r>
      <w:r w:rsidRPr="004820DD">
        <w:rPr>
          <w:rFonts w:asciiTheme="majorBidi" w:hAnsiTheme="majorBidi" w:cstheme="majorBidi"/>
          <w:sz w:val="22"/>
          <w:szCs w:val="22"/>
          <w:rtl/>
          <w:lang w:bidi="ar"/>
        </w:rPr>
        <w:t xml:space="preserve">. </w:t>
      </w:r>
      <w:r w:rsidRPr="004820DD">
        <w:rPr>
          <w:rFonts w:asciiTheme="majorBidi" w:hAnsiTheme="majorBidi" w:cstheme="majorBidi"/>
          <w:sz w:val="22"/>
          <w:szCs w:val="22"/>
          <w:rtl/>
          <w:lang w:bidi="ar-SA"/>
        </w:rPr>
        <w:t xml:space="preserve">يقترح البحث مصطلحا جديدا </w:t>
      </w:r>
      <w:r w:rsidRPr="004820DD">
        <w:rPr>
          <w:rFonts w:asciiTheme="majorBidi" w:hAnsiTheme="majorBidi" w:cstheme="majorBidi"/>
          <w:sz w:val="22"/>
          <w:szCs w:val="22"/>
          <w:rtl/>
          <w:lang w:bidi="ar"/>
        </w:rPr>
        <w:t xml:space="preserve">- </w:t>
      </w:r>
      <w:r w:rsidRPr="004820DD">
        <w:rPr>
          <w:rFonts w:asciiTheme="majorBidi" w:hAnsiTheme="majorBidi" w:cstheme="majorBidi"/>
          <w:sz w:val="22"/>
          <w:szCs w:val="22"/>
          <w:rtl/>
          <w:lang w:bidi="ar-SA"/>
        </w:rPr>
        <w:t>عبء التأقلم المزدوج، والذي يساعد في فهم تجربة المهاجرين المقدمين للرعاية في سياقهم الخاص والمميز لهم، تشخيص مجموعات الخطورة بينهم، والنهوض في تحديد إمكانيات التدخل من جانب الدولة والجانب الاجتماعي الأكثر ملاءمة لاحتياجاتهم</w:t>
      </w:r>
      <w:r w:rsidRPr="004820DD">
        <w:rPr>
          <w:rFonts w:asciiTheme="majorBidi" w:hAnsiTheme="majorBidi" w:cstheme="majorBidi"/>
          <w:sz w:val="22"/>
          <w:szCs w:val="22"/>
          <w:rtl/>
          <w:lang w:bidi="ar"/>
        </w:rPr>
        <w:t xml:space="preserve">. </w:t>
      </w:r>
    </w:p>
    <w:p w14:paraId="135916EF" w14:textId="77777777" w:rsidR="004820DD" w:rsidRDefault="004820DD" w:rsidP="004820DD">
      <w:pPr>
        <w:spacing w:after="180" w:line="280" w:lineRule="exact"/>
        <w:jc w:val="both"/>
        <w:rPr>
          <w:rFonts w:asciiTheme="majorBidi" w:hAnsiTheme="majorBidi" w:cstheme="majorBidi"/>
          <w:sz w:val="22"/>
          <w:szCs w:val="22"/>
          <w:lang w:bidi="ar"/>
        </w:rPr>
      </w:pPr>
    </w:p>
    <w:p w14:paraId="11E929E8" w14:textId="77777777" w:rsidR="004820DD" w:rsidRPr="004820DD" w:rsidRDefault="004820DD" w:rsidP="004820DD">
      <w:pPr>
        <w:spacing w:after="180" w:line="280" w:lineRule="exact"/>
        <w:jc w:val="both"/>
        <w:rPr>
          <w:rFonts w:asciiTheme="majorBidi" w:eastAsia="Calibri" w:hAnsiTheme="majorBidi" w:cstheme="majorBidi"/>
          <w:sz w:val="22"/>
          <w:szCs w:val="22"/>
          <w:rtl/>
        </w:rPr>
      </w:pPr>
    </w:p>
    <w:p w14:paraId="465E7214" w14:textId="77777777" w:rsidR="002F34B7" w:rsidRPr="002F34B7" w:rsidRDefault="002F34B7" w:rsidP="002F34B7">
      <w:pPr>
        <w:pStyle w:val="Heading1"/>
        <w:spacing w:line="440" w:lineRule="exact"/>
        <w:rPr>
          <w:rFonts w:cs="Times New Roman"/>
          <w:color w:val="2A8E8C"/>
          <w:rtl/>
          <w:lang w:eastAsia="he-IL"/>
        </w:rPr>
      </w:pPr>
      <w:r w:rsidRPr="002F34B7">
        <w:rPr>
          <w:rFonts w:cs="Times New Roman"/>
          <w:color w:val="2A8E8C"/>
          <w:rtl/>
          <w:lang w:eastAsia="he-IL" w:bidi="ar-SA"/>
        </w:rPr>
        <w:t xml:space="preserve">وظيفة الوصي أو الداعم في اتخاذ القرارات: استعداد الأخوة والأخوات الذين لديهم أخوان مصابون بإعاقة تطوّرية (التوحّد أو إعاقة عقلية) </w:t>
      </w:r>
    </w:p>
    <w:p w14:paraId="304B37B8" w14:textId="04A67A62" w:rsidR="002F34B7" w:rsidRPr="002F34B7" w:rsidRDefault="002F34B7" w:rsidP="002F34B7">
      <w:pPr>
        <w:pStyle w:val="KOT5T"/>
        <w:spacing w:before="0" w:after="240" w:line="280" w:lineRule="exact"/>
        <w:ind w:right="0"/>
        <w:jc w:val="left"/>
        <w:rPr>
          <w:rFonts w:ascii="Times New Roman" w:hAnsi="Times New Roman" w:cs="Times New Roman"/>
          <w:b w:val="0"/>
          <w:bCs w:val="0"/>
          <w:color w:val="auto"/>
          <w:rtl/>
        </w:rPr>
      </w:pPr>
      <w:r w:rsidRPr="002F34B7">
        <w:rPr>
          <w:rFonts w:ascii="Times New Roman" w:hAnsi="Times New Roman" w:cs="Times New Roman"/>
          <w:b w:val="0"/>
          <w:bCs w:val="0"/>
          <w:color w:val="auto"/>
          <w:rtl/>
          <w:lang w:bidi="ar-SA"/>
        </w:rPr>
        <w:t xml:space="preserve">عادي </w:t>
      </w:r>
      <w:proofErr w:type="spellStart"/>
      <w:r w:rsidRPr="002F34B7">
        <w:rPr>
          <w:rFonts w:ascii="Times New Roman" w:hAnsi="Times New Roman" w:cs="Times New Roman"/>
          <w:b w:val="0"/>
          <w:bCs w:val="0"/>
          <w:color w:val="auto"/>
          <w:rtl/>
          <w:lang w:bidi="ar-SA"/>
        </w:rPr>
        <w:t>شرعابي</w:t>
      </w:r>
      <w:proofErr w:type="spellEnd"/>
      <w:r w:rsidR="004820DD" w:rsidRPr="004820DD">
        <w:rPr>
          <w:rFonts w:ascii="Times New Roman" w:hAnsi="Times New Roman" w:cs="Times New Roman"/>
          <w:b w:val="0"/>
          <w:bCs w:val="0"/>
          <w:color w:val="auto"/>
          <w:vertAlign w:val="superscript"/>
          <w:rtl/>
          <w:lang w:bidi="ar-SA"/>
        </w:rPr>
        <w:footnoteReference w:id="12"/>
      </w:r>
      <w:r w:rsidRPr="002F34B7">
        <w:rPr>
          <w:rFonts w:ascii="Times New Roman" w:hAnsi="Times New Roman" w:cs="Times New Roman"/>
          <w:b w:val="0"/>
          <w:bCs w:val="0"/>
          <w:color w:val="auto"/>
          <w:rtl/>
          <w:lang w:bidi="ar-SA"/>
        </w:rPr>
        <w:t xml:space="preserve"> </w:t>
      </w:r>
    </w:p>
    <w:p w14:paraId="4A9A1E3C" w14:textId="77777777" w:rsidR="002F34B7" w:rsidRPr="004772F9" w:rsidRDefault="002F34B7" w:rsidP="002F34B7">
      <w:pPr>
        <w:pStyle w:val="BodyText2"/>
        <w:keepNext/>
        <w:keepLines/>
        <w:rPr>
          <w:rFonts w:cs="Times New Roman"/>
          <w:sz w:val="22"/>
          <w:szCs w:val="22"/>
          <w:rtl/>
        </w:rPr>
      </w:pPr>
    </w:p>
    <w:p w14:paraId="50A54823" w14:textId="77777777" w:rsidR="002F34B7" w:rsidRPr="0092720F" w:rsidRDefault="002F34B7" w:rsidP="004820DD">
      <w:pPr>
        <w:spacing w:after="180" w:line="280" w:lineRule="atLeast"/>
        <w:jc w:val="both"/>
        <w:rPr>
          <w:rFonts w:asciiTheme="majorBidi" w:eastAsia="David" w:hAnsiTheme="majorBidi" w:cstheme="majorBidi"/>
          <w:sz w:val="22"/>
          <w:szCs w:val="22"/>
          <w:lang w:bidi="ar"/>
        </w:rPr>
      </w:pPr>
      <w:r w:rsidRPr="0092720F">
        <w:rPr>
          <w:rFonts w:asciiTheme="majorBidi" w:eastAsia="David" w:hAnsiTheme="majorBidi" w:cstheme="majorBidi"/>
          <w:sz w:val="22"/>
          <w:szCs w:val="22"/>
          <w:rtl/>
          <w:lang w:bidi="ar-SA"/>
        </w:rPr>
        <w:t xml:space="preserve">كان الهدف من البحث الوارد هو فحص الفروقات بين الأخوات والأخوة بالنسبة لإدراك وفهم استعدادهم لوظيفتهم المستقبلية كأوصياء على </w:t>
      </w:r>
      <w:bookmarkStart w:id="2" w:name="_Hlk90278566"/>
      <w:r w:rsidRPr="0092720F">
        <w:rPr>
          <w:rFonts w:asciiTheme="majorBidi" w:eastAsia="David" w:hAnsiTheme="majorBidi" w:cstheme="majorBidi"/>
          <w:sz w:val="22"/>
          <w:szCs w:val="22"/>
          <w:rtl/>
          <w:lang w:bidi="ar-SA"/>
        </w:rPr>
        <w:t>إخوانهم</w:t>
      </w:r>
      <w:bookmarkEnd w:id="2"/>
      <w:r w:rsidRPr="0092720F">
        <w:rPr>
          <w:rFonts w:asciiTheme="majorBidi" w:eastAsia="David" w:hAnsiTheme="majorBidi" w:cstheme="majorBidi"/>
          <w:sz w:val="22"/>
          <w:szCs w:val="22"/>
          <w:rtl/>
          <w:lang w:bidi="ar-SA"/>
        </w:rPr>
        <w:t xml:space="preserve"> ذوي الإعاقات التطورية </w:t>
      </w:r>
      <w:r w:rsidRPr="0092720F">
        <w:rPr>
          <w:rFonts w:asciiTheme="majorBidi" w:eastAsia="David" w:hAnsiTheme="majorBidi" w:cstheme="majorBidi"/>
          <w:sz w:val="22"/>
          <w:szCs w:val="22"/>
          <w:rtl/>
          <w:lang w:bidi="ar"/>
        </w:rPr>
        <w:t>(</w:t>
      </w:r>
      <w:r w:rsidRPr="0092720F">
        <w:rPr>
          <w:rFonts w:asciiTheme="majorBidi" w:eastAsia="David" w:hAnsiTheme="majorBidi" w:cstheme="majorBidi"/>
          <w:sz w:val="22"/>
          <w:szCs w:val="22"/>
          <w:rtl/>
          <w:lang w:bidi="ar-SA"/>
        </w:rPr>
        <w:t>التوحّد أو الإعاقة العقلية</w:t>
      </w:r>
      <w:r w:rsidRPr="0092720F">
        <w:rPr>
          <w:rFonts w:asciiTheme="majorBidi" w:eastAsia="David" w:hAnsiTheme="majorBidi" w:cstheme="majorBidi"/>
          <w:sz w:val="22"/>
          <w:szCs w:val="22"/>
          <w:rtl/>
          <w:lang w:bidi="ar"/>
        </w:rPr>
        <w:t>)</w:t>
      </w:r>
      <w:r w:rsidRPr="0092720F">
        <w:rPr>
          <w:rFonts w:asciiTheme="majorBidi" w:eastAsia="David" w:hAnsiTheme="majorBidi" w:cstheme="majorBidi"/>
          <w:sz w:val="22"/>
          <w:szCs w:val="22"/>
          <w:rtl/>
          <w:lang w:bidi="ar-SA"/>
        </w:rPr>
        <w:t>، لإيمانهم بقدرة إخوانهم على اتخاذ القرارات بصورة مستقلة، وكل ذلك كجزء من استعدادهم لأداء دور داعم في اتخاذ القرارات، والتدخل في حياتهم</w:t>
      </w:r>
      <w:r w:rsidRPr="0092720F">
        <w:rPr>
          <w:rFonts w:asciiTheme="majorBidi" w:eastAsia="David" w:hAnsiTheme="majorBidi" w:cstheme="majorBidi"/>
          <w:sz w:val="22"/>
          <w:szCs w:val="22"/>
          <w:rtl/>
          <w:lang w:bidi="ar"/>
        </w:rPr>
        <w:t xml:space="preserve">. </w:t>
      </w:r>
      <w:r w:rsidRPr="0092720F">
        <w:rPr>
          <w:rFonts w:asciiTheme="majorBidi" w:eastAsia="David" w:hAnsiTheme="majorBidi" w:cstheme="majorBidi"/>
          <w:sz w:val="22"/>
          <w:szCs w:val="22"/>
          <w:rtl/>
          <w:lang w:bidi="ar-SA"/>
        </w:rPr>
        <w:t xml:space="preserve">تم إجراء البحث وفق المنهجية المختلطة </w:t>
      </w:r>
      <w:r w:rsidRPr="0092720F">
        <w:rPr>
          <w:rFonts w:asciiTheme="majorBidi" w:eastAsia="David" w:hAnsiTheme="majorBidi" w:cstheme="majorBidi"/>
          <w:sz w:val="22"/>
          <w:szCs w:val="22"/>
          <w:rtl/>
          <w:lang w:bidi="ar"/>
        </w:rPr>
        <w:t>(</w:t>
      </w:r>
      <w:r w:rsidRPr="0092720F">
        <w:rPr>
          <w:rFonts w:asciiTheme="majorBidi" w:eastAsia="David" w:hAnsiTheme="majorBidi" w:cstheme="majorBidi"/>
          <w:sz w:val="22"/>
          <w:szCs w:val="22"/>
        </w:rPr>
        <w:t>Mixed Method)</w:t>
      </w:r>
      <w:r w:rsidRPr="0092720F">
        <w:rPr>
          <w:rFonts w:asciiTheme="majorBidi" w:eastAsia="David" w:hAnsiTheme="majorBidi" w:cstheme="majorBidi"/>
          <w:sz w:val="22"/>
          <w:szCs w:val="22"/>
          <w:rtl/>
          <w:lang w:bidi="ar"/>
        </w:rPr>
        <w:t xml:space="preserve">). </w:t>
      </w:r>
      <w:r w:rsidRPr="0092720F">
        <w:rPr>
          <w:rFonts w:asciiTheme="majorBidi" w:eastAsia="David" w:hAnsiTheme="majorBidi" w:cstheme="majorBidi"/>
          <w:sz w:val="22"/>
          <w:szCs w:val="22"/>
          <w:rtl/>
          <w:lang w:bidi="ar-SA"/>
        </w:rPr>
        <w:t xml:space="preserve">قام </w:t>
      </w:r>
      <w:r w:rsidRPr="0092720F">
        <w:rPr>
          <w:rFonts w:asciiTheme="majorBidi" w:eastAsia="David" w:hAnsiTheme="majorBidi" w:cstheme="majorBidi"/>
          <w:sz w:val="22"/>
          <w:szCs w:val="22"/>
          <w:rtl/>
          <w:lang w:bidi="ar"/>
        </w:rPr>
        <w:t xml:space="preserve">175 </w:t>
      </w:r>
      <w:r w:rsidRPr="0092720F">
        <w:rPr>
          <w:rFonts w:asciiTheme="majorBidi" w:eastAsia="David" w:hAnsiTheme="majorBidi" w:cstheme="majorBidi"/>
          <w:sz w:val="22"/>
          <w:szCs w:val="22"/>
          <w:rtl/>
          <w:lang w:bidi="ar-SA"/>
        </w:rPr>
        <w:t xml:space="preserve">أخا بعمر </w:t>
      </w:r>
      <w:r w:rsidRPr="0092720F">
        <w:rPr>
          <w:rFonts w:asciiTheme="majorBidi" w:eastAsia="David" w:hAnsiTheme="majorBidi" w:cstheme="majorBidi"/>
          <w:sz w:val="22"/>
          <w:szCs w:val="22"/>
          <w:rtl/>
          <w:lang w:bidi="ar"/>
        </w:rPr>
        <w:t xml:space="preserve">18 </w:t>
      </w:r>
      <w:r w:rsidRPr="0092720F">
        <w:rPr>
          <w:rFonts w:asciiTheme="majorBidi" w:eastAsia="David" w:hAnsiTheme="majorBidi" w:cstheme="majorBidi"/>
          <w:sz w:val="22"/>
          <w:szCs w:val="22"/>
          <w:rtl/>
          <w:lang w:bidi="ar-SA"/>
        </w:rPr>
        <w:t xml:space="preserve">عاما وما فوق بتعبئة استبيانات التبليغ الذاتي، منهم </w:t>
      </w:r>
      <w:r w:rsidRPr="0092720F">
        <w:rPr>
          <w:rFonts w:asciiTheme="majorBidi" w:eastAsia="David" w:hAnsiTheme="majorBidi" w:cstheme="majorBidi"/>
          <w:sz w:val="22"/>
          <w:szCs w:val="22"/>
          <w:rtl/>
          <w:lang w:bidi="ar"/>
        </w:rPr>
        <w:t xml:space="preserve">118 </w:t>
      </w:r>
      <w:r w:rsidRPr="0092720F">
        <w:rPr>
          <w:rFonts w:asciiTheme="majorBidi" w:eastAsia="David" w:hAnsiTheme="majorBidi" w:cstheme="majorBidi"/>
          <w:sz w:val="22"/>
          <w:szCs w:val="22"/>
          <w:rtl/>
          <w:lang w:bidi="ar-SA"/>
        </w:rPr>
        <w:t xml:space="preserve">أختا </w:t>
      </w:r>
      <w:proofErr w:type="gramStart"/>
      <w:r w:rsidRPr="0092720F">
        <w:rPr>
          <w:rFonts w:asciiTheme="majorBidi" w:eastAsia="David" w:hAnsiTheme="majorBidi" w:cstheme="majorBidi"/>
          <w:sz w:val="22"/>
          <w:szCs w:val="22"/>
          <w:rtl/>
          <w:lang w:bidi="ar-SA"/>
        </w:rPr>
        <w:t xml:space="preserve">و </w:t>
      </w:r>
      <w:r w:rsidRPr="0092720F">
        <w:rPr>
          <w:rFonts w:asciiTheme="majorBidi" w:eastAsia="David" w:hAnsiTheme="majorBidi" w:cstheme="majorBidi"/>
          <w:sz w:val="22"/>
          <w:szCs w:val="22"/>
          <w:rtl/>
          <w:lang w:bidi="ar"/>
        </w:rPr>
        <w:t>57</w:t>
      </w:r>
      <w:proofErr w:type="gramEnd"/>
      <w:r w:rsidRPr="0092720F">
        <w:rPr>
          <w:rFonts w:asciiTheme="majorBidi" w:eastAsia="David" w:hAnsiTheme="majorBidi" w:cstheme="majorBidi"/>
          <w:sz w:val="22"/>
          <w:szCs w:val="22"/>
          <w:rtl/>
          <w:lang w:bidi="ar"/>
        </w:rPr>
        <w:t xml:space="preserve"> </w:t>
      </w:r>
      <w:r w:rsidRPr="0092720F">
        <w:rPr>
          <w:rFonts w:asciiTheme="majorBidi" w:eastAsia="David" w:hAnsiTheme="majorBidi" w:cstheme="majorBidi"/>
          <w:sz w:val="22"/>
          <w:szCs w:val="22"/>
          <w:rtl/>
          <w:lang w:bidi="ar-SA"/>
        </w:rPr>
        <w:t>أخا</w:t>
      </w:r>
      <w:r w:rsidRPr="0092720F">
        <w:rPr>
          <w:rFonts w:asciiTheme="majorBidi" w:eastAsia="David" w:hAnsiTheme="majorBidi" w:cstheme="majorBidi"/>
          <w:sz w:val="22"/>
          <w:szCs w:val="22"/>
          <w:rtl/>
          <w:lang w:bidi="ar"/>
        </w:rPr>
        <w:t xml:space="preserve">. </w:t>
      </w:r>
      <w:r w:rsidRPr="0092720F">
        <w:rPr>
          <w:rFonts w:asciiTheme="majorBidi" w:eastAsia="David" w:hAnsiTheme="majorBidi" w:cstheme="majorBidi"/>
          <w:sz w:val="22"/>
          <w:szCs w:val="22"/>
          <w:rtl/>
          <w:lang w:bidi="ar-SA"/>
        </w:rPr>
        <w:t>تم فحص استعدادهم للدور المستقبلي، انخراطهم في حياة إخوانهم ذوي الإعاقة، وإدراكهم ومشاعرهم المتعلقة بهذا التداخل</w:t>
      </w:r>
      <w:r w:rsidRPr="0092720F">
        <w:rPr>
          <w:rFonts w:asciiTheme="majorBidi" w:eastAsia="David" w:hAnsiTheme="majorBidi" w:cstheme="majorBidi"/>
          <w:sz w:val="22"/>
          <w:szCs w:val="22"/>
          <w:rtl/>
          <w:lang w:bidi="ar"/>
        </w:rPr>
        <w:t xml:space="preserve">. </w:t>
      </w:r>
      <w:r w:rsidRPr="0092720F">
        <w:rPr>
          <w:rFonts w:asciiTheme="majorBidi" w:eastAsia="David" w:hAnsiTheme="majorBidi" w:cstheme="majorBidi"/>
          <w:sz w:val="22"/>
          <w:szCs w:val="22"/>
          <w:rtl/>
          <w:lang w:bidi="ar-SA"/>
        </w:rPr>
        <w:t>يتبين من تحليل الأسئلة المغلقة أن الأخوات أكثر إيمانا من الأخوة بقدرة الأخوة ذوي الإعاقة على اتخاذ القرارات المستقلة، وتبدين تداخلا اجتماعيا أكثر من الأخوة</w:t>
      </w:r>
      <w:r w:rsidRPr="0092720F">
        <w:rPr>
          <w:rFonts w:asciiTheme="majorBidi" w:eastAsia="David" w:hAnsiTheme="majorBidi" w:cstheme="majorBidi"/>
          <w:sz w:val="22"/>
          <w:szCs w:val="22"/>
          <w:rtl/>
          <w:lang w:bidi="ar"/>
        </w:rPr>
        <w:t xml:space="preserve">. </w:t>
      </w:r>
      <w:r w:rsidRPr="0092720F">
        <w:rPr>
          <w:rFonts w:asciiTheme="majorBidi" w:eastAsia="David" w:hAnsiTheme="majorBidi" w:cstheme="majorBidi"/>
          <w:sz w:val="22"/>
          <w:szCs w:val="22"/>
          <w:rtl/>
          <w:lang w:bidi="ar-SA"/>
        </w:rPr>
        <w:t>مع ذلك، لم يتم إيجاد فروق واضحة بين الأخوة والأخوات في إدراك الاستعداد للوصاية، وفي مستوى التداخل العام</w:t>
      </w:r>
      <w:r w:rsidRPr="0092720F">
        <w:rPr>
          <w:rFonts w:asciiTheme="majorBidi" w:eastAsia="David" w:hAnsiTheme="majorBidi" w:cstheme="majorBidi"/>
          <w:sz w:val="22"/>
          <w:szCs w:val="22"/>
          <w:rtl/>
          <w:lang w:bidi="ar"/>
        </w:rPr>
        <w:t xml:space="preserve">. </w:t>
      </w:r>
      <w:r w:rsidRPr="0092720F">
        <w:rPr>
          <w:rFonts w:asciiTheme="majorBidi" w:eastAsia="David" w:hAnsiTheme="majorBidi" w:cstheme="majorBidi"/>
          <w:sz w:val="22"/>
          <w:szCs w:val="22"/>
          <w:rtl/>
          <w:lang w:bidi="ar-SA"/>
        </w:rPr>
        <w:t xml:space="preserve">في تحليل مضامين الأسئلة المفتوحة، تم تقييم المشاعر المشتركة تجاه إخوانهم ذوي الإعاقة </w:t>
      </w:r>
      <w:bookmarkStart w:id="3" w:name="_Hlk89971436"/>
      <w:r w:rsidRPr="0092720F">
        <w:rPr>
          <w:rFonts w:asciiTheme="majorBidi" w:eastAsia="David" w:hAnsiTheme="majorBidi" w:cstheme="majorBidi"/>
          <w:sz w:val="22"/>
          <w:szCs w:val="22"/>
          <w:rtl/>
          <w:lang w:bidi="ar-SA"/>
        </w:rPr>
        <w:t>وتجاه طبيعة انخراطهم وتداخلهم في حياتهم</w:t>
      </w:r>
      <w:bookmarkEnd w:id="3"/>
      <w:r w:rsidRPr="0092720F">
        <w:rPr>
          <w:rFonts w:asciiTheme="majorBidi" w:eastAsia="David" w:hAnsiTheme="majorBidi" w:cstheme="majorBidi"/>
          <w:sz w:val="22"/>
          <w:szCs w:val="22"/>
          <w:rtl/>
          <w:lang w:bidi="ar"/>
        </w:rPr>
        <w:t>.</w:t>
      </w:r>
      <w:r w:rsidRPr="0092720F">
        <w:rPr>
          <w:rFonts w:asciiTheme="majorBidi" w:eastAsia="David" w:hAnsiTheme="majorBidi" w:cstheme="majorBidi"/>
          <w:sz w:val="22"/>
          <w:szCs w:val="22"/>
          <w:rtl/>
          <w:lang w:bidi="ar-SA"/>
        </w:rPr>
        <w:t xml:space="preserve"> تشير النتائج إلى أن غالبية الأخوة قاموا بالإبلاغ عن مشاعر إيجابية، وقلّة فقط هم من أبلغوا عن مشاعر مختلطة أو مشاعر سلبية وقوية</w:t>
      </w:r>
      <w:r w:rsidRPr="0092720F">
        <w:rPr>
          <w:rFonts w:asciiTheme="majorBidi" w:eastAsia="David" w:hAnsiTheme="majorBidi" w:cstheme="majorBidi"/>
          <w:sz w:val="22"/>
          <w:szCs w:val="22"/>
          <w:rtl/>
          <w:lang w:bidi="ar"/>
        </w:rPr>
        <w:t xml:space="preserve">. </w:t>
      </w:r>
      <w:r w:rsidRPr="0092720F">
        <w:rPr>
          <w:rFonts w:asciiTheme="majorBidi" w:eastAsia="David" w:hAnsiTheme="majorBidi" w:cstheme="majorBidi"/>
          <w:sz w:val="22"/>
          <w:szCs w:val="22"/>
          <w:rtl/>
          <w:lang w:bidi="ar-SA"/>
        </w:rPr>
        <w:t>تم طرح طبيعة التداخل والمشاعر الذي يثيرها في سياقات مختلفة وبالنسبة للدور المستقبلي</w:t>
      </w:r>
      <w:r w:rsidRPr="0092720F">
        <w:rPr>
          <w:rFonts w:asciiTheme="majorBidi" w:eastAsia="David" w:hAnsiTheme="majorBidi" w:cstheme="majorBidi"/>
          <w:sz w:val="22"/>
          <w:szCs w:val="22"/>
          <w:rtl/>
          <w:lang w:bidi="ar"/>
        </w:rPr>
        <w:t xml:space="preserve">. </w:t>
      </w:r>
      <w:r w:rsidRPr="0092720F">
        <w:rPr>
          <w:rFonts w:asciiTheme="majorBidi" w:eastAsia="David" w:hAnsiTheme="majorBidi" w:cstheme="majorBidi"/>
          <w:sz w:val="22"/>
          <w:szCs w:val="22"/>
          <w:rtl/>
          <w:lang w:bidi="ar-SA"/>
        </w:rPr>
        <w:t xml:space="preserve">يشدد البحث الحالي على أهمية الفروق بين الجنسين في </w:t>
      </w:r>
      <w:proofErr w:type="spellStart"/>
      <w:r w:rsidRPr="0092720F">
        <w:rPr>
          <w:rFonts w:asciiTheme="majorBidi" w:eastAsia="David" w:hAnsiTheme="majorBidi" w:cstheme="majorBidi"/>
          <w:sz w:val="22"/>
          <w:szCs w:val="22"/>
          <w:rtl/>
          <w:lang w:bidi="ar-SA"/>
        </w:rPr>
        <w:t>سيرورات</w:t>
      </w:r>
      <w:proofErr w:type="spellEnd"/>
      <w:r w:rsidRPr="0092720F">
        <w:rPr>
          <w:rFonts w:asciiTheme="majorBidi" w:eastAsia="David" w:hAnsiTheme="majorBidi" w:cstheme="majorBidi"/>
          <w:sz w:val="22"/>
          <w:szCs w:val="22"/>
          <w:rtl/>
          <w:lang w:bidi="ar-SA"/>
        </w:rPr>
        <w:t xml:space="preserve"> التخطيط المستقبلي واستعدادهم لتمثيل إخوانهم ذوي الإعاقة بصورة قانونية، الاهتمام بشؤونهم </w:t>
      </w:r>
      <w:r w:rsidRPr="0092720F">
        <w:rPr>
          <w:rFonts w:asciiTheme="majorBidi" w:eastAsia="David" w:hAnsiTheme="majorBidi" w:cstheme="majorBidi"/>
          <w:sz w:val="22"/>
          <w:szCs w:val="22"/>
          <w:rtl/>
          <w:lang w:bidi="ar"/>
        </w:rPr>
        <w:t>(</w:t>
      </w:r>
      <w:r w:rsidRPr="0092720F">
        <w:rPr>
          <w:rFonts w:asciiTheme="majorBidi" w:eastAsia="David" w:hAnsiTheme="majorBidi" w:cstheme="majorBidi"/>
          <w:sz w:val="22"/>
          <w:szCs w:val="22"/>
          <w:rtl/>
          <w:lang w:bidi="ar-SA"/>
        </w:rPr>
        <w:t>وصاية</w:t>
      </w:r>
      <w:r w:rsidRPr="0092720F">
        <w:rPr>
          <w:rFonts w:asciiTheme="majorBidi" w:eastAsia="David" w:hAnsiTheme="majorBidi" w:cstheme="majorBidi"/>
          <w:sz w:val="22"/>
          <w:szCs w:val="22"/>
          <w:rtl/>
          <w:lang w:bidi="ar"/>
        </w:rPr>
        <w:t xml:space="preserve">) </w:t>
      </w:r>
      <w:r w:rsidRPr="0092720F">
        <w:rPr>
          <w:rFonts w:asciiTheme="majorBidi" w:eastAsia="David" w:hAnsiTheme="majorBidi" w:cstheme="majorBidi"/>
          <w:sz w:val="22"/>
          <w:szCs w:val="22"/>
          <w:rtl/>
          <w:lang w:bidi="ar-SA"/>
        </w:rPr>
        <w:t xml:space="preserve">أو مساعدتهم ودعم قراراتهم </w:t>
      </w:r>
      <w:r w:rsidRPr="0092720F">
        <w:rPr>
          <w:rFonts w:asciiTheme="majorBidi" w:eastAsia="David" w:hAnsiTheme="majorBidi" w:cstheme="majorBidi"/>
          <w:sz w:val="22"/>
          <w:szCs w:val="22"/>
          <w:rtl/>
          <w:lang w:bidi="ar"/>
        </w:rPr>
        <w:t>(</w:t>
      </w:r>
      <w:r w:rsidRPr="0092720F">
        <w:rPr>
          <w:rFonts w:asciiTheme="majorBidi" w:eastAsia="David" w:hAnsiTheme="majorBidi" w:cstheme="majorBidi"/>
          <w:sz w:val="22"/>
          <w:szCs w:val="22"/>
          <w:rtl/>
          <w:lang w:bidi="ar-SA"/>
        </w:rPr>
        <w:t>يدعم اتخاذ القرارات</w:t>
      </w:r>
      <w:r w:rsidRPr="0092720F">
        <w:rPr>
          <w:rFonts w:asciiTheme="majorBidi" w:eastAsia="David" w:hAnsiTheme="majorBidi" w:cstheme="majorBidi"/>
          <w:sz w:val="22"/>
          <w:szCs w:val="22"/>
          <w:rtl/>
          <w:lang w:bidi="ar"/>
        </w:rPr>
        <w:t xml:space="preserve">). </w:t>
      </w:r>
    </w:p>
    <w:p w14:paraId="3F3EF6B9" w14:textId="77777777" w:rsidR="004820DD" w:rsidRDefault="004820DD" w:rsidP="004820DD">
      <w:pPr>
        <w:spacing w:after="180" w:line="280" w:lineRule="atLeast"/>
        <w:jc w:val="both"/>
        <w:rPr>
          <w:rFonts w:asciiTheme="majorBidi" w:eastAsia="David" w:hAnsiTheme="majorBidi" w:cstheme="majorBidi"/>
          <w:i/>
          <w:iCs/>
          <w:sz w:val="22"/>
          <w:szCs w:val="22"/>
          <w:lang w:bidi="ar"/>
        </w:rPr>
      </w:pPr>
    </w:p>
    <w:p w14:paraId="2A8EC359" w14:textId="77777777" w:rsidR="004820DD" w:rsidRPr="004820DD" w:rsidRDefault="004820DD" w:rsidP="004820DD">
      <w:pPr>
        <w:spacing w:after="180" w:line="280" w:lineRule="atLeast"/>
        <w:jc w:val="both"/>
        <w:rPr>
          <w:rFonts w:asciiTheme="majorBidi" w:eastAsia="David" w:hAnsiTheme="majorBidi" w:cstheme="majorBidi"/>
          <w:i/>
          <w:sz w:val="22"/>
          <w:szCs w:val="22"/>
          <w:rtl/>
        </w:rPr>
      </w:pPr>
    </w:p>
    <w:p w14:paraId="6FCD4CB1" w14:textId="77777777" w:rsidR="002F34B7" w:rsidRPr="002F34B7" w:rsidRDefault="002F34B7" w:rsidP="002F34B7">
      <w:pPr>
        <w:pStyle w:val="Heading1"/>
        <w:spacing w:line="440" w:lineRule="exact"/>
        <w:rPr>
          <w:rFonts w:cs="Times New Roman"/>
          <w:color w:val="2A8E8C"/>
          <w:rtl/>
          <w:lang w:eastAsia="he-IL"/>
        </w:rPr>
      </w:pPr>
      <w:r w:rsidRPr="002F34B7">
        <w:rPr>
          <w:rFonts w:cs="Times New Roman"/>
          <w:color w:val="2A8E8C"/>
          <w:rtl/>
          <w:lang w:eastAsia="he-IL" w:bidi="ar-SA"/>
        </w:rPr>
        <w:lastRenderedPageBreak/>
        <w:t>صناديق التقاعد من النوع الافتراضي: نظرة إلى تصميم السياسات التقاعدية</w:t>
      </w:r>
    </w:p>
    <w:p w14:paraId="3204044F" w14:textId="6A88A5E3" w:rsidR="002F34B7" w:rsidRPr="002F34B7" w:rsidRDefault="002F34B7" w:rsidP="002F34B7">
      <w:pPr>
        <w:pStyle w:val="KOT5T"/>
        <w:spacing w:before="0" w:after="240" w:line="280" w:lineRule="exact"/>
        <w:ind w:right="0"/>
        <w:jc w:val="left"/>
        <w:rPr>
          <w:rFonts w:ascii="Times New Roman" w:hAnsi="Times New Roman" w:cs="Times New Roman"/>
          <w:b w:val="0"/>
          <w:bCs w:val="0"/>
          <w:color w:val="auto"/>
          <w:rtl/>
        </w:rPr>
      </w:pPr>
      <w:proofErr w:type="spellStart"/>
      <w:r w:rsidRPr="002F34B7">
        <w:rPr>
          <w:rFonts w:ascii="Times New Roman" w:hAnsi="Times New Roman" w:cs="Times New Roman"/>
          <w:b w:val="0"/>
          <w:bCs w:val="0"/>
          <w:color w:val="auto"/>
          <w:rtl/>
          <w:lang w:bidi="ar-SA"/>
        </w:rPr>
        <w:t>عيدو</w:t>
      </w:r>
      <w:proofErr w:type="spellEnd"/>
      <w:r w:rsidRPr="002F34B7">
        <w:rPr>
          <w:rFonts w:ascii="Times New Roman" w:hAnsi="Times New Roman" w:cs="Times New Roman"/>
          <w:b w:val="0"/>
          <w:bCs w:val="0"/>
          <w:color w:val="auto"/>
          <w:rtl/>
          <w:lang w:bidi="ar-SA"/>
        </w:rPr>
        <w:t xml:space="preserve"> </w:t>
      </w:r>
      <w:proofErr w:type="spellStart"/>
      <w:r w:rsidRPr="002F34B7">
        <w:rPr>
          <w:rFonts w:ascii="Times New Roman" w:hAnsi="Times New Roman" w:cs="Times New Roman"/>
          <w:b w:val="0"/>
          <w:bCs w:val="0"/>
          <w:color w:val="auto"/>
          <w:rtl/>
          <w:lang w:bidi="ar-SA"/>
        </w:rPr>
        <w:t>كالير</w:t>
      </w:r>
      <w:proofErr w:type="spellEnd"/>
      <w:r w:rsidR="004820DD" w:rsidRPr="004820DD">
        <w:rPr>
          <w:rFonts w:ascii="Times New Roman" w:hAnsi="Times New Roman" w:cs="Times New Roman"/>
          <w:b w:val="0"/>
          <w:bCs w:val="0"/>
          <w:color w:val="auto"/>
          <w:vertAlign w:val="superscript"/>
          <w:rtl/>
          <w:lang w:bidi="ar-SA"/>
        </w:rPr>
        <w:footnoteReference w:id="13"/>
      </w:r>
      <w:r w:rsidRPr="002F34B7">
        <w:rPr>
          <w:rFonts w:ascii="Times New Roman" w:hAnsi="Times New Roman" w:cs="Times New Roman"/>
          <w:b w:val="0"/>
          <w:bCs w:val="0"/>
          <w:color w:val="auto"/>
          <w:rtl/>
          <w:lang w:bidi="ar-SA"/>
        </w:rPr>
        <w:t xml:space="preserve">، ألكس </w:t>
      </w:r>
      <w:proofErr w:type="spellStart"/>
      <w:r w:rsidRPr="002F34B7">
        <w:rPr>
          <w:rFonts w:ascii="Times New Roman" w:hAnsi="Times New Roman" w:cs="Times New Roman"/>
          <w:b w:val="0"/>
          <w:bCs w:val="0"/>
          <w:color w:val="auto"/>
          <w:rtl/>
          <w:lang w:bidi="ar-SA"/>
        </w:rPr>
        <w:t>كابلون</w:t>
      </w:r>
      <w:proofErr w:type="spellEnd"/>
      <w:r w:rsidR="004820DD" w:rsidRPr="004820DD">
        <w:rPr>
          <w:rFonts w:ascii="Times New Roman" w:hAnsi="Times New Roman" w:cs="Times New Roman"/>
          <w:b w:val="0"/>
          <w:bCs w:val="0"/>
          <w:color w:val="auto"/>
          <w:vertAlign w:val="superscript"/>
          <w:rtl/>
          <w:lang w:bidi="ar-SA"/>
        </w:rPr>
        <w:footnoteReference w:id="14"/>
      </w:r>
      <w:r w:rsidRPr="002F34B7">
        <w:rPr>
          <w:rFonts w:ascii="Times New Roman" w:hAnsi="Times New Roman" w:cs="Times New Roman"/>
          <w:b w:val="0"/>
          <w:bCs w:val="0"/>
          <w:color w:val="auto"/>
          <w:rtl/>
          <w:lang w:bidi="ar-SA"/>
        </w:rPr>
        <w:t xml:space="preserve"> </w:t>
      </w:r>
      <w:proofErr w:type="spellStart"/>
      <w:r w:rsidRPr="002F34B7">
        <w:rPr>
          <w:rFonts w:ascii="Times New Roman" w:hAnsi="Times New Roman" w:cs="Times New Roman"/>
          <w:b w:val="0"/>
          <w:bCs w:val="0"/>
          <w:color w:val="auto"/>
          <w:rtl/>
          <w:lang w:bidi="ar-SA"/>
        </w:rPr>
        <w:t>ويسرائيل</w:t>
      </w:r>
      <w:proofErr w:type="spellEnd"/>
      <w:r w:rsidRPr="002F34B7">
        <w:rPr>
          <w:rFonts w:ascii="Times New Roman" w:hAnsi="Times New Roman" w:cs="Times New Roman"/>
          <w:b w:val="0"/>
          <w:bCs w:val="0"/>
          <w:color w:val="auto"/>
          <w:rtl/>
          <w:lang w:bidi="ar-SA"/>
        </w:rPr>
        <w:t xml:space="preserve"> (إيسي) </w:t>
      </w:r>
      <w:proofErr w:type="spellStart"/>
      <w:r w:rsidRPr="002F34B7">
        <w:rPr>
          <w:rFonts w:ascii="Times New Roman" w:hAnsi="Times New Roman" w:cs="Times New Roman"/>
          <w:b w:val="0"/>
          <w:bCs w:val="0"/>
          <w:color w:val="auto"/>
          <w:rtl/>
          <w:lang w:bidi="ar-SA"/>
        </w:rPr>
        <w:t>دورون</w:t>
      </w:r>
      <w:proofErr w:type="spellEnd"/>
      <w:r w:rsidR="004D6276">
        <w:rPr>
          <w:rFonts w:ascii="Times New Roman" w:hAnsi="Times New Roman" w:cs="Times New Roman"/>
          <w:b w:val="0"/>
          <w:bCs w:val="0"/>
          <w:color w:val="auto"/>
          <w:vertAlign w:val="superscript"/>
          <w:lang w:bidi="ar-SA"/>
        </w:rPr>
        <w:t>2</w:t>
      </w:r>
    </w:p>
    <w:p w14:paraId="1586C369" w14:textId="77777777" w:rsidR="002F34B7" w:rsidRPr="004772F9" w:rsidRDefault="002F34B7" w:rsidP="002F34B7">
      <w:pPr>
        <w:pStyle w:val="BodyText2"/>
        <w:keepNext/>
        <w:keepLines/>
        <w:rPr>
          <w:rFonts w:cs="Times New Roman"/>
          <w:sz w:val="22"/>
          <w:szCs w:val="22"/>
          <w:rtl/>
        </w:rPr>
      </w:pPr>
    </w:p>
    <w:p w14:paraId="5F2614A7" w14:textId="77777777" w:rsidR="002F34B7" w:rsidRPr="004820DD" w:rsidRDefault="002F34B7" w:rsidP="004820DD">
      <w:pPr>
        <w:spacing w:after="180" w:line="280" w:lineRule="exact"/>
        <w:jc w:val="both"/>
        <w:rPr>
          <w:rFonts w:asciiTheme="majorBidi" w:hAnsiTheme="majorBidi" w:cstheme="majorBidi"/>
          <w:sz w:val="22"/>
          <w:szCs w:val="22"/>
          <w:rtl/>
        </w:rPr>
      </w:pPr>
      <w:r w:rsidRPr="004820DD">
        <w:rPr>
          <w:rFonts w:asciiTheme="majorBidi" w:hAnsiTheme="majorBidi" w:cstheme="majorBidi"/>
          <w:sz w:val="22"/>
          <w:szCs w:val="22"/>
          <w:rtl/>
          <w:lang w:bidi="ar-SA"/>
        </w:rPr>
        <w:t xml:space="preserve">تمرّ دولة إسرائيل بسيرورة </w:t>
      </w:r>
      <w:proofErr w:type="gramStart"/>
      <w:r w:rsidRPr="004820DD">
        <w:rPr>
          <w:rFonts w:asciiTheme="majorBidi" w:hAnsiTheme="majorBidi" w:cstheme="majorBidi"/>
          <w:sz w:val="22"/>
          <w:szCs w:val="22"/>
          <w:rtl/>
          <w:lang w:bidi="ar-SA"/>
        </w:rPr>
        <w:t>هامة</w:t>
      </w:r>
      <w:proofErr w:type="gramEnd"/>
      <w:r w:rsidRPr="004820DD">
        <w:rPr>
          <w:rFonts w:asciiTheme="majorBidi" w:hAnsiTheme="majorBidi" w:cstheme="majorBidi"/>
          <w:sz w:val="22"/>
          <w:szCs w:val="22"/>
          <w:rtl/>
          <w:lang w:bidi="ar-SA"/>
        </w:rPr>
        <w:t xml:space="preserve"> من الإصلاحات في سوق التقاعد التشغيلي</w:t>
      </w:r>
      <w:r w:rsidRPr="004820DD">
        <w:rPr>
          <w:rFonts w:asciiTheme="majorBidi" w:hAnsiTheme="majorBidi" w:cstheme="majorBidi"/>
          <w:sz w:val="22"/>
          <w:szCs w:val="22"/>
          <w:rtl/>
          <w:lang w:bidi="ar"/>
        </w:rPr>
        <w:t xml:space="preserve">. </w:t>
      </w:r>
      <w:r w:rsidRPr="004820DD">
        <w:rPr>
          <w:rFonts w:asciiTheme="majorBidi" w:hAnsiTheme="majorBidi" w:cstheme="majorBidi"/>
          <w:sz w:val="22"/>
          <w:szCs w:val="22"/>
          <w:rtl/>
          <w:lang w:bidi="ar-SA"/>
        </w:rPr>
        <w:t>اتسمت هذه السوق بالتدخل التنظيمي</w:t>
      </w:r>
      <w:r w:rsidRPr="004820DD">
        <w:rPr>
          <w:rFonts w:asciiTheme="majorBidi" w:hAnsiTheme="majorBidi" w:cstheme="majorBidi"/>
          <w:sz w:val="22"/>
          <w:szCs w:val="22"/>
          <w:rtl/>
          <w:lang w:bidi="ar"/>
        </w:rPr>
        <w:t>/</w:t>
      </w:r>
      <w:r w:rsidRPr="004820DD">
        <w:rPr>
          <w:rFonts w:asciiTheme="majorBidi" w:hAnsiTheme="majorBidi" w:cstheme="majorBidi"/>
          <w:sz w:val="22"/>
          <w:szCs w:val="22"/>
          <w:rtl/>
          <w:lang w:bidi="ar-SA"/>
        </w:rPr>
        <w:t xml:space="preserve">التشريعي العميق، والذي شمل من ضمن ما شمل نشر مناقصات خلال السنوات </w:t>
      </w:r>
      <w:r w:rsidRPr="004820DD">
        <w:rPr>
          <w:rFonts w:asciiTheme="majorBidi" w:hAnsiTheme="majorBidi" w:cstheme="majorBidi"/>
          <w:sz w:val="22"/>
          <w:szCs w:val="22"/>
          <w:rtl/>
          <w:lang w:bidi="ar"/>
        </w:rPr>
        <w:t xml:space="preserve">2016-2018 </w:t>
      </w:r>
      <w:r w:rsidRPr="004820DD">
        <w:rPr>
          <w:rFonts w:asciiTheme="majorBidi" w:hAnsiTheme="majorBidi" w:cstheme="majorBidi"/>
          <w:sz w:val="22"/>
          <w:szCs w:val="22"/>
          <w:rtl/>
          <w:lang w:bidi="ar-SA"/>
        </w:rPr>
        <w:t>لاختيار صناديق تقاعد من النوع الافتراضي، وبضمن ذلك إنشاء نوع من التنافس واقتراح رسوم إدارية تكون أقل من تلك التي كانت متبعة في السوق في ذلك الوقت</w:t>
      </w:r>
      <w:r w:rsidRPr="004820DD">
        <w:rPr>
          <w:rFonts w:asciiTheme="majorBidi" w:hAnsiTheme="majorBidi" w:cstheme="majorBidi"/>
          <w:sz w:val="22"/>
          <w:szCs w:val="22"/>
          <w:rtl/>
          <w:lang w:bidi="ar"/>
        </w:rPr>
        <w:t xml:space="preserve">. </w:t>
      </w:r>
      <w:r w:rsidRPr="004820DD">
        <w:rPr>
          <w:rFonts w:asciiTheme="majorBidi" w:hAnsiTheme="majorBidi" w:cstheme="majorBidi"/>
          <w:sz w:val="22"/>
          <w:szCs w:val="22"/>
          <w:rtl/>
          <w:lang w:bidi="ar-SA"/>
        </w:rPr>
        <w:t>على الرغم من الإسقاطات ذات الأهمية التي كانت لهذه السيرورة، فإن حجم الكتابة أو الدراسات والأبحاث بشأنها كان قليلا جدا</w:t>
      </w:r>
      <w:r w:rsidRPr="004820DD">
        <w:rPr>
          <w:rFonts w:asciiTheme="majorBidi" w:hAnsiTheme="majorBidi" w:cstheme="majorBidi"/>
          <w:sz w:val="22"/>
          <w:szCs w:val="22"/>
          <w:rtl/>
          <w:lang w:bidi="ar"/>
        </w:rPr>
        <w:t xml:space="preserve">. </w:t>
      </w:r>
      <w:r w:rsidRPr="004820DD">
        <w:rPr>
          <w:rFonts w:asciiTheme="majorBidi" w:hAnsiTheme="majorBidi" w:cstheme="majorBidi"/>
          <w:sz w:val="22"/>
          <w:szCs w:val="22"/>
          <w:rtl/>
          <w:lang w:bidi="ar-SA"/>
        </w:rPr>
        <w:t>على ضوء ذلك، فإن الهدف من هذا البحث هو محاولة تقييم طريقة ومعنى تبني السياسات التقاعدية المرتكزة على صناديق التقاعد من النوع الافتراضي، وذلك من منطلق وجهة نظر المعنيين بالسيرورة والمتأثرين بها</w:t>
      </w:r>
      <w:r w:rsidRPr="004820DD">
        <w:rPr>
          <w:rFonts w:asciiTheme="majorBidi" w:hAnsiTheme="majorBidi" w:cstheme="majorBidi"/>
          <w:sz w:val="22"/>
          <w:szCs w:val="22"/>
          <w:rtl/>
          <w:lang w:bidi="ar"/>
        </w:rPr>
        <w:t xml:space="preserve">. </w:t>
      </w:r>
      <w:r w:rsidRPr="004820DD">
        <w:rPr>
          <w:rFonts w:asciiTheme="majorBidi" w:hAnsiTheme="majorBidi" w:cstheme="majorBidi"/>
          <w:sz w:val="22"/>
          <w:szCs w:val="22"/>
          <w:rtl/>
          <w:lang w:bidi="ar-SA"/>
        </w:rPr>
        <w:t xml:space="preserve">المنهجية التي تم استخدامها هي المنهجية النوعية الظواهرية، حيث تم في إطارها تقييم سيرورة السياسات المذكورة أعلاه على أساس تحليل مضامين مقابلات عمق مع </w:t>
      </w:r>
      <w:r w:rsidRPr="004820DD">
        <w:rPr>
          <w:rFonts w:asciiTheme="majorBidi" w:hAnsiTheme="majorBidi" w:cstheme="majorBidi"/>
          <w:sz w:val="22"/>
          <w:szCs w:val="22"/>
          <w:rtl/>
          <w:lang w:bidi="ar"/>
        </w:rPr>
        <w:t xml:space="preserve">12 </w:t>
      </w:r>
      <w:r w:rsidRPr="004820DD">
        <w:rPr>
          <w:rFonts w:asciiTheme="majorBidi" w:hAnsiTheme="majorBidi" w:cstheme="majorBidi"/>
          <w:sz w:val="22"/>
          <w:szCs w:val="22"/>
          <w:rtl/>
          <w:lang w:bidi="ar-SA"/>
        </w:rPr>
        <w:t>مشاركا، جميعهم أشخاص ذوي تأثير في عالم التقاعد والتأمين</w:t>
      </w:r>
      <w:r w:rsidRPr="004820DD">
        <w:rPr>
          <w:rFonts w:asciiTheme="majorBidi" w:hAnsiTheme="majorBidi" w:cstheme="majorBidi"/>
          <w:sz w:val="22"/>
          <w:szCs w:val="22"/>
          <w:rtl/>
          <w:lang w:bidi="ar"/>
        </w:rPr>
        <w:t xml:space="preserve">. </w:t>
      </w:r>
      <w:r w:rsidRPr="004820DD">
        <w:rPr>
          <w:rFonts w:asciiTheme="majorBidi" w:hAnsiTheme="majorBidi" w:cstheme="majorBidi"/>
          <w:sz w:val="22"/>
          <w:szCs w:val="22"/>
          <w:rtl/>
          <w:lang w:bidi="ar-SA"/>
        </w:rPr>
        <w:t>يظهر تحليل النتائج ثلاث صور أساسية</w:t>
      </w:r>
      <w:r w:rsidRPr="004820DD">
        <w:rPr>
          <w:rFonts w:asciiTheme="majorBidi" w:hAnsiTheme="majorBidi" w:cstheme="majorBidi"/>
          <w:sz w:val="22"/>
          <w:szCs w:val="22"/>
          <w:rtl/>
          <w:lang w:bidi="ar"/>
        </w:rPr>
        <w:t xml:space="preserve">: (1) </w:t>
      </w:r>
      <w:r w:rsidRPr="004820DD">
        <w:rPr>
          <w:rFonts w:asciiTheme="majorBidi" w:hAnsiTheme="majorBidi" w:cstheme="majorBidi"/>
          <w:sz w:val="22"/>
          <w:szCs w:val="22"/>
          <w:rtl/>
          <w:lang w:bidi="ar-SA"/>
        </w:rPr>
        <w:t xml:space="preserve">الحاجة لتدخل حكومي تنظيمي في سوق التقاعد؛ </w:t>
      </w:r>
      <w:r w:rsidRPr="004820DD">
        <w:rPr>
          <w:rFonts w:asciiTheme="majorBidi" w:hAnsiTheme="majorBidi" w:cstheme="majorBidi"/>
          <w:sz w:val="22"/>
          <w:szCs w:val="22"/>
          <w:rtl/>
          <w:lang w:bidi="ar"/>
        </w:rPr>
        <w:t xml:space="preserve">(2) </w:t>
      </w:r>
      <w:r w:rsidRPr="004820DD">
        <w:rPr>
          <w:rFonts w:asciiTheme="majorBidi" w:hAnsiTheme="majorBidi" w:cstheme="majorBidi"/>
          <w:sz w:val="22"/>
          <w:szCs w:val="22"/>
          <w:rtl/>
          <w:lang w:bidi="ar-SA"/>
        </w:rPr>
        <w:t>التدخل التشريعي</w:t>
      </w:r>
      <w:r w:rsidRPr="004820DD">
        <w:rPr>
          <w:rFonts w:asciiTheme="majorBidi" w:hAnsiTheme="majorBidi" w:cstheme="majorBidi"/>
          <w:sz w:val="22"/>
          <w:szCs w:val="22"/>
          <w:rtl/>
          <w:lang w:bidi="ar"/>
        </w:rPr>
        <w:t>-</w:t>
      </w:r>
      <w:r w:rsidRPr="004820DD">
        <w:rPr>
          <w:rFonts w:asciiTheme="majorBidi" w:hAnsiTheme="majorBidi" w:cstheme="majorBidi"/>
          <w:sz w:val="22"/>
          <w:szCs w:val="22"/>
          <w:rtl/>
          <w:lang w:bidi="ar-SA"/>
        </w:rPr>
        <w:t xml:space="preserve">التنظيمي في الرسوم الإدارية من خلال مناقصة صناديق افتراضية؛ </w:t>
      </w:r>
      <w:r w:rsidRPr="004820DD">
        <w:rPr>
          <w:rFonts w:asciiTheme="majorBidi" w:hAnsiTheme="majorBidi" w:cstheme="majorBidi"/>
          <w:sz w:val="22"/>
          <w:szCs w:val="22"/>
          <w:rtl/>
          <w:lang w:bidi="ar"/>
        </w:rPr>
        <w:t xml:space="preserve">(3) </w:t>
      </w:r>
      <w:r w:rsidRPr="004820DD">
        <w:rPr>
          <w:rFonts w:asciiTheme="majorBidi" w:hAnsiTheme="majorBidi" w:cstheme="majorBidi"/>
          <w:sz w:val="22"/>
          <w:szCs w:val="22"/>
          <w:rtl/>
          <w:lang w:bidi="ar-SA"/>
        </w:rPr>
        <w:t>الاستدامة طويلة الأمد للصناديق الافتراضية</w:t>
      </w:r>
      <w:r w:rsidRPr="004820DD">
        <w:rPr>
          <w:rFonts w:asciiTheme="majorBidi" w:hAnsiTheme="majorBidi" w:cstheme="majorBidi"/>
          <w:sz w:val="22"/>
          <w:szCs w:val="22"/>
          <w:rtl/>
          <w:lang w:bidi="ar"/>
        </w:rPr>
        <w:t xml:space="preserve">. </w:t>
      </w:r>
      <w:r w:rsidRPr="004820DD">
        <w:rPr>
          <w:rFonts w:asciiTheme="majorBidi" w:hAnsiTheme="majorBidi" w:cstheme="majorBidi"/>
          <w:sz w:val="22"/>
          <w:szCs w:val="22"/>
          <w:rtl/>
          <w:lang w:bidi="ar-SA"/>
        </w:rPr>
        <w:t>تبرز هذه النتائج الحاجة لنقاش وحوار جماهيري شامل وكامل بشأن أهداف وجوهر ترتيبات الضمان الاجتماعي للشيخوخة في إسرائيل، إلى جانب إدخال ومشاركة كافة اللاعبين المعنيين بالأمر</w:t>
      </w:r>
      <w:r w:rsidRPr="004820DD">
        <w:rPr>
          <w:rFonts w:asciiTheme="majorBidi" w:hAnsiTheme="majorBidi" w:cstheme="majorBidi"/>
          <w:sz w:val="22"/>
          <w:szCs w:val="22"/>
          <w:rtl/>
          <w:lang w:bidi="ar"/>
        </w:rPr>
        <w:t>.</w:t>
      </w:r>
    </w:p>
    <w:p w14:paraId="378DDEA6" w14:textId="77777777" w:rsidR="002F34B7" w:rsidRPr="008F3B20" w:rsidRDefault="002F34B7" w:rsidP="00ED57E4">
      <w:pPr>
        <w:spacing w:after="180" w:line="280" w:lineRule="exact"/>
        <w:jc w:val="both"/>
        <w:rPr>
          <w:rFonts w:ascii="David" w:hAnsi="David" w:cs="Times New Roman"/>
          <w:sz w:val="22"/>
          <w:szCs w:val="22"/>
          <w:rtl/>
        </w:rPr>
      </w:pPr>
    </w:p>
    <w:sectPr w:rsidR="002F34B7" w:rsidRPr="008F3B20" w:rsidSect="0092720F">
      <w:headerReference w:type="even" r:id="rId17"/>
      <w:headerReference w:type="default" r:id="rId18"/>
      <w:headerReference w:type="first" r:id="rId19"/>
      <w:footnotePr>
        <w:numRestart w:val="eachPage"/>
      </w:footnotePr>
      <w:pgSz w:w="11906" w:h="16838" w:code="9"/>
      <w:pgMar w:top="3402" w:right="2608" w:bottom="2552" w:left="2608" w:header="2552" w:footer="226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5B55E" w14:textId="77777777" w:rsidR="00585187" w:rsidRDefault="00585187">
      <w:pPr>
        <w:spacing w:line="240" w:lineRule="auto"/>
      </w:pPr>
      <w:r>
        <w:separator/>
      </w:r>
    </w:p>
  </w:endnote>
  <w:endnote w:type="continuationSeparator" w:id="0">
    <w:p w14:paraId="7DE3CEC1" w14:textId="77777777" w:rsidR="00585187" w:rsidRDefault="0058518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avid">
    <w:panose1 w:val="020E0502060401010101"/>
    <w:charset w:val="00"/>
    <w:family w:val="swiss"/>
    <w:pitch w:val="variable"/>
    <w:sig w:usb0="00000803" w:usb1="00000000" w:usb2="00000000" w:usb3="00000000" w:csb0="00000021" w:csb1="00000000"/>
  </w:font>
  <w:font w:name="FrankRuehl">
    <w:panose1 w:val="020E05030601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Guttman Hodes">
    <w:altName w:val="Arial"/>
    <w:charset w:val="B1"/>
    <w:family w:val="auto"/>
    <w:pitch w:val="variable"/>
    <w:sig w:usb0="00000801" w:usb1="40000000" w:usb2="00000000" w:usb3="00000000" w:csb0="00000020" w:csb1="00000000"/>
  </w:font>
  <w:font w:name="Tahoma">
    <w:panose1 w:val="020B0604030504040204"/>
    <w:charset w:val="00"/>
    <w:family w:val="swiss"/>
    <w:pitch w:val="variable"/>
    <w:sig w:usb0="E1002EFF" w:usb1="C000605B" w:usb2="00000029" w:usb3="00000000" w:csb0="000101FF" w:csb1="00000000"/>
  </w:font>
  <w:font w:name="Palatino">
    <w:altName w:val="Book Antiqua"/>
    <w:charset w:val="01"/>
    <w:family w:val="roman"/>
    <w:pitch w:val="default"/>
  </w:font>
  <w:font w:name="WenQuanYi Micro Hei">
    <w:altName w:val="Times New Roman"/>
    <w:panose1 w:val="00000000000000000000"/>
    <w:charset w:val="00"/>
    <w:family w:val="roman"/>
    <w:notTrueType/>
    <w:pitch w:val="default"/>
    <w:sig w:usb0="00000003" w:usb1="00000000" w:usb2="00000000" w:usb3="00000000" w:csb0="00000001" w:csb1="00000000"/>
  </w:font>
  <w:font w:name="Arial Unicode MS">
    <w:altName w:val="Yu Gothic"/>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6822B" w14:textId="77777777" w:rsidR="005C1617" w:rsidRDefault="005C161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0B6B" w14:textId="77777777" w:rsidR="005C1617" w:rsidRDefault="005C161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51F69" w14:textId="77777777" w:rsidR="005C1617" w:rsidRDefault="005C16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13B4F0" w14:textId="77777777" w:rsidR="00585187" w:rsidRDefault="00585187">
      <w:pPr>
        <w:spacing w:after="80"/>
        <w:rPr>
          <w:rFonts w:cs="FrankRuehl"/>
          <w:sz w:val="18"/>
          <w:szCs w:val="18"/>
        </w:rPr>
      </w:pPr>
      <w:r>
        <w:rPr>
          <w:rFonts w:cs="FrankRuehl" w:hint="cs"/>
          <w:sz w:val="18"/>
          <w:szCs w:val="18"/>
          <w:rtl/>
        </w:rPr>
        <w:t>_____________</w:t>
      </w:r>
    </w:p>
  </w:footnote>
  <w:footnote w:type="continuationSeparator" w:id="0">
    <w:p w14:paraId="6025B16F" w14:textId="77777777" w:rsidR="00585187" w:rsidRDefault="00585187">
      <w:r>
        <w:continuationSeparator/>
      </w:r>
    </w:p>
  </w:footnote>
  <w:footnote w:type="continuationNotice" w:id="1">
    <w:p w14:paraId="353CA484" w14:textId="77777777" w:rsidR="00585187" w:rsidRDefault="00585187">
      <w:pPr>
        <w:rPr>
          <w:rtl/>
        </w:rPr>
      </w:pPr>
    </w:p>
  </w:footnote>
  <w:footnote w:id="2">
    <w:p w14:paraId="79C80DDD" w14:textId="77777777" w:rsidR="004820DD" w:rsidRPr="004820DD" w:rsidRDefault="004820DD" w:rsidP="004820DD">
      <w:pPr>
        <w:pStyle w:val="FootnoteText"/>
        <w:spacing w:line="220" w:lineRule="exact"/>
        <w:ind w:left="284" w:hanging="284"/>
        <w:jc w:val="both"/>
        <w:rPr>
          <w:rStyle w:val="FootnoteReference"/>
          <w:rFonts w:asciiTheme="majorBidi" w:hAnsiTheme="majorBidi" w:cstheme="majorBidi"/>
          <w:sz w:val="18"/>
          <w:szCs w:val="18"/>
          <w:vertAlign w:val="baseline"/>
        </w:rPr>
      </w:pPr>
      <w:r w:rsidRPr="005E5DF4">
        <w:rPr>
          <w:rStyle w:val="FootnoteReference"/>
          <w:rFonts w:asciiTheme="majorBidi" w:hAnsiTheme="majorBidi" w:cstheme="majorBidi"/>
          <w:sz w:val="18"/>
          <w:szCs w:val="18"/>
          <w:vertAlign w:val="baseline"/>
        </w:rPr>
        <w:footnoteRef/>
      </w:r>
      <w:r w:rsidRPr="005E5DF4">
        <w:rPr>
          <w:rStyle w:val="FootnoteReference"/>
          <w:rFonts w:asciiTheme="majorBidi" w:hAnsiTheme="majorBidi" w:cstheme="majorBidi"/>
          <w:sz w:val="18"/>
          <w:szCs w:val="18"/>
          <w:vertAlign w:val="baseline"/>
          <w:rtl/>
          <w:lang w:bidi="ar"/>
        </w:rPr>
        <w:t xml:space="preserve"> </w:t>
      </w:r>
      <w:r w:rsidRPr="005E5DF4">
        <w:rPr>
          <w:rStyle w:val="FootnoteReference"/>
          <w:rFonts w:asciiTheme="majorBidi" w:hAnsiTheme="majorBidi" w:cstheme="majorBidi"/>
          <w:sz w:val="18"/>
          <w:szCs w:val="18"/>
          <w:vertAlign w:val="baseline"/>
          <w:rtl/>
          <w:lang w:bidi="ar"/>
        </w:rPr>
        <w:tab/>
      </w:r>
      <w:r w:rsidRPr="005E5DF4">
        <w:rPr>
          <w:rStyle w:val="FootnoteReference"/>
          <w:rFonts w:asciiTheme="majorBidi" w:hAnsiTheme="majorBidi" w:cstheme="majorBidi"/>
          <w:sz w:val="18"/>
          <w:szCs w:val="18"/>
          <w:vertAlign w:val="baseline"/>
          <w:rtl/>
          <w:lang w:bidi="ar-SA"/>
        </w:rPr>
        <w:t>المحلس الجماهيري للأهل في إسرائيل وتحالف منظمات النهوض بالوالدية والوالدين</w:t>
      </w:r>
      <w:r w:rsidRPr="004820DD">
        <w:rPr>
          <w:rFonts w:asciiTheme="majorBidi" w:hAnsiTheme="majorBidi" w:cstheme="majorBidi"/>
          <w:sz w:val="18"/>
          <w:szCs w:val="18"/>
          <w:rtl/>
        </w:rPr>
        <w:t xml:space="preserve"> </w:t>
      </w:r>
    </w:p>
  </w:footnote>
  <w:footnote w:id="3">
    <w:p w14:paraId="0D620BB5" w14:textId="77777777" w:rsidR="004820DD" w:rsidRPr="004820DD" w:rsidRDefault="004820DD" w:rsidP="004820DD">
      <w:pPr>
        <w:pStyle w:val="FootnoteText"/>
        <w:keepLines/>
        <w:spacing w:line="220" w:lineRule="exact"/>
        <w:ind w:left="284" w:hanging="284"/>
        <w:jc w:val="both"/>
        <w:rPr>
          <w:rStyle w:val="FootnoteReference"/>
          <w:rFonts w:asciiTheme="majorBidi" w:hAnsiTheme="majorBidi" w:cstheme="majorBidi"/>
          <w:sz w:val="18"/>
          <w:szCs w:val="18"/>
          <w:vertAlign w:val="baseline"/>
          <w:rtl/>
        </w:rPr>
      </w:pPr>
      <w:r w:rsidRPr="004820DD">
        <w:rPr>
          <w:rStyle w:val="FootnoteReference"/>
          <w:rFonts w:asciiTheme="majorBidi" w:hAnsiTheme="majorBidi" w:cstheme="majorBidi"/>
          <w:sz w:val="18"/>
          <w:szCs w:val="18"/>
          <w:vertAlign w:val="baseline"/>
        </w:rPr>
        <w:footnoteRef/>
      </w:r>
      <w:r w:rsidRPr="004820DD">
        <w:rPr>
          <w:rStyle w:val="FootnoteReference"/>
          <w:rFonts w:asciiTheme="majorBidi" w:hAnsiTheme="majorBidi" w:cstheme="majorBidi"/>
          <w:sz w:val="18"/>
          <w:szCs w:val="18"/>
          <w:vertAlign w:val="baseline"/>
          <w:rtl/>
        </w:rPr>
        <w:tab/>
      </w:r>
      <w:r w:rsidRPr="004820DD">
        <w:rPr>
          <w:rStyle w:val="FootnoteReference"/>
          <w:rFonts w:asciiTheme="majorBidi" w:hAnsiTheme="majorBidi" w:cstheme="majorBidi"/>
          <w:sz w:val="18"/>
          <w:szCs w:val="18"/>
          <w:vertAlign w:val="baseline"/>
          <w:rtl/>
          <w:lang w:bidi="ar-SA"/>
        </w:rPr>
        <w:t xml:space="preserve">مدرسة العمل الاجتماعي، كلية العلوم الاجتماعية والصحية، جامعة حيفا </w:t>
      </w:r>
    </w:p>
  </w:footnote>
  <w:footnote w:id="4">
    <w:p w14:paraId="53858F3C" w14:textId="77777777" w:rsidR="004820DD" w:rsidRPr="004820DD" w:rsidRDefault="004820DD" w:rsidP="004820DD">
      <w:pPr>
        <w:pStyle w:val="FootnoteText"/>
        <w:keepLines/>
        <w:spacing w:line="220" w:lineRule="exact"/>
        <w:ind w:left="284" w:hanging="284"/>
        <w:jc w:val="both"/>
        <w:rPr>
          <w:rStyle w:val="FootnoteReference"/>
          <w:rFonts w:asciiTheme="majorBidi" w:hAnsiTheme="majorBidi" w:cstheme="majorBidi"/>
          <w:sz w:val="18"/>
          <w:szCs w:val="18"/>
          <w:vertAlign w:val="baseline"/>
          <w:rtl/>
        </w:rPr>
      </w:pPr>
      <w:r w:rsidRPr="004820DD">
        <w:rPr>
          <w:rStyle w:val="FootnoteReference"/>
          <w:rFonts w:asciiTheme="majorBidi" w:hAnsiTheme="majorBidi" w:cstheme="majorBidi"/>
          <w:sz w:val="18"/>
          <w:szCs w:val="18"/>
          <w:vertAlign w:val="baseline"/>
        </w:rPr>
        <w:footnoteRef/>
      </w:r>
      <w:r w:rsidRPr="004820DD">
        <w:rPr>
          <w:rStyle w:val="FootnoteReference"/>
          <w:rFonts w:asciiTheme="majorBidi" w:hAnsiTheme="majorBidi" w:cstheme="majorBidi"/>
          <w:sz w:val="18"/>
          <w:szCs w:val="18"/>
          <w:vertAlign w:val="baseline"/>
          <w:rtl/>
          <w:lang w:bidi="ar"/>
        </w:rPr>
        <w:t xml:space="preserve"> </w:t>
      </w:r>
      <w:r w:rsidRPr="004820DD">
        <w:rPr>
          <w:rStyle w:val="FootnoteReference"/>
          <w:rFonts w:asciiTheme="majorBidi" w:hAnsiTheme="majorBidi" w:cstheme="majorBidi"/>
          <w:sz w:val="18"/>
          <w:szCs w:val="18"/>
          <w:vertAlign w:val="baseline"/>
          <w:rtl/>
          <w:lang w:bidi="ar"/>
        </w:rPr>
        <w:tab/>
      </w:r>
      <w:r w:rsidRPr="004820DD">
        <w:rPr>
          <w:rStyle w:val="FootnoteReference"/>
          <w:rFonts w:asciiTheme="majorBidi" w:hAnsiTheme="majorBidi" w:cstheme="majorBidi"/>
          <w:sz w:val="18"/>
          <w:szCs w:val="18"/>
          <w:vertAlign w:val="baseline"/>
          <w:rtl/>
          <w:lang w:bidi="ar-SA"/>
        </w:rPr>
        <w:t>برنامج العمل الاجتماعي، مدرسة العلوم الاجتماعية والخدمات الإنسانية، كلية رامبو، نيو جيرسي</w:t>
      </w:r>
    </w:p>
  </w:footnote>
  <w:footnote w:id="5">
    <w:p w14:paraId="5658BEF1" w14:textId="77777777" w:rsidR="004820DD" w:rsidRPr="004820DD" w:rsidRDefault="004820DD" w:rsidP="004820DD">
      <w:pPr>
        <w:pStyle w:val="FootnoteText"/>
        <w:spacing w:line="220" w:lineRule="exact"/>
        <w:ind w:left="284" w:hanging="284"/>
        <w:jc w:val="both"/>
        <w:rPr>
          <w:rFonts w:asciiTheme="majorBidi" w:hAnsiTheme="majorBidi" w:cstheme="majorBidi"/>
          <w:sz w:val="18"/>
          <w:szCs w:val="18"/>
          <w:rtl/>
        </w:rPr>
      </w:pPr>
      <w:r w:rsidRPr="004820DD">
        <w:rPr>
          <w:rStyle w:val="FootnoteReference"/>
          <w:rFonts w:asciiTheme="majorBidi" w:hAnsiTheme="majorBidi" w:cstheme="majorBidi"/>
          <w:sz w:val="18"/>
          <w:szCs w:val="18"/>
          <w:vertAlign w:val="baseline"/>
        </w:rPr>
        <w:footnoteRef/>
      </w:r>
      <w:r w:rsidRPr="004820DD">
        <w:rPr>
          <w:rStyle w:val="FootnoteReference"/>
          <w:rFonts w:asciiTheme="majorBidi" w:hAnsiTheme="majorBidi" w:cstheme="majorBidi"/>
          <w:sz w:val="18"/>
          <w:szCs w:val="18"/>
          <w:vertAlign w:val="baseline"/>
          <w:rtl/>
        </w:rPr>
        <w:tab/>
      </w:r>
      <w:r w:rsidRPr="004820DD">
        <w:rPr>
          <w:rFonts w:asciiTheme="majorBidi" w:hAnsiTheme="majorBidi" w:cstheme="majorBidi"/>
          <w:sz w:val="18"/>
          <w:szCs w:val="18"/>
          <w:rtl/>
          <w:lang w:bidi="ar-SA"/>
        </w:rPr>
        <w:t>قسم الخدمات الإنسانية، جامعة حيفا</w:t>
      </w:r>
    </w:p>
  </w:footnote>
  <w:footnote w:id="6">
    <w:p w14:paraId="0B1EF193" w14:textId="77777777" w:rsidR="004820DD" w:rsidRPr="004820DD" w:rsidRDefault="004820DD" w:rsidP="004820DD">
      <w:pPr>
        <w:pStyle w:val="FootnoteText"/>
        <w:spacing w:line="220" w:lineRule="exact"/>
        <w:ind w:left="284" w:hanging="284"/>
        <w:jc w:val="both"/>
        <w:rPr>
          <w:rFonts w:asciiTheme="majorBidi" w:hAnsiTheme="majorBidi" w:cstheme="majorBidi"/>
          <w:sz w:val="18"/>
          <w:szCs w:val="18"/>
          <w:rtl/>
        </w:rPr>
      </w:pPr>
      <w:r w:rsidRPr="004820DD">
        <w:rPr>
          <w:rStyle w:val="FootnoteReference"/>
          <w:rFonts w:asciiTheme="majorBidi" w:hAnsiTheme="majorBidi" w:cstheme="majorBidi"/>
          <w:sz w:val="18"/>
          <w:szCs w:val="18"/>
          <w:vertAlign w:val="baseline"/>
        </w:rPr>
        <w:footnoteRef/>
      </w:r>
      <w:r w:rsidRPr="004820DD">
        <w:rPr>
          <w:rStyle w:val="FootnoteReference"/>
          <w:rFonts w:asciiTheme="majorBidi" w:hAnsiTheme="majorBidi" w:cstheme="majorBidi"/>
          <w:sz w:val="18"/>
          <w:szCs w:val="18"/>
          <w:vertAlign w:val="baseline"/>
          <w:rtl/>
        </w:rPr>
        <w:tab/>
      </w:r>
      <w:r w:rsidRPr="004820DD">
        <w:rPr>
          <w:rFonts w:asciiTheme="majorBidi" w:hAnsiTheme="majorBidi" w:cstheme="majorBidi"/>
          <w:sz w:val="18"/>
          <w:szCs w:val="18"/>
          <w:rtl/>
          <w:lang w:bidi="ar-SA"/>
        </w:rPr>
        <w:t>كلية إدارة الأعمال، جامعة حيفا</w:t>
      </w:r>
    </w:p>
  </w:footnote>
  <w:footnote w:id="7">
    <w:p w14:paraId="3172D420" w14:textId="77777777" w:rsidR="004820DD" w:rsidRPr="004820DD" w:rsidRDefault="004820DD" w:rsidP="004820DD">
      <w:pPr>
        <w:pStyle w:val="FootnoteText"/>
        <w:spacing w:line="220" w:lineRule="exact"/>
        <w:ind w:left="284" w:hanging="284"/>
        <w:jc w:val="both"/>
        <w:rPr>
          <w:rFonts w:asciiTheme="majorBidi" w:hAnsiTheme="majorBidi" w:cstheme="majorBidi"/>
          <w:sz w:val="18"/>
          <w:szCs w:val="18"/>
          <w:rtl/>
        </w:rPr>
      </w:pPr>
      <w:r w:rsidRPr="004820DD">
        <w:rPr>
          <w:rStyle w:val="FootnoteReference"/>
          <w:rFonts w:asciiTheme="majorBidi" w:hAnsiTheme="majorBidi" w:cstheme="majorBidi"/>
          <w:sz w:val="18"/>
          <w:szCs w:val="18"/>
          <w:vertAlign w:val="baseline"/>
        </w:rPr>
        <w:footnoteRef/>
      </w:r>
      <w:r w:rsidRPr="004820DD">
        <w:rPr>
          <w:rStyle w:val="FootnoteReference"/>
          <w:rFonts w:asciiTheme="majorBidi" w:hAnsiTheme="majorBidi" w:cstheme="majorBidi"/>
          <w:sz w:val="18"/>
          <w:szCs w:val="18"/>
          <w:vertAlign w:val="baseline"/>
          <w:rtl/>
        </w:rPr>
        <w:tab/>
      </w:r>
      <w:r w:rsidRPr="004820DD">
        <w:rPr>
          <w:rFonts w:asciiTheme="majorBidi" w:hAnsiTheme="majorBidi" w:cstheme="majorBidi"/>
          <w:sz w:val="18"/>
          <w:szCs w:val="18"/>
          <w:rtl/>
          <w:lang w:bidi="ar-SA"/>
        </w:rPr>
        <w:t>قسم علم الشيخوخة، جامعة حيفا</w:t>
      </w:r>
    </w:p>
  </w:footnote>
  <w:footnote w:id="8">
    <w:p w14:paraId="39119CE1" w14:textId="77777777" w:rsidR="004820DD" w:rsidRPr="004820DD" w:rsidRDefault="004820DD" w:rsidP="008D5470">
      <w:pPr>
        <w:pStyle w:val="FootnoteText"/>
        <w:spacing w:line="220" w:lineRule="exact"/>
        <w:ind w:left="284" w:hanging="284"/>
        <w:jc w:val="both"/>
        <w:rPr>
          <w:rStyle w:val="FootnoteReference"/>
          <w:rFonts w:asciiTheme="majorBidi" w:hAnsiTheme="majorBidi" w:cstheme="majorBidi"/>
          <w:sz w:val="18"/>
          <w:szCs w:val="18"/>
          <w:vertAlign w:val="baseline"/>
          <w:rtl/>
        </w:rPr>
      </w:pPr>
      <w:r w:rsidRPr="004820DD">
        <w:rPr>
          <w:rStyle w:val="FootnoteReference"/>
          <w:rFonts w:asciiTheme="majorBidi" w:hAnsiTheme="majorBidi" w:cstheme="majorBidi"/>
          <w:sz w:val="18"/>
          <w:szCs w:val="18"/>
          <w:vertAlign w:val="baseline"/>
        </w:rPr>
        <w:footnoteRef/>
      </w:r>
      <w:r w:rsidRPr="004820DD">
        <w:rPr>
          <w:rStyle w:val="FootnoteReference"/>
          <w:rFonts w:asciiTheme="majorBidi" w:hAnsiTheme="majorBidi" w:cstheme="majorBidi"/>
          <w:sz w:val="18"/>
          <w:szCs w:val="18"/>
          <w:vertAlign w:val="baseline"/>
        </w:rPr>
        <w:tab/>
      </w:r>
      <w:r w:rsidRPr="004820DD">
        <w:rPr>
          <w:rStyle w:val="FootnoteReference"/>
          <w:rFonts w:asciiTheme="majorBidi" w:hAnsiTheme="majorBidi" w:cstheme="majorBidi"/>
          <w:sz w:val="18"/>
          <w:szCs w:val="18"/>
          <w:vertAlign w:val="baseline"/>
          <w:rtl/>
          <w:lang w:bidi="ar-SA"/>
        </w:rPr>
        <w:t>مدرسة العمل الاجتماعي، بار إيلان</w:t>
      </w:r>
    </w:p>
  </w:footnote>
  <w:footnote w:id="9">
    <w:p w14:paraId="631FE3C1" w14:textId="77777777" w:rsidR="004820DD" w:rsidRPr="004820DD" w:rsidRDefault="004820DD" w:rsidP="004820DD">
      <w:pPr>
        <w:pStyle w:val="FootnoteText"/>
        <w:keepLines/>
        <w:spacing w:line="220" w:lineRule="exact"/>
        <w:ind w:left="284" w:hanging="284"/>
        <w:jc w:val="both"/>
        <w:rPr>
          <w:rStyle w:val="FootnoteReference"/>
          <w:rFonts w:asciiTheme="majorBidi" w:hAnsiTheme="majorBidi" w:cstheme="majorBidi"/>
          <w:sz w:val="18"/>
          <w:szCs w:val="18"/>
          <w:vertAlign w:val="baseline"/>
        </w:rPr>
      </w:pPr>
      <w:r w:rsidRPr="004820DD">
        <w:rPr>
          <w:rStyle w:val="FootnoteReference"/>
          <w:rFonts w:asciiTheme="majorBidi" w:hAnsiTheme="majorBidi" w:cstheme="majorBidi"/>
          <w:sz w:val="18"/>
          <w:szCs w:val="18"/>
          <w:vertAlign w:val="baseline"/>
        </w:rPr>
        <w:footnoteRef/>
      </w:r>
      <w:r w:rsidRPr="004820DD">
        <w:rPr>
          <w:rStyle w:val="FootnoteReference"/>
          <w:rFonts w:asciiTheme="majorBidi" w:hAnsiTheme="majorBidi" w:cstheme="majorBidi"/>
          <w:sz w:val="18"/>
          <w:szCs w:val="18"/>
          <w:vertAlign w:val="baseline"/>
          <w:rtl/>
          <w:lang w:bidi="ar"/>
        </w:rPr>
        <w:t xml:space="preserve"> </w:t>
      </w:r>
      <w:r w:rsidRPr="004820DD">
        <w:rPr>
          <w:rStyle w:val="FootnoteReference"/>
          <w:rFonts w:asciiTheme="majorBidi" w:hAnsiTheme="majorBidi" w:cstheme="majorBidi"/>
          <w:sz w:val="18"/>
          <w:szCs w:val="18"/>
          <w:vertAlign w:val="baseline"/>
          <w:rtl/>
          <w:lang w:bidi="ar"/>
        </w:rPr>
        <w:tab/>
      </w:r>
      <w:r w:rsidRPr="004820DD">
        <w:rPr>
          <w:rStyle w:val="FootnoteReference"/>
          <w:rFonts w:asciiTheme="majorBidi" w:hAnsiTheme="majorBidi" w:cstheme="majorBidi"/>
          <w:sz w:val="18"/>
          <w:szCs w:val="18"/>
          <w:vertAlign w:val="baseline"/>
          <w:rtl/>
          <w:lang w:bidi="ar-SA"/>
        </w:rPr>
        <w:t>معهد علوم الجريمة، كلية الحقوق، الجامعة العبرية في القدس</w:t>
      </w:r>
    </w:p>
  </w:footnote>
  <w:footnote w:id="10">
    <w:p w14:paraId="368E3539" w14:textId="77777777" w:rsidR="004820DD" w:rsidRPr="004820DD" w:rsidRDefault="004820DD" w:rsidP="008D5470">
      <w:pPr>
        <w:pStyle w:val="FootnoteText"/>
        <w:spacing w:line="220" w:lineRule="exact"/>
        <w:ind w:left="284" w:hanging="284"/>
        <w:jc w:val="both"/>
        <w:rPr>
          <w:rStyle w:val="FootnoteReference"/>
          <w:rFonts w:asciiTheme="majorBidi" w:hAnsiTheme="majorBidi" w:cstheme="majorBidi"/>
          <w:sz w:val="18"/>
          <w:szCs w:val="18"/>
          <w:vertAlign w:val="baseline"/>
        </w:rPr>
      </w:pPr>
      <w:r w:rsidRPr="004820DD">
        <w:rPr>
          <w:rStyle w:val="FootnoteReference"/>
          <w:rFonts w:asciiTheme="majorBidi" w:hAnsiTheme="majorBidi" w:cstheme="majorBidi"/>
          <w:sz w:val="18"/>
          <w:szCs w:val="18"/>
          <w:vertAlign w:val="baseline"/>
        </w:rPr>
        <w:footnoteRef/>
      </w:r>
      <w:r w:rsidRPr="004820DD">
        <w:rPr>
          <w:rStyle w:val="FootnoteReference"/>
          <w:rFonts w:asciiTheme="majorBidi" w:hAnsiTheme="majorBidi" w:cstheme="majorBidi"/>
          <w:sz w:val="18"/>
          <w:szCs w:val="18"/>
          <w:vertAlign w:val="baseline"/>
          <w:rtl/>
          <w:lang w:bidi="ar"/>
        </w:rPr>
        <w:t xml:space="preserve"> </w:t>
      </w:r>
      <w:r w:rsidRPr="004820DD">
        <w:rPr>
          <w:rStyle w:val="FootnoteReference"/>
          <w:rFonts w:asciiTheme="majorBidi" w:hAnsiTheme="majorBidi" w:cstheme="majorBidi"/>
          <w:sz w:val="18"/>
          <w:szCs w:val="18"/>
          <w:vertAlign w:val="baseline"/>
          <w:rtl/>
          <w:lang w:bidi="ar"/>
        </w:rPr>
        <w:tab/>
      </w:r>
      <w:r w:rsidRPr="004820DD">
        <w:rPr>
          <w:rStyle w:val="FootnoteReference"/>
          <w:rFonts w:asciiTheme="majorBidi" w:hAnsiTheme="majorBidi" w:cstheme="majorBidi"/>
          <w:sz w:val="18"/>
          <w:szCs w:val="18"/>
          <w:vertAlign w:val="baseline"/>
          <w:rtl/>
          <w:lang w:bidi="ar-SA"/>
        </w:rPr>
        <w:t>قسم العمل الاجتماعي، جامعة بن غوريون في النقب</w:t>
      </w:r>
    </w:p>
  </w:footnote>
  <w:footnote w:id="11">
    <w:p w14:paraId="2F020758" w14:textId="77777777" w:rsidR="004820DD" w:rsidRPr="004820DD" w:rsidRDefault="004820DD" w:rsidP="004820DD">
      <w:pPr>
        <w:pStyle w:val="FootnoteText"/>
        <w:keepLines/>
        <w:spacing w:line="220" w:lineRule="exact"/>
        <w:ind w:left="284" w:hanging="284"/>
        <w:jc w:val="both"/>
        <w:rPr>
          <w:rStyle w:val="FootnoteReference"/>
          <w:rFonts w:asciiTheme="majorBidi" w:hAnsiTheme="majorBidi" w:cstheme="majorBidi"/>
          <w:sz w:val="18"/>
          <w:szCs w:val="18"/>
          <w:vertAlign w:val="baseline"/>
          <w:rtl/>
        </w:rPr>
      </w:pPr>
      <w:r w:rsidRPr="004820DD">
        <w:rPr>
          <w:rStyle w:val="FootnoteReference"/>
          <w:rFonts w:asciiTheme="majorBidi" w:hAnsiTheme="majorBidi" w:cstheme="majorBidi"/>
          <w:sz w:val="18"/>
          <w:szCs w:val="18"/>
          <w:vertAlign w:val="baseline"/>
        </w:rPr>
        <w:footnoteRef/>
      </w:r>
      <w:r w:rsidRPr="004820DD">
        <w:rPr>
          <w:rStyle w:val="FootnoteReference"/>
          <w:rFonts w:asciiTheme="majorBidi" w:hAnsiTheme="majorBidi" w:cstheme="majorBidi"/>
          <w:sz w:val="18"/>
          <w:szCs w:val="18"/>
          <w:vertAlign w:val="baseline"/>
          <w:rtl/>
        </w:rPr>
        <w:tab/>
      </w:r>
      <w:r w:rsidRPr="004820DD">
        <w:rPr>
          <w:rFonts w:asciiTheme="majorBidi" w:hAnsiTheme="majorBidi" w:cstheme="majorBidi"/>
          <w:sz w:val="18"/>
          <w:szCs w:val="18"/>
          <w:rtl/>
          <w:lang w:bidi="ar-SA"/>
        </w:rPr>
        <w:t xml:space="preserve">قسم العمل الاجتماعي على اسم </w:t>
      </w:r>
      <w:proofErr w:type="spellStart"/>
      <w:r w:rsidRPr="004820DD">
        <w:rPr>
          <w:rFonts w:asciiTheme="majorBidi" w:hAnsiTheme="majorBidi" w:cstheme="majorBidi"/>
          <w:sz w:val="18"/>
          <w:szCs w:val="18"/>
          <w:rtl/>
          <w:lang w:bidi="ar-SA"/>
        </w:rPr>
        <w:t>شفيتسر</w:t>
      </w:r>
      <w:proofErr w:type="spellEnd"/>
      <w:r w:rsidRPr="004820DD">
        <w:rPr>
          <w:rFonts w:asciiTheme="majorBidi" w:hAnsiTheme="majorBidi" w:cstheme="majorBidi"/>
          <w:sz w:val="18"/>
          <w:szCs w:val="18"/>
          <w:rtl/>
          <w:lang w:bidi="ar-SA"/>
        </w:rPr>
        <w:t xml:space="preserve">، جامعة بن </w:t>
      </w:r>
      <w:proofErr w:type="spellStart"/>
      <w:r w:rsidRPr="004820DD">
        <w:rPr>
          <w:rFonts w:asciiTheme="majorBidi" w:hAnsiTheme="majorBidi" w:cstheme="majorBidi"/>
          <w:sz w:val="18"/>
          <w:szCs w:val="18"/>
          <w:rtl/>
          <w:lang w:bidi="ar-SA"/>
        </w:rPr>
        <w:t>غوروين</w:t>
      </w:r>
      <w:proofErr w:type="spellEnd"/>
      <w:r w:rsidRPr="004820DD">
        <w:rPr>
          <w:rFonts w:asciiTheme="majorBidi" w:hAnsiTheme="majorBidi" w:cstheme="majorBidi"/>
          <w:sz w:val="18"/>
          <w:szCs w:val="18"/>
          <w:rtl/>
          <w:lang w:bidi="ar-SA"/>
        </w:rPr>
        <w:t xml:space="preserve"> في النقب</w:t>
      </w:r>
    </w:p>
  </w:footnote>
  <w:footnote w:id="12">
    <w:p w14:paraId="01B1B42F" w14:textId="77777777" w:rsidR="004820DD" w:rsidRPr="004820DD" w:rsidRDefault="004820DD" w:rsidP="004820DD">
      <w:pPr>
        <w:pStyle w:val="FootnoteText"/>
        <w:keepLines/>
        <w:spacing w:line="220" w:lineRule="exact"/>
        <w:ind w:left="284" w:hanging="284"/>
        <w:jc w:val="both"/>
        <w:rPr>
          <w:rStyle w:val="FootnoteReference"/>
          <w:rFonts w:asciiTheme="majorBidi" w:hAnsiTheme="majorBidi" w:cstheme="majorBidi"/>
          <w:sz w:val="18"/>
          <w:szCs w:val="18"/>
          <w:vertAlign w:val="baseline"/>
          <w:rtl/>
        </w:rPr>
      </w:pPr>
      <w:r w:rsidRPr="004820DD">
        <w:rPr>
          <w:rStyle w:val="FootnoteReference"/>
          <w:rFonts w:asciiTheme="majorBidi" w:hAnsiTheme="majorBidi" w:cstheme="majorBidi"/>
          <w:sz w:val="18"/>
          <w:szCs w:val="18"/>
          <w:vertAlign w:val="baseline"/>
        </w:rPr>
        <w:footnoteRef/>
      </w:r>
      <w:r w:rsidRPr="004820DD">
        <w:rPr>
          <w:rStyle w:val="FootnoteReference"/>
          <w:rFonts w:asciiTheme="majorBidi" w:hAnsiTheme="majorBidi" w:cstheme="majorBidi"/>
          <w:sz w:val="18"/>
          <w:szCs w:val="18"/>
          <w:vertAlign w:val="baseline"/>
          <w:rtl/>
          <w:lang w:bidi="ar"/>
        </w:rPr>
        <w:t xml:space="preserve"> </w:t>
      </w:r>
      <w:r w:rsidRPr="004820DD">
        <w:rPr>
          <w:rStyle w:val="FootnoteReference"/>
          <w:rFonts w:asciiTheme="majorBidi" w:hAnsiTheme="majorBidi" w:cstheme="majorBidi"/>
          <w:sz w:val="18"/>
          <w:szCs w:val="18"/>
          <w:vertAlign w:val="baseline"/>
          <w:rtl/>
          <w:lang w:bidi="ar"/>
        </w:rPr>
        <w:tab/>
      </w:r>
      <w:r w:rsidRPr="004820DD">
        <w:rPr>
          <w:rStyle w:val="FootnoteReference"/>
          <w:rFonts w:asciiTheme="majorBidi" w:hAnsiTheme="majorBidi" w:cstheme="majorBidi"/>
          <w:sz w:val="18"/>
          <w:szCs w:val="18"/>
          <w:vertAlign w:val="baseline"/>
          <w:rtl/>
          <w:lang w:bidi="ar-SA"/>
        </w:rPr>
        <w:t xml:space="preserve">كلية </w:t>
      </w:r>
      <w:proofErr w:type="spellStart"/>
      <w:r w:rsidRPr="004820DD">
        <w:rPr>
          <w:rStyle w:val="FootnoteReference"/>
          <w:rFonts w:asciiTheme="majorBidi" w:hAnsiTheme="majorBidi" w:cstheme="majorBidi"/>
          <w:sz w:val="18"/>
          <w:szCs w:val="18"/>
          <w:vertAlign w:val="baseline"/>
          <w:rtl/>
          <w:lang w:bidi="ar-SA"/>
        </w:rPr>
        <w:t>سمينار</w:t>
      </w:r>
      <w:proofErr w:type="spellEnd"/>
      <w:r w:rsidRPr="004820DD">
        <w:rPr>
          <w:rStyle w:val="FootnoteReference"/>
          <w:rFonts w:asciiTheme="majorBidi" w:hAnsiTheme="majorBidi" w:cstheme="majorBidi"/>
          <w:sz w:val="18"/>
          <w:szCs w:val="18"/>
          <w:vertAlign w:val="baseline"/>
          <w:rtl/>
          <w:lang w:bidi="ar-SA"/>
        </w:rPr>
        <w:t xml:space="preserve"> </w:t>
      </w:r>
      <w:proofErr w:type="spellStart"/>
      <w:r w:rsidRPr="004820DD">
        <w:rPr>
          <w:rStyle w:val="FootnoteReference"/>
          <w:rFonts w:asciiTheme="majorBidi" w:hAnsiTheme="majorBidi" w:cstheme="majorBidi"/>
          <w:sz w:val="18"/>
          <w:szCs w:val="18"/>
          <w:vertAlign w:val="baseline"/>
          <w:rtl/>
          <w:lang w:bidi="ar-SA"/>
        </w:rPr>
        <w:t>هكيبوتسيم</w:t>
      </w:r>
      <w:proofErr w:type="spellEnd"/>
    </w:p>
  </w:footnote>
  <w:footnote w:id="13">
    <w:p w14:paraId="6C3D2398" w14:textId="77777777" w:rsidR="004820DD" w:rsidRPr="005E5DF4" w:rsidRDefault="004820DD" w:rsidP="004820DD">
      <w:pPr>
        <w:spacing w:line="220" w:lineRule="exact"/>
        <w:ind w:left="284" w:hanging="284"/>
        <w:jc w:val="both"/>
        <w:rPr>
          <w:rFonts w:asciiTheme="majorBidi" w:hAnsiTheme="majorBidi" w:cstheme="majorBidi"/>
          <w:sz w:val="18"/>
          <w:szCs w:val="18"/>
        </w:rPr>
      </w:pPr>
      <w:r w:rsidRPr="005E5DF4">
        <w:rPr>
          <w:rStyle w:val="FootnoteReference"/>
          <w:rFonts w:asciiTheme="majorBidi" w:hAnsiTheme="majorBidi" w:cstheme="majorBidi"/>
          <w:sz w:val="18"/>
          <w:szCs w:val="18"/>
          <w:vertAlign w:val="baseline"/>
        </w:rPr>
        <w:footnoteRef/>
      </w:r>
      <w:r w:rsidRPr="005E5DF4">
        <w:rPr>
          <w:rStyle w:val="FootnoteReference"/>
          <w:rFonts w:asciiTheme="majorBidi" w:hAnsiTheme="majorBidi" w:cstheme="majorBidi"/>
          <w:sz w:val="18"/>
          <w:szCs w:val="18"/>
          <w:vertAlign w:val="baseline"/>
          <w:rtl/>
        </w:rPr>
        <w:tab/>
      </w:r>
      <w:r w:rsidRPr="005E5DF4">
        <w:rPr>
          <w:rFonts w:asciiTheme="majorBidi" w:hAnsiTheme="majorBidi" w:cstheme="majorBidi"/>
          <w:sz w:val="18"/>
          <w:szCs w:val="18"/>
          <w:rtl/>
          <w:lang w:bidi="ar-SA"/>
        </w:rPr>
        <w:t xml:space="preserve">كلية إدارة الأعمال، المجمع </w:t>
      </w:r>
      <w:proofErr w:type="gramStart"/>
      <w:r w:rsidRPr="005E5DF4">
        <w:rPr>
          <w:rFonts w:asciiTheme="majorBidi" w:hAnsiTheme="majorBidi" w:cstheme="majorBidi"/>
          <w:sz w:val="18"/>
          <w:szCs w:val="18"/>
          <w:rtl/>
          <w:lang w:bidi="ar-SA"/>
        </w:rPr>
        <w:t>الاكاديمي</w:t>
      </w:r>
      <w:proofErr w:type="gramEnd"/>
      <w:r w:rsidRPr="005E5DF4">
        <w:rPr>
          <w:rFonts w:asciiTheme="majorBidi" w:hAnsiTheme="majorBidi" w:cstheme="majorBidi"/>
          <w:sz w:val="18"/>
          <w:szCs w:val="18"/>
          <w:rtl/>
          <w:lang w:bidi="ar-SA"/>
        </w:rPr>
        <w:t xml:space="preserve"> </w:t>
      </w:r>
      <w:proofErr w:type="spellStart"/>
      <w:r w:rsidRPr="005E5DF4">
        <w:rPr>
          <w:rFonts w:asciiTheme="majorBidi" w:hAnsiTheme="majorBidi" w:cstheme="majorBidi"/>
          <w:sz w:val="18"/>
          <w:szCs w:val="18"/>
          <w:rtl/>
          <w:lang w:bidi="ar-SA"/>
        </w:rPr>
        <w:t>أونو</w:t>
      </w:r>
      <w:proofErr w:type="spellEnd"/>
    </w:p>
  </w:footnote>
  <w:footnote w:id="14">
    <w:p w14:paraId="5F92004F" w14:textId="77777777" w:rsidR="004820DD" w:rsidRPr="004820DD" w:rsidRDefault="004820DD" w:rsidP="004820DD">
      <w:pPr>
        <w:spacing w:line="220" w:lineRule="exact"/>
        <w:ind w:left="284" w:hanging="284"/>
        <w:jc w:val="both"/>
        <w:rPr>
          <w:rFonts w:asciiTheme="majorBidi" w:hAnsiTheme="majorBidi" w:cstheme="majorBidi"/>
          <w:sz w:val="18"/>
          <w:szCs w:val="18"/>
        </w:rPr>
      </w:pPr>
      <w:r w:rsidRPr="005E5DF4">
        <w:rPr>
          <w:rStyle w:val="FootnoteReference"/>
          <w:rFonts w:asciiTheme="majorBidi" w:hAnsiTheme="majorBidi" w:cstheme="majorBidi"/>
          <w:sz w:val="18"/>
          <w:szCs w:val="18"/>
          <w:vertAlign w:val="baseline"/>
        </w:rPr>
        <w:footnoteRef/>
      </w:r>
      <w:r w:rsidRPr="005E5DF4">
        <w:rPr>
          <w:rStyle w:val="FootnoteReference"/>
          <w:rFonts w:asciiTheme="majorBidi" w:hAnsiTheme="majorBidi" w:cstheme="majorBidi"/>
          <w:sz w:val="18"/>
          <w:szCs w:val="18"/>
          <w:vertAlign w:val="baseline"/>
          <w:rtl/>
        </w:rPr>
        <w:tab/>
      </w:r>
      <w:r w:rsidRPr="005E5DF4">
        <w:rPr>
          <w:rFonts w:asciiTheme="majorBidi" w:hAnsiTheme="majorBidi" w:cstheme="majorBidi"/>
          <w:sz w:val="18"/>
          <w:szCs w:val="18"/>
          <w:rtl/>
          <w:lang w:bidi="ar-SA"/>
        </w:rPr>
        <w:t>قسم علم الشيخوخة، جامعة حيفا</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2DAF0C" w14:textId="77777777" w:rsidR="005C1617" w:rsidRDefault="005C161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A7C402" w14:textId="77777777" w:rsidR="00B6001E" w:rsidRDefault="00B6001E">
    <w:pPr>
      <w:pStyle w:val="Header"/>
      <w:tabs>
        <w:tab w:val="clear" w:pos="4153"/>
        <w:tab w:val="clear" w:pos="8306"/>
        <w:tab w:val="center" w:pos="3345"/>
        <w:tab w:val="right" w:pos="6691"/>
      </w:tabs>
      <w:rPr>
        <w:rFonts w:cs="Times New Roman"/>
        <w:sz w:val="22"/>
        <w:szCs w:val="22"/>
        <w:rtl/>
      </w:rPr>
    </w:pPr>
    <w:r>
      <w:rPr>
        <w:rFonts w:ascii="FrankRuehl" w:hAnsi="FrankRuehl" w:cs="FrankRuehl" w:hint="cs"/>
        <w:sz w:val="22"/>
        <w:szCs w:val="22"/>
        <w:rtl/>
      </w:rPr>
      <w:tab/>
    </w:r>
    <w:r>
      <w:rPr>
        <w:rFonts w:ascii="FrankRuehl" w:hAnsi="FrankRuehl" w:cs="FrankRuehl" w:hint="cs"/>
        <w:sz w:val="22"/>
        <w:szCs w:val="22"/>
        <w:rtl/>
      </w:rPr>
      <w:tab/>
    </w:r>
    <w:r>
      <w:rPr>
        <w:rStyle w:val="PageNumber"/>
        <w:rFonts w:cs="Times New Roman"/>
        <w:sz w:val="22"/>
        <w:szCs w:val="22"/>
      </w:rPr>
      <w:fldChar w:fldCharType="begin"/>
    </w:r>
    <w:r>
      <w:rPr>
        <w:rStyle w:val="PageNumber"/>
        <w:rFonts w:cs="Times New Roman"/>
        <w:sz w:val="22"/>
        <w:szCs w:val="22"/>
      </w:rPr>
      <w:instrText xml:space="preserve"> PAGE </w:instrText>
    </w:r>
    <w:r>
      <w:rPr>
        <w:rStyle w:val="PageNumber"/>
        <w:rFonts w:cs="Times New Roman"/>
        <w:sz w:val="22"/>
        <w:szCs w:val="22"/>
      </w:rPr>
      <w:fldChar w:fldCharType="separate"/>
    </w:r>
    <w:r w:rsidR="008B4530">
      <w:rPr>
        <w:rStyle w:val="PageNumber"/>
        <w:rFonts w:cs="Times New Roman"/>
        <w:noProof/>
        <w:sz w:val="22"/>
        <w:szCs w:val="22"/>
        <w:rtl/>
      </w:rPr>
      <w:t>3</w:t>
    </w:r>
    <w:r>
      <w:rPr>
        <w:rStyle w:val="PageNumber"/>
        <w:rFonts w:cs="Times New Roman"/>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C25B" w14:textId="77777777" w:rsidR="005C1617" w:rsidRDefault="005C161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7FD0F" w14:textId="77777777" w:rsidR="008B4530" w:rsidRPr="008B4530" w:rsidRDefault="008B4530" w:rsidP="008B4530">
    <w:pPr>
      <w:pStyle w:val="Header"/>
      <w:rPr>
        <w:rtl/>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1466A" w14:textId="77777777" w:rsidR="0099526A" w:rsidRPr="00EF68E4" w:rsidRDefault="0099526A" w:rsidP="00EF68E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8EBB9" w14:textId="77777777" w:rsidR="008D5470" w:rsidRPr="008E30ED" w:rsidRDefault="008D5470" w:rsidP="0099526A">
    <w:pPr>
      <w:pStyle w:val="Heading1"/>
      <w:tabs>
        <w:tab w:val="center" w:pos="4536"/>
        <w:tab w:val="right" w:pos="9072"/>
      </w:tabs>
      <w:rPr>
        <w:rFonts w:ascii="Calibri" w:hAnsi="Calibri" w:cs="David"/>
        <w:b w:val="0"/>
        <w:bCs w:val="0"/>
        <w:sz w:val="16"/>
        <w:szCs w:val="16"/>
        <w:rtl/>
      </w:rPr>
    </w:pPr>
    <w:r w:rsidRPr="005C1617">
      <w:rPr>
        <w:rFonts w:ascii="Georgia" w:hAnsi="Georgia" w:cs="Georgia"/>
        <w:noProof/>
        <w:sz w:val="24"/>
        <w:szCs w:val="24"/>
      </w:rPr>
      <w:fldChar w:fldCharType="begin"/>
    </w:r>
    <w:r w:rsidRPr="005C1617">
      <w:rPr>
        <w:rFonts w:ascii="Georgia" w:hAnsi="Georgia" w:cs="Georgia"/>
        <w:noProof/>
        <w:sz w:val="24"/>
        <w:szCs w:val="24"/>
      </w:rPr>
      <w:instrText xml:space="preserve"> PAGE   \* MERGEFORMAT </w:instrText>
    </w:r>
    <w:r w:rsidRPr="005C1617">
      <w:rPr>
        <w:rFonts w:ascii="Georgia" w:hAnsi="Georgia" w:cs="Georgia"/>
        <w:noProof/>
        <w:sz w:val="24"/>
        <w:szCs w:val="24"/>
      </w:rPr>
      <w:fldChar w:fldCharType="separate"/>
    </w:r>
    <w:r w:rsidRPr="005C1617">
      <w:rPr>
        <w:rFonts w:ascii="Georgia" w:hAnsi="Georgia" w:cs="Georgia"/>
        <w:noProof/>
        <w:sz w:val="24"/>
        <w:szCs w:val="24"/>
        <w:rtl/>
      </w:rPr>
      <w:t>8</w:t>
    </w:r>
    <w:r w:rsidRPr="005C1617">
      <w:rPr>
        <w:rFonts w:ascii="Georgia" w:hAnsi="Georgia" w:cs="Georgia"/>
        <w:noProof/>
        <w:sz w:val="24"/>
        <w:szCs w:val="24"/>
      </w:rPr>
      <w:fldChar w:fldCharType="end"/>
    </w:r>
    <w:r w:rsidRPr="005C1617">
      <w:rPr>
        <w:rFonts w:ascii="Georgia" w:hAnsi="Georgia" w:cs="Georgia"/>
        <w:noProof/>
        <w:sz w:val="24"/>
        <w:szCs w:val="24"/>
        <w:rtl/>
      </w:rPr>
      <w:t xml:space="preserve"> </w:t>
    </w:r>
    <w:r w:rsidRPr="008E30ED">
      <w:rPr>
        <w:rFonts w:ascii="David" w:hAnsi="David" w:cs="David"/>
        <w:b w:val="0"/>
        <w:bCs w:val="0"/>
        <w:sz w:val="16"/>
        <w:szCs w:val="16"/>
        <w:rtl/>
      </w:rPr>
      <w:t xml:space="preserve"> |  </w:t>
    </w:r>
    <w:r w:rsidRPr="008E30ED">
      <w:rPr>
        <w:rFonts w:ascii="David" w:hAnsi="David" w:cs="Times New Roman"/>
        <w:b w:val="0"/>
        <w:bCs w:val="0"/>
        <w:sz w:val="16"/>
        <w:szCs w:val="16"/>
        <w:rtl/>
        <w:lang w:bidi="ar-SA"/>
      </w:rPr>
      <w:t>الضمان الاجتماعي</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792E7" w14:textId="77777777" w:rsidR="008D5470" w:rsidRPr="007256BC" w:rsidRDefault="008D5470" w:rsidP="0099526A">
    <w:pPr>
      <w:pStyle w:val="Heading1"/>
      <w:tabs>
        <w:tab w:val="center" w:pos="4536"/>
        <w:tab w:val="right" w:pos="9072"/>
      </w:tabs>
      <w:jc w:val="right"/>
      <w:rPr>
        <w:rFonts w:ascii="David" w:hAnsi="David" w:cs="David"/>
        <w:b w:val="0"/>
        <w:bCs w:val="0"/>
        <w:noProof/>
        <w:sz w:val="16"/>
        <w:szCs w:val="16"/>
      </w:rPr>
    </w:pPr>
    <w:r w:rsidRPr="008E30ED">
      <w:rPr>
        <w:rFonts w:ascii="David" w:hAnsi="David" w:cs="Times New Roman"/>
        <w:b w:val="0"/>
        <w:bCs w:val="0"/>
        <w:noProof/>
        <w:sz w:val="20"/>
        <w:szCs w:val="20"/>
        <w:rtl/>
        <w:lang w:bidi="ar-SA"/>
      </w:rPr>
      <w:t xml:space="preserve"> </w:t>
    </w:r>
    <w:r w:rsidRPr="008E30ED">
      <w:rPr>
        <w:rFonts w:ascii="Arial" w:hAnsi="Arial" w:cs="Arial" w:hint="cs"/>
        <w:b w:val="0"/>
        <w:bCs w:val="0"/>
        <w:noProof/>
        <w:sz w:val="16"/>
        <w:szCs w:val="16"/>
        <w:rtl/>
        <w:lang w:bidi="ar-SA"/>
      </w:rPr>
      <w:t>المجلة الاسرائيليه للضمان الاجتماعي</w:t>
    </w:r>
    <w:r w:rsidRPr="008E30ED">
      <w:rPr>
        <w:rFonts w:ascii="David" w:hAnsi="David" w:cs="David"/>
        <w:b w:val="0"/>
        <w:bCs w:val="0"/>
        <w:noProof/>
        <w:sz w:val="16"/>
        <w:szCs w:val="16"/>
        <w:rtl/>
      </w:rPr>
      <w:t xml:space="preserve">  |  </w:t>
    </w:r>
    <w:r w:rsidRPr="005C1617">
      <w:rPr>
        <w:rFonts w:ascii="Georgia" w:hAnsi="Georgia" w:cs="Georgia"/>
        <w:noProof/>
        <w:sz w:val="24"/>
        <w:szCs w:val="24"/>
      </w:rPr>
      <w:fldChar w:fldCharType="begin"/>
    </w:r>
    <w:r w:rsidRPr="005C1617">
      <w:rPr>
        <w:rFonts w:ascii="Georgia" w:hAnsi="Georgia" w:cs="Georgia"/>
        <w:noProof/>
        <w:sz w:val="24"/>
        <w:szCs w:val="24"/>
      </w:rPr>
      <w:instrText xml:space="preserve"> PAGE   \* MERGEFORMAT </w:instrText>
    </w:r>
    <w:r w:rsidRPr="005C1617">
      <w:rPr>
        <w:rFonts w:ascii="Georgia" w:hAnsi="Georgia" w:cs="Georgia"/>
        <w:noProof/>
        <w:sz w:val="24"/>
        <w:szCs w:val="24"/>
      </w:rPr>
      <w:fldChar w:fldCharType="separate"/>
    </w:r>
    <w:r w:rsidRPr="005C1617">
      <w:rPr>
        <w:rFonts w:ascii="Georgia" w:hAnsi="Georgia" w:cs="Georgia"/>
        <w:noProof/>
        <w:sz w:val="24"/>
        <w:szCs w:val="24"/>
        <w:rtl/>
      </w:rPr>
      <w:t>9</w:t>
    </w:r>
    <w:r w:rsidRPr="005C1617">
      <w:rPr>
        <w:rFonts w:ascii="Georgia" w:hAnsi="Georgia" w:cs="Georgia"/>
        <w:noProof/>
        <w:sz w:val="24"/>
        <w:szCs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070E4" w14:textId="77777777" w:rsidR="008D5470" w:rsidRDefault="008D54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B20"/>
    <w:multiLevelType w:val="hybridMultilevel"/>
    <w:tmpl w:val="799CB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6470944"/>
    <w:multiLevelType w:val="hybridMultilevel"/>
    <w:tmpl w:val="F642E2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4553D5"/>
    <w:multiLevelType w:val="hybridMultilevel"/>
    <w:tmpl w:val="9BF6A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F647B5"/>
    <w:multiLevelType w:val="multilevel"/>
    <w:tmpl w:val="638C91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147072"/>
    <w:multiLevelType w:val="hybridMultilevel"/>
    <w:tmpl w:val="33909494"/>
    <w:lvl w:ilvl="0" w:tplc="5C20D1E0">
      <w:start w:val="1"/>
      <w:numFmt w:val="decimal"/>
      <w:lvlText w:val="%1."/>
      <w:lvlJc w:val="left"/>
      <w:pPr>
        <w:ind w:left="360" w:hanging="360"/>
      </w:pPr>
      <w:rPr>
        <w:rFonts w:hint="default"/>
        <w:i w:val="0"/>
        <w:iCs w:val="0"/>
      </w:rPr>
    </w:lvl>
    <w:lvl w:ilvl="1" w:tplc="04090019" w:tentative="1">
      <w:start w:val="1"/>
      <w:numFmt w:val="lowerLetter"/>
      <w:lvlText w:val="%2."/>
      <w:lvlJc w:val="left"/>
      <w:pPr>
        <w:ind w:left="938" w:hanging="360"/>
      </w:pPr>
    </w:lvl>
    <w:lvl w:ilvl="2" w:tplc="0409001B" w:tentative="1">
      <w:start w:val="1"/>
      <w:numFmt w:val="lowerRoman"/>
      <w:lvlText w:val="%3."/>
      <w:lvlJc w:val="right"/>
      <w:pPr>
        <w:ind w:left="1658" w:hanging="180"/>
      </w:pPr>
    </w:lvl>
    <w:lvl w:ilvl="3" w:tplc="0409000F" w:tentative="1">
      <w:start w:val="1"/>
      <w:numFmt w:val="decimal"/>
      <w:lvlText w:val="%4."/>
      <w:lvlJc w:val="left"/>
      <w:pPr>
        <w:ind w:left="2378" w:hanging="360"/>
      </w:pPr>
    </w:lvl>
    <w:lvl w:ilvl="4" w:tplc="04090019" w:tentative="1">
      <w:start w:val="1"/>
      <w:numFmt w:val="lowerLetter"/>
      <w:lvlText w:val="%5."/>
      <w:lvlJc w:val="left"/>
      <w:pPr>
        <w:ind w:left="3098" w:hanging="360"/>
      </w:pPr>
    </w:lvl>
    <w:lvl w:ilvl="5" w:tplc="0409001B" w:tentative="1">
      <w:start w:val="1"/>
      <w:numFmt w:val="lowerRoman"/>
      <w:lvlText w:val="%6."/>
      <w:lvlJc w:val="right"/>
      <w:pPr>
        <w:ind w:left="3818" w:hanging="180"/>
      </w:pPr>
    </w:lvl>
    <w:lvl w:ilvl="6" w:tplc="0409000F" w:tentative="1">
      <w:start w:val="1"/>
      <w:numFmt w:val="decimal"/>
      <w:lvlText w:val="%7."/>
      <w:lvlJc w:val="left"/>
      <w:pPr>
        <w:ind w:left="4538" w:hanging="360"/>
      </w:pPr>
    </w:lvl>
    <w:lvl w:ilvl="7" w:tplc="04090019" w:tentative="1">
      <w:start w:val="1"/>
      <w:numFmt w:val="lowerLetter"/>
      <w:lvlText w:val="%8."/>
      <w:lvlJc w:val="left"/>
      <w:pPr>
        <w:ind w:left="5258" w:hanging="360"/>
      </w:pPr>
    </w:lvl>
    <w:lvl w:ilvl="8" w:tplc="0409001B" w:tentative="1">
      <w:start w:val="1"/>
      <w:numFmt w:val="lowerRoman"/>
      <w:lvlText w:val="%9."/>
      <w:lvlJc w:val="right"/>
      <w:pPr>
        <w:ind w:left="5978" w:hanging="180"/>
      </w:pPr>
    </w:lvl>
  </w:abstractNum>
  <w:abstractNum w:abstractNumId="5" w15:restartNumberingAfterBreak="0">
    <w:nsid w:val="196744E6"/>
    <w:multiLevelType w:val="hybridMultilevel"/>
    <w:tmpl w:val="2764904E"/>
    <w:lvl w:ilvl="0" w:tplc="244E26C2">
      <w:start w:val="1"/>
      <w:numFmt w:val="decimal"/>
      <w:lvlText w:val="%1."/>
      <w:lvlJc w:val="left"/>
      <w:pPr>
        <w:ind w:left="303" w:hanging="360"/>
      </w:pPr>
      <w:rPr>
        <w:rFonts w:hint="default"/>
      </w:rPr>
    </w:lvl>
    <w:lvl w:ilvl="1" w:tplc="04090019" w:tentative="1">
      <w:start w:val="1"/>
      <w:numFmt w:val="lowerLetter"/>
      <w:lvlText w:val="%2."/>
      <w:lvlJc w:val="left"/>
      <w:pPr>
        <w:ind w:left="1023" w:hanging="360"/>
      </w:pPr>
    </w:lvl>
    <w:lvl w:ilvl="2" w:tplc="0409001B" w:tentative="1">
      <w:start w:val="1"/>
      <w:numFmt w:val="lowerRoman"/>
      <w:lvlText w:val="%3."/>
      <w:lvlJc w:val="right"/>
      <w:pPr>
        <w:ind w:left="1743" w:hanging="180"/>
      </w:pPr>
    </w:lvl>
    <w:lvl w:ilvl="3" w:tplc="0409000F" w:tentative="1">
      <w:start w:val="1"/>
      <w:numFmt w:val="decimal"/>
      <w:lvlText w:val="%4."/>
      <w:lvlJc w:val="left"/>
      <w:pPr>
        <w:ind w:left="2463" w:hanging="360"/>
      </w:pPr>
    </w:lvl>
    <w:lvl w:ilvl="4" w:tplc="04090019" w:tentative="1">
      <w:start w:val="1"/>
      <w:numFmt w:val="lowerLetter"/>
      <w:lvlText w:val="%5."/>
      <w:lvlJc w:val="left"/>
      <w:pPr>
        <w:ind w:left="3183" w:hanging="360"/>
      </w:pPr>
    </w:lvl>
    <w:lvl w:ilvl="5" w:tplc="0409001B" w:tentative="1">
      <w:start w:val="1"/>
      <w:numFmt w:val="lowerRoman"/>
      <w:lvlText w:val="%6."/>
      <w:lvlJc w:val="right"/>
      <w:pPr>
        <w:ind w:left="3903" w:hanging="180"/>
      </w:pPr>
    </w:lvl>
    <w:lvl w:ilvl="6" w:tplc="0409000F" w:tentative="1">
      <w:start w:val="1"/>
      <w:numFmt w:val="decimal"/>
      <w:lvlText w:val="%7."/>
      <w:lvlJc w:val="left"/>
      <w:pPr>
        <w:ind w:left="4623" w:hanging="360"/>
      </w:pPr>
    </w:lvl>
    <w:lvl w:ilvl="7" w:tplc="04090019" w:tentative="1">
      <w:start w:val="1"/>
      <w:numFmt w:val="lowerLetter"/>
      <w:lvlText w:val="%8."/>
      <w:lvlJc w:val="left"/>
      <w:pPr>
        <w:ind w:left="5343" w:hanging="360"/>
      </w:pPr>
    </w:lvl>
    <w:lvl w:ilvl="8" w:tplc="0409001B" w:tentative="1">
      <w:start w:val="1"/>
      <w:numFmt w:val="lowerRoman"/>
      <w:lvlText w:val="%9."/>
      <w:lvlJc w:val="right"/>
      <w:pPr>
        <w:ind w:left="6063" w:hanging="180"/>
      </w:pPr>
    </w:lvl>
  </w:abstractNum>
  <w:abstractNum w:abstractNumId="6" w15:restartNumberingAfterBreak="0">
    <w:nsid w:val="1AE9252F"/>
    <w:multiLevelType w:val="hybridMultilevel"/>
    <w:tmpl w:val="7A3A94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E0847B5"/>
    <w:multiLevelType w:val="multilevel"/>
    <w:tmpl w:val="6792C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F19476E"/>
    <w:multiLevelType w:val="hybridMultilevel"/>
    <w:tmpl w:val="10447390"/>
    <w:lvl w:ilvl="0" w:tplc="4370AF3C">
      <w:start w:val="1"/>
      <w:numFmt w:val="hebrew1"/>
      <w:lvlText w:val="%1."/>
      <w:lvlJc w:val="left"/>
      <w:pPr>
        <w:ind w:left="363" w:hanging="360"/>
      </w:pPr>
      <w:rPr>
        <w:rFonts w:hint="default"/>
        <w:i/>
      </w:rPr>
    </w:lvl>
    <w:lvl w:ilvl="1" w:tplc="04090019" w:tentative="1">
      <w:start w:val="1"/>
      <w:numFmt w:val="lowerLetter"/>
      <w:lvlText w:val="%2."/>
      <w:lvlJc w:val="left"/>
      <w:pPr>
        <w:ind w:left="1083" w:hanging="360"/>
      </w:pPr>
    </w:lvl>
    <w:lvl w:ilvl="2" w:tplc="0409001B" w:tentative="1">
      <w:start w:val="1"/>
      <w:numFmt w:val="lowerRoman"/>
      <w:lvlText w:val="%3."/>
      <w:lvlJc w:val="right"/>
      <w:pPr>
        <w:ind w:left="1803" w:hanging="180"/>
      </w:pPr>
    </w:lvl>
    <w:lvl w:ilvl="3" w:tplc="0409000F" w:tentative="1">
      <w:start w:val="1"/>
      <w:numFmt w:val="decimal"/>
      <w:lvlText w:val="%4."/>
      <w:lvlJc w:val="left"/>
      <w:pPr>
        <w:ind w:left="2523" w:hanging="360"/>
      </w:pPr>
    </w:lvl>
    <w:lvl w:ilvl="4" w:tplc="04090019" w:tentative="1">
      <w:start w:val="1"/>
      <w:numFmt w:val="lowerLetter"/>
      <w:lvlText w:val="%5."/>
      <w:lvlJc w:val="left"/>
      <w:pPr>
        <w:ind w:left="3243" w:hanging="360"/>
      </w:pPr>
    </w:lvl>
    <w:lvl w:ilvl="5" w:tplc="0409001B" w:tentative="1">
      <w:start w:val="1"/>
      <w:numFmt w:val="lowerRoman"/>
      <w:lvlText w:val="%6."/>
      <w:lvlJc w:val="right"/>
      <w:pPr>
        <w:ind w:left="3963" w:hanging="180"/>
      </w:pPr>
    </w:lvl>
    <w:lvl w:ilvl="6" w:tplc="0409000F" w:tentative="1">
      <w:start w:val="1"/>
      <w:numFmt w:val="decimal"/>
      <w:lvlText w:val="%7."/>
      <w:lvlJc w:val="left"/>
      <w:pPr>
        <w:ind w:left="4683" w:hanging="360"/>
      </w:pPr>
    </w:lvl>
    <w:lvl w:ilvl="7" w:tplc="04090019" w:tentative="1">
      <w:start w:val="1"/>
      <w:numFmt w:val="lowerLetter"/>
      <w:lvlText w:val="%8."/>
      <w:lvlJc w:val="left"/>
      <w:pPr>
        <w:ind w:left="5403" w:hanging="360"/>
      </w:pPr>
    </w:lvl>
    <w:lvl w:ilvl="8" w:tplc="0409001B" w:tentative="1">
      <w:start w:val="1"/>
      <w:numFmt w:val="lowerRoman"/>
      <w:lvlText w:val="%9."/>
      <w:lvlJc w:val="right"/>
      <w:pPr>
        <w:ind w:left="6123" w:hanging="180"/>
      </w:pPr>
    </w:lvl>
  </w:abstractNum>
  <w:abstractNum w:abstractNumId="9" w15:restartNumberingAfterBreak="0">
    <w:nsid w:val="358329A4"/>
    <w:multiLevelType w:val="hybridMultilevel"/>
    <w:tmpl w:val="A1CA4F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9405EB"/>
    <w:multiLevelType w:val="hybridMultilevel"/>
    <w:tmpl w:val="7F0C80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D468CB"/>
    <w:multiLevelType w:val="hybridMultilevel"/>
    <w:tmpl w:val="122439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5A92863"/>
    <w:multiLevelType w:val="multilevel"/>
    <w:tmpl w:val="33408D0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49F74DD2"/>
    <w:multiLevelType w:val="multilevel"/>
    <w:tmpl w:val="7F80AE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ED1673C"/>
    <w:multiLevelType w:val="hybridMultilevel"/>
    <w:tmpl w:val="B7001FA2"/>
    <w:lvl w:ilvl="0" w:tplc="12DE4A02">
      <w:numFmt w:val="bullet"/>
      <w:lvlText w:val=""/>
      <w:lvlJc w:val="left"/>
      <w:pPr>
        <w:ind w:left="720" w:hanging="360"/>
      </w:pPr>
      <w:rPr>
        <w:rFonts w:ascii="Symbol" w:eastAsia="Calibr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B34D63"/>
    <w:multiLevelType w:val="hybridMultilevel"/>
    <w:tmpl w:val="C7409DB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580C0198"/>
    <w:multiLevelType w:val="multilevel"/>
    <w:tmpl w:val="86086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CE8402B"/>
    <w:multiLevelType w:val="hybridMultilevel"/>
    <w:tmpl w:val="9AAEA328"/>
    <w:lvl w:ilvl="0" w:tplc="C13E07C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17E3284"/>
    <w:multiLevelType w:val="hybridMultilevel"/>
    <w:tmpl w:val="2C4A9B80"/>
    <w:lvl w:ilvl="0" w:tplc="35CC39D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35B2BCA"/>
    <w:multiLevelType w:val="multilevel"/>
    <w:tmpl w:val="2D208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4012D1B"/>
    <w:multiLevelType w:val="hybridMultilevel"/>
    <w:tmpl w:val="9A38F666"/>
    <w:lvl w:ilvl="0" w:tplc="0409000F">
      <w:start w:val="1"/>
      <w:numFmt w:val="decimal"/>
      <w:lvlText w:val="%1."/>
      <w:lvlJc w:val="left"/>
      <w:pPr>
        <w:tabs>
          <w:tab w:val="num" w:pos="720"/>
        </w:tabs>
        <w:ind w:left="720" w:hanging="360"/>
      </w:pPr>
      <w:rPr>
        <w:rFonts w:hint="default"/>
      </w:rPr>
    </w:lvl>
    <w:lvl w:ilvl="1" w:tplc="6F06BC9A">
      <w:start w:val="3"/>
      <w:numFmt w:val="hebrew1"/>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5BC7D18"/>
    <w:multiLevelType w:val="hybridMultilevel"/>
    <w:tmpl w:val="30F6A486"/>
    <w:lvl w:ilvl="0" w:tplc="04090001">
      <w:start w:val="1"/>
      <w:numFmt w:val="bullet"/>
      <w:lvlText w:val=""/>
      <w:lvlJc w:val="left"/>
      <w:pPr>
        <w:ind w:left="720" w:hanging="360"/>
      </w:pPr>
      <w:rPr>
        <w:rFonts w:ascii="Symbol" w:hAnsi="Symbol"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2358978">
    <w:abstractNumId w:val="9"/>
  </w:num>
  <w:num w:numId="2" w16cid:durableId="2105414179">
    <w:abstractNumId w:val="11"/>
  </w:num>
  <w:num w:numId="3" w16cid:durableId="2127313973">
    <w:abstractNumId w:val="20"/>
  </w:num>
  <w:num w:numId="4" w16cid:durableId="983587797">
    <w:abstractNumId w:val="15"/>
  </w:num>
  <w:num w:numId="5" w16cid:durableId="355431280">
    <w:abstractNumId w:val="5"/>
  </w:num>
  <w:num w:numId="6" w16cid:durableId="1308128202">
    <w:abstractNumId w:val="14"/>
  </w:num>
  <w:num w:numId="7" w16cid:durableId="1081298498">
    <w:abstractNumId w:val="10"/>
  </w:num>
  <w:num w:numId="8" w16cid:durableId="1050374243">
    <w:abstractNumId w:val="0"/>
  </w:num>
  <w:num w:numId="9" w16cid:durableId="1587573632">
    <w:abstractNumId w:val="4"/>
  </w:num>
  <w:num w:numId="10" w16cid:durableId="161118199">
    <w:abstractNumId w:val="19"/>
  </w:num>
  <w:num w:numId="11" w16cid:durableId="1759985502">
    <w:abstractNumId w:val="16"/>
  </w:num>
  <w:num w:numId="12" w16cid:durableId="942148536">
    <w:abstractNumId w:val="12"/>
  </w:num>
  <w:num w:numId="13" w16cid:durableId="2114014414">
    <w:abstractNumId w:val="8"/>
  </w:num>
  <w:num w:numId="14" w16cid:durableId="693115915">
    <w:abstractNumId w:val="3"/>
  </w:num>
  <w:num w:numId="15" w16cid:durableId="878859317">
    <w:abstractNumId w:val="7"/>
  </w:num>
  <w:num w:numId="16" w16cid:durableId="379399860">
    <w:abstractNumId w:val="2"/>
  </w:num>
  <w:num w:numId="17" w16cid:durableId="719717380">
    <w:abstractNumId w:val="21"/>
  </w:num>
  <w:num w:numId="18" w16cid:durableId="1154179533">
    <w:abstractNumId w:val="13"/>
  </w:num>
  <w:num w:numId="19" w16cid:durableId="382292284">
    <w:abstractNumId w:val="6"/>
  </w:num>
  <w:num w:numId="20" w16cid:durableId="1783375090">
    <w:abstractNumId w:val="1"/>
  </w:num>
  <w:num w:numId="21" w16cid:durableId="788821450">
    <w:abstractNumId w:val="17"/>
  </w:num>
  <w:num w:numId="22" w16cid:durableId="12301131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ar-LB" w:vendorID="64" w:dllVersion="6" w:nlCheck="1" w:checkStyle="0"/>
  <w:activeWritingStyle w:appName="MSWord" w:lang="ar-SA" w:vendorID="64" w:dllVersion="6" w:nlCheck="1" w:checkStyle="0"/>
  <w:activeWritingStyle w:appName="MSWord" w:lang="ar-JO" w:vendorID="64" w:dllVersion="6" w:nlCheck="1" w:checkStyle="0"/>
  <w:activeWritingStyle w:appName="MSWord" w:lang="en-US" w:vendorID="64" w:dllVersion="6" w:nlCheck="1" w:checkStyle="1"/>
  <w:activeWritingStyle w:appName="MSWord" w:lang="ar-LB" w:vendorID="64" w:dllVersion="4096" w:nlCheck="1" w:checkStyle="0"/>
  <w:activeWritingStyle w:appName="MSWord" w:lang="ar-SA" w:vendorID="64" w:dllVersion="4096" w:nlCheck="1" w:checkStyle="0"/>
  <w:activeWritingStyle w:appName="MSWord" w:lang="ar-JO" w:vendorID="64" w:dllVersion="4096" w:nlCheck="1" w:checkStyle="0"/>
  <w:activeWritingStyle w:appName="MSWord" w:lang="en-US" w:vendorID="64" w:dllVersion="4096" w:nlCheck="1" w:checkStyle="0"/>
  <w:activeWritingStyle w:appName="MSWord" w:lang="ar-AE" w:vendorID="64" w:dllVersion="4096" w:nlCheck="1" w:checkStyle="0"/>
  <w:activeWritingStyle w:appName="MSWord" w:lang="ar-SA" w:vendorID="64" w:dllVersion="0" w:nlCheck="1" w:checkStyle="0"/>
  <w:activeWritingStyle w:appName="MSWord" w:lang="ar-LB" w:vendorID="64" w:dllVersion="0" w:nlCheck="1" w:checkStyle="0"/>
  <w:proofState w:spelling="clean" w:grammar="clean"/>
  <w:defaultTabStop w:val="720"/>
  <w:evenAndOddHeaders/>
  <w:noPunctuationKerning/>
  <w:characterSpacingControl w:val="doNotCompress"/>
  <w:hdrShapeDefaults>
    <o:shapedefaults v:ext="edit" spidmax="2050"/>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4AED"/>
    <w:rsid w:val="00004F33"/>
    <w:rsid w:val="0003105C"/>
    <w:rsid w:val="00031B2C"/>
    <w:rsid w:val="00070C6E"/>
    <w:rsid w:val="0008422D"/>
    <w:rsid w:val="0008584C"/>
    <w:rsid w:val="00086BD6"/>
    <w:rsid w:val="000A273D"/>
    <w:rsid w:val="000A44E3"/>
    <w:rsid w:val="000A579E"/>
    <w:rsid w:val="000C4297"/>
    <w:rsid w:val="000F3340"/>
    <w:rsid w:val="000F4031"/>
    <w:rsid w:val="00106BE2"/>
    <w:rsid w:val="0011109D"/>
    <w:rsid w:val="001563C2"/>
    <w:rsid w:val="0016207A"/>
    <w:rsid w:val="001676A4"/>
    <w:rsid w:val="00170D0A"/>
    <w:rsid w:val="00180BAF"/>
    <w:rsid w:val="00197AFB"/>
    <w:rsid w:val="001A213C"/>
    <w:rsid w:val="001A7A8E"/>
    <w:rsid w:val="001B3377"/>
    <w:rsid w:val="001C3FC8"/>
    <w:rsid w:val="001C423B"/>
    <w:rsid w:val="001C6F8C"/>
    <w:rsid w:val="001D383E"/>
    <w:rsid w:val="001F1EFB"/>
    <w:rsid w:val="001F4F22"/>
    <w:rsid w:val="001F56B1"/>
    <w:rsid w:val="002000B4"/>
    <w:rsid w:val="002014B4"/>
    <w:rsid w:val="002104B5"/>
    <w:rsid w:val="002161BD"/>
    <w:rsid w:val="00234230"/>
    <w:rsid w:val="0023557F"/>
    <w:rsid w:val="00244608"/>
    <w:rsid w:val="00245A5A"/>
    <w:rsid w:val="00245EF2"/>
    <w:rsid w:val="00247496"/>
    <w:rsid w:val="002554EE"/>
    <w:rsid w:val="00263E6E"/>
    <w:rsid w:val="00264557"/>
    <w:rsid w:val="00267034"/>
    <w:rsid w:val="002745A5"/>
    <w:rsid w:val="00281029"/>
    <w:rsid w:val="00287C95"/>
    <w:rsid w:val="00291AD3"/>
    <w:rsid w:val="002A6814"/>
    <w:rsid w:val="002B41DD"/>
    <w:rsid w:val="002D340E"/>
    <w:rsid w:val="002F34B7"/>
    <w:rsid w:val="00305E03"/>
    <w:rsid w:val="003114EA"/>
    <w:rsid w:val="0031326F"/>
    <w:rsid w:val="003132BD"/>
    <w:rsid w:val="003146FE"/>
    <w:rsid w:val="00316220"/>
    <w:rsid w:val="00325C2C"/>
    <w:rsid w:val="00344DED"/>
    <w:rsid w:val="00347FF0"/>
    <w:rsid w:val="00354E7E"/>
    <w:rsid w:val="00362C74"/>
    <w:rsid w:val="0036394C"/>
    <w:rsid w:val="003733C1"/>
    <w:rsid w:val="00392907"/>
    <w:rsid w:val="00397FEC"/>
    <w:rsid w:val="003A3E89"/>
    <w:rsid w:val="003A5C30"/>
    <w:rsid w:val="003B6420"/>
    <w:rsid w:val="003E1638"/>
    <w:rsid w:val="003E579C"/>
    <w:rsid w:val="003E62C8"/>
    <w:rsid w:val="0040418B"/>
    <w:rsid w:val="00420B39"/>
    <w:rsid w:val="00424263"/>
    <w:rsid w:val="00424AA5"/>
    <w:rsid w:val="00434C68"/>
    <w:rsid w:val="00452425"/>
    <w:rsid w:val="00465771"/>
    <w:rsid w:val="00476452"/>
    <w:rsid w:val="004772F9"/>
    <w:rsid w:val="0048178C"/>
    <w:rsid w:val="004820DD"/>
    <w:rsid w:val="004836B9"/>
    <w:rsid w:val="004A58FC"/>
    <w:rsid w:val="004B0775"/>
    <w:rsid w:val="004D6276"/>
    <w:rsid w:val="004E2EB8"/>
    <w:rsid w:val="004E56DD"/>
    <w:rsid w:val="004E58D1"/>
    <w:rsid w:val="004F1720"/>
    <w:rsid w:val="00514EE8"/>
    <w:rsid w:val="00516131"/>
    <w:rsid w:val="00527F9F"/>
    <w:rsid w:val="00546B60"/>
    <w:rsid w:val="0056011A"/>
    <w:rsid w:val="00575CF0"/>
    <w:rsid w:val="00581A7C"/>
    <w:rsid w:val="0058215C"/>
    <w:rsid w:val="00585187"/>
    <w:rsid w:val="005906E2"/>
    <w:rsid w:val="00594FE1"/>
    <w:rsid w:val="0059743F"/>
    <w:rsid w:val="005B0464"/>
    <w:rsid w:val="005B34B1"/>
    <w:rsid w:val="005C1617"/>
    <w:rsid w:val="005E5DF4"/>
    <w:rsid w:val="005E72AB"/>
    <w:rsid w:val="005F715B"/>
    <w:rsid w:val="00603C5C"/>
    <w:rsid w:val="00605F71"/>
    <w:rsid w:val="00606FDD"/>
    <w:rsid w:val="006123A7"/>
    <w:rsid w:val="006166E9"/>
    <w:rsid w:val="006400BC"/>
    <w:rsid w:val="006523F3"/>
    <w:rsid w:val="00675EF8"/>
    <w:rsid w:val="006904F0"/>
    <w:rsid w:val="00696830"/>
    <w:rsid w:val="00697105"/>
    <w:rsid w:val="00697383"/>
    <w:rsid w:val="006A4F5F"/>
    <w:rsid w:val="006B3B00"/>
    <w:rsid w:val="006B754D"/>
    <w:rsid w:val="00700FFB"/>
    <w:rsid w:val="007027F4"/>
    <w:rsid w:val="0071112D"/>
    <w:rsid w:val="0071356C"/>
    <w:rsid w:val="0072157D"/>
    <w:rsid w:val="00733E07"/>
    <w:rsid w:val="00740D34"/>
    <w:rsid w:val="0076247A"/>
    <w:rsid w:val="00766B9E"/>
    <w:rsid w:val="00773C54"/>
    <w:rsid w:val="00785169"/>
    <w:rsid w:val="00787295"/>
    <w:rsid w:val="00790E74"/>
    <w:rsid w:val="00795185"/>
    <w:rsid w:val="007A1281"/>
    <w:rsid w:val="007A7450"/>
    <w:rsid w:val="007C4C3D"/>
    <w:rsid w:val="007C5F6F"/>
    <w:rsid w:val="007D33D3"/>
    <w:rsid w:val="007D7485"/>
    <w:rsid w:val="007E669B"/>
    <w:rsid w:val="00832C98"/>
    <w:rsid w:val="00835079"/>
    <w:rsid w:val="0085402B"/>
    <w:rsid w:val="00855D96"/>
    <w:rsid w:val="00856C08"/>
    <w:rsid w:val="00865AD0"/>
    <w:rsid w:val="008665A0"/>
    <w:rsid w:val="0086721C"/>
    <w:rsid w:val="008916AA"/>
    <w:rsid w:val="00895889"/>
    <w:rsid w:val="008A06E9"/>
    <w:rsid w:val="008B4530"/>
    <w:rsid w:val="008B7266"/>
    <w:rsid w:val="008C2742"/>
    <w:rsid w:val="008D5470"/>
    <w:rsid w:val="008E30ED"/>
    <w:rsid w:val="008E38F5"/>
    <w:rsid w:val="008F071A"/>
    <w:rsid w:val="008F360C"/>
    <w:rsid w:val="008F3B20"/>
    <w:rsid w:val="00901B8C"/>
    <w:rsid w:val="009242DE"/>
    <w:rsid w:val="0092720F"/>
    <w:rsid w:val="00930825"/>
    <w:rsid w:val="0093092C"/>
    <w:rsid w:val="009354DB"/>
    <w:rsid w:val="0093580E"/>
    <w:rsid w:val="009376F3"/>
    <w:rsid w:val="00957577"/>
    <w:rsid w:val="00962DE7"/>
    <w:rsid w:val="00983255"/>
    <w:rsid w:val="0099526A"/>
    <w:rsid w:val="009A3B04"/>
    <w:rsid w:val="009B122B"/>
    <w:rsid w:val="009C3F07"/>
    <w:rsid w:val="009F4569"/>
    <w:rsid w:val="00A1523D"/>
    <w:rsid w:val="00A25916"/>
    <w:rsid w:val="00A40335"/>
    <w:rsid w:val="00A756DB"/>
    <w:rsid w:val="00A8157E"/>
    <w:rsid w:val="00A94454"/>
    <w:rsid w:val="00A94754"/>
    <w:rsid w:val="00A94FEB"/>
    <w:rsid w:val="00AA230A"/>
    <w:rsid w:val="00AB018A"/>
    <w:rsid w:val="00AB5B0F"/>
    <w:rsid w:val="00AB6A1F"/>
    <w:rsid w:val="00AC4242"/>
    <w:rsid w:val="00AC68D5"/>
    <w:rsid w:val="00AC7DC2"/>
    <w:rsid w:val="00AE2B61"/>
    <w:rsid w:val="00B06DCC"/>
    <w:rsid w:val="00B15506"/>
    <w:rsid w:val="00B16A4D"/>
    <w:rsid w:val="00B239C9"/>
    <w:rsid w:val="00B30C5F"/>
    <w:rsid w:val="00B3422D"/>
    <w:rsid w:val="00B45FC1"/>
    <w:rsid w:val="00B6001E"/>
    <w:rsid w:val="00B645F0"/>
    <w:rsid w:val="00B6513F"/>
    <w:rsid w:val="00B72C52"/>
    <w:rsid w:val="00B73E12"/>
    <w:rsid w:val="00B80D39"/>
    <w:rsid w:val="00B8351D"/>
    <w:rsid w:val="00BA5F88"/>
    <w:rsid w:val="00BB6B96"/>
    <w:rsid w:val="00BC256B"/>
    <w:rsid w:val="00BD1CA9"/>
    <w:rsid w:val="00BD331D"/>
    <w:rsid w:val="00BE17E2"/>
    <w:rsid w:val="00BE3C92"/>
    <w:rsid w:val="00BE4738"/>
    <w:rsid w:val="00BE4AED"/>
    <w:rsid w:val="00BF45DD"/>
    <w:rsid w:val="00BF79DE"/>
    <w:rsid w:val="00C24D0A"/>
    <w:rsid w:val="00C35942"/>
    <w:rsid w:val="00C41D39"/>
    <w:rsid w:val="00C4495D"/>
    <w:rsid w:val="00C44B71"/>
    <w:rsid w:val="00C616F1"/>
    <w:rsid w:val="00C769CB"/>
    <w:rsid w:val="00CA4B54"/>
    <w:rsid w:val="00CB5854"/>
    <w:rsid w:val="00CB5C79"/>
    <w:rsid w:val="00CB73F6"/>
    <w:rsid w:val="00CC2ADF"/>
    <w:rsid w:val="00CC2F70"/>
    <w:rsid w:val="00CF5FA8"/>
    <w:rsid w:val="00D04A7C"/>
    <w:rsid w:val="00D10B38"/>
    <w:rsid w:val="00D12807"/>
    <w:rsid w:val="00D14698"/>
    <w:rsid w:val="00D165A4"/>
    <w:rsid w:val="00D167FF"/>
    <w:rsid w:val="00D2001A"/>
    <w:rsid w:val="00D3593E"/>
    <w:rsid w:val="00D46DE4"/>
    <w:rsid w:val="00D51B9C"/>
    <w:rsid w:val="00D9034C"/>
    <w:rsid w:val="00D9242E"/>
    <w:rsid w:val="00D96C2F"/>
    <w:rsid w:val="00DA25D7"/>
    <w:rsid w:val="00DA303B"/>
    <w:rsid w:val="00DA58F7"/>
    <w:rsid w:val="00DD7C23"/>
    <w:rsid w:val="00DE2AEA"/>
    <w:rsid w:val="00DE2D78"/>
    <w:rsid w:val="00DE6B20"/>
    <w:rsid w:val="00DF5EE0"/>
    <w:rsid w:val="00DF71D4"/>
    <w:rsid w:val="00E00A9C"/>
    <w:rsid w:val="00E07F90"/>
    <w:rsid w:val="00E11F38"/>
    <w:rsid w:val="00E135F9"/>
    <w:rsid w:val="00E208B0"/>
    <w:rsid w:val="00E47104"/>
    <w:rsid w:val="00E47E73"/>
    <w:rsid w:val="00E6638A"/>
    <w:rsid w:val="00E66B4D"/>
    <w:rsid w:val="00E716D4"/>
    <w:rsid w:val="00E738B2"/>
    <w:rsid w:val="00E76495"/>
    <w:rsid w:val="00ED3765"/>
    <w:rsid w:val="00ED5388"/>
    <w:rsid w:val="00ED57E4"/>
    <w:rsid w:val="00EE36D0"/>
    <w:rsid w:val="00EE689B"/>
    <w:rsid w:val="00EF2336"/>
    <w:rsid w:val="00EF68E4"/>
    <w:rsid w:val="00F00811"/>
    <w:rsid w:val="00F10FB9"/>
    <w:rsid w:val="00F11CB9"/>
    <w:rsid w:val="00F25B48"/>
    <w:rsid w:val="00F30700"/>
    <w:rsid w:val="00F341C7"/>
    <w:rsid w:val="00F42492"/>
    <w:rsid w:val="00F601B1"/>
    <w:rsid w:val="00F7315A"/>
    <w:rsid w:val="00F76879"/>
    <w:rsid w:val="00F76DA1"/>
    <w:rsid w:val="00F8004A"/>
    <w:rsid w:val="00F821B5"/>
    <w:rsid w:val="00F935A5"/>
    <w:rsid w:val="00FB0781"/>
    <w:rsid w:val="00FC0089"/>
    <w:rsid w:val="00FE117D"/>
    <w:rsid w:val="00FE327D"/>
    <w:rsid w:val="00FE3CB2"/>
    <w:rsid w:val="00FF271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371013"/>
  <w15:docId w15:val="{AB8FAA36-C39B-4FEE-B2D7-F7E40F9A3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bidi/>
      <w:spacing w:line="240" w:lineRule="exact"/>
    </w:pPr>
    <w:rPr>
      <w:rFonts w:cs="David"/>
      <w:sz w:val="24"/>
      <w:szCs w:val="24"/>
    </w:rPr>
  </w:style>
  <w:style w:type="paragraph" w:styleId="Heading1">
    <w:name w:val="heading 1"/>
    <w:basedOn w:val="Normal"/>
    <w:next w:val="Normal"/>
    <w:link w:val="Heading1Char"/>
    <w:uiPriority w:val="9"/>
    <w:qFormat/>
    <w:pPr>
      <w:keepNext/>
      <w:spacing w:after="120" w:line="300" w:lineRule="exact"/>
      <w:jc w:val="both"/>
      <w:outlineLvl w:val="0"/>
    </w:pPr>
    <w:rPr>
      <w:rFonts w:cs="FrankRuehl"/>
      <w:b/>
      <w:bCs/>
      <w:sz w:val="28"/>
      <w:szCs w:val="28"/>
    </w:rPr>
  </w:style>
  <w:style w:type="paragraph" w:styleId="Heading2">
    <w:name w:val="heading 2"/>
    <w:basedOn w:val="Normal"/>
    <w:next w:val="Normal"/>
    <w:link w:val="Heading2Char"/>
    <w:uiPriority w:val="9"/>
    <w:qFormat/>
    <w:pPr>
      <w:keepNext/>
      <w:spacing w:line="140" w:lineRule="exact"/>
      <w:outlineLvl w:val="1"/>
    </w:pPr>
    <w:rPr>
      <w:rFonts w:cs="FrankRuehl"/>
      <w:sz w:val="18"/>
      <w:szCs w:val="20"/>
      <w:u w:val="single"/>
    </w:rPr>
  </w:style>
  <w:style w:type="paragraph" w:styleId="Heading3">
    <w:name w:val="heading 3"/>
    <w:basedOn w:val="Normal"/>
    <w:next w:val="Normal"/>
    <w:qFormat/>
    <w:pPr>
      <w:keepNext/>
      <w:spacing w:before="40" w:after="40" w:line="220" w:lineRule="exact"/>
      <w:jc w:val="center"/>
      <w:outlineLvl w:val="2"/>
    </w:pPr>
    <w:rPr>
      <w:rFonts w:cs="FrankRuehl"/>
      <w:b/>
      <w:bCs/>
      <w:sz w:val="20"/>
      <w:szCs w:val="20"/>
    </w:rPr>
  </w:style>
  <w:style w:type="paragraph" w:styleId="Heading4">
    <w:name w:val="heading 4"/>
    <w:basedOn w:val="Normal"/>
    <w:next w:val="Normal"/>
    <w:qFormat/>
    <w:pPr>
      <w:keepNext/>
      <w:spacing w:line="360" w:lineRule="auto"/>
      <w:outlineLvl w:val="3"/>
    </w:pPr>
    <w:rPr>
      <w:rFonts w:ascii="Arial" w:hAnsi="Arial"/>
      <w:b/>
      <w:bCs/>
    </w:rPr>
  </w:style>
  <w:style w:type="paragraph" w:styleId="Heading5">
    <w:name w:val="heading 5"/>
    <w:basedOn w:val="Normal"/>
    <w:next w:val="Normal"/>
    <w:qFormat/>
    <w:pPr>
      <w:keepNext/>
      <w:spacing w:after="120" w:line="280" w:lineRule="exact"/>
      <w:outlineLvl w:val="4"/>
    </w:pPr>
    <w:rPr>
      <w:b/>
      <w:bCs/>
      <w:sz w:val="22"/>
    </w:rPr>
  </w:style>
  <w:style w:type="paragraph" w:styleId="Heading6">
    <w:name w:val="heading 6"/>
    <w:basedOn w:val="Normal"/>
    <w:next w:val="Normal"/>
    <w:qFormat/>
    <w:pPr>
      <w:keepNext/>
      <w:spacing w:before="40" w:after="40" w:line="220" w:lineRule="exact"/>
      <w:ind w:left="113" w:right="57"/>
      <w:jc w:val="right"/>
      <w:outlineLvl w:val="5"/>
    </w:pPr>
    <w:rPr>
      <w:rFonts w:cs="FrankRuehl"/>
      <w:b/>
      <w:bCs/>
      <w:sz w:val="20"/>
      <w:szCs w:val="20"/>
    </w:rPr>
  </w:style>
  <w:style w:type="paragraph" w:styleId="Heading7">
    <w:name w:val="heading 7"/>
    <w:basedOn w:val="Normal"/>
    <w:next w:val="Normal"/>
    <w:qFormat/>
    <w:pPr>
      <w:keepNext/>
      <w:spacing w:before="40" w:after="40" w:line="220" w:lineRule="exact"/>
      <w:jc w:val="right"/>
      <w:outlineLvl w:val="6"/>
    </w:pPr>
    <w:rPr>
      <w:rFonts w:ascii="FrankRuehl" w:hAnsi="FrankRuehl" w:cs="FrankRuehl"/>
      <w:b/>
      <w:bCs/>
      <w:sz w:val="20"/>
      <w:szCs w:val="20"/>
    </w:rPr>
  </w:style>
  <w:style w:type="paragraph" w:styleId="Heading8">
    <w:name w:val="heading 8"/>
    <w:basedOn w:val="Normal"/>
    <w:next w:val="Normal"/>
    <w:qFormat/>
    <w:pPr>
      <w:keepNext/>
      <w:spacing w:line="360" w:lineRule="auto"/>
      <w:ind w:right="57"/>
      <w:jc w:val="center"/>
      <w:outlineLvl w:val="7"/>
    </w:pPr>
    <w:rPr>
      <w:rFonts w:cs="FrankRuehl"/>
      <w:b/>
      <w:bCs/>
      <w:sz w:val="20"/>
      <w:szCs w:val="20"/>
    </w:rPr>
  </w:style>
  <w:style w:type="paragraph" w:styleId="Heading9">
    <w:name w:val="heading 9"/>
    <w:basedOn w:val="Normal"/>
    <w:next w:val="Normal"/>
    <w:link w:val="Heading9Char"/>
    <w:uiPriority w:val="9"/>
    <w:qFormat/>
    <w:pPr>
      <w:keepNext/>
      <w:spacing w:after="120" w:line="240" w:lineRule="atLeast"/>
      <w:jc w:val="right"/>
      <w:outlineLvl w:val="8"/>
    </w:pPr>
    <w:rPr>
      <w:rFonts w:ascii="Arial" w:hAnsi="Arial" w:cs="Arial"/>
      <w:b/>
      <w:bCs/>
      <w:color w:val="FF0000"/>
      <w:sz w:val="44"/>
      <w:szCs w:val="44"/>
      <w:lang w:bidi="ar-L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link w:val="HeaderChar"/>
    <w:uiPriority w:val="99"/>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paragraph" w:customStyle="1" w:styleId="BNAME">
    <w:name w:val="B_NAME"/>
    <w:basedOn w:val="Normal"/>
    <w:pPr>
      <w:spacing w:before="720" w:line="480" w:lineRule="exact"/>
      <w:jc w:val="center"/>
    </w:pPr>
    <w:rPr>
      <w:rFonts w:ascii="Arial" w:hAnsi="Arial" w:cs="Guttman Hodes"/>
      <w:b/>
      <w:bCs/>
      <w:sz w:val="40"/>
      <w:szCs w:val="40"/>
    </w:rPr>
  </w:style>
  <w:style w:type="paragraph" w:customStyle="1" w:styleId="Bauther">
    <w:name w:val="B_auther"/>
    <w:basedOn w:val="Normal"/>
    <w:pPr>
      <w:spacing w:before="240" w:after="480" w:line="360" w:lineRule="exact"/>
      <w:jc w:val="center"/>
    </w:pPr>
    <w:rPr>
      <w:rFonts w:ascii="Arial" w:hAnsi="Arial" w:cs="Guttman Hodes"/>
      <w:sz w:val="22"/>
      <w:szCs w:val="22"/>
    </w:rPr>
  </w:style>
  <w:style w:type="paragraph" w:customStyle="1" w:styleId="BKOT1">
    <w:name w:val="B_KOT1"/>
    <w:basedOn w:val="Normal"/>
    <w:pPr>
      <w:keepNext/>
      <w:keepLines/>
      <w:pBdr>
        <w:top w:val="single" w:sz="4" w:space="4" w:color="auto"/>
        <w:bottom w:val="single" w:sz="4" w:space="6" w:color="auto"/>
      </w:pBdr>
      <w:spacing w:before="360" w:after="240" w:line="300" w:lineRule="exact"/>
    </w:pPr>
    <w:rPr>
      <w:rFonts w:ascii="Arial" w:hAnsi="Arial" w:cs="Guttman Hodes"/>
      <w:b/>
      <w:bCs/>
      <w:sz w:val="26"/>
      <w:szCs w:val="26"/>
    </w:rPr>
  </w:style>
  <w:style w:type="character" w:styleId="FootnoteReference">
    <w:name w:val="footnote reference"/>
    <w:aliases w:val="אות הערה"/>
    <w:uiPriority w:val="99"/>
    <w:rPr>
      <w:vertAlign w:val="superscript"/>
    </w:rPr>
  </w:style>
  <w:style w:type="paragraph" w:styleId="FootnoteText">
    <w:name w:val="footnote text"/>
    <w:aliases w:val="טקסט הערות שוליים2,Footnote Text תו2,Footnote Text תו תו2,טקסט הערות שוליים1 תו2,Footnote Text תו תו תו תו2,Footnote Text תו תו תו תו תו תו,טקסט הערות שוליים תו1,טקסט הערות שוליים תו תו2,טקסט הערות שוליים תו1 תו תו,Footnote Text ת,fn, Char"/>
    <w:basedOn w:val="Normal"/>
    <w:link w:val="FootnoteTextChar"/>
    <w:uiPriority w:val="99"/>
    <w:qFormat/>
    <w:pPr>
      <w:spacing w:line="240" w:lineRule="auto"/>
    </w:pPr>
    <w:rPr>
      <w:rFonts w:cs="Times New Roman"/>
      <w:sz w:val="20"/>
      <w:szCs w:val="20"/>
    </w:rPr>
  </w:style>
  <w:style w:type="paragraph" w:styleId="BalloonText">
    <w:name w:val="Balloon Text"/>
    <w:basedOn w:val="Normal"/>
    <w:link w:val="BalloonTextChar"/>
    <w:uiPriority w:val="99"/>
    <w:semiHidden/>
    <w:pPr>
      <w:spacing w:line="240" w:lineRule="auto"/>
    </w:pPr>
    <w:rPr>
      <w:rFonts w:ascii="Tahoma" w:hAnsi="Tahoma" w:cs="Tahoma"/>
      <w:sz w:val="16"/>
      <w:szCs w:val="16"/>
    </w:rPr>
  </w:style>
  <w:style w:type="paragraph" w:customStyle="1" w:styleId="Bkot2">
    <w:name w:val="B_kot2"/>
    <w:basedOn w:val="Heading1"/>
  </w:style>
  <w:style w:type="paragraph" w:customStyle="1" w:styleId="Bpatiah">
    <w:name w:val="B_patiah"/>
    <w:basedOn w:val="Normal"/>
    <w:pPr>
      <w:spacing w:after="120"/>
      <w:ind w:left="567" w:right="567"/>
      <w:jc w:val="both"/>
    </w:pPr>
    <w:rPr>
      <w:rFonts w:cs="FrankRuehl"/>
      <w:sz w:val="20"/>
      <w:szCs w:val="22"/>
    </w:rPr>
  </w:style>
  <w:style w:type="paragraph" w:styleId="CommentSubject">
    <w:name w:val="annotation subject"/>
    <w:basedOn w:val="CommentText"/>
    <w:next w:val="CommentText"/>
    <w:semiHidden/>
    <w:rPr>
      <w:b/>
      <w:bCs/>
    </w:rPr>
  </w:style>
  <w:style w:type="paragraph" w:styleId="CommentText">
    <w:name w:val="annotation text"/>
    <w:basedOn w:val="Normal"/>
    <w:link w:val="CommentTextChar"/>
    <w:uiPriority w:val="99"/>
    <w:pPr>
      <w:spacing w:line="240" w:lineRule="auto"/>
    </w:pPr>
    <w:rPr>
      <w:rFonts w:cs="Times New Roman"/>
      <w:sz w:val="20"/>
      <w:szCs w:val="20"/>
    </w:rPr>
  </w:style>
  <w:style w:type="character" w:customStyle="1" w:styleId="1">
    <w:name w:val="תו תו1"/>
    <w:rPr>
      <w:rFonts w:ascii="Arial" w:hAnsi="Arial" w:cs="Arial"/>
      <w:b/>
      <w:bCs/>
      <w:kern w:val="32"/>
      <w:sz w:val="32"/>
      <w:szCs w:val="32"/>
      <w:lang w:val="en-US" w:eastAsia="he-IL" w:bidi="he-IL"/>
    </w:rPr>
  </w:style>
  <w:style w:type="character" w:customStyle="1" w:styleId="a">
    <w:name w:val="תו תו"/>
    <w:rPr>
      <w:snapToGrid w:val="0"/>
      <w:color w:val="000000"/>
      <w:sz w:val="24"/>
      <w:szCs w:val="24"/>
      <w:lang w:val="en-US" w:eastAsia="en-US" w:bidi="he-IL"/>
    </w:rPr>
  </w:style>
  <w:style w:type="paragraph" w:styleId="BodyText">
    <w:name w:val="Body Text"/>
    <w:basedOn w:val="Normal"/>
    <w:link w:val="BodyTextChar"/>
    <w:semiHidden/>
    <w:pPr>
      <w:spacing w:after="120" w:line="340" w:lineRule="exact"/>
      <w:jc w:val="center"/>
    </w:pPr>
    <w:rPr>
      <w:rFonts w:cs="FrankRuehl"/>
      <w:b/>
      <w:bCs/>
      <w:sz w:val="26"/>
      <w:szCs w:val="26"/>
    </w:rPr>
  </w:style>
  <w:style w:type="character" w:styleId="Strong">
    <w:name w:val="Strong"/>
    <w:qFormat/>
    <w:rPr>
      <w:b/>
      <w:bCs/>
    </w:rPr>
  </w:style>
  <w:style w:type="paragraph" w:customStyle="1" w:styleId="B-kot-3">
    <w:name w:val="B-kot-3"/>
    <w:basedOn w:val="Heading5"/>
    <w:rPr>
      <w:rFonts w:cs="FrankRuehl"/>
    </w:rPr>
  </w:style>
  <w:style w:type="character" w:customStyle="1" w:styleId="default">
    <w:name w:val="default"/>
    <w:rPr>
      <w:rFonts w:ascii="Times New Roman" w:hAnsi="Times New Roman" w:cs="Times New Roman" w:hint="default"/>
      <w:sz w:val="26"/>
      <w:szCs w:val="26"/>
    </w:rPr>
  </w:style>
  <w:style w:type="paragraph" w:styleId="ListParagraph">
    <w:name w:val="List Paragraph"/>
    <w:basedOn w:val="Normal"/>
    <w:uiPriority w:val="34"/>
    <w:qFormat/>
    <w:pPr>
      <w:spacing w:after="200" w:line="276" w:lineRule="auto"/>
      <w:ind w:left="720"/>
    </w:pPr>
    <w:rPr>
      <w:rFonts w:ascii="Calibri" w:eastAsia="Calibri" w:hAnsi="Calibri" w:cs="Arial"/>
      <w:sz w:val="22"/>
      <w:szCs w:val="22"/>
    </w:rPr>
  </w:style>
  <w:style w:type="paragraph" w:styleId="Title">
    <w:name w:val="Title"/>
    <w:basedOn w:val="Normal"/>
    <w:link w:val="TitleChar"/>
    <w:uiPriority w:val="10"/>
    <w:qFormat/>
    <w:pPr>
      <w:spacing w:line="240" w:lineRule="auto"/>
      <w:jc w:val="center"/>
    </w:pPr>
    <w:rPr>
      <w:u w:val="single"/>
    </w:rPr>
  </w:style>
  <w:style w:type="paragraph" w:styleId="BlockText">
    <w:name w:val="Block Text"/>
    <w:basedOn w:val="Normal"/>
    <w:semiHidden/>
    <w:pPr>
      <w:spacing w:line="360" w:lineRule="auto"/>
      <w:ind w:left="-567" w:right="-567"/>
    </w:pPr>
    <w:rPr>
      <w:lang w:eastAsia="he-IL"/>
    </w:rPr>
  </w:style>
  <w:style w:type="character" w:styleId="Hyperlink">
    <w:name w:val="Hyperlink"/>
    <w:uiPriority w:val="99"/>
    <w:semiHidden/>
    <w:rPr>
      <w:color w:val="0000FF"/>
      <w:u w:val="single"/>
    </w:rPr>
  </w:style>
  <w:style w:type="character" w:customStyle="1" w:styleId="medium-font">
    <w:name w:val="medium-font"/>
    <w:basedOn w:val="DefaultParagraphFont"/>
  </w:style>
  <w:style w:type="character" w:customStyle="1" w:styleId="ptbrand">
    <w:name w:val="ptbrand"/>
    <w:basedOn w:val="DefaultParagraphFont"/>
  </w:style>
  <w:style w:type="character" w:customStyle="1" w:styleId="binding">
    <w:name w:val="binding"/>
    <w:basedOn w:val="DefaultParagraphFont"/>
  </w:style>
  <w:style w:type="character" w:customStyle="1" w:styleId="2">
    <w:name w:val="טקסט הערות שוליים2 תו"/>
    <w:aliases w:val="Footnote Text תו2 תו,Footnote Text תו תו2 תו,טקסט הערות שוליים1 תו2 תו,Footnote Text תו תו תו תו2 תו,Footnote Text תו תו תו תו תו תו תו,טקסט הערות שוליים תו1 תו,טקסט הערות שוליים תו תו2 תו,טקסט הערות שוליים תו1 תו תו תו"/>
    <w:rPr>
      <w:rFonts w:ascii="Times New Roman" w:hAnsi="Times New Roman" w:cs="Times New Roman"/>
    </w:rPr>
  </w:style>
  <w:style w:type="paragraph" w:styleId="NormalWeb">
    <w:name w:val="Normal (Web)"/>
    <w:basedOn w:val="Normal"/>
    <w:semiHidden/>
    <w:unhideWhenUsed/>
    <w:pPr>
      <w:bidi w:val="0"/>
      <w:spacing w:before="100" w:beforeAutospacing="1" w:after="100" w:afterAutospacing="1" w:line="276" w:lineRule="auto"/>
      <w:jc w:val="both"/>
    </w:pPr>
    <w:rPr>
      <w:rFonts w:cs="Times New Roman"/>
    </w:rPr>
  </w:style>
  <w:style w:type="paragraph" w:customStyle="1" w:styleId="a0">
    <w:name w:val="הערת שוליים"/>
    <w:qFormat/>
    <w:pPr>
      <w:bidi/>
      <w:ind w:left="340" w:hanging="340"/>
    </w:pPr>
    <w:rPr>
      <w:rFonts w:eastAsia="Calibri"/>
    </w:rPr>
  </w:style>
  <w:style w:type="character" w:customStyle="1" w:styleId="title-link-wrapper">
    <w:name w:val="title-link-wrapper"/>
    <w:basedOn w:val="DefaultParagraphFont"/>
  </w:style>
  <w:style w:type="character" w:customStyle="1" w:styleId="updated-short-citation">
    <w:name w:val="updated-short-citation"/>
    <w:basedOn w:val="DefaultParagraphFont"/>
  </w:style>
  <w:style w:type="character" w:customStyle="1" w:styleId="headingupsizecap">
    <w:name w:val="heading_upsizecap"/>
    <w:basedOn w:val="DefaultParagraphFont"/>
  </w:style>
  <w:style w:type="character" w:customStyle="1" w:styleId="Footnoteanchor">
    <w:name w:val="Footnote anchor"/>
    <w:rPr>
      <w:vertAlign w:val="superscript"/>
    </w:rPr>
  </w:style>
  <w:style w:type="character" w:customStyle="1" w:styleId="InternetLink">
    <w:name w:val="Internet Link"/>
    <w:rPr>
      <w:color w:val="000080"/>
      <w:u w:val="single"/>
      <w:lang w:val="en-US" w:eastAsia="en-US" w:bidi="en-US"/>
    </w:rPr>
  </w:style>
  <w:style w:type="paragraph" w:customStyle="1" w:styleId="Footnote">
    <w:name w:val="Footnote"/>
    <w:basedOn w:val="Normal"/>
    <w:pPr>
      <w:widowControl w:val="0"/>
      <w:suppressLineNumbers/>
      <w:tabs>
        <w:tab w:val="left" w:pos="709"/>
      </w:tabs>
      <w:suppressAutoHyphens/>
      <w:bidi w:val="0"/>
      <w:spacing w:after="200" w:line="276" w:lineRule="auto"/>
      <w:ind w:left="339" w:hanging="339"/>
    </w:pPr>
    <w:rPr>
      <w:rFonts w:ascii="Palatino" w:eastAsia="WenQuanYi Micro Hei" w:hAnsi="Palatino" w:cs="Times New Roman"/>
      <w:color w:val="00000A"/>
      <w:sz w:val="20"/>
      <w:szCs w:val="20"/>
      <w:lang w:val="en-GB" w:eastAsia="zh-CN"/>
    </w:rPr>
  </w:style>
  <w:style w:type="paragraph" w:styleId="Caption">
    <w:name w:val="caption"/>
    <w:basedOn w:val="Normal"/>
    <w:next w:val="Normal"/>
    <w:qFormat/>
    <w:pPr>
      <w:spacing w:before="120" w:line="240" w:lineRule="atLeast"/>
      <w:jc w:val="right"/>
    </w:pPr>
    <w:rPr>
      <w:rFonts w:ascii="Arial" w:hAnsi="Arial" w:cs="Arial"/>
      <w:b/>
      <w:bCs/>
      <w:color w:val="FF0000"/>
      <w:lang w:bidi="ar-LB"/>
    </w:rPr>
  </w:style>
  <w:style w:type="paragraph" w:styleId="BodyText2">
    <w:name w:val="Body Text 2"/>
    <w:basedOn w:val="Normal"/>
    <w:link w:val="BodyText2Char"/>
    <w:uiPriority w:val="99"/>
    <w:unhideWhenUsed/>
    <w:rsid w:val="00C35942"/>
    <w:pPr>
      <w:spacing w:after="180" w:line="280" w:lineRule="exact"/>
      <w:jc w:val="both"/>
    </w:pPr>
    <w:rPr>
      <w:rFonts w:ascii="Arial" w:hAnsi="Arial" w:cs="Arial"/>
      <w:lang w:bidi="ar-SA"/>
    </w:rPr>
  </w:style>
  <w:style w:type="character" w:customStyle="1" w:styleId="BodyText2Char">
    <w:name w:val="Body Text 2 Char"/>
    <w:link w:val="BodyText2"/>
    <w:uiPriority w:val="99"/>
    <w:rsid w:val="00C35942"/>
    <w:rPr>
      <w:rFonts w:ascii="Arial" w:hAnsi="Arial" w:cs="Arial"/>
      <w:sz w:val="24"/>
      <w:szCs w:val="24"/>
      <w:lang w:bidi="ar-SA"/>
    </w:rPr>
  </w:style>
  <w:style w:type="paragraph" w:styleId="BodyTextFirstIndent">
    <w:name w:val="Body Text First Indent"/>
    <w:basedOn w:val="BodyText"/>
    <w:link w:val="BodyTextFirstIndentChar"/>
    <w:uiPriority w:val="99"/>
    <w:semiHidden/>
    <w:unhideWhenUsed/>
    <w:rsid w:val="00832C98"/>
    <w:pPr>
      <w:spacing w:line="240" w:lineRule="exact"/>
      <w:ind w:firstLine="210"/>
      <w:jc w:val="left"/>
    </w:pPr>
    <w:rPr>
      <w:rFonts w:cs="David"/>
      <w:b w:val="0"/>
      <w:bCs w:val="0"/>
      <w:sz w:val="24"/>
      <w:szCs w:val="24"/>
    </w:rPr>
  </w:style>
  <w:style w:type="character" w:customStyle="1" w:styleId="BodyTextChar">
    <w:name w:val="Body Text Char"/>
    <w:link w:val="BodyText"/>
    <w:semiHidden/>
    <w:rsid w:val="00832C98"/>
    <w:rPr>
      <w:rFonts w:cs="FrankRuehl"/>
      <w:b/>
      <w:bCs/>
      <w:sz w:val="26"/>
      <w:szCs w:val="26"/>
    </w:rPr>
  </w:style>
  <w:style w:type="character" w:customStyle="1" w:styleId="BodyTextFirstIndentChar">
    <w:name w:val="Body Text First Indent Char"/>
    <w:link w:val="BodyTextFirstIndent"/>
    <w:uiPriority w:val="99"/>
    <w:semiHidden/>
    <w:rsid w:val="00832C98"/>
    <w:rPr>
      <w:rFonts w:cs="David"/>
      <w:b w:val="0"/>
      <w:bCs w:val="0"/>
      <w:sz w:val="24"/>
      <w:szCs w:val="24"/>
    </w:rPr>
  </w:style>
  <w:style w:type="character" w:customStyle="1" w:styleId="FootnoteTextChar">
    <w:name w:val="Footnote Text Char"/>
    <w:aliases w:val="טקסט הערות שוליים2 Char,Footnote Text תו2 Char,Footnote Text תו תו2 Char,טקסט הערות שוליים1 תו2 Char,Footnote Text תו תו תו תו2 Char,Footnote Text תו תו תו תו תו תו Char,טקסט הערות שוליים תו1 Char,טקסט הערות שוליים תו תו2 Char,fn Char"/>
    <w:link w:val="FootnoteText"/>
    <w:uiPriority w:val="99"/>
    <w:rsid w:val="00832C98"/>
  </w:style>
  <w:style w:type="character" w:customStyle="1" w:styleId="hps">
    <w:name w:val="hps"/>
    <w:rsid w:val="002014B4"/>
  </w:style>
  <w:style w:type="paragraph" w:customStyle="1" w:styleId="KOT5T">
    <w:name w:val="KOT5T"/>
    <w:basedOn w:val="Normal"/>
    <w:qFormat/>
    <w:rsid w:val="001A7A8E"/>
    <w:pPr>
      <w:keepNext/>
      <w:spacing w:before="120" w:after="120" w:line="320" w:lineRule="exact"/>
      <w:ind w:right="2268"/>
      <w:jc w:val="center"/>
      <w:outlineLvl w:val="2"/>
    </w:pPr>
    <w:rPr>
      <w:rFonts w:ascii="Tahoma" w:hAnsi="Tahoma" w:cs="Tahoma"/>
      <w:b/>
      <w:bCs/>
      <w:color w:val="387026"/>
      <w:u w:color="FF0000"/>
    </w:rPr>
  </w:style>
  <w:style w:type="paragraph" w:customStyle="1" w:styleId="takzir-text">
    <w:name w:val="takzir-text"/>
    <w:qFormat/>
    <w:rsid w:val="001A7A8E"/>
    <w:pPr>
      <w:pBdr>
        <w:top w:val="single" w:sz="8" w:space="4" w:color="2A2AA6"/>
        <w:left w:val="single" w:sz="8" w:space="4" w:color="2A2AA6"/>
        <w:bottom w:val="single" w:sz="8" w:space="6" w:color="2A2AA6"/>
        <w:right w:val="single" w:sz="8" w:space="4" w:color="2A2AA6"/>
      </w:pBdr>
      <w:spacing w:after="120" w:line="240" w:lineRule="exact"/>
      <w:ind w:left="170" w:right="2268"/>
      <w:jc w:val="both"/>
    </w:pPr>
    <w:rPr>
      <w:rFonts w:ascii="Tahoma" w:hAnsi="Tahoma" w:cs="Tahoma"/>
      <w:sz w:val="17"/>
      <w:szCs w:val="17"/>
    </w:rPr>
  </w:style>
  <w:style w:type="character" w:customStyle="1" w:styleId="Heading1Char">
    <w:name w:val="Heading 1 Char"/>
    <w:link w:val="Heading1"/>
    <w:uiPriority w:val="9"/>
    <w:rsid w:val="00785169"/>
    <w:rPr>
      <w:rFonts w:cs="FrankRuehl"/>
      <w:b/>
      <w:bCs/>
      <w:sz w:val="28"/>
      <w:szCs w:val="28"/>
    </w:rPr>
  </w:style>
  <w:style w:type="character" w:styleId="CommentReference">
    <w:name w:val="annotation reference"/>
    <w:uiPriority w:val="99"/>
    <w:semiHidden/>
    <w:unhideWhenUsed/>
    <w:rsid w:val="00785169"/>
    <w:rPr>
      <w:sz w:val="16"/>
      <w:szCs w:val="16"/>
    </w:rPr>
  </w:style>
  <w:style w:type="character" w:customStyle="1" w:styleId="CommentTextChar">
    <w:name w:val="Comment Text Char"/>
    <w:link w:val="CommentText"/>
    <w:uiPriority w:val="99"/>
    <w:rsid w:val="00785169"/>
  </w:style>
  <w:style w:type="character" w:customStyle="1" w:styleId="BalloonTextChar">
    <w:name w:val="Balloon Text Char"/>
    <w:link w:val="BalloonText"/>
    <w:uiPriority w:val="99"/>
    <w:semiHidden/>
    <w:rsid w:val="00785169"/>
    <w:rPr>
      <w:rFonts w:ascii="Tahoma" w:hAnsi="Tahoma" w:cs="Tahoma"/>
      <w:sz w:val="16"/>
      <w:szCs w:val="16"/>
    </w:rPr>
  </w:style>
  <w:style w:type="character" w:customStyle="1" w:styleId="Heading2Char">
    <w:name w:val="Heading 2 Char"/>
    <w:link w:val="Heading2"/>
    <w:uiPriority w:val="9"/>
    <w:rsid w:val="00785169"/>
    <w:rPr>
      <w:rFonts w:cs="FrankRuehl"/>
      <w:sz w:val="18"/>
      <w:u w:val="single"/>
    </w:rPr>
  </w:style>
  <w:style w:type="character" w:customStyle="1" w:styleId="Heading9Char">
    <w:name w:val="Heading 9 Char"/>
    <w:link w:val="Heading9"/>
    <w:uiPriority w:val="9"/>
    <w:rsid w:val="00785169"/>
    <w:rPr>
      <w:rFonts w:ascii="Arial" w:hAnsi="Arial" w:cs="Arial"/>
      <w:b/>
      <w:bCs/>
      <w:color w:val="FF0000"/>
      <w:sz w:val="44"/>
      <w:szCs w:val="44"/>
      <w:lang w:bidi="ar-LB"/>
    </w:rPr>
  </w:style>
  <w:style w:type="paragraph" w:customStyle="1" w:styleId="10">
    <w:name w:val="טקסט הערת שוליים1"/>
    <w:basedOn w:val="Normal"/>
    <w:next w:val="FootnoteText"/>
    <w:uiPriority w:val="99"/>
    <w:unhideWhenUsed/>
    <w:rsid w:val="002D340E"/>
    <w:pPr>
      <w:spacing w:line="240" w:lineRule="auto"/>
    </w:pPr>
    <w:rPr>
      <w:rFonts w:ascii="Calibri" w:eastAsia="Calibri" w:hAnsi="Calibri" w:cs="Arial"/>
      <w:sz w:val="20"/>
      <w:szCs w:val="20"/>
    </w:rPr>
  </w:style>
  <w:style w:type="character" w:customStyle="1" w:styleId="TitleChar">
    <w:name w:val="Title Char"/>
    <w:link w:val="Title"/>
    <w:uiPriority w:val="10"/>
    <w:rsid w:val="00E208B0"/>
    <w:rPr>
      <w:rFonts w:cs="David"/>
      <w:sz w:val="24"/>
      <w:szCs w:val="24"/>
      <w:u w:val="single"/>
    </w:rPr>
  </w:style>
  <w:style w:type="character" w:customStyle="1" w:styleId="HeaderChar">
    <w:name w:val="Header Char"/>
    <w:link w:val="Header"/>
    <w:uiPriority w:val="99"/>
    <w:rsid w:val="008B4530"/>
    <w:rPr>
      <w:rFonts w:cs="David"/>
      <w:sz w:val="24"/>
      <w:szCs w:val="24"/>
    </w:rPr>
  </w:style>
  <w:style w:type="paragraph" w:styleId="NoSpacing">
    <w:name w:val="No Spacing"/>
    <w:uiPriority w:val="1"/>
    <w:qFormat/>
    <w:rsid w:val="008B4530"/>
    <w:pPr>
      <w:bidi/>
    </w:pPr>
    <w:rPr>
      <w:rFonts w:ascii="Arial" w:eastAsia="Calibri" w:hAnsi="Arial" w:cs="Arial"/>
      <w:sz w:val="22"/>
      <w:szCs w:val="22"/>
    </w:rPr>
  </w:style>
  <w:style w:type="character" w:customStyle="1" w:styleId="normaltextrun">
    <w:name w:val="normaltextrun"/>
    <w:rsid w:val="00D2001A"/>
  </w:style>
  <w:style w:type="character" w:customStyle="1" w:styleId="FooterChar">
    <w:name w:val="Footer Char"/>
    <w:basedOn w:val="DefaultParagraphFont"/>
    <w:link w:val="Footer"/>
    <w:uiPriority w:val="99"/>
    <w:rsid w:val="007D33D3"/>
    <w:rPr>
      <w:rFonts w:cs="David"/>
      <w:sz w:val="24"/>
      <w:szCs w:val="24"/>
    </w:rPr>
  </w:style>
  <w:style w:type="paragraph" w:customStyle="1" w:styleId="Body">
    <w:name w:val="Body"/>
    <w:rsid w:val="00787295"/>
    <w:pPr>
      <w:pBdr>
        <w:top w:val="nil"/>
        <w:left w:val="nil"/>
        <w:bottom w:val="nil"/>
        <w:right w:val="nil"/>
        <w:between w:val="nil"/>
        <w:bar w:val="nil"/>
      </w:pBdr>
      <w:bidi/>
      <w:spacing w:after="160" w:line="259" w:lineRule="auto"/>
    </w:pPr>
    <w:rPr>
      <w:rFonts w:ascii="Arial Unicode MS" w:eastAsia="Arial Unicode MS" w:hAnsi="Arial Unicode MS" w:cs="Calibri" w:hint="cs"/>
      <w:color w:val="000000"/>
      <w:sz w:val="22"/>
      <w:szCs w:val="22"/>
      <w:u w:color="000000"/>
      <w:bdr w:val="nil"/>
      <w:lang w:val="he-IL"/>
    </w:rPr>
  </w:style>
  <w:style w:type="paragraph" w:styleId="HTMLPreformatted">
    <w:name w:val="HTML Preformatted"/>
    <w:basedOn w:val="Normal"/>
    <w:link w:val="HTMLPreformattedChar"/>
    <w:uiPriority w:val="99"/>
    <w:semiHidden/>
    <w:unhideWhenUsed/>
    <w:rsid w:val="002F34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2F34B7"/>
    <w:rPr>
      <w:rFonts w:ascii="Courier New" w:hAnsi="Courier New" w:cs="Courier New"/>
    </w:rPr>
  </w:style>
  <w:style w:type="paragraph" w:styleId="Revision">
    <w:name w:val="Revision"/>
    <w:hidden/>
    <w:uiPriority w:val="99"/>
    <w:semiHidden/>
    <w:rsid w:val="00F821B5"/>
    <w:rPr>
      <w:rFonts w:cs="David"/>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 /><Relationship Id="rId13" Type="http://schemas.openxmlformats.org/officeDocument/2006/relationships/header" Target="header3.xml" /><Relationship Id="rId18" Type="http://schemas.openxmlformats.org/officeDocument/2006/relationships/header" Target="header7.xml" /><Relationship Id="rId3" Type="http://schemas.openxmlformats.org/officeDocument/2006/relationships/styles" Target="styles.xml" /><Relationship Id="rId21" Type="http://schemas.openxmlformats.org/officeDocument/2006/relationships/theme" Target="theme/theme1.xml" /><Relationship Id="rId7" Type="http://schemas.openxmlformats.org/officeDocument/2006/relationships/endnotes" Target="endnotes.xml" /><Relationship Id="rId12" Type="http://schemas.openxmlformats.org/officeDocument/2006/relationships/footer" Target="footer2.xml" /><Relationship Id="rId17" Type="http://schemas.openxmlformats.org/officeDocument/2006/relationships/header" Target="header6.xml" /><Relationship Id="rId2" Type="http://schemas.openxmlformats.org/officeDocument/2006/relationships/numbering" Target="numbering.xml" /><Relationship Id="rId16" Type="http://schemas.openxmlformats.org/officeDocument/2006/relationships/header" Target="header5.xml" /><Relationship Id="rId20" Type="http://schemas.openxmlformats.org/officeDocument/2006/relationships/fontTable" Target="fontTable.xml" /><Relationship Id="rId6" Type="http://schemas.openxmlformats.org/officeDocument/2006/relationships/footnotes" Target="footnotes.xml" /><Relationship Id="rId11" Type="http://schemas.openxmlformats.org/officeDocument/2006/relationships/footer" Target="footer1.xml" /><Relationship Id="rId5" Type="http://schemas.openxmlformats.org/officeDocument/2006/relationships/webSettings" Target="webSettings.xml" /><Relationship Id="rId15" Type="http://schemas.openxmlformats.org/officeDocument/2006/relationships/header" Target="header4.xml" /><Relationship Id="rId10" Type="http://schemas.openxmlformats.org/officeDocument/2006/relationships/header" Target="header2.xml" /><Relationship Id="rId19" Type="http://schemas.openxmlformats.org/officeDocument/2006/relationships/header" Target="header8.xml" /><Relationship Id="rId4" Type="http://schemas.openxmlformats.org/officeDocument/2006/relationships/settings" Target="settings.xml" /><Relationship Id="rId9" Type="http://schemas.openxmlformats.org/officeDocument/2006/relationships/header" Target="header1.xml" /><Relationship Id="rId14" Type="http://schemas.openxmlformats.org/officeDocument/2006/relationships/footer" Target="footer3.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A52939C4-8D41-4BD2-8951-227E862E33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10</Pages>
  <Words>1603</Words>
  <Characters>9143</Characters>
  <Application>Microsoft Office Word</Application>
  <DocSecurity>0</DocSecurity>
  <Lines>76</Lines>
  <Paragraphs>21</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المجلة الاسرائيليه للضمان الاجتماعي</vt:lpstr>
      <vt:lpstr>בעלות על דיור ותנאי מגורים של</vt:lpstr>
    </vt:vector>
  </TitlesOfParts>
  <Company>Onit Computer Services Ltd</Company>
  <LinksUpToDate>false</LinksUpToDate>
  <CharactersWithSpaces>10725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المجلة الاسرائيليه للضمان الاجتماعي</dc:title>
  <dc:creator>Mordechai Frankel</dc:creator>
  <cp:lastModifiedBy>Mordechai Frankel</cp:lastModifiedBy>
  <cp:revision>22</cp:revision>
  <cp:lastPrinted>2022-10-18T06:29:00Z</cp:lastPrinted>
  <dcterms:created xsi:type="dcterms:W3CDTF">2022-05-30T08:38:00Z</dcterms:created>
  <dcterms:modified xsi:type="dcterms:W3CDTF">2023-05-22T09:21:00Z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