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B0D6" w14:textId="32F4EC13" w:rsidR="00F165AC" w:rsidRPr="00693F09" w:rsidRDefault="00F165AC" w:rsidP="00DC3AA8">
      <w:pPr>
        <w:pStyle w:val="BNAME"/>
        <w:bidi w:val="0"/>
        <w:spacing w:before="0"/>
        <w:outlineLvl w:val="1"/>
        <w:rPr>
          <w:rFonts w:ascii="Tahoma" w:hAnsi="Tahoma" w:cs="Tahoma"/>
          <w:b w:val="0"/>
          <w:bCs w:val="0"/>
          <w:sz w:val="28"/>
          <w:szCs w:val="28"/>
        </w:rPr>
      </w:pPr>
      <w:r w:rsidRPr="00693F09">
        <w:rPr>
          <w:rFonts w:ascii="Tahoma" w:hAnsi="Tahoma" w:cs="Tahoma"/>
          <w:b w:val="0"/>
          <w:bCs w:val="0"/>
          <w:sz w:val="28"/>
          <w:szCs w:val="28"/>
        </w:rPr>
        <w:t xml:space="preserve">Israel Journal of </w:t>
      </w:r>
    </w:p>
    <w:p w14:paraId="59BAECF7" w14:textId="77777777" w:rsidR="00F165AC" w:rsidRPr="00693F09" w:rsidRDefault="00F165AC" w:rsidP="00F165AC">
      <w:pPr>
        <w:pStyle w:val="BNAME"/>
        <w:bidi w:val="0"/>
        <w:spacing w:before="0" w:after="1680"/>
        <w:outlineLvl w:val="0"/>
        <w:rPr>
          <w:rFonts w:ascii="Tahoma" w:hAnsi="Tahoma" w:cs="Tahoma"/>
          <w:rtl/>
        </w:rPr>
      </w:pPr>
      <w:r w:rsidRPr="00693F09">
        <w:rPr>
          <w:rFonts w:ascii="Tahoma" w:hAnsi="Tahoma" w:cs="Tahoma"/>
        </w:rPr>
        <w:t>SOCIAL POLICY</w:t>
      </w:r>
    </w:p>
    <w:p w14:paraId="28481DDD" w14:textId="5866D50F" w:rsidR="00522824" w:rsidRPr="00522824" w:rsidRDefault="00522824" w:rsidP="00522824">
      <w:pPr>
        <w:pStyle w:val="BNAME"/>
        <w:bidi w:val="0"/>
        <w:spacing w:before="0" w:after="120" w:line="340" w:lineRule="exact"/>
        <w:outlineLvl w:val="1"/>
        <w:rPr>
          <w:rFonts w:ascii="Swis721 BT" w:hAnsi="Swis721 BT"/>
          <w:b w:val="0"/>
          <w:bCs w:val="0"/>
          <w:sz w:val="24"/>
          <w:szCs w:val="26"/>
          <w:rtl/>
        </w:rPr>
      </w:pPr>
    </w:p>
    <w:p w14:paraId="19CE0B19" w14:textId="65387D61" w:rsidR="0089386D" w:rsidRPr="000F5CAE" w:rsidRDefault="00083814" w:rsidP="00D40378">
      <w:pPr>
        <w:bidi w:val="0"/>
        <w:spacing w:before="5040" w:line="240" w:lineRule="atLeast"/>
        <w:jc w:val="right"/>
        <w:rPr>
          <w:rFonts w:ascii="Georgia" w:hAnsi="Georgia"/>
          <w:b/>
          <w:bCs/>
          <w:sz w:val="20"/>
          <w:rtl/>
        </w:rPr>
      </w:pPr>
      <w:r w:rsidRPr="000F5CAE">
        <w:rPr>
          <w:rFonts w:ascii="Georgia" w:hAnsi="Georgia"/>
          <w:b/>
          <w:bCs/>
          <w:noProof/>
          <w:sz w:val="20"/>
        </w:rPr>
        <w:drawing>
          <wp:inline distT="0" distB="0" distL="0" distR="0" wp14:anchorId="5E69969D" wp14:editId="13C3F043">
            <wp:extent cx="638175" cy="638175"/>
            <wp:effectExtent l="0" t="0" r="9525" b="9525"/>
            <wp:docPr id="1" name="תמונה 1" descr="bl-logo-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logo-pl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p w14:paraId="108C9035" w14:textId="77777777" w:rsidR="0089386D" w:rsidRPr="000F5CAE" w:rsidRDefault="0089386D" w:rsidP="0089386D">
      <w:pPr>
        <w:pStyle w:val="BNAME"/>
        <w:bidi w:val="0"/>
        <w:spacing w:before="0" w:after="120" w:line="240" w:lineRule="exact"/>
        <w:jc w:val="right"/>
        <w:rPr>
          <w:rFonts w:ascii="Georgia" w:hAnsi="Georgia" w:cs="Times New Roman"/>
          <w:b w:val="0"/>
          <w:bCs w:val="0"/>
          <w:sz w:val="18"/>
          <w:szCs w:val="18"/>
        </w:rPr>
      </w:pPr>
      <w:r w:rsidRPr="000F5CAE">
        <w:rPr>
          <w:rFonts w:ascii="Georgia" w:hAnsi="Georgia" w:cs="Times New Roman"/>
          <w:b w:val="0"/>
          <w:bCs w:val="0"/>
          <w:sz w:val="18"/>
          <w:szCs w:val="18"/>
        </w:rPr>
        <w:t>Published by</w:t>
      </w:r>
    </w:p>
    <w:p w14:paraId="7B84F7B9" w14:textId="77777777" w:rsidR="0089386D" w:rsidRPr="000F5CAE" w:rsidRDefault="0089386D" w:rsidP="00B30C16">
      <w:pPr>
        <w:pStyle w:val="BNAME"/>
        <w:bidi w:val="0"/>
        <w:spacing w:before="0" w:after="240" w:line="240" w:lineRule="exact"/>
        <w:jc w:val="right"/>
        <w:rPr>
          <w:rFonts w:ascii="Georgia" w:hAnsi="Georgia" w:cs="Times New Roman"/>
          <w:b w:val="0"/>
          <w:bCs w:val="0"/>
          <w:sz w:val="18"/>
          <w:szCs w:val="18"/>
        </w:rPr>
      </w:pPr>
      <w:r w:rsidRPr="000F5CAE">
        <w:rPr>
          <w:rFonts w:ascii="Georgia" w:hAnsi="Georgia" w:cs="Times New Roman"/>
          <w:b w:val="0"/>
          <w:bCs w:val="0"/>
          <w:sz w:val="18"/>
          <w:szCs w:val="18"/>
        </w:rPr>
        <w:t>THE NATIONAL INSURANCE INSTITUTE OF ISRAEL</w:t>
      </w:r>
    </w:p>
    <w:p w14:paraId="3720766F" w14:textId="614598C8" w:rsidR="006D3934" w:rsidRPr="00693F09" w:rsidRDefault="00D40378" w:rsidP="008F67D2">
      <w:pPr>
        <w:pStyle w:val="BNAME"/>
        <w:bidi w:val="0"/>
        <w:spacing w:before="0" w:after="120" w:line="240" w:lineRule="exact"/>
        <w:jc w:val="right"/>
        <w:rPr>
          <w:rFonts w:ascii="Tahoma" w:hAnsi="Tahoma" w:cs="Tahoma"/>
          <w:b w:val="0"/>
          <w:bCs w:val="0"/>
          <w:sz w:val="18"/>
          <w:szCs w:val="18"/>
        </w:rPr>
      </w:pPr>
      <w:r>
        <w:rPr>
          <w:rFonts w:ascii="Tahoma" w:hAnsi="Tahoma" w:cs="Tahoma"/>
          <w:b w:val="0"/>
          <w:bCs w:val="0"/>
          <w:sz w:val="18"/>
          <w:szCs w:val="18"/>
        </w:rPr>
        <w:t>March</w:t>
      </w:r>
      <w:r w:rsidR="00087AA7" w:rsidRPr="00087AA7">
        <w:rPr>
          <w:rFonts w:ascii="Tahoma" w:hAnsi="Tahoma" w:cs="Tahoma"/>
          <w:b w:val="0"/>
          <w:bCs w:val="0"/>
          <w:sz w:val="18"/>
          <w:szCs w:val="18"/>
        </w:rPr>
        <w:t xml:space="preserve"> </w:t>
      </w:r>
      <w:r w:rsidR="006D3934" w:rsidRPr="00693F09">
        <w:rPr>
          <w:rFonts w:ascii="Tahoma" w:hAnsi="Tahoma" w:cs="Tahoma"/>
          <w:b w:val="0"/>
          <w:bCs w:val="0"/>
          <w:sz w:val="18"/>
          <w:szCs w:val="18"/>
        </w:rPr>
        <w:t>20</w:t>
      </w:r>
      <w:r w:rsidR="000D35C8" w:rsidRPr="00693F09">
        <w:rPr>
          <w:rFonts w:ascii="Tahoma" w:hAnsi="Tahoma" w:cs="Tahoma"/>
          <w:b w:val="0"/>
          <w:bCs w:val="0"/>
          <w:sz w:val="18"/>
          <w:szCs w:val="18"/>
        </w:rPr>
        <w:t>2</w:t>
      </w:r>
      <w:r>
        <w:rPr>
          <w:rFonts w:ascii="Tahoma" w:hAnsi="Tahoma" w:cs="Tahoma"/>
          <w:b w:val="0"/>
          <w:bCs w:val="0"/>
          <w:sz w:val="18"/>
          <w:szCs w:val="18"/>
        </w:rPr>
        <w:t>3</w:t>
      </w:r>
    </w:p>
    <w:p w14:paraId="736C4E79" w14:textId="7FE9E275" w:rsidR="006D3934" w:rsidRPr="00693F09" w:rsidRDefault="006D3934" w:rsidP="008F67D2">
      <w:pPr>
        <w:pStyle w:val="BNAME"/>
        <w:bidi w:val="0"/>
        <w:spacing w:before="0" w:line="240" w:lineRule="exact"/>
        <w:jc w:val="right"/>
        <w:rPr>
          <w:rFonts w:ascii="Tahoma" w:hAnsi="Tahoma" w:cs="Tahoma"/>
          <w:b w:val="0"/>
          <w:bCs w:val="0"/>
          <w:sz w:val="18"/>
          <w:szCs w:val="18"/>
        </w:rPr>
      </w:pPr>
      <w:r w:rsidRPr="00693F09">
        <w:rPr>
          <w:rFonts w:ascii="Tahoma" w:hAnsi="Tahoma" w:cs="Tahoma"/>
          <w:b w:val="0"/>
          <w:bCs w:val="0"/>
          <w:sz w:val="18"/>
          <w:szCs w:val="18"/>
        </w:rPr>
        <w:t xml:space="preserve">No. </w:t>
      </w:r>
      <w:r w:rsidR="00C25AE4" w:rsidRPr="00693F09">
        <w:rPr>
          <w:rFonts w:ascii="Tahoma" w:hAnsi="Tahoma" w:cs="Tahoma"/>
          <w:b w:val="0"/>
          <w:bCs w:val="0"/>
          <w:sz w:val="18"/>
          <w:szCs w:val="18"/>
        </w:rPr>
        <w:t>11</w:t>
      </w:r>
      <w:r w:rsidR="00D40378">
        <w:rPr>
          <w:rFonts w:ascii="Tahoma" w:hAnsi="Tahoma" w:cs="Tahoma"/>
          <w:b w:val="0"/>
          <w:bCs w:val="0"/>
          <w:sz w:val="18"/>
          <w:szCs w:val="18"/>
        </w:rPr>
        <w:t>9</w:t>
      </w:r>
    </w:p>
    <w:p w14:paraId="1D0B631B" w14:textId="0F19F58F" w:rsidR="003B0CA1" w:rsidRPr="000F5CAE" w:rsidRDefault="003B0CA1">
      <w:pPr>
        <w:bidi w:val="0"/>
        <w:spacing w:line="240" w:lineRule="auto"/>
        <w:rPr>
          <w:rFonts w:ascii="Georgia" w:hAnsi="Georgia" w:cs="Times New Roman"/>
          <w:sz w:val="18"/>
          <w:szCs w:val="18"/>
        </w:rPr>
      </w:pPr>
      <w:r w:rsidRPr="000F5CAE">
        <w:rPr>
          <w:rFonts w:ascii="Georgia" w:hAnsi="Georgia" w:cs="Times New Roman"/>
          <w:b/>
          <w:bCs/>
          <w:sz w:val="18"/>
          <w:szCs w:val="18"/>
        </w:rPr>
        <w:br w:type="page"/>
      </w:r>
    </w:p>
    <w:p w14:paraId="71EE3A66" w14:textId="77777777" w:rsidR="00E202C2" w:rsidRPr="000F5CAE" w:rsidRDefault="00E202C2" w:rsidP="00165447">
      <w:pPr>
        <w:pStyle w:val="BNAME"/>
        <w:bidi w:val="0"/>
        <w:spacing w:before="0" w:after="120" w:line="240" w:lineRule="exact"/>
        <w:ind w:right="3600"/>
        <w:jc w:val="left"/>
        <w:rPr>
          <w:rFonts w:ascii="Georgia" w:hAnsi="Georgia" w:cs="Times New Roman"/>
          <w:b w:val="0"/>
          <w:bCs w:val="0"/>
          <w:sz w:val="18"/>
          <w:szCs w:val="18"/>
        </w:rPr>
      </w:pPr>
    </w:p>
    <w:p w14:paraId="58E5D30E" w14:textId="77777777" w:rsidR="0089386D" w:rsidRPr="000F5CAE" w:rsidRDefault="0089386D" w:rsidP="004E0BE3">
      <w:pPr>
        <w:pStyle w:val="BNAME"/>
        <w:bidi w:val="0"/>
        <w:spacing w:before="5760" w:after="120" w:line="240" w:lineRule="exact"/>
        <w:ind w:right="3600"/>
        <w:jc w:val="left"/>
        <w:rPr>
          <w:rFonts w:ascii="Georgia" w:hAnsi="Georgia" w:cs="Times New Roman"/>
          <w:b w:val="0"/>
          <w:bCs w:val="0"/>
          <w:sz w:val="18"/>
          <w:szCs w:val="18"/>
        </w:rPr>
      </w:pPr>
      <w:r w:rsidRPr="000F5CAE">
        <w:rPr>
          <w:rFonts w:ascii="Georgia" w:hAnsi="Georgia" w:cs="Times New Roman"/>
          <w:b w:val="0"/>
          <w:bCs w:val="0"/>
          <w:sz w:val="18"/>
          <w:szCs w:val="18"/>
        </w:rPr>
        <w:t>EDITORIAL BOARD</w:t>
      </w:r>
    </w:p>
    <w:p w14:paraId="03DEAE89" w14:textId="77777777" w:rsidR="0089386D" w:rsidRPr="000F5CAE" w:rsidRDefault="0089386D" w:rsidP="0089386D">
      <w:pPr>
        <w:pStyle w:val="BNAME"/>
        <w:bidi w:val="0"/>
        <w:spacing w:before="0" w:line="200" w:lineRule="exact"/>
        <w:ind w:right="2550"/>
        <w:jc w:val="left"/>
        <w:rPr>
          <w:rFonts w:ascii="Georgia" w:hAnsi="Georgia" w:cs="Times New Roman"/>
          <w:b w:val="0"/>
          <w:bCs w:val="0"/>
          <w:sz w:val="18"/>
          <w:szCs w:val="18"/>
          <w:rtl/>
          <w:lang w:val="en-GB"/>
        </w:rPr>
      </w:pPr>
    </w:p>
    <w:p w14:paraId="10DA6735" w14:textId="77777777" w:rsidR="0089386D" w:rsidRPr="000F5CAE" w:rsidRDefault="00213A15" w:rsidP="000F5CAE">
      <w:pPr>
        <w:pStyle w:val="BNAME"/>
        <w:bidi w:val="0"/>
        <w:spacing w:before="0" w:line="200" w:lineRule="exact"/>
        <w:jc w:val="left"/>
        <w:rPr>
          <w:rFonts w:ascii="Georgia" w:hAnsi="Georgia" w:cs="Times New Roman"/>
          <w:b w:val="0"/>
          <w:bCs w:val="0"/>
          <w:sz w:val="18"/>
          <w:szCs w:val="18"/>
        </w:rPr>
      </w:pPr>
      <w:r w:rsidRPr="000F5CAE">
        <w:rPr>
          <w:rFonts w:ascii="Georgia" w:hAnsi="Georgia" w:cs="Times New Roman"/>
          <w:b w:val="0"/>
          <w:bCs w:val="0"/>
          <w:sz w:val="18"/>
          <w:szCs w:val="18"/>
        </w:rPr>
        <w:t>Israel (</w:t>
      </w:r>
      <w:proofErr w:type="spellStart"/>
      <w:r w:rsidRPr="000F5CAE">
        <w:rPr>
          <w:rFonts w:ascii="Georgia" w:hAnsi="Georgia" w:cs="Times New Roman"/>
          <w:b w:val="0"/>
          <w:bCs w:val="0"/>
          <w:sz w:val="18"/>
          <w:szCs w:val="18"/>
        </w:rPr>
        <w:t>Issi</w:t>
      </w:r>
      <w:proofErr w:type="spellEnd"/>
      <w:r w:rsidRPr="000F5CAE">
        <w:rPr>
          <w:rFonts w:ascii="Georgia" w:hAnsi="Georgia" w:cs="Times New Roman"/>
          <w:b w:val="0"/>
          <w:bCs w:val="0"/>
          <w:sz w:val="18"/>
          <w:szCs w:val="18"/>
        </w:rPr>
        <w:t>) Doron</w:t>
      </w:r>
      <w:r w:rsidR="0089386D" w:rsidRPr="000F5CAE">
        <w:rPr>
          <w:rFonts w:ascii="Georgia" w:hAnsi="Georgia" w:cs="Times New Roman"/>
          <w:b w:val="0"/>
          <w:bCs w:val="0"/>
          <w:sz w:val="18"/>
          <w:szCs w:val="18"/>
        </w:rPr>
        <w:t xml:space="preserve">, </w:t>
      </w:r>
      <w:r w:rsidR="0089386D" w:rsidRPr="000F5CAE">
        <w:rPr>
          <w:rFonts w:ascii="Georgia" w:hAnsi="Georgia" w:cs="Times New Roman"/>
          <w:b w:val="0"/>
          <w:bCs w:val="0"/>
          <w:i/>
          <w:iCs/>
          <w:sz w:val="18"/>
          <w:szCs w:val="18"/>
        </w:rPr>
        <w:t>Editor in ch</w:t>
      </w:r>
      <w:r w:rsidR="00B7129D" w:rsidRPr="000F5CAE">
        <w:rPr>
          <w:rFonts w:ascii="Georgia" w:hAnsi="Georgia" w:cs="Times New Roman"/>
          <w:b w:val="0"/>
          <w:bCs w:val="0"/>
          <w:i/>
          <w:iCs/>
          <w:sz w:val="18"/>
          <w:szCs w:val="18"/>
        </w:rPr>
        <w:t>i</w:t>
      </w:r>
      <w:r w:rsidR="0089386D" w:rsidRPr="000F5CAE">
        <w:rPr>
          <w:rFonts w:ascii="Georgia" w:hAnsi="Georgia" w:cs="Times New Roman"/>
          <w:b w:val="0"/>
          <w:bCs w:val="0"/>
          <w:i/>
          <w:iCs/>
          <w:sz w:val="18"/>
          <w:szCs w:val="18"/>
        </w:rPr>
        <w:t>ef</w:t>
      </w:r>
    </w:p>
    <w:p w14:paraId="25B620E4" w14:textId="6DFA9F85" w:rsidR="0089386D" w:rsidRPr="000F5CAE" w:rsidRDefault="003A0180" w:rsidP="000F5CAE">
      <w:pPr>
        <w:pStyle w:val="BNAME"/>
        <w:bidi w:val="0"/>
        <w:spacing w:before="0" w:line="200" w:lineRule="exact"/>
        <w:jc w:val="left"/>
        <w:rPr>
          <w:rFonts w:ascii="Georgia" w:hAnsi="Georgia" w:cs="Times New Roman"/>
          <w:b w:val="0"/>
          <w:bCs w:val="0"/>
          <w:sz w:val="18"/>
          <w:szCs w:val="18"/>
        </w:rPr>
      </w:pPr>
      <w:proofErr w:type="spellStart"/>
      <w:r w:rsidRPr="000F5CAE">
        <w:rPr>
          <w:rFonts w:ascii="Georgia" w:hAnsi="Georgia" w:cs="Times New Roman"/>
          <w:b w:val="0"/>
          <w:bCs w:val="0"/>
          <w:sz w:val="18"/>
          <w:szCs w:val="18"/>
        </w:rPr>
        <w:t>Nitsa</w:t>
      </w:r>
      <w:proofErr w:type="spellEnd"/>
      <w:r w:rsidRPr="000F5CAE">
        <w:rPr>
          <w:rFonts w:ascii="Georgia" w:hAnsi="Georgia" w:cs="Times New Roman"/>
          <w:b w:val="0"/>
          <w:bCs w:val="0"/>
          <w:sz w:val="18"/>
          <w:szCs w:val="18"/>
        </w:rPr>
        <w:t xml:space="preserve"> (</w:t>
      </w:r>
      <w:proofErr w:type="spellStart"/>
      <w:r w:rsidRPr="000F5CAE">
        <w:rPr>
          <w:rFonts w:ascii="Georgia" w:hAnsi="Georgia" w:cs="Times New Roman"/>
          <w:b w:val="0"/>
          <w:bCs w:val="0"/>
          <w:sz w:val="18"/>
          <w:szCs w:val="18"/>
        </w:rPr>
        <w:t>Kaliner</w:t>
      </w:r>
      <w:proofErr w:type="spellEnd"/>
      <w:r w:rsidRPr="000F5CAE">
        <w:rPr>
          <w:rFonts w:ascii="Georgia" w:hAnsi="Georgia" w:cs="Times New Roman"/>
          <w:b w:val="0"/>
          <w:bCs w:val="0"/>
          <w:sz w:val="18"/>
          <w:szCs w:val="18"/>
        </w:rPr>
        <w:t xml:space="preserve">) </w:t>
      </w:r>
      <w:proofErr w:type="spellStart"/>
      <w:r w:rsidRPr="000F5CAE">
        <w:rPr>
          <w:rFonts w:ascii="Georgia" w:hAnsi="Georgia" w:cs="Times New Roman"/>
          <w:b w:val="0"/>
          <w:bCs w:val="0"/>
          <w:sz w:val="18"/>
          <w:szCs w:val="18"/>
        </w:rPr>
        <w:t>Kasir</w:t>
      </w:r>
      <w:proofErr w:type="spellEnd"/>
      <w:r w:rsidR="0089386D" w:rsidRPr="000F5CAE">
        <w:rPr>
          <w:rFonts w:ascii="Georgia" w:hAnsi="Georgia" w:cs="Times New Roman"/>
          <w:b w:val="0"/>
          <w:bCs w:val="0"/>
          <w:sz w:val="18"/>
          <w:szCs w:val="18"/>
        </w:rPr>
        <w:t xml:space="preserve">, </w:t>
      </w:r>
      <w:r w:rsidR="0089386D" w:rsidRPr="000F5CAE">
        <w:rPr>
          <w:rFonts w:ascii="Georgia" w:hAnsi="Georgia" w:cs="Times New Roman"/>
          <w:b w:val="0"/>
          <w:bCs w:val="0"/>
          <w:i/>
          <w:iCs/>
          <w:sz w:val="18"/>
          <w:szCs w:val="18"/>
        </w:rPr>
        <w:t>Chairman</w:t>
      </w:r>
    </w:p>
    <w:p w14:paraId="57188CFD" w14:textId="77777777" w:rsidR="00083814" w:rsidRPr="000F5CAE" w:rsidRDefault="00083814" w:rsidP="000F5CAE">
      <w:pPr>
        <w:pStyle w:val="BNAME"/>
        <w:bidi w:val="0"/>
        <w:spacing w:before="0" w:line="200" w:lineRule="exact"/>
        <w:jc w:val="left"/>
        <w:rPr>
          <w:rFonts w:ascii="Georgia" w:hAnsi="Georgia" w:cs="Times New Roman"/>
          <w:b w:val="0"/>
          <w:bCs w:val="0"/>
          <w:sz w:val="18"/>
          <w:szCs w:val="18"/>
        </w:rPr>
      </w:pPr>
      <w:r w:rsidRPr="000F5CAE">
        <w:rPr>
          <w:rFonts w:ascii="Georgia" w:hAnsi="Georgia" w:cs="Times New Roman"/>
          <w:b w:val="0"/>
          <w:bCs w:val="0"/>
          <w:sz w:val="18"/>
          <w:szCs w:val="18"/>
        </w:rPr>
        <w:t>Suliman Abu Bader</w:t>
      </w:r>
    </w:p>
    <w:p w14:paraId="63E5AEA8" w14:textId="77777777" w:rsidR="0089386D" w:rsidRPr="000F5CAE" w:rsidRDefault="0089386D" w:rsidP="000F5CAE">
      <w:pPr>
        <w:pStyle w:val="BNAME"/>
        <w:bidi w:val="0"/>
        <w:spacing w:before="0" w:line="200" w:lineRule="exact"/>
        <w:jc w:val="left"/>
        <w:rPr>
          <w:rFonts w:ascii="Georgia" w:hAnsi="Georgia" w:cs="Times New Roman"/>
          <w:b w:val="0"/>
          <w:bCs w:val="0"/>
          <w:sz w:val="18"/>
          <w:szCs w:val="18"/>
          <w:lang w:val="fr-CH"/>
        </w:rPr>
      </w:pPr>
      <w:r w:rsidRPr="000F5CAE">
        <w:rPr>
          <w:rFonts w:ascii="Georgia" w:hAnsi="Georgia" w:cs="Times New Roman"/>
          <w:b w:val="0"/>
          <w:bCs w:val="0"/>
          <w:sz w:val="18"/>
          <w:szCs w:val="18"/>
          <w:lang w:val="fr-CH"/>
        </w:rPr>
        <w:t xml:space="preserve">Leah </w:t>
      </w:r>
      <w:proofErr w:type="spellStart"/>
      <w:r w:rsidRPr="000F5CAE">
        <w:rPr>
          <w:rFonts w:ascii="Georgia" w:hAnsi="Georgia" w:cs="Times New Roman"/>
          <w:b w:val="0"/>
          <w:bCs w:val="0"/>
          <w:sz w:val="18"/>
          <w:szCs w:val="18"/>
          <w:lang w:val="fr-CH"/>
        </w:rPr>
        <w:t>Achdut</w:t>
      </w:r>
      <w:proofErr w:type="spellEnd"/>
    </w:p>
    <w:p w14:paraId="7D6A60AF" w14:textId="77777777" w:rsidR="00213A15" w:rsidRPr="000F5CAE" w:rsidRDefault="00213A15" w:rsidP="000F5CAE">
      <w:pPr>
        <w:pStyle w:val="BNAME"/>
        <w:bidi w:val="0"/>
        <w:spacing w:before="0" w:line="200" w:lineRule="exact"/>
        <w:jc w:val="left"/>
        <w:rPr>
          <w:rFonts w:ascii="Georgia" w:hAnsi="Georgia" w:cs="Times New Roman"/>
          <w:b w:val="0"/>
          <w:bCs w:val="0"/>
          <w:sz w:val="18"/>
          <w:szCs w:val="18"/>
          <w:lang w:val="fr-CH"/>
        </w:rPr>
      </w:pPr>
      <w:r w:rsidRPr="000F5CAE">
        <w:rPr>
          <w:rFonts w:ascii="Georgia" w:hAnsi="Georgia" w:cs="Times New Roman"/>
          <w:b w:val="0"/>
          <w:bCs w:val="0"/>
          <w:sz w:val="18"/>
          <w:szCs w:val="18"/>
          <w:lang w:val="fr-CH"/>
        </w:rPr>
        <w:t>Jon Anson</w:t>
      </w:r>
    </w:p>
    <w:p w14:paraId="750C0ADD" w14:textId="77777777" w:rsidR="00083814" w:rsidRPr="000F5CAE" w:rsidRDefault="00083814" w:rsidP="000F5CAE">
      <w:pPr>
        <w:pStyle w:val="BNAME"/>
        <w:bidi w:val="0"/>
        <w:spacing w:before="0" w:line="200" w:lineRule="exact"/>
        <w:jc w:val="left"/>
        <w:rPr>
          <w:rFonts w:ascii="Georgia" w:hAnsi="Georgia" w:cs="Times New Roman"/>
          <w:b w:val="0"/>
          <w:bCs w:val="0"/>
          <w:sz w:val="18"/>
          <w:szCs w:val="18"/>
          <w:lang w:val="fr-CH"/>
        </w:rPr>
      </w:pPr>
      <w:proofErr w:type="spellStart"/>
      <w:r w:rsidRPr="000F5CAE">
        <w:rPr>
          <w:rFonts w:ascii="Georgia" w:hAnsi="Georgia" w:cs="Times New Roman"/>
          <w:b w:val="0"/>
          <w:bCs w:val="0"/>
          <w:sz w:val="18"/>
          <w:szCs w:val="18"/>
          <w:lang w:val="fr-CH"/>
        </w:rPr>
        <w:t>Liat</w:t>
      </w:r>
      <w:proofErr w:type="spellEnd"/>
      <w:r w:rsidRPr="000F5CAE">
        <w:rPr>
          <w:rFonts w:ascii="Georgia" w:hAnsi="Georgia" w:cs="Times New Roman"/>
          <w:b w:val="0"/>
          <w:bCs w:val="0"/>
          <w:sz w:val="18"/>
          <w:szCs w:val="18"/>
          <w:lang w:val="fr-CH"/>
        </w:rPr>
        <w:t xml:space="preserve"> </w:t>
      </w:r>
      <w:proofErr w:type="spellStart"/>
      <w:r w:rsidRPr="000F5CAE">
        <w:rPr>
          <w:rFonts w:ascii="Georgia" w:hAnsi="Georgia" w:cs="Times New Roman"/>
          <w:b w:val="0"/>
          <w:bCs w:val="0"/>
          <w:sz w:val="18"/>
          <w:szCs w:val="18"/>
          <w:lang w:val="fr-CH"/>
        </w:rPr>
        <w:t>Ayalon</w:t>
      </w:r>
      <w:proofErr w:type="spellEnd"/>
    </w:p>
    <w:p w14:paraId="6A09B2B3" w14:textId="77777777" w:rsidR="0089386D" w:rsidRPr="000F5CAE" w:rsidRDefault="0089386D" w:rsidP="000F5CAE">
      <w:pPr>
        <w:pStyle w:val="BNAME"/>
        <w:bidi w:val="0"/>
        <w:spacing w:before="0" w:line="200" w:lineRule="exact"/>
        <w:jc w:val="left"/>
        <w:rPr>
          <w:rFonts w:ascii="Georgia" w:hAnsi="Georgia" w:cs="Times New Roman"/>
          <w:b w:val="0"/>
          <w:bCs w:val="0"/>
          <w:sz w:val="18"/>
          <w:szCs w:val="18"/>
          <w:rtl/>
        </w:rPr>
      </w:pPr>
      <w:r w:rsidRPr="000F5CAE">
        <w:rPr>
          <w:rFonts w:ascii="Georgia" w:hAnsi="Georgia" w:cs="Times New Roman"/>
          <w:b w:val="0"/>
          <w:bCs w:val="0"/>
          <w:sz w:val="18"/>
          <w:szCs w:val="18"/>
          <w:lang w:val="fr-CH"/>
        </w:rPr>
        <w:t>Orly Benjamin</w:t>
      </w:r>
    </w:p>
    <w:p w14:paraId="111964F5" w14:textId="77777777" w:rsidR="0089386D" w:rsidRPr="000F5CAE" w:rsidRDefault="0089386D" w:rsidP="000F5CAE">
      <w:pPr>
        <w:pStyle w:val="BNAME"/>
        <w:bidi w:val="0"/>
        <w:spacing w:before="0" w:line="200" w:lineRule="exact"/>
        <w:jc w:val="left"/>
        <w:rPr>
          <w:rFonts w:ascii="Georgia" w:hAnsi="Georgia" w:cs="Times New Roman"/>
          <w:b w:val="0"/>
          <w:bCs w:val="0"/>
          <w:sz w:val="18"/>
          <w:szCs w:val="18"/>
          <w:lang w:val="fr-CH"/>
        </w:rPr>
      </w:pPr>
      <w:r w:rsidRPr="000F5CAE">
        <w:rPr>
          <w:rFonts w:ascii="Georgia" w:hAnsi="Georgia" w:cs="Times New Roman"/>
          <w:b w:val="0"/>
          <w:bCs w:val="0"/>
          <w:sz w:val="18"/>
          <w:szCs w:val="18"/>
          <w:lang w:val="fr-CH"/>
        </w:rPr>
        <w:t>Nissim Cohen</w:t>
      </w:r>
    </w:p>
    <w:p w14:paraId="1642BC03" w14:textId="77777777" w:rsidR="0089386D" w:rsidRPr="000F5CAE" w:rsidRDefault="0089386D" w:rsidP="000F5CAE">
      <w:pPr>
        <w:pStyle w:val="BNAME"/>
        <w:bidi w:val="0"/>
        <w:spacing w:before="0" w:line="200" w:lineRule="exact"/>
        <w:jc w:val="left"/>
        <w:rPr>
          <w:rFonts w:ascii="Georgia" w:hAnsi="Georgia" w:cs="Times New Roman"/>
          <w:b w:val="0"/>
          <w:bCs w:val="0"/>
          <w:sz w:val="18"/>
          <w:szCs w:val="18"/>
          <w:lang w:val="fr-FR"/>
        </w:rPr>
      </w:pPr>
      <w:r w:rsidRPr="000F5CAE">
        <w:rPr>
          <w:rFonts w:ascii="Georgia" w:hAnsi="Georgia" w:cs="Times New Roman"/>
          <w:b w:val="0"/>
          <w:bCs w:val="0"/>
          <w:sz w:val="18"/>
          <w:szCs w:val="18"/>
          <w:lang w:val="fr-FR"/>
        </w:rPr>
        <w:t>Sylvie Fogiel-</w:t>
      </w:r>
      <w:proofErr w:type="spellStart"/>
      <w:r w:rsidRPr="000F5CAE">
        <w:rPr>
          <w:rFonts w:ascii="Georgia" w:hAnsi="Georgia" w:cs="Times New Roman"/>
          <w:b w:val="0"/>
          <w:bCs w:val="0"/>
          <w:sz w:val="18"/>
          <w:szCs w:val="18"/>
          <w:lang w:val="fr-FR"/>
        </w:rPr>
        <w:t>Bijaoui</w:t>
      </w:r>
      <w:proofErr w:type="spellEnd"/>
    </w:p>
    <w:p w14:paraId="19336AA0" w14:textId="77777777" w:rsidR="0089386D" w:rsidRPr="000F5CAE" w:rsidRDefault="0089386D" w:rsidP="000F5CAE">
      <w:pPr>
        <w:pStyle w:val="BNAME"/>
        <w:bidi w:val="0"/>
        <w:spacing w:before="0" w:line="200" w:lineRule="exact"/>
        <w:jc w:val="left"/>
        <w:rPr>
          <w:rFonts w:ascii="Georgia" w:hAnsi="Georgia" w:cs="Times New Roman"/>
          <w:b w:val="0"/>
          <w:bCs w:val="0"/>
          <w:sz w:val="18"/>
          <w:szCs w:val="18"/>
        </w:rPr>
      </w:pPr>
      <w:r w:rsidRPr="000F5CAE">
        <w:rPr>
          <w:rFonts w:ascii="Georgia" w:hAnsi="Georgia" w:cs="Times New Roman"/>
          <w:b w:val="0"/>
          <w:bCs w:val="0"/>
          <w:sz w:val="18"/>
          <w:szCs w:val="18"/>
        </w:rPr>
        <w:t>John Gal</w:t>
      </w:r>
    </w:p>
    <w:p w14:paraId="648E440E" w14:textId="77777777" w:rsidR="0089386D" w:rsidRPr="000F5CAE" w:rsidRDefault="0089386D" w:rsidP="000F5CAE">
      <w:pPr>
        <w:pStyle w:val="BNAME"/>
        <w:bidi w:val="0"/>
        <w:spacing w:before="0" w:line="200" w:lineRule="exact"/>
        <w:jc w:val="left"/>
        <w:rPr>
          <w:rFonts w:ascii="Georgia" w:hAnsi="Georgia" w:cs="Times New Roman"/>
          <w:b w:val="0"/>
          <w:bCs w:val="0"/>
          <w:sz w:val="18"/>
          <w:szCs w:val="18"/>
        </w:rPr>
      </w:pPr>
      <w:proofErr w:type="spellStart"/>
      <w:r w:rsidRPr="000F5CAE">
        <w:rPr>
          <w:rFonts w:ascii="Georgia" w:hAnsi="Georgia" w:cs="Times New Roman"/>
          <w:b w:val="0"/>
          <w:bCs w:val="0"/>
          <w:sz w:val="18"/>
          <w:szCs w:val="18"/>
        </w:rPr>
        <w:t>Jochanan</w:t>
      </w:r>
      <w:proofErr w:type="spellEnd"/>
      <w:r w:rsidRPr="000F5CAE">
        <w:rPr>
          <w:rFonts w:ascii="Georgia" w:hAnsi="Georgia" w:cs="Times New Roman"/>
          <w:b w:val="0"/>
          <w:bCs w:val="0"/>
          <w:sz w:val="18"/>
          <w:szCs w:val="18"/>
        </w:rPr>
        <w:t xml:space="preserve"> </w:t>
      </w:r>
      <w:proofErr w:type="spellStart"/>
      <w:r w:rsidRPr="000F5CAE">
        <w:rPr>
          <w:rFonts w:ascii="Georgia" w:hAnsi="Georgia" w:cs="Times New Roman"/>
          <w:b w:val="0"/>
          <w:bCs w:val="0"/>
          <w:sz w:val="18"/>
          <w:szCs w:val="18"/>
        </w:rPr>
        <w:t>Stessman</w:t>
      </w:r>
      <w:proofErr w:type="spellEnd"/>
    </w:p>
    <w:p w14:paraId="40D5B550" w14:textId="77777777" w:rsidR="00681365" w:rsidRPr="000F5CAE" w:rsidRDefault="00681365" w:rsidP="000F5CAE">
      <w:pPr>
        <w:pStyle w:val="BNAME"/>
        <w:bidi w:val="0"/>
        <w:spacing w:before="0" w:line="200" w:lineRule="exact"/>
        <w:jc w:val="left"/>
        <w:rPr>
          <w:rFonts w:ascii="Georgia" w:hAnsi="Georgia" w:cs="Times New Roman"/>
          <w:b w:val="0"/>
          <w:bCs w:val="0"/>
          <w:sz w:val="18"/>
          <w:szCs w:val="18"/>
        </w:rPr>
      </w:pPr>
      <w:proofErr w:type="spellStart"/>
      <w:r w:rsidRPr="000F5CAE">
        <w:rPr>
          <w:rFonts w:ascii="Georgia" w:hAnsi="Georgia" w:cs="Times New Roman"/>
          <w:b w:val="0"/>
          <w:bCs w:val="0"/>
          <w:sz w:val="18"/>
          <w:szCs w:val="18"/>
        </w:rPr>
        <w:t>Aviad</w:t>
      </w:r>
      <w:proofErr w:type="spellEnd"/>
      <w:r w:rsidRPr="000F5CAE">
        <w:rPr>
          <w:rFonts w:ascii="Georgia" w:hAnsi="Georgia" w:cs="Times New Roman"/>
          <w:b w:val="0"/>
          <w:bCs w:val="0"/>
          <w:sz w:val="18"/>
          <w:szCs w:val="18"/>
        </w:rPr>
        <w:t xml:space="preserve"> Tur-Sinai</w:t>
      </w:r>
    </w:p>
    <w:p w14:paraId="61998AF0" w14:textId="77777777" w:rsidR="0089386D" w:rsidRPr="000F5CAE" w:rsidRDefault="0089386D" w:rsidP="000F5CAE">
      <w:pPr>
        <w:pStyle w:val="BNAME"/>
        <w:bidi w:val="0"/>
        <w:spacing w:before="0" w:line="240" w:lineRule="exact"/>
        <w:jc w:val="left"/>
        <w:rPr>
          <w:rFonts w:ascii="Georgia" w:hAnsi="Georgia" w:cs="Times New Roman"/>
          <w:b w:val="0"/>
          <w:bCs w:val="0"/>
          <w:sz w:val="18"/>
          <w:szCs w:val="18"/>
        </w:rPr>
      </w:pPr>
    </w:p>
    <w:p w14:paraId="5A7400F6" w14:textId="77777777" w:rsidR="0089386D" w:rsidRPr="000F5CAE" w:rsidRDefault="0089386D" w:rsidP="000F5CAE">
      <w:pPr>
        <w:pStyle w:val="BNAME"/>
        <w:bidi w:val="0"/>
        <w:spacing w:before="0" w:line="240" w:lineRule="exact"/>
        <w:jc w:val="left"/>
        <w:rPr>
          <w:rFonts w:ascii="Georgia" w:hAnsi="Georgia" w:cs="Times New Roman"/>
          <w:b w:val="0"/>
          <w:bCs w:val="0"/>
          <w:sz w:val="18"/>
          <w:szCs w:val="18"/>
        </w:rPr>
      </w:pPr>
      <w:r w:rsidRPr="000F5CAE">
        <w:rPr>
          <w:rFonts w:ascii="Georgia" w:hAnsi="Georgia" w:cs="Times New Roman"/>
          <w:b w:val="0"/>
          <w:bCs w:val="0"/>
          <w:i/>
          <w:iCs/>
          <w:sz w:val="18"/>
          <w:szCs w:val="18"/>
        </w:rPr>
        <w:t>Managing Editor:</w:t>
      </w:r>
      <w:r w:rsidRPr="000F5CAE">
        <w:rPr>
          <w:rFonts w:ascii="Georgia" w:hAnsi="Georgia" w:cs="Times New Roman"/>
          <w:b w:val="0"/>
          <w:bCs w:val="0"/>
          <w:sz w:val="18"/>
          <w:szCs w:val="18"/>
        </w:rPr>
        <w:t xml:space="preserve"> Maya </w:t>
      </w:r>
      <w:proofErr w:type="spellStart"/>
      <w:r w:rsidRPr="000F5CAE">
        <w:rPr>
          <w:rFonts w:ascii="Georgia" w:hAnsi="Georgia" w:cs="Times New Roman"/>
          <w:b w:val="0"/>
          <w:bCs w:val="0"/>
          <w:sz w:val="18"/>
          <w:szCs w:val="18"/>
        </w:rPr>
        <w:t>Orev</w:t>
      </w:r>
      <w:proofErr w:type="spellEnd"/>
      <w:r w:rsidRPr="000F5CAE">
        <w:rPr>
          <w:rFonts w:ascii="Georgia" w:hAnsi="Georgia" w:cs="Times New Roman"/>
          <w:b w:val="0"/>
          <w:bCs w:val="0"/>
          <w:sz w:val="18"/>
          <w:szCs w:val="18"/>
        </w:rPr>
        <w:t>-Attal</w:t>
      </w:r>
    </w:p>
    <w:p w14:paraId="09AC7809" w14:textId="77777777" w:rsidR="0089386D" w:rsidRPr="000F5CAE" w:rsidRDefault="0089386D" w:rsidP="000F5CAE">
      <w:pPr>
        <w:pStyle w:val="BNAME"/>
        <w:bidi w:val="0"/>
        <w:spacing w:before="0" w:line="240" w:lineRule="exact"/>
        <w:jc w:val="left"/>
        <w:rPr>
          <w:rFonts w:ascii="Georgia" w:hAnsi="Georgia" w:cs="Times New Roman"/>
          <w:b w:val="0"/>
          <w:bCs w:val="0"/>
          <w:sz w:val="18"/>
          <w:szCs w:val="18"/>
        </w:rPr>
      </w:pPr>
      <w:r w:rsidRPr="000F5CAE">
        <w:rPr>
          <w:rFonts w:ascii="Georgia" w:hAnsi="Georgia" w:cs="Times New Roman"/>
          <w:b w:val="0"/>
          <w:bCs w:val="0"/>
          <w:i/>
          <w:iCs/>
          <w:sz w:val="18"/>
          <w:szCs w:val="18"/>
        </w:rPr>
        <w:t>Typesetting:</w:t>
      </w:r>
      <w:r w:rsidRPr="000F5CAE">
        <w:rPr>
          <w:rFonts w:ascii="Georgia" w:hAnsi="Georgia" w:cs="Times New Roman"/>
          <w:b w:val="0"/>
          <w:bCs w:val="0"/>
          <w:sz w:val="18"/>
          <w:szCs w:val="18"/>
        </w:rPr>
        <w:t xml:space="preserve"> </w:t>
      </w:r>
      <w:proofErr w:type="spellStart"/>
      <w:r w:rsidRPr="000F5CAE">
        <w:rPr>
          <w:rFonts w:ascii="Georgia" w:hAnsi="Georgia" w:cs="Times New Roman"/>
          <w:b w:val="0"/>
          <w:bCs w:val="0"/>
          <w:sz w:val="18"/>
          <w:szCs w:val="18"/>
        </w:rPr>
        <w:t>Onit</w:t>
      </w:r>
      <w:proofErr w:type="spellEnd"/>
      <w:r w:rsidRPr="000F5CAE">
        <w:rPr>
          <w:rFonts w:ascii="Georgia" w:hAnsi="Georgia" w:cs="Times New Roman"/>
          <w:b w:val="0"/>
          <w:bCs w:val="0"/>
          <w:sz w:val="18"/>
          <w:szCs w:val="18"/>
        </w:rPr>
        <w:t xml:space="preserve"> Computer Services Ltd.</w:t>
      </w:r>
    </w:p>
    <w:p w14:paraId="3885B874" w14:textId="77777777" w:rsidR="001A1A47" w:rsidRPr="00145012" w:rsidRDefault="0089386D" w:rsidP="00A030E0">
      <w:pPr>
        <w:pStyle w:val="KOT4"/>
        <w:bidi w:val="0"/>
        <w:spacing w:before="240" w:after="360"/>
        <w:ind w:right="0"/>
        <w:rPr>
          <w:b w:val="0"/>
          <w:bCs w:val="0"/>
          <w:color w:val="2A8E8C"/>
          <w:sz w:val="30"/>
          <w:szCs w:val="30"/>
        </w:rPr>
      </w:pPr>
      <w:r w:rsidRPr="00145012">
        <w:rPr>
          <w:rFonts w:ascii="Georgia" w:hAnsi="Georgia" w:cs="Times New Roman"/>
          <w:color w:val="2A8E8C"/>
          <w:sz w:val="24"/>
          <w:szCs w:val="24"/>
        </w:rPr>
        <w:br w:type="page"/>
      </w:r>
      <w:r w:rsidRPr="00145012">
        <w:rPr>
          <w:b w:val="0"/>
          <w:bCs w:val="0"/>
          <w:color w:val="2A8E8C"/>
          <w:sz w:val="30"/>
          <w:szCs w:val="30"/>
        </w:rPr>
        <w:lastRenderedPageBreak/>
        <w:t>C</w:t>
      </w:r>
      <w:r w:rsidR="00111442" w:rsidRPr="00145012">
        <w:rPr>
          <w:b w:val="0"/>
          <w:bCs w:val="0"/>
          <w:color w:val="2A8E8C"/>
          <w:sz w:val="30"/>
          <w:szCs w:val="30"/>
        </w:rPr>
        <w:t>ontents</w:t>
      </w:r>
    </w:p>
    <w:p w14:paraId="26E285A2" w14:textId="20AF51AE" w:rsidR="00D40378" w:rsidRPr="00D40378" w:rsidRDefault="00D40378" w:rsidP="006632CF">
      <w:pPr>
        <w:pStyle w:val="NoSpacing"/>
        <w:tabs>
          <w:tab w:val="right" w:leader="dot" w:pos="5981"/>
          <w:tab w:val="left" w:pos="6123"/>
        </w:tabs>
        <w:bidi w:val="0"/>
        <w:spacing w:line="280" w:lineRule="exact"/>
        <w:rPr>
          <w:rFonts w:ascii="Georgia" w:eastAsia="Times New Roman" w:hAnsi="Georgia" w:cs="Times New Roman"/>
          <w:b/>
          <w:bCs/>
          <w:sz w:val="18"/>
          <w:szCs w:val="18"/>
          <w:lang w:eastAsia="he-IL"/>
        </w:rPr>
      </w:pPr>
      <w:r w:rsidRPr="00D40378">
        <w:rPr>
          <w:rFonts w:ascii="Georgia" w:eastAsia="Times New Roman" w:hAnsi="Georgia" w:cs="Times New Roman"/>
          <w:b/>
          <w:bCs/>
          <w:sz w:val="18"/>
          <w:szCs w:val="18"/>
          <w:lang w:eastAsia="he-IL"/>
        </w:rPr>
        <w:t xml:space="preserve">Parents as the avenue of the resilience of Israeli society: </w:t>
      </w:r>
      <w:r>
        <w:rPr>
          <w:rFonts w:ascii="Georgia" w:eastAsia="Times New Roman" w:hAnsi="Georgia" w:cs="Times New Roman"/>
          <w:b/>
          <w:bCs/>
          <w:sz w:val="18"/>
          <w:szCs w:val="18"/>
          <w:lang w:eastAsia="he-IL"/>
        </w:rPr>
        <w:br/>
      </w:r>
      <w:r w:rsidRPr="00D40378">
        <w:rPr>
          <w:rFonts w:ascii="Georgia" w:eastAsia="Times New Roman" w:hAnsi="Georgia" w:cs="Times New Roman"/>
          <w:b/>
          <w:bCs/>
          <w:sz w:val="18"/>
          <w:szCs w:val="18"/>
          <w:lang w:eastAsia="he-IL"/>
        </w:rPr>
        <w:t xml:space="preserve">a call to establish a national policy to strengthen parents in times of crisis and </w:t>
      </w:r>
      <w:proofErr w:type="gramStart"/>
      <w:r w:rsidRPr="00D40378">
        <w:rPr>
          <w:rFonts w:ascii="Georgia" w:eastAsia="Times New Roman" w:hAnsi="Georgia" w:cs="Times New Roman"/>
          <w:b/>
          <w:bCs/>
          <w:sz w:val="18"/>
          <w:szCs w:val="18"/>
          <w:lang w:eastAsia="he-IL"/>
        </w:rPr>
        <w:t>routine</w:t>
      </w:r>
      <w:proofErr w:type="gramEnd"/>
    </w:p>
    <w:p w14:paraId="7961059E" w14:textId="0E2BD3F8" w:rsidR="00D40378" w:rsidRDefault="00D40378" w:rsidP="00D40378">
      <w:pPr>
        <w:tabs>
          <w:tab w:val="right" w:leader="dot" w:pos="6124"/>
          <w:tab w:val="left" w:pos="6237"/>
        </w:tabs>
        <w:bidi w:val="0"/>
        <w:spacing w:after="240" w:line="260" w:lineRule="exact"/>
        <w:ind w:left="567"/>
        <w:rPr>
          <w:rFonts w:ascii="Georgia" w:eastAsiaTheme="minorHAnsi" w:hAnsi="Georgia"/>
          <w:sz w:val="18"/>
          <w:szCs w:val="18"/>
        </w:rPr>
      </w:pPr>
      <w:r w:rsidRPr="00D40378">
        <w:rPr>
          <w:rFonts w:ascii="Georgia" w:eastAsiaTheme="minorHAnsi" w:hAnsi="Georgia"/>
          <w:sz w:val="18"/>
          <w:szCs w:val="18"/>
        </w:rPr>
        <w:t xml:space="preserve">Rina Cohen </w:t>
      </w:r>
      <w:proofErr w:type="spellStart"/>
      <w:r w:rsidRPr="00D40378">
        <w:rPr>
          <w:rFonts w:ascii="Georgia" w:eastAsiaTheme="minorHAnsi" w:hAnsi="Georgia"/>
          <w:sz w:val="18"/>
          <w:szCs w:val="18"/>
        </w:rPr>
        <w:t>Sutzkever</w:t>
      </w:r>
      <w:proofErr w:type="spellEnd"/>
    </w:p>
    <w:p w14:paraId="4B602529" w14:textId="65156864" w:rsidR="00D40378" w:rsidRPr="00D40378" w:rsidRDefault="00D40378" w:rsidP="006632CF">
      <w:pPr>
        <w:pStyle w:val="NoSpacing"/>
        <w:tabs>
          <w:tab w:val="right" w:leader="dot" w:pos="5981"/>
          <w:tab w:val="left" w:pos="6123"/>
        </w:tabs>
        <w:bidi w:val="0"/>
        <w:spacing w:line="280" w:lineRule="exact"/>
        <w:rPr>
          <w:rFonts w:ascii="Georgia" w:eastAsia="Times New Roman" w:hAnsi="Georgia" w:cs="Times New Roman"/>
          <w:b/>
          <w:bCs/>
          <w:sz w:val="18"/>
          <w:szCs w:val="18"/>
          <w:lang w:eastAsia="he-IL"/>
        </w:rPr>
      </w:pPr>
      <w:r w:rsidRPr="00D40378">
        <w:rPr>
          <w:rFonts w:ascii="Georgia" w:eastAsia="Times New Roman" w:hAnsi="Georgia" w:cs="Times New Roman"/>
          <w:b/>
          <w:bCs/>
          <w:sz w:val="18"/>
          <w:szCs w:val="18"/>
          <w:lang w:eastAsia="he-IL"/>
        </w:rPr>
        <w:t>Implications of Covid-19 on the future of teaching the social work profession: observation of the transition experience to remote learning of social work students in Israel</w:t>
      </w:r>
    </w:p>
    <w:p w14:paraId="5A599FFB" w14:textId="07C4B70E" w:rsidR="00D40378" w:rsidRDefault="00D40378" w:rsidP="00D40378">
      <w:pPr>
        <w:tabs>
          <w:tab w:val="right" w:leader="dot" w:pos="6124"/>
          <w:tab w:val="left" w:pos="6237"/>
        </w:tabs>
        <w:bidi w:val="0"/>
        <w:spacing w:after="240" w:line="260" w:lineRule="exact"/>
        <w:ind w:left="567"/>
        <w:rPr>
          <w:rFonts w:ascii="Georgia" w:eastAsiaTheme="minorHAnsi" w:hAnsi="Georgia"/>
          <w:sz w:val="18"/>
          <w:szCs w:val="18"/>
        </w:rPr>
      </w:pPr>
      <w:proofErr w:type="spellStart"/>
      <w:r w:rsidRPr="00D40378">
        <w:rPr>
          <w:rFonts w:ascii="Georgia" w:eastAsiaTheme="minorHAnsi" w:hAnsi="Georgia"/>
          <w:sz w:val="18"/>
          <w:szCs w:val="18"/>
        </w:rPr>
        <w:t>Yaara</w:t>
      </w:r>
      <w:proofErr w:type="spellEnd"/>
      <w:r w:rsidRPr="00D40378">
        <w:rPr>
          <w:rFonts w:ascii="Georgia" w:eastAsiaTheme="minorHAnsi" w:hAnsi="Georgia"/>
          <w:sz w:val="18"/>
          <w:szCs w:val="18"/>
        </w:rPr>
        <w:t xml:space="preserve"> Paz</w:t>
      </w:r>
      <w:r>
        <w:rPr>
          <w:rFonts w:ascii="Georgia" w:eastAsiaTheme="minorHAnsi" w:hAnsi="Georgia"/>
          <w:sz w:val="18"/>
          <w:szCs w:val="18"/>
        </w:rPr>
        <w:t>,</w:t>
      </w:r>
      <w:r w:rsidRPr="00D40378">
        <w:rPr>
          <w:rFonts w:ascii="Georgia" w:eastAsiaTheme="minorHAnsi" w:hAnsi="Georgia"/>
          <w:sz w:val="18"/>
          <w:szCs w:val="18"/>
        </w:rPr>
        <w:t xml:space="preserve"> Yael Latzer2 and </w:t>
      </w:r>
      <w:proofErr w:type="spellStart"/>
      <w:r w:rsidRPr="00D40378">
        <w:rPr>
          <w:rFonts w:ascii="Georgia" w:eastAsiaTheme="minorHAnsi" w:hAnsi="Georgia"/>
          <w:sz w:val="18"/>
          <w:szCs w:val="18"/>
        </w:rPr>
        <w:t>Liat</w:t>
      </w:r>
      <w:proofErr w:type="spellEnd"/>
      <w:r w:rsidRPr="00D40378">
        <w:rPr>
          <w:rFonts w:ascii="Georgia" w:eastAsiaTheme="minorHAnsi" w:hAnsi="Georgia"/>
          <w:sz w:val="18"/>
          <w:szCs w:val="18"/>
        </w:rPr>
        <w:t xml:space="preserve"> </w:t>
      </w:r>
      <w:proofErr w:type="spellStart"/>
      <w:r w:rsidRPr="00D40378">
        <w:rPr>
          <w:rFonts w:ascii="Georgia" w:eastAsiaTheme="minorHAnsi" w:hAnsi="Georgia"/>
          <w:sz w:val="18"/>
          <w:szCs w:val="18"/>
        </w:rPr>
        <w:t>Shklarski</w:t>
      </w:r>
      <w:proofErr w:type="spellEnd"/>
    </w:p>
    <w:p w14:paraId="67F900BA" w14:textId="3F5721A2" w:rsidR="00D40378" w:rsidRPr="00D40378" w:rsidRDefault="00D40378" w:rsidP="006632CF">
      <w:pPr>
        <w:pStyle w:val="NoSpacing"/>
        <w:tabs>
          <w:tab w:val="right" w:leader="dot" w:pos="5981"/>
          <w:tab w:val="left" w:pos="6123"/>
        </w:tabs>
        <w:bidi w:val="0"/>
        <w:spacing w:line="280" w:lineRule="exact"/>
        <w:rPr>
          <w:rFonts w:ascii="Georgia" w:eastAsia="Times New Roman" w:hAnsi="Georgia" w:cs="Times New Roman"/>
          <w:b/>
          <w:bCs/>
          <w:sz w:val="18"/>
          <w:szCs w:val="18"/>
          <w:lang w:eastAsia="he-IL"/>
        </w:rPr>
      </w:pPr>
      <w:r w:rsidRPr="00D40378">
        <w:rPr>
          <w:rFonts w:ascii="Georgia" w:eastAsia="Times New Roman" w:hAnsi="Georgia" w:cs="Times New Roman"/>
          <w:b/>
          <w:bCs/>
          <w:sz w:val="18"/>
          <w:szCs w:val="18"/>
          <w:lang w:eastAsia="he-IL"/>
        </w:rPr>
        <w:t>Integrating lay judges in judicial tribunals</w:t>
      </w:r>
      <w:r w:rsidRPr="00D40378">
        <w:rPr>
          <w:rFonts w:ascii="Georgia" w:eastAsia="Times New Roman" w:hAnsi="Georgia" w:cs="Times New Roman"/>
          <w:b/>
          <w:bCs/>
          <w:sz w:val="18"/>
          <w:szCs w:val="18"/>
          <w:rtl/>
          <w:lang w:eastAsia="he-IL"/>
        </w:rPr>
        <w:t xml:space="preserve">: </w:t>
      </w:r>
      <w:r w:rsidRPr="00D40378">
        <w:rPr>
          <w:rFonts w:ascii="Georgia" w:eastAsia="Times New Roman" w:hAnsi="Georgia" w:cs="Times New Roman"/>
          <w:b/>
          <w:bCs/>
          <w:sz w:val="18"/>
          <w:szCs w:val="18"/>
          <w:lang w:eastAsia="he-IL"/>
        </w:rPr>
        <w:t>a systematic scoping review</w:t>
      </w:r>
    </w:p>
    <w:p w14:paraId="58189DA4" w14:textId="42DAE42D" w:rsidR="00D40378" w:rsidRDefault="00D40378" w:rsidP="00D40378">
      <w:pPr>
        <w:tabs>
          <w:tab w:val="right" w:leader="dot" w:pos="6124"/>
          <w:tab w:val="left" w:pos="6237"/>
        </w:tabs>
        <w:bidi w:val="0"/>
        <w:spacing w:after="240" w:line="260" w:lineRule="exact"/>
        <w:ind w:left="567"/>
        <w:rPr>
          <w:rFonts w:ascii="Georgia" w:eastAsiaTheme="minorHAnsi" w:hAnsi="Georgia"/>
          <w:sz w:val="18"/>
          <w:szCs w:val="18"/>
        </w:rPr>
      </w:pPr>
      <w:proofErr w:type="spellStart"/>
      <w:r w:rsidRPr="00D40378">
        <w:rPr>
          <w:rFonts w:ascii="Georgia" w:eastAsiaTheme="minorHAnsi" w:hAnsi="Georgia"/>
          <w:sz w:val="18"/>
          <w:szCs w:val="18"/>
        </w:rPr>
        <w:t>Naama</w:t>
      </w:r>
      <w:proofErr w:type="spellEnd"/>
      <w:r w:rsidRPr="00D40378">
        <w:rPr>
          <w:rFonts w:ascii="Georgia" w:eastAsiaTheme="minorHAnsi" w:hAnsi="Georgia"/>
          <w:sz w:val="18"/>
          <w:szCs w:val="18"/>
        </w:rPr>
        <w:t xml:space="preserve"> Bar-on </w:t>
      </w:r>
      <w:proofErr w:type="spellStart"/>
      <w:r w:rsidRPr="00D40378">
        <w:rPr>
          <w:rFonts w:ascii="Georgia" w:eastAsiaTheme="minorHAnsi" w:hAnsi="Georgia"/>
          <w:sz w:val="18"/>
          <w:szCs w:val="18"/>
        </w:rPr>
        <w:t>Shmilovitch</w:t>
      </w:r>
      <w:proofErr w:type="spellEnd"/>
      <w:r>
        <w:rPr>
          <w:rFonts w:ascii="Georgia" w:eastAsiaTheme="minorHAnsi" w:hAnsi="Georgia"/>
          <w:sz w:val="18"/>
          <w:szCs w:val="18"/>
        </w:rPr>
        <w:t>,</w:t>
      </w:r>
      <w:r w:rsidRPr="00D40378">
        <w:rPr>
          <w:rFonts w:ascii="Georgia" w:eastAsiaTheme="minorHAnsi" w:hAnsi="Georgia"/>
          <w:sz w:val="18"/>
          <w:szCs w:val="18"/>
        </w:rPr>
        <w:t xml:space="preserve"> Shay </w:t>
      </w:r>
      <w:proofErr w:type="spellStart"/>
      <w:r w:rsidRPr="00D40378">
        <w:rPr>
          <w:rFonts w:ascii="Georgia" w:eastAsiaTheme="minorHAnsi" w:hAnsi="Georgia"/>
          <w:sz w:val="18"/>
          <w:szCs w:val="18"/>
        </w:rPr>
        <w:t>Tzafrir</w:t>
      </w:r>
      <w:proofErr w:type="spellEnd"/>
      <w:r>
        <w:rPr>
          <w:rFonts w:ascii="Georgia" w:eastAsiaTheme="minorHAnsi" w:hAnsi="Georgia"/>
          <w:sz w:val="18"/>
          <w:szCs w:val="18"/>
        </w:rPr>
        <w:t xml:space="preserve"> </w:t>
      </w:r>
      <w:r w:rsidRPr="00D40378">
        <w:rPr>
          <w:rFonts w:ascii="Georgia" w:eastAsiaTheme="minorHAnsi" w:hAnsi="Georgia"/>
          <w:sz w:val="18"/>
          <w:szCs w:val="18"/>
        </w:rPr>
        <w:t>and Israel (</w:t>
      </w:r>
      <w:proofErr w:type="spellStart"/>
      <w:r w:rsidRPr="00D40378">
        <w:rPr>
          <w:rFonts w:ascii="Georgia" w:eastAsiaTheme="minorHAnsi" w:hAnsi="Georgia"/>
          <w:sz w:val="18"/>
          <w:szCs w:val="18"/>
        </w:rPr>
        <w:t>Issi</w:t>
      </w:r>
      <w:proofErr w:type="spellEnd"/>
      <w:r w:rsidRPr="00D40378">
        <w:rPr>
          <w:rFonts w:ascii="Georgia" w:eastAsiaTheme="minorHAnsi" w:hAnsi="Georgia"/>
          <w:sz w:val="18"/>
          <w:szCs w:val="18"/>
        </w:rPr>
        <w:t xml:space="preserve">) Doron </w:t>
      </w:r>
    </w:p>
    <w:p w14:paraId="726C429B" w14:textId="77777777" w:rsidR="00D40378" w:rsidRPr="00D40378" w:rsidRDefault="00D40378" w:rsidP="006632CF">
      <w:pPr>
        <w:pStyle w:val="NoSpacing"/>
        <w:tabs>
          <w:tab w:val="right" w:leader="dot" w:pos="5981"/>
          <w:tab w:val="left" w:pos="6123"/>
        </w:tabs>
        <w:bidi w:val="0"/>
        <w:spacing w:line="280" w:lineRule="exact"/>
        <w:rPr>
          <w:rFonts w:ascii="Georgia" w:eastAsia="Times New Roman" w:hAnsi="Georgia" w:cs="Times New Roman"/>
          <w:b/>
          <w:bCs/>
          <w:sz w:val="18"/>
          <w:szCs w:val="18"/>
          <w:lang w:eastAsia="he-IL"/>
        </w:rPr>
      </w:pPr>
      <w:r w:rsidRPr="00D40378">
        <w:rPr>
          <w:rFonts w:ascii="Georgia" w:eastAsia="Times New Roman" w:hAnsi="Georgia" w:cs="Times New Roman"/>
          <w:b/>
          <w:bCs/>
          <w:sz w:val="18"/>
          <w:szCs w:val="18"/>
          <w:lang w:eastAsia="he-IL"/>
        </w:rPr>
        <w:t xml:space="preserve">Othering, </w:t>
      </w:r>
      <w:proofErr w:type="gramStart"/>
      <w:r w:rsidRPr="00D40378">
        <w:rPr>
          <w:rFonts w:ascii="Georgia" w:eastAsia="Times New Roman" w:hAnsi="Georgia" w:cs="Times New Roman"/>
          <w:b/>
          <w:bCs/>
          <w:sz w:val="18"/>
          <w:szCs w:val="18"/>
          <w:lang w:eastAsia="he-IL"/>
        </w:rPr>
        <w:t>poverty</w:t>
      </w:r>
      <w:proofErr w:type="gramEnd"/>
      <w:r w:rsidRPr="00D40378">
        <w:rPr>
          <w:rFonts w:ascii="Georgia" w:eastAsia="Times New Roman" w:hAnsi="Georgia" w:cs="Times New Roman"/>
          <w:b/>
          <w:bCs/>
          <w:sz w:val="18"/>
          <w:szCs w:val="18"/>
          <w:lang w:eastAsia="he-IL"/>
        </w:rPr>
        <w:t xml:space="preserve"> and law: the case of panhandlers in the Western Wall</w:t>
      </w:r>
      <w:r w:rsidRPr="00D40378">
        <w:rPr>
          <w:rFonts w:ascii="Georgia" w:eastAsia="Times New Roman" w:hAnsi="Georgia" w:cs="Times New Roman"/>
          <w:b/>
          <w:bCs/>
          <w:sz w:val="18"/>
          <w:szCs w:val="18"/>
          <w:rtl/>
          <w:lang w:eastAsia="he-IL"/>
        </w:rPr>
        <w:t xml:space="preserve"> </w:t>
      </w:r>
    </w:p>
    <w:p w14:paraId="2676313C" w14:textId="113885F9" w:rsidR="00D40378" w:rsidRDefault="00D40378" w:rsidP="00D40378">
      <w:pPr>
        <w:tabs>
          <w:tab w:val="right" w:leader="dot" w:pos="6124"/>
          <w:tab w:val="left" w:pos="6237"/>
        </w:tabs>
        <w:bidi w:val="0"/>
        <w:spacing w:after="240" w:line="260" w:lineRule="exact"/>
        <w:ind w:left="567"/>
        <w:rPr>
          <w:rFonts w:ascii="Georgia" w:eastAsiaTheme="minorHAnsi" w:hAnsi="Georgia"/>
          <w:sz w:val="18"/>
          <w:szCs w:val="18"/>
        </w:rPr>
      </w:pPr>
      <w:proofErr w:type="spellStart"/>
      <w:r w:rsidRPr="00D40378">
        <w:rPr>
          <w:rFonts w:ascii="Georgia" w:eastAsiaTheme="minorHAnsi" w:hAnsi="Georgia"/>
          <w:sz w:val="18"/>
          <w:szCs w:val="18"/>
        </w:rPr>
        <w:t>Shlomit</w:t>
      </w:r>
      <w:proofErr w:type="spellEnd"/>
      <w:r w:rsidRPr="00D40378">
        <w:rPr>
          <w:rFonts w:ascii="Georgia" w:eastAsiaTheme="minorHAnsi" w:hAnsi="Georgia"/>
          <w:sz w:val="18"/>
          <w:szCs w:val="18"/>
        </w:rPr>
        <w:t xml:space="preserve"> Weiss-Dagan</w:t>
      </w:r>
      <w:r>
        <w:rPr>
          <w:rFonts w:ascii="Georgia" w:eastAsiaTheme="minorHAnsi" w:hAnsi="Georgia"/>
          <w:sz w:val="18"/>
          <w:szCs w:val="18"/>
        </w:rPr>
        <w:t>,</w:t>
      </w:r>
      <w:r w:rsidRPr="00D40378">
        <w:rPr>
          <w:rFonts w:ascii="Georgia" w:eastAsiaTheme="minorHAnsi" w:hAnsi="Georgia"/>
          <w:sz w:val="18"/>
          <w:szCs w:val="18"/>
        </w:rPr>
        <w:t xml:space="preserve"> </w:t>
      </w:r>
      <w:proofErr w:type="spellStart"/>
      <w:r w:rsidRPr="00D40378">
        <w:rPr>
          <w:rFonts w:ascii="Georgia" w:eastAsiaTheme="minorHAnsi" w:hAnsi="Georgia"/>
          <w:sz w:val="18"/>
          <w:szCs w:val="18"/>
        </w:rPr>
        <w:t>Netanel</w:t>
      </w:r>
      <w:proofErr w:type="spellEnd"/>
      <w:r w:rsidRPr="00D40378">
        <w:rPr>
          <w:rFonts w:ascii="Georgia" w:eastAsiaTheme="minorHAnsi" w:hAnsi="Georgia"/>
          <w:sz w:val="18"/>
          <w:szCs w:val="18"/>
        </w:rPr>
        <w:t xml:space="preserve"> Dagan and Michal </w:t>
      </w:r>
      <w:proofErr w:type="spellStart"/>
      <w:r w:rsidRPr="00D40378">
        <w:rPr>
          <w:rFonts w:ascii="Georgia" w:eastAsiaTheme="minorHAnsi" w:hAnsi="Georgia"/>
          <w:sz w:val="18"/>
          <w:szCs w:val="18"/>
        </w:rPr>
        <w:t>Krumer-Nevo</w:t>
      </w:r>
      <w:proofErr w:type="spellEnd"/>
    </w:p>
    <w:p w14:paraId="088264C5" w14:textId="77777777" w:rsidR="00D40378" w:rsidRPr="00D40378" w:rsidRDefault="00D40378" w:rsidP="006632CF">
      <w:pPr>
        <w:pStyle w:val="NoSpacing"/>
        <w:tabs>
          <w:tab w:val="right" w:leader="dot" w:pos="5981"/>
          <w:tab w:val="left" w:pos="6123"/>
        </w:tabs>
        <w:bidi w:val="0"/>
        <w:spacing w:line="280" w:lineRule="exact"/>
        <w:rPr>
          <w:rFonts w:ascii="Georgia" w:eastAsia="Times New Roman" w:hAnsi="Georgia" w:cs="Times New Roman"/>
          <w:b/>
          <w:bCs/>
          <w:sz w:val="18"/>
          <w:szCs w:val="18"/>
          <w:lang w:eastAsia="he-IL"/>
        </w:rPr>
      </w:pPr>
      <w:r w:rsidRPr="00D40378">
        <w:rPr>
          <w:rFonts w:ascii="Georgia" w:eastAsia="Times New Roman" w:hAnsi="Georgia" w:cs="Times New Roman"/>
          <w:b/>
          <w:bCs/>
          <w:sz w:val="18"/>
          <w:szCs w:val="18"/>
          <w:lang w:eastAsia="he-IL"/>
        </w:rPr>
        <w:t>To be an immigrant caregiver: the burden experience of immigrants from the former Soviet Union caring for a family member with severe mental illness</w:t>
      </w:r>
    </w:p>
    <w:p w14:paraId="75176EE7" w14:textId="0D608F25" w:rsidR="00D40378" w:rsidRDefault="00D40378" w:rsidP="00D40378">
      <w:pPr>
        <w:tabs>
          <w:tab w:val="right" w:leader="dot" w:pos="6124"/>
          <w:tab w:val="left" w:pos="6237"/>
        </w:tabs>
        <w:bidi w:val="0"/>
        <w:spacing w:after="240" w:line="260" w:lineRule="exact"/>
        <w:ind w:left="567"/>
        <w:rPr>
          <w:rFonts w:ascii="Georgia" w:eastAsiaTheme="minorHAnsi" w:hAnsi="Georgia"/>
          <w:sz w:val="18"/>
          <w:szCs w:val="18"/>
        </w:rPr>
      </w:pPr>
      <w:proofErr w:type="spellStart"/>
      <w:r w:rsidRPr="00D40378">
        <w:rPr>
          <w:rFonts w:ascii="Georgia" w:eastAsiaTheme="minorHAnsi" w:hAnsi="Georgia"/>
          <w:sz w:val="18"/>
          <w:szCs w:val="18"/>
        </w:rPr>
        <w:t>Evgeny</w:t>
      </w:r>
      <w:proofErr w:type="spellEnd"/>
      <w:r w:rsidRPr="00D40378">
        <w:rPr>
          <w:rFonts w:ascii="Georgia" w:eastAsiaTheme="minorHAnsi" w:hAnsi="Georgia"/>
          <w:sz w:val="18"/>
          <w:szCs w:val="18"/>
        </w:rPr>
        <w:t xml:space="preserve"> </w:t>
      </w:r>
      <w:proofErr w:type="spellStart"/>
      <w:r w:rsidRPr="00D40378">
        <w:rPr>
          <w:rFonts w:ascii="Georgia" w:eastAsiaTheme="minorHAnsi" w:hAnsi="Georgia"/>
          <w:sz w:val="18"/>
          <w:szCs w:val="18"/>
        </w:rPr>
        <w:t>Knaifel</w:t>
      </w:r>
      <w:proofErr w:type="spellEnd"/>
    </w:p>
    <w:p w14:paraId="3E029864" w14:textId="77777777" w:rsidR="00D40378" w:rsidRPr="00D40378" w:rsidRDefault="00D40378" w:rsidP="006632CF">
      <w:pPr>
        <w:pStyle w:val="NoSpacing"/>
        <w:tabs>
          <w:tab w:val="right" w:leader="dot" w:pos="5981"/>
          <w:tab w:val="left" w:pos="6123"/>
        </w:tabs>
        <w:bidi w:val="0"/>
        <w:spacing w:line="280" w:lineRule="exact"/>
        <w:rPr>
          <w:rFonts w:ascii="Georgia" w:eastAsia="Times New Roman" w:hAnsi="Georgia" w:cs="Times New Roman"/>
          <w:b/>
          <w:bCs/>
          <w:sz w:val="18"/>
          <w:szCs w:val="18"/>
          <w:lang w:eastAsia="he-IL"/>
        </w:rPr>
      </w:pPr>
      <w:r w:rsidRPr="00D40378">
        <w:rPr>
          <w:rFonts w:ascii="Georgia" w:eastAsia="Times New Roman" w:hAnsi="Georgia" w:cs="Times New Roman"/>
          <w:b/>
          <w:bCs/>
          <w:sz w:val="18"/>
          <w:szCs w:val="18"/>
          <w:lang w:eastAsia="he-IL"/>
        </w:rPr>
        <w:t>The role of guardian or supported decision-making: readiness of brothers and sisters whose siblings have developmental disabilities (autism or intellectual disabilities)</w:t>
      </w:r>
    </w:p>
    <w:p w14:paraId="3230A5C4" w14:textId="049D1165" w:rsidR="00D40378" w:rsidRDefault="00D40378" w:rsidP="00D40378">
      <w:pPr>
        <w:tabs>
          <w:tab w:val="right" w:leader="dot" w:pos="6124"/>
          <w:tab w:val="left" w:pos="6237"/>
        </w:tabs>
        <w:bidi w:val="0"/>
        <w:spacing w:after="240" w:line="260" w:lineRule="exact"/>
        <w:ind w:left="567"/>
        <w:rPr>
          <w:rFonts w:ascii="Georgia" w:eastAsiaTheme="minorHAnsi" w:hAnsi="Georgia"/>
          <w:sz w:val="18"/>
          <w:szCs w:val="18"/>
        </w:rPr>
      </w:pPr>
      <w:r w:rsidRPr="00D40378">
        <w:rPr>
          <w:rFonts w:ascii="Georgia" w:eastAsiaTheme="minorHAnsi" w:hAnsi="Georgia"/>
          <w:sz w:val="18"/>
          <w:szCs w:val="18"/>
        </w:rPr>
        <w:t xml:space="preserve">Adi </w:t>
      </w:r>
      <w:proofErr w:type="spellStart"/>
      <w:r w:rsidRPr="00D40378">
        <w:rPr>
          <w:rFonts w:ascii="Georgia" w:eastAsiaTheme="minorHAnsi" w:hAnsi="Georgia"/>
          <w:sz w:val="18"/>
          <w:szCs w:val="18"/>
        </w:rPr>
        <w:t>Sharabi</w:t>
      </w:r>
      <w:proofErr w:type="spellEnd"/>
    </w:p>
    <w:p w14:paraId="7E619E8F" w14:textId="77777777" w:rsidR="00D40378" w:rsidRPr="00D40378" w:rsidRDefault="00D40378" w:rsidP="006632CF">
      <w:pPr>
        <w:pStyle w:val="NoSpacing"/>
        <w:tabs>
          <w:tab w:val="right" w:leader="dot" w:pos="5981"/>
          <w:tab w:val="left" w:pos="6123"/>
        </w:tabs>
        <w:bidi w:val="0"/>
        <w:spacing w:line="280" w:lineRule="exact"/>
        <w:rPr>
          <w:rFonts w:ascii="Georgia" w:eastAsia="Times New Roman" w:hAnsi="Georgia" w:cs="Times New Roman"/>
          <w:b/>
          <w:bCs/>
          <w:sz w:val="18"/>
          <w:szCs w:val="18"/>
          <w:lang w:eastAsia="he-IL"/>
        </w:rPr>
      </w:pPr>
      <w:r w:rsidRPr="00D40378">
        <w:rPr>
          <w:rFonts w:ascii="Georgia" w:eastAsia="Times New Roman" w:hAnsi="Georgia" w:cs="Times New Roman"/>
          <w:b/>
          <w:bCs/>
          <w:sz w:val="18"/>
          <w:szCs w:val="18"/>
          <w:lang w:eastAsia="he-IL"/>
        </w:rPr>
        <w:t>Default occupational pension plans in Israel: issues in pension policy</w:t>
      </w:r>
    </w:p>
    <w:p w14:paraId="778480AA" w14:textId="0E0A498B" w:rsidR="00D40378" w:rsidRPr="00DA0733" w:rsidRDefault="00D40378" w:rsidP="00D40378">
      <w:pPr>
        <w:tabs>
          <w:tab w:val="right" w:leader="dot" w:pos="6124"/>
          <w:tab w:val="left" w:pos="6237"/>
        </w:tabs>
        <w:bidi w:val="0"/>
        <w:spacing w:after="240" w:line="260" w:lineRule="exact"/>
        <w:ind w:left="567"/>
        <w:rPr>
          <w:rFonts w:ascii="Georgia" w:eastAsiaTheme="minorHAnsi" w:hAnsi="Georgia"/>
          <w:sz w:val="18"/>
          <w:szCs w:val="18"/>
        </w:rPr>
      </w:pPr>
      <w:proofErr w:type="spellStart"/>
      <w:r w:rsidRPr="00D40378">
        <w:rPr>
          <w:rFonts w:ascii="Georgia" w:eastAsiaTheme="minorHAnsi" w:hAnsi="Georgia"/>
          <w:sz w:val="18"/>
          <w:szCs w:val="18"/>
        </w:rPr>
        <w:t>Iddo</w:t>
      </w:r>
      <w:proofErr w:type="spellEnd"/>
      <w:r w:rsidRPr="00D40378">
        <w:rPr>
          <w:rFonts w:ascii="Georgia" w:eastAsiaTheme="minorHAnsi" w:hAnsi="Georgia"/>
          <w:sz w:val="18"/>
          <w:szCs w:val="18"/>
        </w:rPr>
        <w:t xml:space="preserve"> </w:t>
      </w:r>
      <w:proofErr w:type="spellStart"/>
      <w:r w:rsidRPr="00D40378">
        <w:rPr>
          <w:rFonts w:ascii="Georgia" w:eastAsiaTheme="minorHAnsi" w:hAnsi="Georgia"/>
          <w:sz w:val="18"/>
          <w:szCs w:val="18"/>
        </w:rPr>
        <w:t>Kalir</w:t>
      </w:r>
      <w:proofErr w:type="spellEnd"/>
      <w:r>
        <w:rPr>
          <w:rFonts w:ascii="Georgia" w:eastAsiaTheme="minorHAnsi" w:hAnsi="Georgia"/>
          <w:sz w:val="18"/>
          <w:szCs w:val="18"/>
        </w:rPr>
        <w:t>,</w:t>
      </w:r>
      <w:r w:rsidRPr="00D40378">
        <w:rPr>
          <w:rFonts w:ascii="Georgia" w:eastAsiaTheme="minorHAnsi" w:hAnsi="Georgia"/>
          <w:sz w:val="18"/>
          <w:szCs w:val="18"/>
        </w:rPr>
        <w:t xml:space="preserve"> Alex </w:t>
      </w:r>
      <w:proofErr w:type="spellStart"/>
      <w:r w:rsidRPr="00D40378">
        <w:rPr>
          <w:rFonts w:ascii="Georgia" w:eastAsiaTheme="minorHAnsi" w:hAnsi="Georgia"/>
          <w:sz w:val="18"/>
          <w:szCs w:val="18"/>
        </w:rPr>
        <w:t>Kaplun</w:t>
      </w:r>
      <w:proofErr w:type="spellEnd"/>
      <w:r>
        <w:rPr>
          <w:rFonts w:ascii="Georgia" w:eastAsiaTheme="minorHAnsi" w:hAnsi="Georgia"/>
          <w:sz w:val="18"/>
          <w:szCs w:val="18"/>
        </w:rPr>
        <w:t xml:space="preserve"> </w:t>
      </w:r>
      <w:r w:rsidRPr="00D40378">
        <w:rPr>
          <w:rFonts w:ascii="Georgia" w:eastAsiaTheme="minorHAnsi" w:hAnsi="Georgia"/>
          <w:sz w:val="18"/>
          <w:szCs w:val="18"/>
        </w:rPr>
        <w:t>and Israel (</w:t>
      </w:r>
      <w:proofErr w:type="spellStart"/>
      <w:r w:rsidRPr="00D40378">
        <w:rPr>
          <w:rFonts w:ascii="Georgia" w:eastAsiaTheme="minorHAnsi" w:hAnsi="Georgia"/>
          <w:sz w:val="18"/>
          <w:szCs w:val="18"/>
        </w:rPr>
        <w:t>Issi</w:t>
      </w:r>
      <w:proofErr w:type="spellEnd"/>
      <w:r w:rsidRPr="00D40378">
        <w:rPr>
          <w:rFonts w:ascii="Georgia" w:eastAsiaTheme="minorHAnsi" w:hAnsi="Georgia"/>
          <w:sz w:val="18"/>
          <w:szCs w:val="18"/>
        </w:rPr>
        <w:t>) Doron</w:t>
      </w:r>
    </w:p>
    <w:p w14:paraId="07ACEE7D" w14:textId="2CC2A2F3" w:rsidR="00E9229F" w:rsidRPr="000F5CAE" w:rsidRDefault="00E9229F" w:rsidP="00E2664B">
      <w:pPr>
        <w:tabs>
          <w:tab w:val="right" w:leader="dot" w:pos="6124"/>
          <w:tab w:val="left" w:pos="6237"/>
        </w:tabs>
        <w:bidi w:val="0"/>
        <w:spacing w:after="240"/>
        <w:rPr>
          <w:rFonts w:ascii="Georgia" w:eastAsiaTheme="minorHAnsi" w:hAnsi="Georgia"/>
        </w:rPr>
      </w:pPr>
    </w:p>
    <w:p w14:paraId="61AC8CC9" w14:textId="77777777" w:rsidR="000667B0" w:rsidRPr="000F5CAE" w:rsidRDefault="000667B0" w:rsidP="000667B0">
      <w:pPr>
        <w:tabs>
          <w:tab w:val="right" w:leader="dot" w:pos="6124"/>
          <w:tab w:val="left" w:pos="6237"/>
        </w:tabs>
        <w:bidi w:val="0"/>
        <w:spacing w:after="240"/>
        <w:rPr>
          <w:rFonts w:ascii="Georgia" w:eastAsiaTheme="minorHAnsi" w:hAnsi="Georgia"/>
        </w:rPr>
        <w:sectPr w:rsidR="000667B0" w:rsidRPr="000F5CAE" w:rsidSect="006656CB">
          <w:pgSz w:w="11906" w:h="16838" w:code="9"/>
          <w:pgMar w:top="3402" w:right="2608" w:bottom="2722" w:left="2608" w:header="2552" w:footer="2438" w:gutter="0"/>
          <w:pgNumType w:fmt="lowerRoman"/>
          <w:cols w:space="708"/>
          <w:docGrid w:linePitch="360"/>
        </w:sectPr>
      </w:pPr>
    </w:p>
    <w:p w14:paraId="41F21F3E" w14:textId="00A554A2" w:rsidR="000667B0" w:rsidRPr="000F5CAE" w:rsidRDefault="000667B0" w:rsidP="000667B0">
      <w:pPr>
        <w:tabs>
          <w:tab w:val="right" w:leader="dot" w:pos="6124"/>
          <w:tab w:val="left" w:pos="6237"/>
        </w:tabs>
        <w:bidi w:val="0"/>
        <w:spacing w:after="240"/>
        <w:rPr>
          <w:rFonts w:ascii="Georgia" w:eastAsiaTheme="minorHAnsi" w:hAnsi="Georgia"/>
          <w:rtl/>
        </w:rPr>
      </w:pPr>
    </w:p>
    <w:p w14:paraId="1045F6CC" w14:textId="77777777" w:rsidR="0089386D" w:rsidRPr="000F5CAE" w:rsidRDefault="0089386D" w:rsidP="000D35C8">
      <w:pPr>
        <w:pStyle w:val="NoSpacing"/>
        <w:bidi w:val="0"/>
        <w:spacing w:after="120" w:line="280" w:lineRule="exact"/>
        <w:rPr>
          <w:rFonts w:ascii="Georgia" w:eastAsia="Times New Roman" w:hAnsi="Georgia" w:cs="David"/>
        </w:rPr>
      </w:pPr>
      <w:r w:rsidRPr="000F5CAE">
        <w:rPr>
          <w:rFonts w:ascii="Georgia" w:eastAsia="Times New Roman" w:hAnsi="Georgia" w:cs="David"/>
        </w:rPr>
        <w:br w:type="page"/>
      </w:r>
    </w:p>
    <w:p w14:paraId="6719AB3A" w14:textId="77777777" w:rsidR="0089386D" w:rsidRPr="000F5CAE" w:rsidRDefault="0089386D" w:rsidP="00165447">
      <w:pPr>
        <w:pStyle w:val="NoSpacing"/>
        <w:bidi w:val="0"/>
        <w:spacing w:after="2280" w:line="280" w:lineRule="exact"/>
        <w:rPr>
          <w:rFonts w:ascii="Georgia" w:eastAsia="Times New Roman" w:hAnsi="Georgia" w:cs="David"/>
        </w:rPr>
      </w:pPr>
    </w:p>
    <w:p w14:paraId="5ECAB5F9" w14:textId="77777777" w:rsidR="0089386D" w:rsidRPr="00E66CAC" w:rsidRDefault="0089386D" w:rsidP="001629F1">
      <w:pPr>
        <w:pStyle w:val="KOT4"/>
        <w:bidi w:val="0"/>
        <w:spacing w:after="240"/>
        <w:ind w:right="0"/>
        <w:jc w:val="center"/>
        <w:rPr>
          <w:b w:val="0"/>
          <w:bCs w:val="0"/>
          <w:color w:val="auto"/>
          <w:sz w:val="30"/>
          <w:szCs w:val="30"/>
        </w:rPr>
      </w:pPr>
      <w:r w:rsidRPr="00E66CAC">
        <w:rPr>
          <w:b w:val="0"/>
          <w:bCs w:val="0"/>
          <w:color w:val="auto"/>
          <w:sz w:val="30"/>
          <w:szCs w:val="30"/>
        </w:rPr>
        <w:t xml:space="preserve">Summaries of the </w:t>
      </w:r>
      <w:r w:rsidR="00E66CAC" w:rsidRPr="00E66CAC">
        <w:rPr>
          <w:b w:val="0"/>
          <w:bCs w:val="0"/>
          <w:color w:val="auto"/>
          <w:sz w:val="30"/>
          <w:szCs w:val="30"/>
        </w:rPr>
        <w:t>m</w:t>
      </w:r>
      <w:r w:rsidRPr="00E66CAC">
        <w:rPr>
          <w:b w:val="0"/>
          <w:bCs w:val="0"/>
          <w:color w:val="auto"/>
          <w:sz w:val="30"/>
          <w:szCs w:val="30"/>
        </w:rPr>
        <w:t xml:space="preserve">ain </w:t>
      </w:r>
      <w:r w:rsidR="00E66CAC" w:rsidRPr="00E66CAC">
        <w:rPr>
          <w:b w:val="0"/>
          <w:bCs w:val="0"/>
          <w:color w:val="auto"/>
          <w:sz w:val="30"/>
          <w:szCs w:val="30"/>
        </w:rPr>
        <w:t>a</w:t>
      </w:r>
      <w:r w:rsidRPr="00E66CAC">
        <w:rPr>
          <w:b w:val="0"/>
          <w:bCs w:val="0"/>
          <w:color w:val="auto"/>
          <w:sz w:val="30"/>
          <w:szCs w:val="30"/>
        </w:rPr>
        <w:t>rticles</w:t>
      </w:r>
    </w:p>
    <w:p w14:paraId="21B3EC7F" w14:textId="77777777" w:rsidR="00757626" w:rsidRPr="000F5CAE" w:rsidRDefault="00757626" w:rsidP="00757626">
      <w:pPr>
        <w:pStyle w:val="Header"/>
        <w:tabs>
          <w:tab w:val="clear" w:pos="4153"/>
          <w:tab w:val="clear" w:pos="8306"/>
        </w:tabs>
        <w:bidi w:val="0"/>
        <w:spacing w:after="240" w:line="360" w:lineRule="auto"/>
        <w:jc w:val="center"/>
        <w:rPr>
          <w:rFonts w:ascii="Georgia" w:hAnsi="Georgia"/>
          <w:b/>
          <w:bCs/>
          <w:sz w:val="32"/>
          <w:szCs w:val="32"/>
        </w:rPr>
      </w:pPr>
      <w:r w:rsidRPr="000F5CAE">
        <w:rPr>
          <w:rFonts w:ascii="Georgia" w:hAnsi="Georgia"/>
          <w:b/>
          <w:bCs/>
          <w:sz w:val="32"/>
          <w:szCs w:val="32"/>
        </w:rPr>
        <w:br w:type="page"/>
      </w:r>
    </w:p>
    <w:p w14:paraId="0E849237" w14:textId="77777777" w:rsidR="00316CC0" w:rsidRPr="000F5CAE" w:rsidRDefault="00316CC0" w:rsidP="00316CC0">
      <w:pPr>
        <w:pStyle w:val="Header"/>
        <w:tabs>
          <w:tab w:val="clear" w:pos="4153"/>
          <w:tab w:val="clear" w:pos="8306"/>
        </w:tabs>
        <w:bidi w:val="0"/>
        <w:spacing w:after="240" w:line="360" w:lineRule="auto"/>
        <w:jc w:val="center"/>
        <w:rPr>
          <w:rFonts w:ascii="Georgia" w:hAnsi="Georgia"/>
          <w:b/>
          <w:bCs/>
          <w:sz w:val="32"/>
          <w:szCs w:val="32"/>
        </w:rPr>
      </w:pPr>
    </w:p>
    <w:p w14:paraId="0EEA05CD" w14:textId="77777777" w:rsidR="0089386D" w:rsidRDefault="0089386D" w:rsidP="0089386D">
      <w:pPr>
        <w:pStyle w:val="KOT4"/>
        <w:bidi w:val="0"/>
        <w:spacing w:line="440" w:lineRule="atLeast"/>
        <w:ind w:right="0"/>
        <w:jc w:val="center"/>
        <w:rPr>
          <w:sz w:val="32"/>
          <w:szCs w:val="32"/>
        </w:rPr>
        <w:sectPr w:rsidR="0089386D" w:rsidSect="006656CB">
          <w:headerReference w:type="even" r:id="rId9"/>
          <w:headerReference w:type="default" r:id="rId10"/>
          <w:pgSz w:w="11906" w:h="16838" w:code="9"/>
          <w:pgMar w:top="3402" w:right="2608" w:bottom="2722" w:left="2608" w:header="2552" w:footer="2438" w:gutter="0"/>
          <w:pgNumType w:fmt="lowerRoman"/>
          <w:cols w:space="708"/>
          <w:docGrid w:linePitch="360"/>
        </w:sectPr>
      </w:pPr>
    </w:p>
    <w:p w14:paraId="7967D35E" w14:textId="77777777" w:rsidR="00D40378" w:rsidRPr="00D40378" w:rsidRDefault="00D40378" w:rsidP="00D40378">
      <w:pPr>
        <w:pStyle w:val="KOT4"/>
        <w:keepLines/>
        <w:bidi w:val="0"/>
        <w:spacing w:line="240" w:lineRule="auto"/>
        <w:ind w:right="0"/>
        <w:rPr>
          <w:b w:val="0"/>
          <w:bCs w:val="0"/>
          <w:color w:val="2A8E8C"/>
          <w:sz w:val="28"/>
          <w:szCs w:val="28"/>
        </w:rPr>
      </w:pPr>
      <w:r w:rsidRPr="00D40378">
        <w:rPr>
          <w:b w:val="0"/>
          <w:bCs w:val="0"/>
          <w:color w:val="2A8E8C"/>
          <w:sz w:val="28"/>
          <w:szCs w:val="28"/>
        </w:rPr>
        <w:lastRenderedPageBreak/>
        <w:t>Parents as the avenue of the resilience of Israeli society:</w:t>
      </w:r>
      <w:r w:rsidRPr="00D40378">
        <w:rPr>
          <w:b w:val="0"/>
          <w:bCs w:val="0"/>
          <w:color w:val="2A8E8C"/>
          <w:sz w:val="28"/>
          <w:szCs w:val="28"/>
          <w:rtl/>
        </w:rPr>
        <w:t xml:space="preserve"> </w:t>
      </w:r>
      <w:r w:rsidRPr="00D40378">
        <w:rPr>
          <w:b w:val="0"/>
          <w:bCs w:val="0"/>
          <w:color w:val="2A8E8C"/>
          <w:sz w:val="28"/>
          <w:szCs w:val="28"/>
        </w:rPr>
        <w:t>a call to establish a national policy to strengthen parents in times of crisis and routine</w:t>
      </w:r>
    </w:p>
    <w:p w14:paraId="1F24BEA0" w14:textId="77777777" w:rsidR="00D40378" w:rsidRPr="00D40378" w:rsidRDefault="00D40378" w:rsidP="00D40378">
      <w:pPr>
        <w:bidi w:val="0"/>
        <w:spacing w:after="120" w:line="280" w:lineRule="exact"/>
        <w:jc w:val="both"/>
        <w:rPr>
          <w:rFonts w:ascii="Georgia" w:hAnsi="Georgia" w:cs="Times New Roman"/>
          <w:i/>
          <w:iCs/>
          <w:color w:val="000000" w:themeColor="text1"/>
          <w:sz w:val="20"/>
          <w:szCs w:val="20"/>
        </w:rPr>
      </w:pPr>
      <w:r w:rsidRPr="00D40378">
        <w:rPr>
          <w:rFonts w:ascii="Georgia" w:hAnsi="Georgia" w:cs="Times New Roman"/>
          <w:i/>
          <w:iCs/>
          <w:color w:val="000000" w:themeColor="text1"/>
          <w:sz w:val="20"/>
          <w:szCs w:val="20"/>
        </w:rPr>
        <w:t xml:space="preserve">Rina Cohen </w:t>
      </w:r>
      <w:proofErr w:type="spellStart"/>
      <w:r w:rsidRPr="00D40378">
        <w:rPr>
          <w:rFonts w:ascii="Georgia" w:hAnsi="Georgia" w:cs="Times New Roman"/>
          <w:i/>
          <w:iCs/>
          <w:color w:val="000000" w:themeColor="text1"/>
          <w:sz w:val="20"/>
          <w:szCs w:val="20"/>
        </w:rPr>
        <w:t>Sutzkever</w:t>
      </w:r>
      <w:proofErr w:type="spellEnd"/>
      <w:r w:rsidRPr="00D40378">
        <w:rPr>
          <w:rFonts w:ascii="Georgia" w:hAnsi="Georgia" w:cs="Times New Roman"/>
          <w:i/>
          <w:iCs/>
          <w:color w:val="000000" w:themeColor="text1"/>
          <w:sz w:val="20"/>
          <w:szCs w:val="20"/>
          <w:vertAlign w:val="superscript"/>
        </w:rPr>
        <w:footnoteReference w:id="2"/>
      </w:r>
    </w:p>
    <w:p w14:paraId="220003E6" w14:textId="77777777" w:rsidR="00D40378" w:rsidRDefault="00D40378" w:rsidP="00D40378">
      <w:pPr>
        <w:bidi w:val="0"/>
        <w:spacing w:after="120" w:line="280" w:lineRule="exact"/>
        <w:jc w:val="both"/>
        <w:rPr>
          <w:rFonts w:ascii="Georgia" w:hAnsi="Georgia"/>
          <w:sz w:val="20"/>
          <w:szCs w:val="20"/>
        </w:rPr>
      </w:pPr>
    </w:p>
    <w:p w14:paraId="5FB1D52B" w14:textId="460752CB" w:rsidR="00D40378" w:rsidRPr="00D40378" w:rsidRDefault="00D40378" w:rsidP="00D40378">
      <w:pPr>
        <w:bidi w:val="0"/>
        <w:spacing w:after="120" w:line="280" w:lineRule="exact"/>
        <w:jc w:val="both"/>
        <w:rPr>
          <w:rFonts w:ascii="Georgia" w:hAnsi="Georgia"/>
          <w:b/>
          <w:bCs/>
          <w:sz w:val="20"/>
          <w:szCs w:val="20"/>
        </w:rPr>
      </w:pPr>
      <w:r w:rsidRPr="00D40378">
        <w:rPr>
          <w:rFonts w:ascii="Georgia" w:hAnsi="Georgia"/>
          <w:sz w:val="20"/>
          <w:szCs w:val="20"/>
        </w:rPr>
        <w:t xml:space="preserve">The 21st century brought upon crises in unforeseen volume — COVID-19, wars, mass immigration, social gaps, poverty, and more. In Israel and the whole world, these crises and corresponding issues intensified, deepened, and increased social, educational and economic phenomena and problems. This new reality presents complex and diverse challenges to every individual, society and political system worldwide. The multiplicity of challenges and their intensity prompts the need to search for the relevant resources that may help to deal with some of the ramifications these issues have on society. </w:t>
      </w:r>
    </w:p>
    <w:p w14:paraId="444BB2AE" w14:textId="77777777" w:rsidR="00D40378" w:rsidRPr="00D40378" w:rsidRDefault="00D40378" w:rsidP="00D40378">
      <w:pPr>
        <w:bidi w:val="0"/>
        <w:spacing w:after="120" w:line="280" w:lineRule="exact"/>
        <w:jc w:val="both"/>
        <w:rPr>
          <w:rFonts w:ascii="Georgia" w:hAnsi="Georgia"/>
          <w:b/>
          <w:bCs/>
          <w:sz w:val="20"/>
          <w:szCs w:val="20"/>
        </w:rPr>
      </w:pPr>
      <w:r w:rsidRPr="00D40378">
        <w:rPr>
          <w:rFonts w:ascii="Georgia" w:hAnsi="Georgia"/>
          <w:sz w:val="20"/>
          <w:szCs w:val="20"/>
        </w:rPr>
        <w:t>One of the essential and significant resources, identified and recognized as such, is the parents and parenting whose function and influence concern every child, family, and system. For parents to be able to exercise their leadership and influence, put them out of their power and make good use of their parental resources, professional and responsible parental guidance must be made available, available, and adapted to each parent according to his needs, aspirations and culture.</w:t>
      </w:r>
    </w:p>
    <w:p w14:paraId="271291CF" w14:textId="77777777" w:rsidR="00D40378" w:rsidRPr="00D40378" w:rsidRDefault="00D40378" w:rsidP="00D40378">
      <w:pPr>
        <w:bidi w:val="0"/>
        <w:spacing w:after="120" w:line="280" w:lineRule="exact"/>
        <w:jc w:val="both"/>
        <w:rPr>
          <w:rFonts w:ascii="Georgia" w:hAnsi="Georgia"/>
          <w:b/>
          <w:bCs/>
          <w:sz w:val="20"/>
          <w:szCs w:val="20"/>
          <w:rtl/>
        </w:rPr>
      </w:pPr>
      <w:r w:rsidRPr="00D40378">
        <w:rPr>
          <w:rFonts w:ascii="Georgia" w:hAnsi="Georgia"/>
          <w:sz w:val="20"/>
          <w:szCs w:val="20"/>
        </w:rPr>
        <w:t xml:space="preserve">According to the experience of social-educational systems in Israel and around the world, these guidelines are what help parents develop literate, relevant, benevolent parenting that builds resilience and a good and enabling future for their children. </w:t>
      </w:r>
    </w:p>
    <w:p w14:paraId="0E706873" w14:textId="77777777" w:rsidR="00D40378" w:rsidRPr="00D40378" w:rsidRDefault="00D40378" w:rsidP="00D40378">
      <w:pPr>
        <w:bidi w:val="0"/>
        <w:spacing w:after="120" w:line="280" w:lineRule="exact"/>
        <w:jc w:val="both"/>
        <w:rPr>
          <w:rFonts w:ascii="Georgia" w:hAnsi="Georgia"/>
          <w:b/>
          <w:bCs/>
          <w:sz w:val="20"/>
          <w:szCs w:val="20"/>
          <w:rtl/>
        </w:rPr>
      </w:pPr>
      <w:r w:rsidRPr="00D40378">
        <w:rPr>
          <w:rFonts w:ascii="Georgia" w:hAnsi="Georgia"/>
          <w:sz w:val="20"/>
          <w:szCs w:val="20"/>
          <w:rtl/>
        </w:rPr>
        <w:t xml:space="preserve"> </w:t>
      </w:r>
      <w:r w:rsidRPr="00D40378">
        <w:rPr>
          <w:rFonts w:ascii="Georgia" w:hAnsi="Georgia"/>
          <w:sz w:val="20"/>
          <w:szCs w:val="20"/>
        </w:rPr>
        <w:t>This article reviews the existing activity in Israel on the subject of parental guidance and proposes the establishment of a national policy for empowering parents. The article also reviews the essential benefits for the individual, family, and society in both routine times and in times of crisis, which are full of uncertainty, ambiguity, tasks, and parental controversies.</w:t>
      </w:r>
    </w:p>
    <w:p w14:paraId="0963CABD" w14:textId="77777777" w:rsidR="00D40378" w:rsidRDefault="00D40378" w:rsidP="00D40378">
      <w:pPr>
        <w:bidi w:val="0"/>
        <w:spacing w:after="120" w:line="280" w:lineRule="exact"/>
        <w:jc w:val="both"/>
        <w:rPr>
          <w:rFonts w:ascii="Georgia" w:hAnsi="Georgia"/>
          <w:sz w:val="20"/>
          <w:szCs w:val="20"/>
        </w:rPr>
      </w:pPr>
      <w:r w:rsidRPr="00D40378">
        <w:rPr>
          <w:rFonts w:ascii="Georgia" w:hAnsi="Georgia"/>
          <w:sz w:val="20"/>
          <w:szCs w:val="20"/>
        </w:rPr>
        <w:t xml:space="preserve">The article claims that leading and influential parental leadership is the need of our time and place. For every parent to receive professional and supportive </w:t>
      </w:r>
      <w:r w:rsidRPr="00D40378">
        <w:rPr>
          <w:rFonts w:ascii="Georgia" w:hAnsi="Georgia"/>
          <w:sz w:val="20"/>
          <w:szCs w:val="20"/>
        </w:rPr>
        <w:lastRenderedPageBreak/>
        <w:t>parental guidance that accompanies them throughout the journey of parenting, there must be a national policy on the subject of ‘strengthening parents and empowering parenting’, operated by the government and societal systems, and under their responsibility and budget.</w:t>
      </w:r>
    </w:p>
    <w:p w14:paraId="62C77B02" w14:textId="77777777" w:rsidR="00D40378" w:rsidRDefault="00D40378" w:rsidP="00D40378">
      <w:pPr>
        <w:bidi w:val="0"/>
        <w:spacing w:after="120" w:line="280" w:lineRule="exact"/>
        <w:jc w:val="both"/>
        <w:rPr>
          <w:rFonts w:ascii="Georgia" w:hAnsi="Georgia"/>
          <w:sz w:val="20"/>
          <w:szCs w:val="20"/>
        </w:rPr>
      </w:pPr>
    </w:p>
    <w:p w14:paraId="7D5A9D91" w14:textId="77777777" w:rsidR="00D40378" w:rsidRPr="00D40378" w:rsidRDefault="00D40378" w:rsidP="00D40378">
      <w:pPr>
        <w:bidi w:val="0"/>
        <w:spacing w:after="120" w:line="280" w:lineRule="exact"/>
        <w:jc w:val="both"/>
        <w:rPr>
          <w:rFonts w:ascii="Georgia" w:hAnsi="Georgia"/>
          <w:b/>
          <w:bCs/>
          <w:sz w:val="20"/>
          <w:szCs w:val="20"/>
          <w:rtl/>
        </w:rPr>
      </w:pPr>
    </w:p>
    <w:p w14:paraId="516CF77B" w14:textId="3D4014FD" w:rsidR="00D40378" w:rsidRPr="00D40378" w:rsidRDefault="00D40378" w:rsidP="00D40378">
      <w:pPr>
        <w:pStyle w:val="KOT4"/>
        <w:keepLines/>
        <w:bidi w:val="0"/>
        <w:spacing w:line="240" w:lineRule="auto"/>
        <w:ind w:right="0"/>
        <w:rPr>
          <w:b w:val="0"/>
          <w:bCs w:val="0"/>
          <w:color w:val="2A8E8C"/>
          <w:sz w:val="28"/>
          <w:szCs w:val="28"/>
        </w:rPr>
      </w:pPr>
      <w:r w:rsidRPr="00D40378">
        <w:rPr>
          <w:rFonts w:ascii="Georgia" w:hAnsi="Georgia"/>
          <w:b w:val="0"/>
          <w:bCs w:val="0"/>
          <w:sz w:val="20"/>
          <w:szCs w:val="20"/>
        </w:rPr>
        <w:fldChar w:fldCharType="begin"/>
      </w:r>
      <w:r w:rsidRPr="00D40378">
        <w:rPr>
          <w:rFonts w:ascii="Georgia" w:hAnsi="Georgia"/>
          <w:b w:val="0"/>
          <w:bCs w:val="0"/>
          <w:sz w:val="20"/>
          <w:szCs w:val="20"/>
        </w:rPr>
        <w:instrText xml:space="preserve"> HYPERLINK ""  "https://equityhealthj.biomedcentral.com/articles/10.1186/s12939-021-01552-w" </w:instrText>
      </w:r>
      <w:r w:rsidRPr="00D40378">
        <w:rPr>
          <w:rFonts w:ascii="Georgia" w:hAnsi="Georgia"/>
          <w:b w:val="0"/>
          <w:bCs w:val="0"/>
          <w:sz w:val="20"/>
          <w:szCs w:val="20"/>
        </w:rPr>
      </w:r>
      <w:r w:rsidRPr="00D40378">
        <w:rPr>
          <w:rFonts w:ascii="Georgia" w:hAnsi="Georgia"/>
          <w:b w:val="0"/>
          <w:bCs w:val="0"/>
          <w:sz w:val="20"/>
          <w:szCs w:val="20"/>
        </w:rPr>
        <w:fldChar w:fldCharType="separate"/>
      </w:r>
      <w:r w:rsidRPr="00D40378">
        <w:rPr>
          <w:b w:val="0"/>
          <w:bCs w:val="0"/>
          <w:color w:val="2A8E8C"/>
          <w:sz w:val="28"/>
          <w:szCs w:val="28"/>
        </w:rPr>
        <w:t>Implications of Covid-19 on the future of teaching the social work profession</w:t>
      </w:r>
      <w:r>
        <w:rPr>
          <w:b w:val="0"/>
          <w:bCs w:val="0"/>
          <w:color w:val="2A8E8C"/>
          <w:sz w:val="28"/>
          <w:szCs w:val="28"/>
        </w:rPr>
        <w:t xml:space="preserve">: </w:t>
      </w:r>
      <w:r w:rsidRPr="00D40378">
        <w:rPr>
          <w:b w:val="0"/>
          <w:bCs w:val="0"/>
          <w:color w:val="2A8E8C"/>
          <w:sz w:val="28"/>
          <w:szCs w:val="28"/>
        </w:rPr>
        <w:t>observation of the transition experience to remote learning of social work students in Israel</w:t>
      </w:r>
    </w:p>
    <w:p w14:paraId="5C5F0C96" w14:textId="406FF80B" w:rsidR="00D40378" w:rsidRPr="00D40378" w:rsidRDefault="00D40378" w:rsidP="00D40378">
      <w:pPr>
        <w:bidi w:val="0"/>
        <w:spacing w:after="120" w:line="280" w:lineRule="exact"/>
        <w:jc w:val="both"/>
        <w:rPr>
          <w:rFonts w:ascii="Georgia" w:hAnsi="Georgia" w:cs="Times New Roman"/>
          <w:i/>
          <w:iCs/>
          <w:color w:val="000000" w:themeColor="text1"/>
          <w:sz w:val="20"/>
          <w:szCs w:val="20"/>
        </w:rPr>
      </w:pPr>
      <w:r w:rsidRPr="00D40378">
        <w:rPr>
          <w:rFonts w:ascii="Georgia" w:hAnsi="Georgia"/>
          <w:b/>
          <w:bCs/>
          <w:sz w:val="20"/>
          <w:szCs w:val="20"/>
        </w:rPr>
        <w:fldChar w:fldCharType="end"/>
      </w:r>
      <w:proofErr w:type="spellStart"/>
      <w:r w:rsidRPr="00D40378">
        <w:rPr>
          <w:rFonts w:ascii="Georgia" w:hAnsi="Georgia" w:cs="Times New Roman"/>
          <w:i/>
          <w:iCs/>
          <w:color w:val="000000" w:themeColor="text1"/>
          <w:sz w:val="20"/>
          <w:szCs w:val="20"/>
        </w:rPr>
        <w:t>Yaara</w:t>
      </w:r>
      <w:proofErr w:type="spellEnd"/>
      <w:r w:rsidRPr="00D40378">
        <w:rPr>
          <w:rFonts w:ascii="Georgia" w:hAnsi="Georgia" w:cs="Times New Roman"/>
          <w:i/>
          <w:iCs/>
          <w:color w:val="000000" w:themeColor="text1"/>
          <w:sz w:val="20"/>
          <w:szCs w:val="20"/>
        </w:rPr>
        <w:t xml:space="preserve"> Paz</w:t>
      </w:r>
      <w:r w:rsidRPr="00D40378">
        <w:rPr>
          <w:rFonts w:ascii="Georgia" w:hAnsi="Georgia" w:cs="Times New Roman"/>
          <w:i/>
          <w:iCs/>
          <w:color w:val="000000" w:themeColor="text1"/>
          <w:sz w:val="20"/>
          <w:szCs w:val="20"/>
          <w:vertAlign w:val="superscript"/>
        </w:rPr>
        <w:footnoteReference w:id="3"/>
      </w:r>
      <w:r w:rsidRPr="00D40378">
        <w:rPr>
          <w:rFonts w:ascii="Georgia" w:hAnsi="Georgia" w:cs="Times New Roman"/>
          <w:i/>
          <w:iCs/>
          <w:color w:val="000000" w:themeColor="text1"/>
          <w:sz w:val="20"/>
          <w:szCs w:val="20"/>
        </w:rPr>
        <w:t>, Yael Latzer2</w:t>
      </w:r>
      <w:r w:rsidRPr="00D40378">
        <w:rPr>
          <w:rFonts w:ascii="Georgia" w:hAnsi="Georgia" w:cs="Times New Roman"/>
          <w:color w:val="000000" w:themeColor="text1"/>
          <w:sz w:val="20"/>
          <w:szCs w:val="20"/>
        </w:rPr>
        <w:t xml:space="preserve"> and </w:t>
      </w:r>
      <w:proofErr w:type="spellStart"/>
      <w:r w:rsidRPr="00D40378">
        <w:rPr>
          <w:rFonts w:ascii="Georgia" w:hAnsi="Georgia" w:cs="Times New Roman"/>
          <w:i/>
          <w:iCs/>
          <w:color w:val="000000" w:themeColor="text1"/>
          <w:sz w:val="20"/>
          <w:szCs w:val="20"/>
        </w:rPr>
        <w:t>Liat</w:t>
      </w:r>
      <w:proofErr w:type="spellEnd"/>
      <w:r w:rsidRPr="00D40378">
        <w:rPr>
          <w:rFonts w:ascii="Georgia" w:hAnsi="Georgia" w:cs="Times New Roman"/>
          <w:i/>
          <w:iCs/>
          <w:color w:val="000000" w:themeColor="text1"/>
          <w:sz w:val="20"/>
          <w:szCs w:val="20"/>
        </w:rPr>
        <w:t xml:space="preserve"> </w:t>
      </w:r>
      <w:proofErr w:type="spellStart"/>
      <w:r w:rsidRPr="00D40378">
        <w:rPr>
          <w:rFonts w:ascii="Georgia" w:hAnsi="Georgia" w:cs="Times New Roman"/>
          <w:i/>
          <w:iCs/>
          <w:color w:val="000000" w:themeColor="text1"/>
          <w:sz w:val="20"/>
          <w:szCs w:val="20"/>
        </w:rPr>
        <w:t>Shklarski</w:t>
      </w:r>
      <w:proofErr w:type="spellEnd"/>
      <w:r w:rsidRPr="00D40378">
        <w:rPr>
          <w:rFonts w:ascii="Georgia" w:hAnsi="Georgia" w:cs="Times New Roman"/>
          <w:i/>
          <w:iCs/>
          <w:color w:val="000000" w:themeColor="text1"/>
          <w:sz w:val="20"/>
          <w:szCs w:val="20"/>
          <w:vertAlign w:val="superscript"/>
        </w:rPr>
        <w:footnoteReference w:id="4"/>
      </w:r>
    </w:p>
    <w:p w14:paraId="576CD321" w14:textId="77777777" w:rsidR="00D40378" w:rsidRDefault="00D40378" w:rsidP="00D40378">
      <w:pPr>
        <w:bidi w:val="0"/>
        <w:spacing w:after="120" w:line="280" w:lineRule="exact"/>
        <w:jc w:val="both"/>
        <w:rPr>
          <w:rFonts w:ascii="Georgia" w:hAnsi="Georgia" w:cs="Calibri"/>
          <w:sz w:val="20"/>
          <w:szCs w:val="20"/>
        </w:rPr>
      </w:pPr>
    </w:p>
    <w:p w14:paraId="4572CDB4" w14:textId="61821BAE" w:rsidR="00D40378" w:rsidRPr="00D40378" w:rsidRDefault="00D40378" w:rsidP="00D40378">
      <w:pPr>
        <w:bidi w:val="0"/>
        <w:spacing w:after="120" w:line="280" w:lineRule="exact"/>
        <w:jc w:val="both"/>
        <w:rPr>
          <w:rFonts w:ascii="Georgia" w:hAnsi="Georgia" w:cs="Calibri"/>
          <w:b/>
          <w:bCs/>
          <w:sz w:val="20"/>
          <w:szCs w:val="20"/>
        </w:rPr>
      </w:pPr>
      <w:r w:rsidRPr="00D40378">
        <w:rPr>
          <w:rFonts w:ascii="Georgia" w:hAnsi="Georgia" w:cs="Calibri"/>
          <w:sz w:val="20"/>
          <w:szCs w:val="20"/>
        </w:rPr>
        <w:t xml:space="preserve">During the Covid-19 pandemic, academic studies worldwide transitioned to remote learning, the impact of which is still being felt. The challenges of teaching therapeutic professions, such as social work, remotely became particularly apparent in the transition’s impact on students’ learning experiences. Since research exploring the impact of the transition to remote learning on social work studies is nascent, the current study examines the influence of the switch to remote learning on the emotional and cognitive experiences of social work students and how they perceived the quality of the teaching they received. The study observed 150 Israeli social work students who participated in a survey based on a questionnaire designed in the United States, which included demographic queries, statements, and open-ended questions. </w:t>
      </w:r>
    </w:p>
    <w:p w14:paraId="604A4BDA" w14:textId="77777777" w:rsidR="00D40378" w:rsidRDefault="00D40378" w:rsidP="00D40378">
      <w:pPr>
        <w:bidi w:val="0"/>
        <w:spacing w:after="120" w:line="280" w:lineRule="exact"/>
        <w:jc w:val="both"/>
        <w:rPr>
          <w:rFonts w:ascii="Georgia" w:hAnsi="Georgia" w:cs="Calibri"/>
          <w:sz w:val="20"/>
          <w:szCs w:val="20"/>
        </w:rPr>
      </w:pPr>
      <w:r w:rsidRPr="00D40378">
        <w:rPr>
          <w:rFonts w:ascii="Georgia" w:hAnsi="Georgia" w:cs="Calibri"/>
          <w:sz w:val="20"/>
          <w:szCs w:val="20"/>
        </w:rPr>
        <w:t xml:space="preserve">The findings highlight students’ mixed emotions. Although more than half reported a negative impact on the teaching quality (64.6%) and had difficulty achieving the same intimacy as in frontal practice classes (77.4%), most participants recognized the advantages of remote learning (71.3%) and were open to this option in the future (76%). In addition, in response to questions regarding the first stage of the pandemic, 52% of the participants positioned themselves in the “experimentation and adaptation” stage of the Kübler-Ross </w:t>
      </w:r>
      <w:r w:rsidRPr="00D40378">
        <w:rPr>
          <w:rFonts w:ascii="Georgia" w:hAnsi="Georgia" w:cs="Calibri"/>
          <w:sz w:val="20"/>
          <w:szCs w:val="20"/>
        </w:rPr>
        <w:lastRenderedPageBreak/>
        <w:t xml:space="preserve">(1969) change curve. However, 62.6% reported that this period had an unsettling emotional impact on them, and 68% experienced feelings of confusion and helplessness. The current study </w:t>
      </w:r>
      <w:r w:rsidRPr="00D40378">
        <w:rPr>
          <w:rFonts w:ascii="Georgia" w:hAnsi="Georgia" w:cs="Calibri"/>
          <w:sz w:val="20"/>
          <w:szCs w:val="20"/>
          <w:lang w:val="en-GB"/>
        </w:rPr>
        <w:t>perceives</w:t>
      </w:r>
      <w:r w:rsidRPr="00D40378">
        <w:rPr>
          <w:rFonts w:ascii="Georgia" w:hAnsi="Georgia" w:cs="Calibri"/>
          <w:sz w:val="20"/>
          <w:szCs w:val="20"/>
        </w:rPr>
        <w:t xml:space="preserve"> remote learning as a new phenomenon influencing the future of social work teaching policies. The findings provide the foundation for understanding the complexity of remote learning in the social work profession and offer opportunities to learn from experience and pursue further research in the field.</w:t>
      </w:r>
    </w:p>
    <w:p w14:paraId="594C6F27" w14:textId="77777777" w:rsidR="00D40378" w:rsidRPr="00D40378" w:rsidRDefault="00D40378" w:rsidP="00D40378">
      <w:pPr>
        <w:bidi w:val="0"/>
        <w:spacing w:after="120" w:line="280" w:lineRule="exact"/>
        <w:jc w:val="both"/>
        <w:rPr>
          <w:rFonts w:ascii="Georgia" w:hAnsi="Georgia" w:cs="Calibri"/>
          <w:b/>
          <w:bCs/>
          <w:sz w:val="20"/>
          <w:szCs w:val="20"/>
        </w:rPr>
      </w:pPr>
    </w:p>
    <w:p w14:paraId="2A16E4BF" w14:textId="77777777" w:rsidR="00D40378" w:rsidRPr="00D40378" w:rsidRDefault="00D40378" w:rsidP="00D40378">
      <w:pPr>
        <w:bidi w:val="0"/>
        <w:spacing w:after="120" w:line="280" w:lineRule="exact"/>
        <w:jc w:val="both"/>
        <w:rPr>
          <w:rFonts w:ascii="Georgia" w:hAnsi="Georgia"/>
          <w:b/>
          <w:bCs/>
          <w:sz w:val="20"/>
          <w:szCs w:val="20"/>
          <w:rtl/>
        </w:rPr>
      </w:pPr>
    </w:p>
    <w:p w14:paraId="4B523FBD" w14:textId="64510455" w:rsidR="00D40378" w:rsidRPr="00D40378" w:rsidRDefault="00D40378" w:rsidP="00D40378">
      <w:pPr>
        <w:pStyle w:val="KOT4"/>
        <w:keepLines/>
        <w:bidi w:val="0"/>
        <w:spacing w:line="240" w:lineRule="auto"/>
        <w:ind w:right="0"/>
        <w:rPr>
          <w:b w:val="0"/>
          <w:bCs w:val="0"/>
          <w:color w:val="2A8E8C"/>
          <w:sz w:val="28"/>
          <w:szCs w:val="28"/>
        </w:rPr>
      </w:pPr>
      <w:r w:rsidRPr="00D40378">
        <w:rPr>
          <w:b w:val="0"/>
          <w:bCs w:val="0"/>
          <w:color w:val="2A8E8C"/>
          <w:sz w:val="28"/>
          <w:szCs w:val="28"/>
        </w:rPr>
        <w:t xml:space="preserve">Integrating lay judges in judicial tribunals: </w:t>
      </w:r>
      <w:r>
        <w:rPr>
          <w:b w:val="0"/>
          <w:bCs w:val="0"/>
          <w:color w:val="2A8E8C"/>
          <w:sz w:val="28"/>
          <w:szCs w:val="28"/>
        </w:rPr>
        <w:br/>
      </w:r>
      <w:r w:rsidRPr="00D40378">
        <w:rPr>
          <w:b w:val="0"/>
          <w:bCs w:val="0"/>
          <w:color w:val="2A8E8C"/>
          <w:sz w:val="28"/>
          <w:szCs w:val="28"/>
        </w:rPr>
        <w:t>a systematic scoping review</w:t>
      </w:r>
    </w:p>
    <w:p w14:paraId="2D641306" w14:textId="7F6563AF" w:rsidR="00D40378" w:rsidRPr="00D40378" w:rsidRDefault="00D40378" w:rsidP="00D40378">
      <w:pPr>
        <w:bidi w:val="0"/>
        <w:spacing w:after="120" w:line="280" w:lineRule="exact"/>
        <w:jc w:val="both"/>
        <w:rPr>
          <w:rFonts w:ascii="Georgia" w:hAnsi="Georgia" w:cs="Times New Roman"/>
          <w:i/>
          <w:iCs/>
          <w:color w:val="000000" w:themeColor="text1"/>
          <w:sz w:val="20"/>
          <w:szCs w:val="20"/>
          <w:rtl/>
        </w:rPr>
      </w:pPr>
      <w:proofErr w:type="spellStart"/>
      <w:r w:rsidRPr="00D40378">
        <w:rPr>
          <w:rFonts w:ascii="Georgia" w:hAnsi="Georgia" w:cs="Times New Roman"/>
          <w:i/>
          <w:iCs/>
          <w:color w:val="000000" w:themeColor="text1"/>
          <w:sz w:val="20"/>
          <w:szCs w:val="20"/>
        </w:rPr>
        <w:t>Naama</w:t>
      </w:r>
      <w:proofErr w:type="spellEnd"/>
      <w:r w:rsidRPr="00D40378">
        <w:rPr>
          <w:rFonts w:ascii="Georgia" w:hAnsi="Georgia" w:cs="Times New Roman"/>
          <w:i/>
          <w:iCs/>
          <w:color w:val="000000" w:themeColor="text1"/>
          <w:sz w:val="20"/>
          <w:szCs w:val="20"/>
        </w:rPr>
        <w:t xml:space="preserve"> Bar-on </w:t>
      </w:r>
      <w:proofErr w:type="spellStart"/>
      <w:r w:rsidRPr="00D40378">
        <w:rPr>
          <w:rFonts w:ascii="Georgia" w:hAnsi="Georgia" w:cs="Times New Roman"/>
          <w:i/>
          <w:iCs/>
          <w:color w:val="000000" w:themeColor="text1"/>
          <w:sz w:val="20"/>
          <w:szCs w:val="20"/>
        </w:rPr>
        <w:t>Shmilovitch</w:t>
      </w:r>
      <w:proofErr w:type="spellEnd"/>
      <w:r w:rsidRPr="00D40378">
        <w:rPr>
          <w:rFonts w:ascii="Georgia" w:hAnsi="Georgia" w:cs="Times New Roman"/>
          <w:i/>
          <w:iCs/>
          <w:color w:val="000000" w:themeColor="text1"/>
          <w:sz w:val="20"/>
          <w:szCs w:val="20"/>
          <w:vertAlign w:val="superscript"/>
        </w:rPr>
        <w:footnoteReference w:id="5"/>
      </w:r>
      <w:r w:rsidRPr="00D40378">
        <w:rPr>
          <w:rFonts w:ascii="Georgia" w:hAnsi="Georgia" w:cs="Times New Roman"/>
          <w:i/>
          <w:iCs/>
          <w:color w:val="000000" w:themeColor="text1"/>
          <w:sz w:val="20"/>
          <w:szCs w:val="20"/>
        </w:rPr>
        <w:t xml:space="preserve">, Shay </w:t>
      </w:r>
      <w:proofErr w:type="spellStart"/>
      <w:r w:rsidRPr="00D40378">
        <w:rPr>
          <w:rFonts w:ascii="Georgia" w:hAnsi="Georgia" w:cs="Times New Roman"/>
          <w:i/>
          <w:iCs/>
          <w:color w:val="000000" w:themeColor="text1"/>
          <w:sz w:val="20"/>
          <w:szCs w:val="20"/>
        </w:rPr>
        <w:t>Tzafrir</w:t>
      </w:r>
      <w:proofErr w:type="spellEnd"/>
      <w:r w:rsidRPr="00D40378">
        <w:rPr>
          <w:rFonts w:ascii="Georgia" w:hAnsi="Georgia" w:cs="Times New Roman"/>
          <w:i/>
          <w:iCs/>
          <w:color w:val="000000" w:themeColor="text1"/>
          <w:sz w:val="20"/>
          <w:szCs w:val="20"/>
          <w:vertAlign w:val="superscript"/>
        </w:rPr>
        <w:footnoteReference w:id="6"/>
      </w:r>
      <w:r w:rsidRPr="00D40378">
        <w:rPr>
          <w:rFonts w:ascii="Georgia" w:hAnsi="Georgia" w:cs="Times New Roman"/>
          <w:color w:val="000000" w:themeColor="text1"/>
          <w:sz w:val="20"/>
          <w:szCs w:val="20"/>
        </w:rPr>
        <w:t xml:space="preserve"> and </w:t>
      </w:r>
      <w:r w:rsidRPr="00D40378">
        <w:rPr>
          <w:rFonts w:ascii="Georgia" w:hAnsi="Georgia" w:cs="Times New Roman"/>
          <w:i/>
          <w:iCs/>
          <w:color w:val="000000" w:themeColor="text1"/>
          <w:sz w:val="20"/>
          <w:szCs w:val="20"/>
        </w:rPr>
        <w:t>Israel (</w:t>
      </w:r>
      <w:proofErr w:type="spellStart"/>
      <w:r w:rsidRPr="00D40378">
        <w:rPr>
          <w:rFonts w:ascii="Georgia" w:hAnsi="Georgia" w:cs="Times New Roman"/>
          <w:i/>
          <w:iCs/>
          <w:color w:val="000000" w:themeColor="text1"/>
          <w:sz w:val="20"/>
          <w:szCs w:val="20"/>
        </w:rPr>
        <w:t>Issi</w:t>
      </w:r>
      <w:proofErr w:type="spellEnd"/>
      <w:r w:rsidRPr="00D40378">
        <w:rPr>
          <w:rFonts w:ascii="Georgia" w:hAnsi="Georgia" w:cs="Times New Roman"/>
          <w:i/>
          <w:iCs/>
          <w:color w:val="000000" w:themeColor="text1"/>
          <w:sz w:val="20"/>
          <w:szCs w:val="20"/>
        </w:rPr>
        <w:t>) Doron</w:t>
      </w:r>
      <w:r w:rsidRPr="00D40378">
        <w:rPr>
          <w:rFonts w:ascii="Georgia" w:hAnsi="Georgia" w:cs="Times New Roman"/>
          <w:i/>
          <w:iCs/>
          <w:color w:val="000000" w:themeColor="text1"/>
          <w:sz w:val="20"/>
          <w:szCs w:val="20"/>
          <w:vertAlign w:val="superscript"/>
        </w:rPr>
        <w:footnoteReference w:id="7"/>
      </w:r>
      <w:r w:rsidRPr="00D40378">
        <w:rPr>
          <w:rFonts w:ascii="Georgia" w:hAnsi="Georgia" w:cs="Times New Roman"/>
          <w:i/>
          <w:iCs/>
          <w:color w:val="000000" w:themeColor="text1"/>
          <w:sz w:val="20"/>
          <w:szCs w:val="20"/>
        </w:rPr>
        <w:t xml:space="preserve"> </w:t>
      </w:r>
    </w:p>
    <w:p w14:paraId="733A8D17" w14:textId="77777777" w:rsidR="00D40378" w:rsidRPr="00D40378" w:rsidRDefault="00D40378" w:rsidP="00D40378">
      <w:pPr>
        <w:pStyle w:val="HTMLPreformatted"/>
        <w:spacing w:after="120" w:line="280" w:lineRule="exact"/>
        <w:rPr>
          <w:rFonts w:ascii="Georgia" w:eastAsiaTheme="minorHAnsi" w:hAnsi="Georgia" w:cs="Calibri"/>
          <w:rtl/>
        </w:rPr>
      </w:pPr>
    </w:p>
    <w:p w14:paraId="2843A93D" w14:textId="77777777" w:rsidR="00D40378" w:rsidRPr="00D40378" w:rsidRDefault="00D40378" w:rsidP="00D40378">
      <w:pPr>
        <w:bidi w:val="0"/>
        <w:spacing w:after="120" w:line="280" w:lineRule="exact"/>
        <w:jc w:val="both"/>
        <w:rPr>
          <w:rFonts w:ascii="Georgia" w:hAnsi="Georgia" w:cs="Calibri"/>
          <w:b/>
          <w:bCs/>
          <w:sz w:val="20"/>
          <w:szCs w:val="20"/>
          <w:lang w:val="en-IL"/>
        </w:rPr>
      </w:pPr>
      <w:r w:rsidRPr="00D40378">
        <w:rPr>
          <w:rFonts w:ascii="Georgia" w:hAnsi="Georgia" w:cs="Calibri"/>
          <w:sz w:val="20"/>
          <w:szCs w:val="20"/>
          <w:lang w:val="en-IL"/>
        </w:rPr>
        <w:t xml:space="preserve">Many countries around the world have adopted various judicial models for integrating citizens into judicial tribunals, and this has become more widespread in recent decades. As </w:t>
      </w:r>
      <w:r w:rsidRPr="00D40378">
        <w:rPr>
          <w:rFonts w:ascii="Georgia" w:hAnsi="Georgia" w:cs="Calibri"/>
          <w:sz w:val="20"/>
          <w:szCs w:val="20"/>
        </w:rPr>
        <w:t>“</w:t>
      </w:r>
      <w:r w:rsidRPr="00D40378">
        <w:rPr>
          <w:rFonts w:ascii="Georgia" w:hAnsi="Georgia" w:cs="Calibri"/>
          <w:sz w:val="20"/>
          <w:szCs w:val="20"/>
          <w:lang w:val="en-IL"/>
        </w:rPr>
        <w:t>lay judges</w:t>
      </w:r>
      <w:r w:rsidRPr="00D40378">
        <w:rPr>
          <w:rFonts w:ascii="Georgia" w:hAnsi="Georgia" w:cs="Calibri"/>
          <w:sz w:val="20"/>
          <w:szCs w:val="20"/>
        </w:rPr>
        <w:t>”</w:t>
      </w:r>
      <w:r w:rsidRPr="00D40378">
        <w:rPr>
          <w:rFonts w:ascii="Georgia" w:hAnsi="Georgia" w:cs="Calibri"/>
          <w:sz w:val="20"/>
          <w:szCs w:val="20"/>
          <w:lang w:val="en-IL"/>
        </w:rPr>
        <w:t>, these citizens contribute their common sense, their sense of natural justice, and sometimes their professional knowledge to the legal process and to the specific court they are integrated into. There has been a lively debate about lay judges</w:t>
      </w:r>
      <w:r w:rsidRPr="00D40378">
        <w:rPr>
          <w:rFonts w:ascii="Georgia" w:hAnsi="Georgia" w:cs="Calibri"/>
          <w:sz w:val="20"/>
          <w:szCs w:val="20"/>
        </w:rPr>
        <w:t>’</w:t>
      </w:r>
      <w:r w:rsidRPr="00D40378">
        <w:rPr>
          <w:rFonts w:ascii="Georgia" w:hAnsi="Georgia" w:cs="Calibri"/>
          <w:sz w:val="20"/>
          <w:szCs w:val="20"/>
          <w:lang w:val="en-IL"/>
        </w:rPr>
        <w:t xml:space="preserve"> contribution to the legal process in Israel and around the world over the years. Our current study aimed to add another aspect to this discourse by using a Systematic Scoping Review (SSR) methodology to identify 57 empirical and theoretical studies on lay judges</w:t>
      </w:r>
      <w:r w:rsidRPr="00D40378">
        <w:rPr>
          <w:rFonts w:ascii="Georgia" w:hAnsi="Georgia" w:cs="Calibri"/>
          <w:sz w:val="20"/>
          <w:szCs w:val="20"/>
        </w:rPr>
        <w:t>’</w:t>
      </w:r>
      <w:r w:rsidRPr="00D40378">
        <w:rPr>
          <w:rFonts w:ascii="Georgia" w:hAnsi="Georgia" w:cs="Calibri"/>
          <w:sz w:val="20"/>
          <w:szCs w:val="20"/>
          <w:lang w:val="en-IL"/>
        </w:rPr>
        <w:t xml:space="preserve"> integration. </w:t>
      </w:r>
    </w:p>
    <w:p w14:paraId="46C042A1" w14:textId="77777777" w:rsidR="00D40378" w:rsidRDefault="00D40378" w:rsidP="00D40378">
      <w:pPr>
        <w:bidi w:val="0"/>
        <w:spacing w:after="120" w:line="280" w:lineRule="exact"/>
        <w:jc w:val="both"/>
        <w:rPr>
          <w:rFonts w:ascii="Georgia" w:hAnsi="Georgia" w:cs="Calibri"/>
          <w:sz w:val="20"/>
          <w:szCs w:val="20"/>
          <w:lang w:val="en-IL"/>
        </w:rPr>
      </w:pPr>
      <w:r w:rsidRPr="00D40378">
        <w:rPr>
          <w:rFonts w:ascii="Georgia" w:hAnsi="Georgia" w:cs="Calibri"/>
          <w:sz w:val="20"/>
          <w:szCs w:val="20"/>
          <w:lang w:val="en-IL"/>
        </w:rPr>
        <w:t>As a result of these studies, we sought to understand the position and role of lay judges within judicial tribunals, as well as the challenges underlying their integration. We examine the scope of the phenomenon and the main contributions of lay judges</w:t>
      </w:r>
      <w:r w:rsidRPr="00D40378">
        <w:rPr>
          <w:rFonts w:ascii="Georgia" w:hAnsi="Georgia" w:cs="Calibri"/>
          <w:sz w:val="20"/>
          <w:szCs w:val="20"/>
        </w:rPr>
        <w:t>’</w:t>
      </w:r>
      <w:r w:rsidRPr="00D40378">
        <w:rPr>
          <w:rFonts w:ascii="Georgia" w:hAnsi="Georgia" w:cs="Calibri"/>
          <w:sz w:val="20"/>
          <w:szCs w:val="20"/>
          <w:lang w:val="en-IL"/>
        </w:rPr>
        <w:t xml:space="preserve"> integration, both on a general social and legal level as well as on a particular and systemic level.</w:t>
      </w:r>
    </w:p>
    <w:p w14:paraId="50283C6D" w14:textId="77777777" w:rsidR="00D40378" w:rsidRPr="00D40378" w:rsidRDefault="00D40378" w:rsidP="00D40378">
      <w:pPr>
        <w:bidi w:val="0"/>
        <w:spacing w:after="120" w:line="280" w:lineRule="exact"/>
        <w:jc w:val="both"/>
        <w:rPr>
          <w:rFonts w:ascii="Georgia" w:hAnsi="Georgia" w:cs="Calibri"/>
          <w:b/>
          <w:bCs/>
          <w:sz w:val="20"/>
          <w:szCs w:val="20"/>
          <w:rtl/>
          <w:lang w:val="en-IL"/>
        </w:rPr>
      </w:pPr>
    </w:p>
    <w:p w14:paraId="3226971C" w14:textId="77777777" w:rsidR="00D40378" w:rsidRPr="00D40378" w:rsidRDefault="00D40378" w:rsidP="00D40378">
      <w:pPr>
        <w:pStyle w:val="KOT4"/>
        <w:keepLines/>
        <w:bidi w:val="0"/>
        <w:spacing w:line="240" w:lineRule="auto"/>
        <w:ind w:right="0"/>
        <w:rPr>
          <w:b w:val="0"/>
          <w:bCs w:val="0"/>
          <w:color w:val="2A8E8C"/>
          <w:sz w:val="28"/>
          <w:szCs w:val="28"/>
        </w:rPr>
      </w:pPr>
      <w:r w:rsidRPr="00D40378">
        <w:rPr>
          <w:b w:val="0"/>
          <w:bCs w:val="0"/>
          <w:color w:val="2A8E8C"/>
          <w:sz w:val="28"/>
          <w:szCs w:val="28"/>
        </w:rPr>
        <w:lastRenderedPageBreak/>
        <w:t xml:space="preserve">Othering, poverty and law: the case of panhandlers in the Western Wall </w:t>
      </w:r>
    </w:p>
    <w:p w14:paraId="0D7FD302" w14:textId="61DF4F04" w:rsidR="00D40378" w:rsidRPr="00D40378" w:rsidRDefault="00D40378" w:rsidP="00D40378">
      <w:pPr>
        <w:bidi w:val="0"/>
        <w:spacing w:after="120" w:line="280" w:lineRule="exact"/>
        <w:jc w:val="both"/>
        <w:rPr>
          <w:rFonts w:ascii="Georgia" w:hAnsi="Georgia" w:cs="Times New Roman"/>
          <w:i/>
          <w:iCs/>
          <w:color w:val="000000" w:themeColor="text1"/>
          <w:sz w:val="20"/>
          <w:szCs w:val="20"/>
        </w:rPr>
      </w:pPr>
      <w:proofErr w:type="spellStart"/>
      <w:r w:rsidRPr="00D40378">
        <w:rPr>
          <w:rFonts w:ascii="Georgia" w:hAnsi="Georgia" w:cs="Times New Roman"/>
          <w:i/>
          <w:iCs/>
          <w:color w:val="000000" w:themeColor="text1"/>
          <w:sz w:val="20"/>
          <w:szCs w:val="20"/>
        </w:rPr>
        <w:t>Shlomit</w:t>
      </w:r>
      <w:proofErr w:type="spellEnd"/>
      <w:r w:rsidRPr="00D40378">
        <w:rPr>
          <w:rFonts w:ascii="Georgia" w:hAnsi="Georgia" w:cs="Times New Roman"/>
          <w:i/>
          <w:iCs/>
          <w:color w:val="000000" w:themeColor="text1"/>
          <w:sz w:val="20"/>
          <w:szCs w:val="20"/>
        </w:rPr>
        <w:t xml:space="preserve"> Weiss-Dagan</w:t>
      </w:r>
      <w:r w:rsidRPr="00D40378">
        <w:rPr>
          <w:rFonts w:cs="Times New Roman"/>
          <w:color w:val="000000" w:themeColor="text1"/>
          <w:vertAlign w:val="superscript"/>
        </w:rPr>
        <w:footnoteReference w:id="8"/>
      </w:r>
      <w:r w:rsidRPr="00D40378">
        <w:rPr>
          <w:rFonts w:ascii="Georgia" w:hAnsi="Georgia" w:cs="Times New Roman"/>
          <w:i/>
          <w:iCs/>
          <w:color w:val="000000" w:themeColor="text1"/>
          <w:sz w:val="20"/>
          <w:szCs w:val="20"/>
        </w:rPr>
        <w:t xml:space="preserve">, </w:t>
      </w:r>
      <w:proofErr w:type="spellStart"/>
      <w:r w:rsidRPr="00D40378">
        <w:rPr>
          <w:rFonts w:ascii="Georgia" w:hAnsi="Georgia" w:cs="Times New Roman"/>
          <w:i/>
          <w:iCs/>
          <w:color w:val="000000" w:themeColor="text1"/>
          <w:sz w:val="20"/>
          <w:szCs w:val="20"/>
        </w:rPr>
        <w:t>Netanel</w:t>
      </w:r>
      <w:proofErr w:type="spellEnd"/>
      <w:r w:rsidRPr="00D40378">
        <w:rPr>
          <w:rFonts w:ascii="Georgia" w:hAnsi="Georgia" w:cs="Times New Roman"/>
          <w:i/>
          <w:iCs/>
          <w:color w:val="000000" w:themeColor="text1"/>
          <w:sz w:val="20"/>
          <w:szCs w:val="20"/>
        </w:rPr>
        <w:t xml:space="preserve"> Dagan</w:t>
      </w:r>
      <w:r w:rsidRPr="00D40378">
        <w:rPr>
          <w:rFonts w:ascii="Georgia" w:hAnsi="Georgia" w:cs="Times New Roman"/>
          <w:color w:val="000000" w:themeColor="text1"/>
          <w:sz w:val="20"/>
          <w:szCs w:val="20"/>
        </w:rPr>
        <w:t xml:space="preserve"> and </w:t>
      </w:r>
      <w:r w:rsidRPr="00D40378">
        <w:rPr>
          <w:rFonts w:ascii="Georgia" w:hAnsi="Georgia" w:cs="Times New Roman"/>
          <w:i/>
          <w:iCs/>
          <w:color w:val="000000" w:themeColor="text1"/>
          <w:sz w:val="20"/>
          <w:szCs w:val="20"/>
        </w:rPr>
        <w:t xml:space="preserve">Michal </w:t>
      </w:r>
      <w:proofErr w:type="spellStart"/>
      <w:r w:rsidRPr="00D40378">
        <w:rPr>
          <w:rFonts w:ascii="Georgia" w:hAnsi="Georgia" w:cs="Times New Roman"/>
          <w:i/>
          <w:iCs/>
          <w:color w:val="000000" w:themeColor="text1"/>
          <w:sz w:val="20"/>
          <w:szCs w:val="20"/>
        </w:rPr>
        <w:t>Krumer-Nevo</w:t>
      </w:r>
      <w:proofErr w:type="spellEnd"/>
      <w:r w:rsidRPr="00D40378">
        <w:rPr>
          <w:rFonts w:cs="Times New Roman"/>
          <w:color w:val="000000" w:themeColor="text1"/>
          <w:vertAlign w:val="superscript"/>
        </w:rPr>
        <w:footnoteReference w:id="9"/>
      </w:r>
    </w:p>
    <w:p w14:paraId="3515A103" w14:textId="77777777" w:rsidR="00D40378" w:rsidRDefault="00D40378" w:rsidP="00D40378">
      <w:pPr>
        <w:bidi w:val="0"/>
        <w:spacing w:after="120" w:line="280" w:lineRule="exact"/>
        <w:jc w:val="both"/>
        <w:rPr>
          <w:rFonts w:ascii="Georgia" w:hAnsi="Georgia"/>
          <w:sz w:val="20"/>
          <w:szCs w:val="20"/>
        </w:rPr>
      </w:pPr>
    </w:p>
    <w:p w14:paraId="7BCEB24A" w14:textId="32A312D1" w:rsidR="00D40378" w:rsidRPr="00D40378" w:rsidRDefault="00D40378" w:rsidP="00D40378">
      <w:pPr>
        <w:bidi w:val="0"/>
        <w:spacing w:after="120" w:line="280" w:lineRule="exact"/>
        <w:jc w:val="both"/>
        <w:rPr>
          <w:rFonts w:ascii="Georgia" w:hAnsi="Georgia"/>
          <w:b/>
          <w:bCs/>
          <w:sz w:val="20"/>
          <w:szCs w:val="20"/>
        </w:rPr>
      </w:pPr>
      <w:r w:rsidRPr="00D40378">
        <w:rPr>
          <w:rFonts w:ascii="Georgia" w:hAnsi="Georgia"/>
          <w:sz w:val="20"/>
          <w:szCs w:val="20"/>
        </w:rPr>
        <w:t xml:space="preserve">This study examines the legal proceedings in the </w:t>
      </w:r>
      <w:r w:rsidRPr="00D40378">
        <w:rPr>
          <w:rFonts w:ascii="Georgia" w:hAnsi="Georgia"/>
          <w:i/>
          <w:iCs/>
          <w:sz w:val="20"/>
          <w:szCs w:val="20"/>
        </w:rPr>
        <w:t xml:space="preserve">Schwartz and </w:t>
      </w:r>
      <w:proofErr w:type="spellStart"/>
      <w:r w:rsidRPr="00D40378">
        <w:rPr>
          <w:rFonts w:ascii="Georgia" w:hAnsi="Georgia"/>
          <w:i/>
          <w:iCs/>
          <w:sz w:val="20"/>
          <w:szCs w:val="20"/>
        </w:rPr>
        <w:t>Moshia</w:t>
      </w:r>
      <w:proofErr w:type="spellEnd"/>
      <w:r w:rsidRPr="00D40378">
        <w:rPr>
          <w:rFonts w:ascii="Georgia" w:hAnsi="Georgia"/>
          <w:i/>
          <w:iCs/>
          <w:sz w:val="20"/>
          <w:szCs w:val="20"/>
        </w:rPr>
        <w:t xml:space="preserve"> case </w:t>
      </w:r>
      <w:r w:rsidRPr="00D40378">
        <w:rPr>
          <w:rFonts w:ascii="Georgia" w:hAnsi="Georgia"/>
          <w:sz w:val="20"/>
          <w:szCs w:val="20"/>
        </w:rPr>
        <w:t xml:space="preserve">in order to analyze processes of othering and anti-othering in relation to people in poverty in court rulings. This case is unique because although it dealt with a relatively minor offense – panhandling in the Western Wall –– it was discussed in three courts from the Magistrates’ Court to the Supreme Court. </w:t>
      </w:r>
    </w:p>
    <w:p w14:paraId="439AB46C" w14:textId="77777777" w:rsidR="00D40378" w:rsidRPr="00D40378" w:rsidRDefault="00D40378" w:rsidP="00D40378">
      <w:pPr>
        <w:bidi w:val="0"/>
        <w:spacing w:after="120" w:line="280" w:lineRule="exact"/>
        <w:jc w:val="both"/>
        <w:rPr>
          <w:rFonts w:ascii="Georgia" w:hAnsi="Georgia"/>
          <w:b/>
          <w:bCs/>
          <w:sz w:val="20"/>
          <w:szCs w:val="20"/>
        </w:rPr>
      </w:pPr>
      <w:r w:rsidRPr="00D40378">
        <w:rPr>
          <w:rFonts w:ascii="Georgia" w:hAnsi="Georgia"/>
          <w:sz w:val="20"/>
          <w:szCs w:val="20"/>
        </w:rPr>
        <w:t xml:space="preserve">The study proposes two tests for analyzing the processes of othering and anti-othering: (a) the human subject test (how the human subject is represented in the text); and (b) the context test (how the context is represented). In terms of the human subject test, we found that the appellants were physically and symbolically absent in the various proceedings. The few references made to them were characterized by the attribution of negative qualities, especially in the proceedings in the Magistrates’ Court. In terms of the context test, the Magistrates’ Court, the District Court, as well as the State Attorney in various courts, paid little attention to the broad life context of the two. On the other hand, other important figures, such as the Association for Civil Rights and most Supreme Court Justices emphasized the context of the social conditions and dynamics that bring about panhandling and the need to create welfare policies that will aid those living in poverty. The article discusses the fruitfulness of analyzing othering and anti-othering strategies in the debate on the access of marginalized people to justice. </w:t>
      </w:r>
    </w:p>
    <w:p w14:paraId="210870AC" w14:textId="77777777" w:rsidR="00D40378" w:rsidRDefault="00D40378" w:rsidP="00D40378">
      <w:pPr>
        <w:bidi w:val="0"/>
        <w:spacing w:after="120" w:line="280" w:lineRule="exact"/>
        <w:jc w:val="both"/>
        <w:rPr>
          <w:rFonts w:ascii="Georgia" w:hAnsi="Georgia"/>
          <w:b/>
          <w:bCs/>
          <w:sz w:val="20"/>
          <w:szCs w:val="20"/>
        </w:rPr>
      </w:pPr>
    </w:p>
    <w:p w14:paraId="2A1D640D" w14:textId="77777777" w:rsidR="00D40378" w:rsidRPr="00D40378" w:rsidRDefault="00D40378" w:rsidP="00D40378">
      <w:pPr>
        <w:bidi w:val="0"/>
        <w:spacing w:after="120" w:line="280" w:lineRule="exact"/>
        <w:jc w:val="both"/>
        <w:rPr>
          <w:rFonts w:ascii="Georgia" w:hAnsi="Georgia"/>
          <w:b/>
          <w:bCs/>
          <w:sz w:val="20"/>
          <w:szCs w:val="20"/>
        </w:rPr>
      </w:pPr>
    </w:p>
    <w:p w14:paraId="6B5A128B" w14:textId="77777777" w:rsidR="00D40378" w:rsidRPr="00D40378" w:rsidRDefault="00D40378" w:rsidP="00D40378">
      <w:pPr>
        <w:pStyle w:val="KOT4"/>
        <w:keepLines/>
        <w:bidi w:val="0"/>
        <w:spacing w:line="240" w:lineRule="auto"/>
        <w:ind w:right="0"/>
        <w:rPr>
          <w:b w:val="0"/>
          <w:bCs w:val="0"/>
          <w:color w:val="2A8E8C"/>
          <w:sz w:val="28"/>
          <w:szCs w:val="28"/>
        </w:rPr>
      </w:pPr>
      <w:r w:rsidRPr="00D40378">
        <w:rPr>
          <w:b w:val="0"/>
          <w:bCs w:val="0"/>
          <w:color w:val="2A8E8C"/>
          <w:sz w:val="28"/>
          <w:szCs w:val="28"/>
        </w:rPr>
        <w:lastRenderedPageBreak/>
        <w:t>To be an immigrant caregiver: the burden experience of immigrants from the former Soviet Union caring for a family member with severe mental illness</w:t>
      </w:r>
    </w:p>
    <w:p w14:paraId="79863EB3" w14:textId="0E89D8FB" w:rsidR="00D40378" w:rsidRPr="00D40378" w:rsidRDefault="00D40378" w:rsidP="00D40378">
      <w:pPr>
        <w:bidi w:val="0"/>
        <w:spacing w:after="120" w:line="280" w:lineRule="exact"/>
        <w:jc w:val="both"/>
        <w:rPr>
          <w:rFonts w:ascii="Georgia" w:hAnsi="Georgia" w:cs="Times New Roman"/>
          <w:i/>
          <w:iCs/>
          <w:color w:val="000000" w:themeColor="text1"/>
          <w:sz w:val="20"/>
          <w:szCs w:val="20"/>
        </w:rPr>
      </w:pPr>
      <w:bookmarkStart w:id="0" w:name="_Hlk129521736"/>
      <w:proofErr w:type="spellStart"/>
      <w:r w:rsidRPr="00D40378">
        <w:rPr>
          <w:rFonts w:ascii="Georgia" w:hAnsi="Georgia" w:cs="Times New Roman"/>
          <w:i/>
          <w:iCs/>
          <w:color w:val="000000" w:themeColor="text1"/>
          <w:sz w:val="20"/>
          <w:szCs w:val="20"/>
        </w:rPr>
        <w:t>Evgeny</w:t>
      </w:r>
      <w:proofErr w:type="spellEnd"/>
      <w:r w:rsidRPr="00D40378">
        <w:rPr>
          <w:rFonts w:ascii="Georgia" w:hAnsi="Georgia" w:cs="Times New Roman"/>
          <w:i/>
          <w:iCs/>
          <w:color w:val="000000" w:themeColor="text1"/>
          <w:sz w:val="20"/>
          <w:szCs w:val="20"/>
        </w:rPr>
        <w:t xml:space="preserve"> </w:t>
      </w:r>
      <w:proofErr w:type="spellStart"/>
      <w:r w:rsidRPr="00D40378">
        <w:rPr>
          <w:rFonts w:ascii="Georgia" w:hAnsi="Georgia" w:cs="Times New Roman"/>
          <w:i/>
          <w:iCs/>
          <w:color w:val="000000" w:themeColor="text1"/>
          <w:sz w:val="20"/>
          <w:szCs w:val="20"/>
        </w:rPr>
        <w:t>Knaifel</w:t>
      </w:r>
      <w:bookmarkEnd w:id="0"/>
      <w:proofErr w:type="spellEnd"/>
      <w:r w:rsidRPr="00D40378">
        <w:rPr>
          <w:rFonts w:cs="Times New Roman"/>
          <w:color w:val="000000" w:themeColor="text1"/>
          <w:vertAlign w:val="superscript"/>
        </w:rPr>
        <w:footnoteReference w:id="10"/>
      </w:r>
    </w:p>
    <w:p w14:paraId="203D59DA" w14:textId="77777777" w:rsidR="00D40378" w:rsidRDefault="00D40378" w:rsidP="00D40378">
      <w:pPr>
        <w:bidi w:val="0"/>
        <w:spacing w:after="120" w:line="280" w:lineRule="exact"/>
        <w:jc w:val="both"/>
        <w:rPr>
          <w:rFonts w:ascii="Georgia" w:hAnsi="Georgia"/>
          <w:sz w:val="20"/>
          <w:szCs w:val="20"/>
          <w:lang w:val="en"/>
        </w:rPr>
      </w:pPr>
    </w:p>
    <w:p w14:paraId="2E2061EC" w14:textId="13A446D0" w:rsidR="00D40378" w:rsidRPr="00D40378" w:rsidRDefault="00D40378" w:rsidP="00D40378">
      <w:pPr>
        <w:bidi w:val="0"/>
        <w:spacing w:after="120" w:line="280" w:lineRule="exact"/>
        <w:jc w:val="both"/>
        <w:rPr>
          <w:rFonts w:ascii="Georgia" w:hAnsi="Georgia"/>
          <w:b/>
          <w:bCs/>
          <w:sz w:val="20"/>
          <w:szCs w:val="20"/>
        </w:rPr>
      </w:pPr>
      <w:r w:rsidRPr="00D40378">
        <w:rPr>
          <w:rFonts w:ascii="Georgia" w:hAnsi="Georgia"/>
          <w:sz w:val="20"/>
          <w:szCs w:val="20"/>
          <w:lang w:val="en"/>
        </w:rPr>
        <w:t>Family caregivers</w:t>
      </w:r>
      <w:r w:rsidRPr="00D40378">
        <w:rPr>
          <w:rFonts w:ascii="Georgia" w:hAnsi="Georgia"/>
          <w:sz w:val="20"/>
          <w:szCs w:val="20"/>
        </w:rPr>
        <w:t xml:space="preserve"> who care for relatives with severe mental illness (SMI) </w:t>
      </w:r>
      <w:r w:rsidRPr="00D40378">
        <w:rPr>
          <w:rFonts w:ascii="Georgia" w:hAnsi="Georgia"/>
          <w:sz w:val="20"/>
          <w:szCs w:val="20"/>
          <w:lang w:val="en"/>
        </w:rPr>
        <w:t>experience high degrees of stress and burden in their daily lives.</w:t>
      </w:r>
      <w:r w:rsidRPr="00D40378">
        <w:rPr>
          <w:rFonts w:ascii="Georgia" w:hAnsi="Georgia"/>
          <w:sz w:val="20"/>
          <w:szCs w:val="20"/>
          <w:rtl/>
        </w:rPr>
        <w:t xml:space="preserve"> </w:t>
      </w:r>
      <w:r w:rsidRPr="00D40378">
        <w:rPr>
          <w:rFonts w:ascii="Georgia" w:hAnsi="Georgia"/>
          <w:sz w:val="20"/>
          <w:szCs w:val="20"/>
          <w:lang w:val="en"/>
        </w:rPr>
        <w:t>Immigrant caregivers,</w:t>
      </w:r>
      <w:r w:rsidRPr="00D40378">
        <w:rPr>
          <w:rFonts w:ascii="Georgia" w:hAnsi="Georgia"/>
          <w:sz w:val="20"/>
          <w:szCs w:val="20"/>
        </w:rPr>
        <w:t xml:space="preserve"> who care for a family member with SMI</w:t>
      </w:r>
      <w:r w:rsidRPr="00D40378">
        <w:rPr>
          <w:rFonts w:ascii="Georgia" w:hAnsi="Georgia"/>
          <w:sz w:val="20"/>
          <w:szCs w:val="20"/>
          <w:lang w:val="en"/>
        </w:rPr>
        <w:t xml:space="preserve"> and simultaneously</w:t>
      </w:r>
      <w:r w:rsidRPr="00D40378">
        <w:rPr>
          <w:rFonts w:ascii="Georgia" w:hAnsi="Georgia"/>
          <w:sz w:val="20"/>
          <w:szCs w:val="20"/>
        </w:rPr>
        <w:t xml:space="preserve"> cope with </w:t>
      </w:r>
      <w:r w:rsidRPr="00D40378">
        <w:rPr>
          <w:rFonts w:ascii="Georgia" w:hAnsi="Georgia"/>
          <w:sz w:val="20"/>
          <w:szCs w:val="20"/>
          <w:lang w:val="en"/>
        </w:rPr>
        <w:t>cross-cultural</w:t>
      </w:r>
      <w:r w:rsidRPr="00D40378">
        <w:rPr>
          <w:rFonts w:ascii="Georgia" w:hAnsi="Georgia"/>
          <w:sz w:val="20"/>
          <w:szCs w:val="20"/>
          <w:rtl/>
        </w:rPr>
        <w:t xml:space="preserve"> </w:t>
      </w:r>
      <w:r w:rsidRPr="00D40378">
        <w:rPr>
          <w:rFonts w:ascii="Georgia" w:hAnsi="Georgia"/>
          <w:sz w:val="20"/>
          <w:szCs w:val="20"/>
          <w:lang w:val="en"/>
        </w:rPr>
        <w:t>transition, are</w:t>
      </w:r>
      <w:r w:rsidRPr="00D40378">
        <w:rPr>
          <w:rFonts w:ascii="Georgia" w:hAnsi="Georgia"/>
          <w:sz w:val="20"/>
          <w:szCs w:val="20"/>
          <w:rtl/>
        </w:rPr>
        <w:t xml:space="preserve"> </w:t>
      </w:r>
      <w:r w:rsidRPr="00D40378">
        <w:rPr>
          <w:rFonts w:ascii="Georgia" w:hAnsi="Georgia"/>
          <w:sz w:val="20"/>
          <w:szCs w:val="20"/>
          <w:lang w:val="en"/>
        </w:rPr>
        <w:t xml:space="preserve">exposed to </w:t>
      </w:r>
      <w:r w:rsidRPr="00D40378">
        <w:rPr>
          <w:rFonts w:ascii="Georgia" w:hAnsi="Georgia"/>
          <w:sz w:val="20"/>
          <w:szCs w:val="20"/>
        </w:rPr>
        <w:t xml:space="preserve">multiple stressors. However, little is known about how immigrant caregivers experience this burden and what its long-term implications are for their personal and family lives. </w:t>
      </w:r>
    </w:p>
    <w:p w14:paraId="2B596F2E" w14:textId="77777777" w:rsidR="00D40378" w:rsidRPr="00D40378" w:rsidRDefault="00D40378" w:rsidP="00D40378">
      <w:pPr>
        <w:bidi w:val="0"/>
        <w:spacing w:after="120" w:line="280" w:lineRule="exact"/>
        <w:jc w:val="both"/>
        <w:rPr>
          <w:rFonts w:ascii="Georgia" w:hAnsi="Georgia"/>
          <w:b/>
          <w:bCs/>
          <w:sz w:val="20"/>
          <w:szCs w:val="20"/>
        </w:rPr>
      </w:pPr>
      <w:r w:rsidRPr="00D40378">
        <w:rPr>
          <w:rFonts w:ascii="Georgia" w:hAnsi="Georgia"/>
          <w:sz w:val="20"/>
          <w:szCs w:val="20"/>
          <w:lang w:val="en"/>
        </w:rPr>
        <w:t>This qualitative study aims to examine the factors that shape the burden</w:t>
      </w:r>
      <w:r w:rsidRPr="00D40378">
        <w:rPr>
          <w:rFonts w:ascii="Georgia" w:hAnsi="Georgia"/>
          <w:sz w:val="20"/>
          <w:szCs w:val="20"/>
          <w:rtl/>
        </w:rPr>
        <w:t xml:space="preserve"> </w:t>
      </w:r>
      <w:r w:rsidRPr="00D40378">
        <w:rPr>
          <w:rFonts w:ascii="Georgia" w:hAnsi="Georgia"/>
          <w:sz w:val="20"/>
          <w:szCs w:val="20"/>
          <w:lang w:val="en"/>
        </w:rPr>
        <w:t xml:space="preserve">experience among </w:t>
      </w:r>
      <w:r w:rsidRPr="00D40378">
        <w:rPr>
          <w:rFonts w:ascii="Georgia" w:hAnsi="Georgia"/>
          <w:sz w:val="20"/>
          <w:szCs w:val="20"/>
        </w:rPr>
        <w:t xml:space="preserve">former Soviet Union </w:t>
      </w:r>
      <w:r w:rsidRPr="00D40378">
        <w:rPr>
          <w:rFonts w:ascii="Georgia" w:hAnsi="Georgia"/>
          <w:sz w:val="20"/>
          <w:szCs w:val="20"/>
          <w:lang w:val="en"/>
        </w:rPr>
        <w:t>(FSU) immigrants in Israel who care for a family member with SMI.</w:t>
      </w:r>
      <w:r w:rsidRPr="00D40378">
        <w:rPr>
          <w:rFonts w:ascii="Georgia" w:hAnsi="Georgia"/>
          <w:sz w:val="20"/>
          <w:szCs w:val="20"/>
        </w:rPr>
        <w:t xml:space="preserve"> In-depth </w:t>
      </w:r>
      <w:r w:rsidRPr="00D40378">
        <w:rPr>
          <w:rFonts w:ascii="Georgia" w:hAnsi="Georgia"/>
          <w:sz w:val="20"/>
          <w:szCs w:val="20"/>
          <w:lang w:val="en"/>
        </w:rPr>
        <w:t>semi-structured interviews were conducted with 32 FSU immigrant caregivers. The interviews were analyzed by using categorial content analysis</w:t>
      </w:r>
      <w:r w:rsidRPr="00D40378">
        <w:rPr>
          <w:rFonts w:ascii="Georgia" w:hAnsi="Georgia"/>
          <w:sz w:val="20"/>
          <w:szCs w:val="20"/>
        </w:rPr>
        <w:t xml:space="preserve">. The participants described their burden as an accumulation of economic, linguistic, cultural, social, emotional, and health-related adversities that negatively affect their coping and adaptation on the personal and familial levels. </w:t>
      </w:r>
    </w:p>
    <w:p w14:paraId="210B0663" w14:textId="77777777" w:rsidR="00D40378" w:rsidRPr="00D40378" w:rsidRDefault="00D40378" w:rsidP="00D40378">
      <w:pPr>
        <w:bidi w:val="0"/>
        <w:spacing w:after="120" w:line="280" w:lineRule="exact"/>
        <w:jc w:val="both"/>
        <w:rPr>
          <w:rFonts w:ascii="Georgia" w:hAnsi="Georgia"/>
          <w:b/>
          <w:bCs/>
          <w:sz w:val="20"/>
          <w:szCs w:val="20"/>
        </w:rPr>
      </w:pPr>
      <w:r w:rsidRPr="00D40378">
        <w:rPr>
          <w:rFonts w:ascii="Georgia" w:hAnsi="Georgia"/>
          <w:sz w:val="20"/>
          <w:szCs w:val="20"/>
        </w:rPr>
        <w:t>The findings showed that the objective and subjective burdens they experience include dimensions pertaining to their role as family caregivers, their immigrant status, and the circular interaction between these two, which intensifies the overall experience of burden. The study proposes a new term – “the double adaptation burden”. This term helps to deepen an understanding of immigrant caregivers’ experience within their unique context, identify high-risk groups among them, and promote interventions and social policies that better suit their needs</w:t>
      </w:r>
      <w:r w:rsidRPr="00D40378">
        <w:rPr>
          <w:rFonts w:ascii="Georgia" w:hAnsi="Georgia"/>
          <w:sz w:val="20"/>
          <w:szCs w:val="20"/>
          <w:lang w:val="en"/>
        </w:rPr>
        <w:t>.</w:t>
      </w:r>
      <w:r w:rsidRPr="00D40378">
        <w:rPr>
          <w:rFonts w:ascii="Georgia" w:hAnsi="Georgia"/>
          <w:sz w:val="20"/>
          <w:szCs w:val="20"/>
        </w:rPr>
        <w:t xml:space="preserve"> </w:t>
      </w:r>
    </w:p>
    <w:p w14:paraId="3F00D32A" w14:textId="77777777" w:rsidR="00D40378" w:rsidRPr="00D40378" w:rsidRDefault="00D40378" w:rsidP="00D40378">
      <w:pPr>
        <w:bidi w:val="0"/>
        <w:spacing w:after="120" w:line="280" w:lineRule="exact"/>
        <w:jc w:val="both"/>
        <w:rPr>
          <w:rFonts w:ascii="Georgia" w:hAnsi="Georgia"/>
          <w:b/>
          <w:bCs/>
          <w:sz w:val="20"/>
          <w:szCs w:val="20"/>
        </w:rPr>
      </w:pPr>
    </w:p>
    <w:p w14:paraId="48E70D24" w14:textId="34555A28" w:rsidR="00D40378" w:rsidRPr="00D40378" w:rsidRDefault="00D40378" w:rsidP="00D40378">
      <w:pPr>
        <w:pStyle w:val="KOT4"/>
        <w:keepLines/>
        <w:bidi w:val="0"/>
        <w:spacing w:line="240" w:lineRule="auto"/>
        <w:ind w:right="0"/>
        <w:rPr>
          <w:b w:val="0"/>
          <w:bCs w:val="0"/>
          <w:color w:val="2A8E8C"/>
          <w:sz w:val="28"/>
          <w:szCs w:val="28"/>
          <w:rtl/>
        </w:rPr>
      </w:pPr>
      <w:r w:rsidRPr="00D40378">
        <w:rPr>
          <w:b w:val="0"/>
          <w:bCs w:val="0"/>
          <w:color w:val="2A8E8C"/>
          <w:sz w:val="28"/>
          <w:szCs w:val="28"/>
        </w:rPr>
        <w:lastRenderedPageBreak/>
        <w:t>The role of guardian or supported decision-making: readiness of brothers and sisters whose siblings have developmental disabilities (autism or intellectual disabilities)</w:t>
      </w:r>
    </w:p>
    <w:p w14:paraId="62F003D4" w14:textId="12824F2F" w:rsidR="00D40378" w:rsidRPr="00D40378" w:rsidRDefault="00D40378" w:rsidP="00D40378">
      <w:pPr>
        <w:bidi w:val="0"/>
        <w:spacing w:after="120" w:line="280" w:lineRule="exact"/>
        <w:jc w:val="both"/>
        <w:rPr>
          <w:rFonts w:ascii="Georgia" w:hAnsi="Georgia" w:cs="Times New Roman"/>
          <w:i/>
          <w:iCs/>
          <w:color w:val="000000" w:themeColor="text1"/>
          <w:sz w:val="20"/>
          <w:szCs w:val="20"/>
        </w:rPr>
      </w:pPr>
      <w:r w:rsidRPr="00D40378">
        <w:rPr>
          <w:rFonts w:ascii="Georgia" w:hAnsi="Georgia" w:cs="Times New Roman"/>
          <w:i/>
          <w:iCs/>
          <w:color w:val="000000" w:themeColor="text1"/>
          <w:sz w:val="20"/>
          <w:szCs w:val="20"/>
        </w:rPr>
        <w:t xml:space="preserve">Adi </w:t>
      </w:r>
      <w:proofErr w:type="spellStart"/>
      <w:r w:rsidRPr="00D40378">
        <w:rPr>
          <w:rFonts w:ascii="Georgia" w:hAnsi="Georgia" w:cs="Times New Roman"/>
          <w:i/>
          <w:iCs/>
          <w:color w:val="000000" w:themeColor="text1"/>
          <w:sz w:val="20"/>
          <w:szCs w:val="20"/>
        </w:rPr>
        <w:t>Sharabi</w:t>
      </w:r>
      <w:proofErr w:type="spellEnd"/>
      <w:r w:rsidRPr="00D40378">
        <w:rPr>
          <w:rFonts w:ascii="Georgia" w:hAnsi="Georgia" w:cs="Times New Roman"/>
          <w:i/>
          <w:iCs/>
          <w:color w:val="000000" w:themeColor="text1"/>
          <w:sz w:val="20"/>
          <w:szCs w:val="20"/>
          <w:vertAlign w:val="superscript"/>
        </w:rPr>
        <w:footnoteReference w:id="11"/>
      </w:r>
    </w:p>
    <w:p w14:paraId="1527C09D" w14:textId="77777777" w:rsidR="00D40378" w:rsidRDefault="00D40378" w:rsidP="00D40378">
      <w:pPr>
        <w:pStyle w:val="Body"/>
        <w:bidi w:val="0"/>
        <w:spacing w:after="120" w:line="280" w:lineRule="exact"/>
        <w:jc w:val="both"/>
        <w:rPr>
          <w:rFonts w:ascii="Georgia" w:eastAsiaTheme="minorHAnsi" w:hAnsi="Georgia" w:cs="David" w:hint="default"/>
          <w:color w:val="auto"/>
          <w:sz w:val="20"/>
          <w:szCs w:val="20"/>
          <w:bdr w:val="none" w:sz="0" w:space="0" w:color="auto"/>
          <w:lang w:val="en-US"/>
          <w14:textOutline w14:w="0" w14:cap="rnd" w14:cmpd="sng" w14:algn="ctr">
            <w14:noFill/>
            <w14:prstDash w14:val="solid"/>
            <w14:bevel/>
          </w14:textOutline>
        </w:rPr>
      </w:pPr>
    </w:p>
    <w:p w14:paraId="2CCFCF7B" w14:textId="3D418212" w:rsidR="00D40378" w:rsidRPr="00D40378" w:rsidRDefault="00D40378" w:rsidP="00D40378">
      <w:pPr>
        <w:pStyle w:val="Body"/>
        <w:bidi w:val="0"/>
        <w:spacing w:after="120" w:line="280" w:lineRule="exact"/>
        <w:jc w:val="both"/>
        <w:rPr>
          <w:rFonts w:ascii="Georgia" w:eastAsiaTheme="minorHAnsi" w:hAnsi="Georgia" w:cs="David" w:hint="default"/>
          <w:color w:val="auto"/>
          <w:sz w:val="20"/>
          <w:szCs w:val="20"/>
          <w:bdr w:val="none" w:sz="0" w:space="0" w:color="auto"/>
          <w:lang w:val="en-US"/>
          <w14:textOutline w14:w="0" w14:cap="rnd" w14:cmpd="sng" w14:algn="ctr">
            <w14:noFill/>
            <w14:prstDash w14:val="solid"/>
            <w14:bevel/>
          </w14:textOutline>
        </w:rPr>
      </w:pPr>
      <w:r w:rsidRPr="00D40378">
        <w:rPr>
          <w:rFonts w:ascii="Georgia" w:eastAsiaTheme="minorHAnsi" w:hAnsi="Georgia" w:cs="David" w:hint="default"/>
          <w:color w:val="auto"/>
          <w:sz w:val="20"/>
          <w:szCs w:val="20"/>
          <w:bdr w:val="none" w:sz="0" w:space="0" w:color="auto"/>
          <w:lang w:val="en-US"/>
          <w14:textOutline w14:w="0" w14:cap="rnd" w14:cmpd="sng" w14:algn="ctr">
            <w14:noFill/>
            <w14:prstDash w14:val="solid"/>
            <w14:bevel/>
          </w14:textOutline>
        </w:rPr>
        <w:t xml:space="preserve">The goal of this study was to explore the differences between sisters and brothers regarding their perceptions of their readiness for the future role of guardian for their siblings with developmental disabilities (autism or intellectual disabilities), their belief in their siblings' ability to make decisions independently – as part of their readiness for the supported decision-making role, and their involvement in their lives. Self-report questionnaires examined the readiness, perceptions, involvement, and feelings of 175 siblings aged 18 and above, including 118 sisters and 57 brothers. The study was conducted using a mixed-methods approach. Based on the quantitative data, the results of the study showed that sisters reported greater belief in the ability of their siblings with disabilities to make independent decisions about their lives, and higher social involvement than brothers. However, no significant differences were found between sisters and brothers in the perception of readiness for guardianship and in the level of overall involvement. Participants’ feelings toward their siblings with disabilities and the nature of their involvement in their lives were assessed through qualitative content analysis of the open-ended question. </w:t>
      </w:r>
    </w:p>
    <w:p w14:paraId="3B577800" w14:textId="77777777" w:rsidR="00D40378" w:rsidRPr="00D40378" w:rsidRDefault="00D40378" w:rsidP="00D40378">
      <w:pPr>
        <w:pStyle w:val="Body"/>
        <w:bidi w:val="0"/>
        <w:spacing w:after="120" w:line="280" w:lineRule="exact"/>
        <w:jc w:val="both"/>
        <w:rPr>
          <w:rFonts w:ascii="Georgia" w:hAnsi="Georgia" w:hint="default"/>
          <w:sz w:val="20"/>
          <w:szCs w:val="20"/>
          <w:lang w:val="en-US"/>
        </w:rPr>
      </w:pPr>
      <w:r w:rsidRPr="00D40378">
        <w:rPr>
          <w:rFonts w:ascii="Georgia" w:eastAsiaTheme="minorHAnsi" w:hAnsi="Georgia" w:cs="David" w:hint="default"/>
          <w:color w:val="auto"/>
          <w:sz w:val="20"/>
          <w:szCs w:val="20"/>
          <w:bdr w:val="none" w:sz="0" w:space="0" w:color="auto"/>
          <w:lang w:val="en-US"/>
          <w14:textOutline w14:w="0" w14:cap="rnd" w14:cmpd="sng" w14:algn="ctr">
            <w14:noFill/>
            <w14:prstDash w14:val="solid"/>
            <w14:bevel/>
          </w14:textOutline>
        </w:rPr>
        <w:t>The findings revealed that most of the sisters and brothers reported positive feelings, about a quarter of the expressions included mixed feelings and a minority of them included powerful negative feelings. The nature of the involvement and the feelings it evokes also arose from the analysis of the expressions in different contexts and in relation to the future. The present study highlights the importance of gender differences in future planning processes and the siblings’ readiness for possible legal representation or caring for the affairs of their siblings with disabilities (guardians) or assisting and supporting their decisions (support decision-making).</w:t>
      </w:r>
    </w:p>
    <w:p w14:paraId="53D29BB0" w14:textId="77777777" w:rsidR="00D40378" w:rsidRPr="00D40378" w:rsidRDefault="00D40378" w:rsidP="00D40378">
      <w:pPr>
        <w:pStyle w:val="KOT4"/>
        <w:keepLines/>
        <w:bidi w:val="0"/>
        <w:spacing w:line="240" w:lineRule="auto"/>
        <w:ind w:right="0"/>
        <w:rPr>
          <w:b w:val="0"/>
          <w:bCs w:val="0"/>
          <w:color w:val="2A8E8C"/>
          <w:sz w:val="28"/>
          <w:szCs w:val="28"/>
        </w:rPr>
      </w:pPr>
      <w:r w:rsidRPr="00D40378">
        <w:rPr>
          <w:b w:val="0"/>
          <w:bCs w:val="0"/>
          <w:color w:val="2A8E8C"/>
          <w:sz w:val="28"/>
          <w:szCs w:val="28"/>
        </w:rPr>
        <w:lastRenderedPageBreak/>
        <w:t>Default occupational pension plans in Israel: issues in pension policy</w:t>
      </w:r>
    </w:p>
    <w:p w14:paraId="51AB86C1" w14:textId="2D4F6E24" w:rsidR="00D40378" w:rsidRPr="00D40378" w:rsidRDefault="00D40378" w:rsidP="00D40378">
      <w:pPr>
        <w:bidi w:val="0"/>
        <w:spacing w:after="120" w:line="280" w:lineRule="exact"/>
        <w:jc w:val="both"/>
        <w:rPr>
          <w:rFonts w:ascii="Georgia" w:hAnsi="Georgia" w:cs="Times New Roman"/>
          <w:i/>
          <w:iCs/>
          <w:color w:val="000000" w:themeColor="text1"/>
          <w:sz w:val="20"/>
          <w:szCs w:val="20"/>
        </w:rPr>
      </w:pPr>
      <w:proofErr w:type="spellStart"/>
      <w:r w:rsidRPr="00D40378">
        <w:rPr>
          <w:rFonts w:ascii="Georgia" w:hAnsi="Georgia" w:cs="Times New Roman"/>
          <w:i/>
          <w:iCs/>
          <w:color w:val="000000" w:themeColor="text1"/>
          <w:sz w:val="20"/>
          <w:szCs w:val="20"/>
        </w:rPr>
        <w:t>Iddo</w:t>
      </w:r>
      <w:proofErr w:type="spellEnd"/>
      <w:r w:rsidRPr="00D40378">
        <w:rPr>
          <w:rFonts w:ascii="Georgia" w:hAnsi="Georgia" w:cs="Times New Roman"/>
          <w:i/>
          <w:iCs/>
          <w:color w:val="000000" w:themeColor="text1"/>
          <w:sz w:val="20"/>
          <w:szCs w:val="20"/>
        </w:rPr>
        <w:t xml:space="preserve"> </w:t>
      </w:r>
      <w:proofErr w:type="spellStart"/>
      <w:r w:rsidRPr="00D40378">
        <w:rPr>
          <w:rFonts w:ascii="Georgia" w:hAnsi="Georgia" w:cs="Times New Roman"/>
          <w:i/>
          <w:iCs/>
          <w:color w:val="000000" w:themeColor="text1"/>
          <w:sz w:val="20"/>
          <w:szCs w:val="20"/>
        </w:rPr>
        <w:t>Kalir</w:t>
      </w:r>
      <w:proofErr w:type="spellEnd"/>
      <w:r w:rsidRPr="00D40378">
        <w:rPr>
          <w:rFonts w:cs="Times New Roman"/>
          <w:color w:val="000000" w:themeColor="text1"/>
          <w:vertAlign w:val="superscript"/>
        </w:rPr>
        <w:footnoteReference w:id="12"/>
      </w:r>
      <w:r w:rsidRPr="00D40378">
        <w:rPr>
          <w:rFonts w:ascii="Georgia" w:hAnsi="Georgia" w:cs="Times New Roman"/>
          <w:i/>
          <w:iCs/>
          <w:color w:val="000000" w:themeColor="text1"/>
          <w:sz w:val="20"/>
          <w:szCs w:val="20"/>
        </w:rPr>
        <w:t xml:space="preserve">, Alex </w:t>
      </w:r>
      <w:proofErr w:type="spellStart"/>
      <w:r w:rsidRPr="00D40378">
        <w:rPr>
          <w:rFonts w:ascii="Georgia" w:hAnsi="Georgia" w:cs="Times New Roman"/>
          <w:i/>
          <w:iCs/>
          <w:color w:val="000000" w:themeColor="text1"/>
          <w:sz w:val="20"/>
          <w:szCs w:val="20"/>
        </w:rPr>
        <w:t>Kaplun</w:t>
      </w:r>
      <w:proofErr w:type="spellEnd"/>
      <w:r w:rsidRPr="00D40378">
        <w:rPr>
          <w:rFonts w:cs="Times New Roman"/>
          <w:color w:val="000000" w:themeColor="text1"/>
          <w:vertAlign w:val="superscript"/>
        </w:rPr>
        <w:footnoteReference w:id="13"/>
      </w:r>
      <w:r w:rsidRPr="00D40378">
        <w:rPr>
          <w:rFonts w:ascii="Georgia" w:hAnsi="Georgia" w:cs="Times New Roman"/>
          <w:color w:val="000000" w:themeColor="text1"/>
          <w:sz w:val="20"/>
          <w:szCs w:val="20"/>
        </w:rPr>
        <w:t xml:space="preserve"> and </w:t>
      </w:r>
      <w:r w:rsidRPr="00D40378">
        <w:rPr>
          <w:rFonts w:ascii="Georgia" w:hAnsi="Georgia" w:cs="Times New Roman"/>
          <w:i/>
          <w:iCs/>
          <w:color w:val="000000" w:themeColor="text1"/>
          <w:sz w:val="20"/>
          <w:szCs w:val="20"/>
        </w:rPr>
        <w:t>Israel (</w:t>
      </w:r>
      <w:proofErr w:type="spellStart"/>
      <w:r w:rsidRPr="00D40378">
        <w:rPr>
          <w:rFonts w:ascii="Georgia" w:hAnsi="Georgia" w:cs="Times New Roman"/>
          <w:i/>
          <w:iCs/>
          <w:color w:val="000000" w:themeColor="text1"/>
          <w:sz w:val="20"/>
          <w:szCs w:val="20"/>
        </w:rPr>
        <w:t>Issi</w:t>
      </w:r>
      <w:proofErr w:type="spellEnd"/>
      <w:r w:rsidRPr="00D40378">
        <w:rPr>
          <w:rFonts w:ascii="Georgia" w:hAnsi="Georgia" w:cs="Times New Roman"/>
          <w:i/>
          <w:iCs/>
          <w:color w:val="000000" w:themeColor="text1"/>
          <w:sz w:val="20"/>
          <w:szCs w:val="20"/>
        </w:rPr>
        <w:t>) Doron</w:t>
      </w:r>
      <w:r w:rsidRPr="00D40378">
        <w:rPr>
          <w:rFonts w:ascii="Georgia" w:hAnsi="Georgia" w:cs="Times New Roman"/>
          <w:i/>
          <w:iCs/>
          <w:color w:val="000000" w:themeColor="text1"/>
          <w:sz w:val="20"/>
          <w:szCs w:val="20"/>
          <w:vertAlign w:val="superscript"/>
        </w:rPr>
        <w:t>11</w:t>
      </w:r>
    </w:p>
    <w:p w14:paraId="649FF166" w14:textId="77777777" w:rsidR="00D40378" w:rsidRDefault="00D40378" w:rsidP="00D40378">
      <w:pPr>
        <w:bidi w:val="0"/>
        <w:spacing w:after="120" w:line="280" w:lineRule="exact"/>
        <w:ind w:right="-199"/>
        <w:jc w:val="both"/>
        <w:rPr>
          <w:rFonts w:ascii="Georgia" w:hAnsi="Georgia"/>
          <w:sz w:val="20"/>
          <w:szCs w:val="20"/>
          <w:lang w:val="en"/>
        </w:rPr>
      </w:pPr>
    </w:p>
    <w:p w14:paraId="3C5D6F75" w14:textId="1F323820" w:rsidR="00D40378" w:rsidRPr="00D40378" w:rsidRDefault="00D40378" w:rsidP="00D40378">
      <w:pPr>
        <w:bidi w:val="0"/>
        <w:spacing w:after="120" w:line="280" w:lineRule="exact"/>
        <w:ind w:right="-199"/>
        <w:jc w:val="both"/>
        <w:rPr>
          <w:rFonts w:ascii="Georgia" w:hAnsi="Georgia"/>
          <w:b/>
          <w:bCs/>
          <w:sz w:val="20"/>
          <w:szCs w:val="20"/>
          <w:lang w:val="en"/>
        </w:rPr>
      </w:pPr>
      <w:r w:rsidRPr="00D40378">
        <w:rPr>
          <w:rFonts w:ascii="Georgia" w:hAnsi="Georgia"/>
          <w:sz w:val="20"/>
          <w:szCs w:val="20"/>
          <w:lang w:val="en"/>
        </w:rPr>
        <w:t>The State of Israel underwent a significant process of reforming its occupational pension system, which was characterized by a deep regulatory intervention that included, among other things, a tender process in 2016 to select default occupational pension funds, while creating a competition for management fees. Despite the significant implications of the above reform, to date, the scope of writing or research on them has been limited.</w:t>
      </w:r>
    </w:p>
    <w:p w14:paraId="6789B112" w14:textId="77777777" w:rsidR="00D40378" w:rsidRPr="00D40378" w:rsidRDefault="00D40378" w:rsidP="00D40378">
      <w:pPr>
        <w:bidi w:val="0"/>
        <w:spacing w:after="120" w:line="280" w:lineRule="exact"/>
        <w:ind w:right="-199"/>
        <w:jc w:val="both"/>
        <w:rPr>
          <w:rFonts w:ascii="Georgia" w:hAnsi="Georgia"/>
          <w:b/>
          <w:bCs/>
          <w:sz w:val="20"/>
          <w:szCs w:val="20"/>
          <w:lang w:val="en"/>
        </w:rPr>
      </w:pPr>
      <w:r w:rsidRPr="00D40378">
        <w:rPr>
          <w:rFonts w:ascii="Georgia" w:hAnsi="Georgia"/>
          <w:sz w:val="20"/>
          <w:szCs w:val="20"/>
        </w:rPr>
        <w:t xml:space="preserve">In light of the above, this study aimed to try and assess the manner and meaning of adopting a pension policy based on default pension funds, all from the perspective of key figures in the field. It should be noted however, that the study was based on data for the years 2017-2019, before Covid-19 and its implications, and before the investment houses “Hellman </w:t>
      </w:r>
      <w:proofErr w:type="spellStart"/>
      <w:r w:rsidRPr="00D40378">
        <w:rPr>
          <w:rFonts w:ascii="Georgia" w:hAnsi="Georgia"/>
          <w:sz w:val="20"/>
          <w:szCs w:val="20"/>
        </w:rPr>
        <w:t>Aldubi</w:t>
      </w:r>
      <w:proofErr w:type="spellEnd"/>
      <w:r w:rsidRPr="00D40378">
        <w:rPr>
          <w:rFonts w:ascii="Georgia" w:hAnsi="Georgia"/>
          <w:sz w:val="20"/>
          <w:szCs w:val="20"/>
        </w:rPr>
        <w:t>” and “</w:t>
      </w:r>
      <w:proofErr w:type="spellStart"/>
      <w:r w:rsidRPr="00D40378">
        <w:rPr>
          <w:rFonts w:ascii="Georgia" w:hAnsi="Georgia"/>
          <w:sz w:val="20"/>
          <w:szCs w:val="20"/>
        </w:rPr>
        <w:t>Psagot</w:t>
      </w:r>
      <w:proofErr w:type="spellEnd"/>
      <w:r w:rsidRPr="00D40378">
        <w:rPr>
          <w:rFonts w:ascii="Georgia" w:hAnsi="Georgia"/>
          <w:sz w:val="20"/>
          <w:szCs w:val="20"/>
        </w:rPr>
        <w:t>” were sold, which held the two least successful out of four default pension funds.</w:t>
      </w:r>
    </w:p>
    <w:p w14:paraId="285AEA04" w14:textId="77777777" w:rsidR="00D40378" w:rsidRPr="00D40378" w:rsidRDefault="00D40378" w:rsidP="00D40378">
      <w:pPr>
        <w:bidi w:val="0"/>
        <w:spacing w:after="120" w:line="280" w:lineRule="exact"/>
        <w:ind w:right="-199"/>
        <w:jc w:val="both"/>
        <w:rPr>
          <w:rFonts w:ascii="Georgia" w:hAnsi="Georgia"/>
          <w:b/>
          <w:bCs/>
          <w:sz w:val="20"/>
          <w:szCs w:val="20"/>
        </w:rPr>
      </w:pPr>
      <w:r w:rsidRPr="00D40378">
        <w:rPr>
          <w:rFonts w:ascii="Georgia" w:hAnsi="Georgia"/>
          <w:sz w:val="20"/>
          <w:szCs w:val="20"/>
        </w:rPr>
        <w:t>The methodology used was a phenomenological qualitative one, in which the assessment of the above policy was made based on a content analysis of in-depth interviews conducted with 12 participants, all of whom are key figures in the world of pensions and insurance.</w:t>
      </w:r>
    </w:p>
    <w:p w14:paraId="42D05333" w14:textId="77777777" w:rsidR="00D40378" w:rsidRPr="00D40378" w:rsidRDefault="00D40378" w:rsidP="00D40378">
      <w:pPr>
        <w:bidi w:val="0"/>
        <w:spacing w:after="120" w:line="280" w:lineRule="exact"/>
        <w:ind w:right="-199"/>
        <w:jc w:val="both"/>
        <w:rPr>
          <w:rFonts w:ascii="Georgia" w:hAnsi="Georgia"/>
          <w:b/>
          <w:bCs/>
          <w:sz w:val="20"/>
          <w:szCs w:val="20"/>
        </w:rPr>
      </w:pPr>
      <w:r w:rsidRPr="00D40378">
        <w:rPr>
          <w:rFonts w:ascii="Georgia" w:hAnsi="Georgia"/>
          <w:sz w:val="20"/>
          <w:szCs w:val="20"/>
        </w:rPr>
        <w:t>The findings revealed three main themes: 1) The need for government-regulatory involvement in the pension market. 2) The degree of willingness of regulatory intervention in management fees through a default fund tender. 3) The long-term sustainability of default funds.</w:t>
      </w:r>
    </w:p>
    <w:p w14:paraId="4D14AAC3" w14:textId="77777777" w:rsidR="00D40378" w:rsidRDefault="00D40378" w:rsidP="00D40378">
      <w:pPr>
        <w:bidi w:val="0"/>
        <w:spacing w:after="120" w:line="280" w:lineRule="exact"/>
        <w:ind w:right="-199"/>
        <w:jc w:val="both"/>
        <w:rPr>
          <w:rFonts w:ascii="Georgia" w:hAnsi="Georgia"/>
          <w:sz w:val="20"/>
          <w:szCs w:val="20"/>
        </w:rPr>
      </w:pPr>
      <w:r w:rsidRPr="00D40378">
        <w:rPr>
          <w:rFonts w:ascii="Georgia" w:hAnsi="Georgia"/>
          <w:sz w:val="20"/>
          <w:szCs w:val="20"/>
        </w:rPr>
        <w:t>The implications of these findings highlight the need for a comprehensive and open public discussion regarding the goals and purposes of the Social Security Arrangements for Aging in Israel, while involving all the relevant bodies involved.</w:t>
      </w:r>
    </w:p>
    <w:p w14:paraId="5BED8021" w14:textId="77777777" w:rsidR="00142593" w:rsidRDefault="00142593" w:rsidP="00D40378">
      <w:pPr>
        <w:bidi w:val="0"/>
        <w:spacing w:after="120" w:line="280" w:lineRule="exact"/>
        <w:ind w:right="-199"/>
        <w:jc w:val="both"/>
        <w:rPr>
          <w:rFonts w:ascii="Georgia" w:hAnsi="Georgia"/>
          <w:b/>
          <w:bCs/>
          <w:sz w:val="20"/>
          <w:szCs w:val="20"/>
        </w:rPr>
        <w:sectPr w:rsidR="00142593" w:rsidSect="001F6343">
          <w:headerReference w:type="even" r:id="rId11"/>
          <w:headerReference w:type="default" r:id="rId12"/>
          <w:footerReference w:type="even" r:id="rId13"/>
          <w:pgSz w:w="11906" w:h="16838" w:code="9"/>
          <w:pgMar w:top="3402" w:right="2608" w:bottom="2722" w:left="2608" w:header="2552" w:footer="2268" w:gutter="0"/>
          <w:pgNumType w:fmt="lowerRoman"/>
          <w:cols w:space="708"/>
          <w:docGrid w:linePitch="360"/>
        </w:sectPr>
      </w:pPr>
    </w:p>
    <w:p w14:paraId="01A68681" w14:textId="77777777" w:rsidR="00D40378" w:rsidRPr="00D40378" w:rsidRDefault="00D40378" w:rsidP="00D40378">
      <w:pPr>
        <w:bidi w:val="0"/>
        <w:spacing w:after="120" w:line="280" w:lineRule="exact"/>
        <w:ind w:right="-199"/>
        <w:jc w:val="both"/>
        <w:rPr>
          <w:rFonts w:ascii="Georgia" w:hAnsi="Georgia"/>
          <w:b/>
          <w:bCs/>
          <w:sz w:val="20"/>
          <w:szCs w:val="20"/>
        </w:rPr>
      </w:pPr>
    </w:p>
    <w:sectPr w:rsidR="00D40378" w:rsidRPr="00D40378" w:rsidSect="001F6343">
      <w:headerReference w:type="even" r:id="rId14"/>
      <w:pgSz w:w="11906" w:h="16838" w:code="9"/>
      <w:pgMar w:top="3402" w:right="2608" w:bottom="2722" w:left="2608" w:header="2552" w:footer="226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07910" w14:textId="77777777" w:rsidR="000962B1" w:rsidRDefault="000962B1">
      <w:pPr>
        <w:spacing w:line="240" w:lineRule="auto"/>
      </w:pPr>
      <w:r>
        <w:separator/>
      </w:r>
    </w:p>
  </w:endnote>
  <w:endnote w:type="continuationSeparator" w:id="0">
    <w:p w14:paraId="1BE7BC49" w14:textId="77777777" w:rsidR="000962B1" w:rsidRDefault="000962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Arial Unicode MS">
    <w:altName w:val="Yu Gothic"/>
    <w:panose1 w:val="020B0604020202020204"/>
    <w:charset w:val="80"/>
    <w:family w:val="swiss"/>
    <w:pitch w:val="variable"/>
    <w:sig w:usb0="00000000" w:usb1="E9DFFFFF" w:usb2="0000003F" w:usb3="00000000" w:csb0="003F01FF" w:csb1="00000000"/>
  </w:font>
  <w:font w:name="Swis721 BT">
    <w:panose1 w:val="020B0504020202020204"/>
    <w:charset w:val="00"/>
    <w:family w:val="swiss"/>
    <w:pitch w:val="variable"/>
    <w:sig w:usb0="800000AF" w:usb1="1000204A" w:usb2="00000000" w:usb3="00000000" w:csb0="0000001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15E75" w14:textId="77777777" w:rsidR="00145012" w:rsidRDefault="00145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1429" w14:textId="77777777" w:rsidR="000962B1" w:rsidRDefault="000962B1" w:rsidP="00F44E2B">
      <w:pPr>
        <w:bidi w:val="0"/>
        <w:spacing w:before="120" w:after="80"/>
        <w:rPr>
          <w:rFonts w:cs="FrankRuehl"/>
          <w:sz w:val="18"/>
          <w:szCs w:val="18"/>
        </w:rPr>
      </w:pPr>
      <w:r>
        <w:rPr>
          <w:rFonts w:cs="FrankRuehl" w:hint="cs"/>
          <w:sz w:val="18"/>
          <w:szCs w:val="18"/>
          <w:rtl/>
        </w:rPr>
        <w:t>_____________</w:t>
      </w:r>
    </w:p>
  </w:footnote>
  <w:footnote w:type="continuationSeparator" w:id="0">
    <w:p w14:paraId="77883234" w14:textId="77777777" w:rsidR="000962B1" w:rsidRDefault="000962B1">
      <w:r>
        <w:continuationSeparator/>
      </w:r>
    </w:p>
  </w:footnote>
  <w:footnote w:type="continuationNotice" w:id="1">
    <w:p w14:paraId="3D880C32" w14:textId="77777777" w:rsidR="000962B1" w:rsidRDefault="000962B1">
      <w:pPr>
        <w:rPr>
          <w:rtl/>
        </w:rPr>
      </w:pPr>
    </w:p>
  </w:footnote>
  <w:footnote w:id="2">
    <w:p w14:paraId="64B4B501" w14:textId="77777777" w:rsidR="00D40378" w:rsidRPr="00D40378" w:rsidRDefault="00D40378" w:rsidP="00D40378">
      <w:pPr>
        <w:bidi w:val="0"/>
        <w:spacing w:line="200" w:lineRule="exact"/>
        <w:ind w:left="397" w:hanging="397"/>
        <w:jc w:val="both"/>
        <w:rPr>
          <w:rFonts w:ascii="Georgia" w:eastAsia="Arial Unicode MS" w:hAnsi="Georgia" w:cs="Arial Unicode MS"/>
          <w:color w:val="000000"/>
          <w:sz w:val="16"/>
          <w:szCs w:val="16"/>
          <w:u w:color="000000"/>
          <w:bdr w:val="nil"/>
        </w:rPr>
      </w:pPr>
      <w:r w:rsidRPr="00D40378">
        <w:rPr>
          <w:rFonts w:ascii="Georgia" w:eastAsia="Arial Unicode MS" w:hAnsi="Georgia" w:cs="Arial Unicode MS"/>
          <w:color w:val="000000"/>
          <w:sz w:val="16"/>
          <w:szCs w:val="16"/>
          <w:u w:color="000000"/>
          <w:bdr w:val="nil"/>
        </w:rPr>
        <w:footnoteRef/>
      </w:r>
      <w:r w:rsidRPr="00D40378">
        <w:rPr>
          <w:rFonts w:ascii="Georgia" w:eastAsia="Arial Unicode MS" w:hAnsi="Georgia" w:cs="Arial Unicode MS"/>
          <w:color w:val="000000"/>
          <w:sz w:val="16"/>
          <w:szCs w:val="16"/>
          <w:u w:color="000000"/>
          <w:bdr w:val="nil"/>
          <w:rtl/>
        </w:rPr>
        <w:t xml:space="preserve"> </w:t>
      </w:r>
      <w:r w:rsidRPr="00D40378">
        <w:rPr>
          <w:rFonts w:ascii="Georgia" w:eastAsia="Arial Unicode MS" w:hAnsi="Georgia" w:cs="Arial Unicode MS"/>
          <w:color w:val="000000"/>
          <w:sz w:val="16"/>
          <w:szCs w:val="16"/>
          <w:u w:color="000000"/>
          <w:bdr w:val="nil"/>
          <w:rtl/>
        </w:rPr>
        <w:tab/>
      </w:r>
      <w:r w:rsidRPr="00D40378">
        <w:rPr>
          <w:rFonts w:ascii="Georgia" w:eastAsia="Arial Unicode MS" w:hAnsi="Georgia" w:cs="Arial Unicode MS"/>
          <w:color w:val="000000"/>
          <w:sz w:val="16"/>
          <w:szCs w:val="16"/>
          <w:u w:color="000000"/>
          <w:bdr w:val="nil"/>
        </w:rPr>
        <w:t>Public Council for Parents in Israel, and Coalition of Organizations for the Promotion of Parenting and Parents</w:t>
      </w:r>
    </w:p>
  </w:footnote>
  <w:footnote w:id="3">
    <w:p w14:paraId="0C55AFCD" w14:textId="77777777" w:rsidR="00D40378" w:rsidRPr="00D40378" w:rsidRDefault="00D40378" w:rsidP="00D40378">
      <w:pPr>
        <w:bidi w:val="0"/>
        <w:spacing w:line="200" w:lineRule="exact"/>
        <w:ind w:left="397" w:hanging="397"/>
        <w:jc w:val="both"/>
        <w:rPr>
          <w:rFonts w:ascii="Georgia" w:eastAsia="Arial Unicode MS" w:hAnsi="Georgia" w:cs="Arial Unicode MS"/>
          <w:color w:val="000000"/>
          <w:sz w:val="16"/>
          <w:szCs w:val="16"/>
          <w:u w:color="000000"/>
          <w:bdr w:val="nil"/>
        </w:rPr>
      </w:pPr>
      <w:r w:rsidRPr="00D40378">
        <w:rPr>
          <w:rFonts w:ascii="Georgia" w:eastAsia="Arial Unicode MS" w:hAnsi="Georgia" w:cs="Arial Unicode MS"/>
          <w:color w:val="000000"/>
          <w:sz w:val="16"/>
          <w:szCs w:val="16"/>
          <w:u w:color="000000"/>
          <w:bdr w:val="nil"/>
        </w:rPr>
        <w:footnoteRef/>
      </w:r>
      <w:r w:rsidRPr="00D40378">
        <w:rPr>
          <w:rFonts w:ascii="Georgia" w:eastAsia="Arial Unicode MS" w:hAnsi="Georgia" w:cs="Arial Unicode MS"/>
          <w:color w:val="000000"/>
          <w:sz w:val="16"/>
          <w:szCs w:val="16"/>
          <w:u w:color="000000"/>
          <w:bdr w:val="nil"/>
          <w:rtl/>
        </w:rPr>
        <w:t xml:space="preserve"> </w:t>
      </w:r>
      <w:r w:rsidRPr="00D40378">
        <w:rPr>
          <w:rFonts w:ascii="Georgia" w:eastAsia="Arial Unicode MS" w:hAnsi="Georgia" w:cs="Arial Unicode MS"/>
          <w:color w:val="000000"/>
          <w:sz w:val="16"/>
          <w:szCs w:val="16"/>
          <w:u w:color="000000"/>
          <w:bdr w:val="nil"/>
          <w:rtl/>
        </w:rPr>
        <w:tab/>
      </w:r>
      <w:r w:rsidRPr="00D40378">
        <w:rPr>
          <w:rFonts w:ascii="Georgia" w:eastAsia="Arial Unicode MS" w:hAnsi="Georgia" w:cs="Arial Unicode MS"/>
          <w:color w:val="000000"/>
          <w:sz w:val="16"/>
          <w:szCs w:val="16"/>
          <w:u w:color="000000"/>
          <w:bdr w:val="nil"/>
        </w:rPr>
        <w:t>School of Social Work, University of Haifa</w:t>
      </w:r>
    </w:p>
  </w:footnote>
  <w:footnote w:id="4">
    <w:p w14:paraId="228B93A4" w14:textId="77777777" w:rsidR="00D40378" w:rsidRPr="00D40378" w:rsidRDefault="00D40378" w:rsidP="00D40378">
      <w:pPr>
        <w:bidi w:val="0"/>
        <w:spacing w:line="200" w:lineRule="exact"/>
        <w:ind w:left="397" w:hanging="397"/>
        <w:jc w:val="both"/>
        <w:rPr>
          <w:rFonts w:ascii="Georgia" w:eastAsia="Arial Unicode MS" w:hAnsi="Georgia" w:cs="Arial Unicode MS"/>
          <w:color w:val="000000"/>
          <w:sz w:val="16"/>
          <w:szCs w:val="16"/>
          <w:u w:color="000000"/>
          <w:bdr w:val="nil"/>
        </w:rPr>
      </w:pPr>
      <w:r w:rsidRPr="00D40378">
        <w:rPr>
          <w:rFonts w:ascii="Georgia" w:eastAsia="Arial Unicode MS" w:hAnsi="Georgia" w:cs="Arial Unicode MS"/>
          <w:color w:val="000000"/>
          <w:sz w:val="16"/>
          <w:szCs w:val="16"/>
          <w:u w:color="000000"/>
          <w:bdr w:val="nil"/>
        </w:rPr>
        <w:footnoteRef/>
      </w:r>
      <w:r w:rsidRPr="00D40378">
        <w:rPr>
          <w:rFonts w:ascii="Georgia" w:eastAsia="Arial Unicode MS" w:hAnsi="Georgia" w:cs="Arial Unicode MS"/>
          <w:color w:val="000000"/>
          <w:sz w:val="16"/>
          <w:szCs w:val="16"/>
          <w:u w:color="000000"/>
          <w:bdr w:val="nil"/>
          <w:rtl/>
        </w:rPr>
        <w:t xml:space="preserve"> </w:t>
      </w:r>
      <w:r w:rsidRPr="00D40378">
        <w:rPr>
          <w:rFonts w:ascii="Georgia" w:eastAsia="Arial Unicode MS" w:hAnsi="Georgia" w:cs="Arial Unicode MS"/>
          <w:color w:val="000000"/>
          <w:sz w:val="16"/>
          <w:szCs w:val="16"/>
          <w:u w:color="000000"/>
          <w:bdr w:val="nil"/>
          <w:rtl/>
        </w:rPr>
        <w:tab/>
      </w:r>
      <w:r w:rsidRPr="00D40378">
        <w:rPr>
          <w:rFonts w:ascii="Georgia" w:eastAsia="Arial Unicode MS" w:hAnsi="Georgia" w:cs="Arial Unicode MS"/>
          <w:color w:val="000000"/>
          <w:sz w:val="16"/>
          <w:szCs w:val="16"/>
          <w:u w:color="000000"/>
          <w:bdr w:val="nil"/>
        </w:rPr>
        <w:t>School of Social Science and Human Services, Ramapo College, New Jersey, USA</w:t>
      </w:r>
    </w:p>
  </w:footnote>
  <w:footnote w:id="5">
    <w:p w14:paraId="7476B37E" w14:textId="77777777" w:rsidR="00D40378" w:rsidRPr="00D40378" w:rsidRDefault="00D40378" w:rsidP="00D40378">
      <w:pPr>
        <w:bidi w:val="0"/>
        <w:spacing w:line="200" w:lineRule="exact"/>
        <w:ind w:left="397" w:hanging="397"/>
        <w:jc w:val="both"/>
        <w:rPr>
          <w:rFonts w:ascii="Georgia" w:eastAsia="Arial Unicode MS" w:hAnsi="Georgia" w:cs="Arial Unicode MS"/>
          <w:color w:val="000000"/>
          <w:sz w:val="16"/>
          <w:szCs w:val="16"/>
          <w:u w:color="000000"/>
          <w:bdr w:val="nil"/>
        </w:rPr>
      </w:pPr>
      <w:r w:rsidRPr="00D40378">
        <w:rPr>
          <w:rFonts w:ascii="Georgia" w:eastAsia="Arial Unicode MS" w:hAnsi="Georgia" w:cs="Arial Unicode MS"/>
          <w:color w:val="000000"/>
          <w:sz w:val="16"/>
          <w:szCs w:val="16"/>
          <w:u w:color="000000"/>
          <w:bdr w:val="nil"/>
        </w:rPr>
        <w:footnoteRef/>
      </w:r>
      <w:r w:rsidRPr="00D40378">
        <w:rPr>
          <w:rFonts w:ascii="Georgia" w:eastAsia="Arial Unicode MS" w:hAnsi="Georgia" w:cs="Arial Unicode MS"/>
          <w:color w:val="000000"/>
          <w:sz w:val="16"/>
          <w:szCs w:val="16"/>
          <w:u w:color="000000"/>
          <w:bdr w:val="nil"/>
          <w:rtl/>
        </w:rPr>
        <w:t xml:space="preserve"> </w:t>
      </w:r>
      <w:r w:rsidRPr="00D40378">
        <w:rPr>
          <w:rFonts w:ascii="Georgia" w:eastAsia="Arial Unicode MS" w:hAnsi="Georgia" w:cs="Arial Unicode MS"/>
          <w:color w:val="000000"/>
          <w:sz w:val="16"/>
          <w:szCs w:val="16"/>
          <w:u w:color="000000"/>
          <w:bdr w:val="nil"/>
          <w:rtl/>
        </w:rPr>
        <w:tab/>
      </w:r>
      <w:r w:rsidRPr="00D40378">
        <w:rPr>
          <w:rFonts w:ascii="Georgia" w:eastAsia="Arial Unicode MS" w:hAnsi="Georgia" w:cs="Arial Unicode MS"/>
          <w:color w:val="000000"/>
          <w:sz w:val="16"/>
          <w:szCs w:val="16"/>
          <w:u w:color="000000"/>
          <w:bdr w:val="nil"/>
        </w:rPr>
        <w:t>School of Business Administration, University of Haifa</w:t>
      </w:r>
    </w:p>
  </w:footnote>
  <w:footnote w:id="6">
    <w:p w14:paraId="21547E24" w14:textId="77777777" w:rsidR="00D40378" w:rsidRPr="00D40378" w:rsidRDefault="00D40378" w:rsidP="00D40378">
      <w:pPr>
        <w:bidi w:val="0"/>
        <w:spacing w:line="200" w:lineRule="exact"/>
        <w:ind w:left="397" w:hanging="397"/>
        <w:jc w:val="both"/>
        <w:rPr>
          <w:rFonts w:ascii="Georgia" w:eastAsia="Arial Unicode MS" w:hAnsi="Georgia" w:cs="Arial Unicode MS"/>
          <w:color w:val="000000"/>
          <w:sz w:val="16"/>
          <w:szCs w:val="16"/>
          <w:u w:color="000000"/>
          <w:bdr w:val="nil"/>
        </w:rPr>
      </w:pPr>
      <w:r w:rsidRPr="00D40378">
        <w:rPr>
          <w:rFonts w:ascii="Georgia" w:eastAsia="Arial Unicode MS" w:hAnsi="Georgia" w:cs="Arial Unicode MS"/>
          <w:color w:val="000000"/>
          <w:sz w:val="16"/>
          <w:szCs w:val="16"/>
          <w:u w:color="000000"/>
          <w:bdr w:val="nil"/>
        </w:rPr>
        <w:footnoteRef/>
      </w:r>
      <w:r w:rsidRPr="00D40378">
        <w:rPr>
          <w:rFonts w:ascii="Georgia" w:eastAsia="Arial Unicode MS" w:hAnsi="Georgia" w:cs="Arial Unicode MS"/>
          <w:color w:val="000000"/>
          <w:sz w:val="16"/>
          <w:szCs w:val="16"/>
          <w:u w:color="000000"/>
          <w:bdr w:val="nil"/>
          <w:rtl/>
        </w:rPr>
        <w:t xml:space="preserve"> </w:t>
      </w:r>
      <w:r w:rsidRPr="00D40378">
        <w:rPr>
          <w:rFonts w:ascii="Georgia" w:eastAsia="Arial Unicode MS" w:hAnsi="Georgia" w:cs="Arial Unicode MS"/>
          <w:color w:val="000000"/>
          <w:sz w:val="16"/>
          <w:szCs w:val="16"/>
          <w:u w:color="000000"/>
          <w:bdr w:val="nil"/>
          <w:rtl/>
        </w:rPr>
        <w:tab/>
      </w:r>
      <w:r w:rsidRPr="00D40378">
        <w:rPr>
          <w:rFonts w:ascii="Georgia" w:eastAsia="Arial Unicode MS" w:hAnsi="Georgia" w:cs="Arial Unicode MS"/>
          <w:color w:val="000000"/>
          <w:sz w:val="16"/>
          <w:szCs w:val="16"/>
          <w:u w:color="000000"/>
          <w:bdr w:val="nil"/>
        </w:rPr>
        <w:t>School of Business Administration, University of Haifa</w:t>
      </w:r>
    </w:p>
  </w:footnote>
  <w:footnote w:id="7">
    <w:p w14:paraId="6FAE2695" w14:textId="77777777" w:rsidR="00D40378" w:rsidRPr="00D40378" w:rsidRDefault="00D40378" w:rsidP="00D40378">
      <w:pPr>
        <w:bidi w:val="0"/>
        <w:spacing w:line="200" w:lineRule="exact"/>
        <w:ind w:left="397" w:hanging="397"/>
        <w:jc w:val="both"/>
        <w:rPr>
          <w:rFonts w:ascii="Georgia" w:eastAsia="Arial Unicode MS" w:hAnsi="Georgia" w:cs="Arial Unicode MS"/>
          <w:color w:val="000000"/>
          <w:sz w:val="16"/>
          <w:szCs w:val="16"/>
          <w:u w:color="000000"/>
          <w:bdr w:val="nil"/>
        </w:rPr>
      </w:pPr>
      <w:r w:rsidRPr="00D40378">
        <w:rPr>
          <w:rFonts w:ascii="Georgia" w:eastAsia="Arial Unicode MS" w:hAnsi="Georgia" w:cs="Arial Unicode MS"/>
          <w:color w:val="000000"/>
          <w:sz w:val="16"/>
          <w:szCs w:val="16"/>
          <w:u w:color="000000"/>
          <w:bdr w:val="nil"/>
        </w:rPr>
        <w:footnoteRef/>
      </w:r>
      <w:r w:rsidRPr="00D40378">
        <w:rPr>
          <w:rFonts w:ascii="Georgia" w:eastAsia="Arial Unicode MS" w:hAnsi="Georgia" w:cs="Arial Unicode MS"/>
          <w:color w:val="000000"/>
          <w:sz w:val="16"/>
          <w:szCs w:val="16"/>
          <w:u w:color="000000"/>
          <w:bdr w:val="nil"/>
          <w:rtl/>
        </w:rPr>
        <w:t xml:space="preserve"> </w:t>
      </w:r>
      <w:r w:rsidRPr="00D40378">
        <w:rPr>
          <w:rFonts w:ascii="Georgia" w:eastAsia="Arial Unicode MS" w:hAnsi="Georgia" w:cs="Arial Unicode MS"/>
          <w:color w:val="000000"/>
          <w:sz w:val="16"/>
          <w:szCs w:val="16"/>
          <w:u w:color="000000"/>
          <w:bdr w:val="nil"/>
          <w:rtl/>
        </w:rPr>
        <w:tab/>
      </w:r>
      <w:r w:rsidRPr="00D40378">
        <w:rPr>
          <w:rFonts w:ascii="Georgia" w:eastAsia="Arial Unicode MS" w:hAnsi="Georgia" w:cs="Arial Unicode MS"/>
          <w:color w:val="000000"/>
          <w:sz w:val="16"/>
          <w:szCs w:val="16"/>
          <w:u w:color="000000"/>
          <w:bdr w:val="nil"/>
        </w:rPr>
        <w:t>Department of Gerontology, University of Haifa</w:t>
      </w:r>
    </w:p>
  </w:footnote>
  <w:footnote w:id="8">
    <w:p w14:paraId="72DB80F2" w14:textId="77777777" w:rsidR="00D40378" w:rsidRPr="00D40378" w:rsidRDefault="00D40378" w:rsidP="00D40378">
      <w:pPr>
        <w:bidi w:val="0"/>
        <w:spacing w:line="200" w:lineRule="exact"/>
        <w:ind w:left="397" w:hanging="397"/>
        <w:jc w:val="both"/>
        <w:rPr>
          <w:rFonts w:ascii="Georgia" w:eastAsia="Arial Unicode MS" w:hAnsi="Georgia" w:cs="Arial Unicode MS"/>
          <w:color w:val="000000"/>
          <w:sz w:val="16"/>
          <w:szCs w:val="16"/>
          <w:u w:color="000000"/>
          <w:bdr w:val="nil"/>
        </w:rPr>
      </w:pPr>
      <w:r w:rsidRPr="00D40378">
        <w:rPr>
          <w:rFonts w:ascii="Georgia" w:eastAsia="Arial Unicode MS" w:hAnsi="Georgia" w:cs="Arial Unicode MS"/>
          <w:color w:val="000000"/>
          <w:sz w:val="16"/>
          <w:szCs w:val="16"/>
          <w:u w:color="000000"/>
          <w:bdr w:val="nil"/>
        </w:rPr>
        <w:footnoteRef/>
      </w:r>
      <w:r w:rsidRPr="00D40378">
        <w:rPr>
          <w:rFonts w:ascii="Georgia" w:eastAsia="Arial Unicode MS" w:hAnsi="Georgia" w:cs="Arial Unicode MS"/>
          <w:color w:val="000000"/>
          <w:sz w:val="16"/>
          <w:szCs w:val="16"/>
          <w:u w:color="000000"/>
          <w:bdr w:val="nil"/>
          <w:rtl/>
        </w:rPr>
        <w:t xml:space="preserve"> </w:t>
      </w:r>
      <w:r w:rsidRPr="00D40378">
        <w:rPr>
          <w:rFonts w:ascii="Georgia" w:eastAsia="Arial Unicode MS" w:hAnsi="Georgia" w:cs="Arial Unicode MS"/>
          <w:color w:val="000000"/>
          <w:sz w:val="16"/>
          <w:szCs w:val="16"/>
          <w:u w:color="000000"/>
          <w:bdr w:val="nil"/>
          <w:rtl/>
        </w:rPr>
        <w:tab/>
      </w:r>
      <w:r w:rsidRPr="00D40378">
        <w:rPr>
          <w:rFonts w:ascii="Georgia" w:eastAsia="Arial Unicode MS" w:hAnsi="Georgia" w:cs="Arial Unicode MS"/>
          <w:color w:val="000000"/>
          <w:sz w:val="16"/>
          <w:szCs w:val="16"/>
          <w:u w:color="000000"/>
          <w:bdr w:val="nil"/>
        </w:rPr>
        <w:t>School of Social Work, Bar-Ilan University</w:t>
      </w:r>
    </w:p>
  </w:footnote>
  <w:footnote w:id="9">
    <w:p w14:paraId="4EE735E0" w14:textId="77777777" w:rsidR="00D40378" w:rsidRPr="00D40378" w:rsidRDefault="00D40378" w:rsidP="00D40378">
      <w:pPr>
        <w:bidi w:val="0"/>
        <w:spacing w:line="200" w:lineRule="exact"/>
        <w:ind w:left="397" w:hanging="397"/>
        <w:jc w:val="both"/>
        <w:rPr>
          <w:rFonts w:ascii="Georgia" w:eastAsia="Arial Unicode MS" w:hAnsi="Georgia" w:cs="Arial Unicode MS"/>
          <w:color w:val="000000"/>
          <w:sz w:val="16"/>
          <w:szCs w:val="16"/>
          <w:u w:color="000000"/>
          <w:bdr w:val="nil"/>
        </w:rPr>
      </w:pPr>
      <w:r w:rsidRPr="00D40378">
        <w:rPr>
          <w:rFonts w:ascii="Georgia" w:eastAsia="Arial Unicode MS" w:hAnsi="Georgia" w:cs="Arial Unicode MS"/>
          <w:color w:val="000000"/>
          <w:sz w:val="16"/>
          <w:szCs w:val="16"/>
          <w:u w:color="000000"/>
          <w:bdr w:val="nil"/>
        </w:rPr>
        <w:footnoteRef/>
      </w:r>
      <w:r w:rsidRPr="00D40378">
        <w:rPr>
          <w:rFonts w:ascii="Georgia" w:eastAsia="Arial Unicode MS" w:hAnsi="Georgia" w:cs="Arial Unicode MS"/>
          <w:color w:val="000000"/>
          <w:sz w:val="16"/>
          <w:szCs w:val="16"/>
          <w:u w:color="000000"/>
          <w:bdr w:val="nil"/>
          <w:rtl/>
        </w:rPr>
        <w:t xml:space="preserve"> </w:t>
      </w:r>
      <w:r w:rsidRPr="00D40378">
        <w:rPr>
          <w:rFonts w:ascii="Georgia" w:eastAsia="Arial Unicode MS" w:hAnsi="Georgia" w:cs="Arial Unicode MS"/>
          <w:color w:val="000000"/>
          <w:sz w:val="16"/>
          <w:szCs w:val="16"/>
          <w:u w:color="000000"/>
          <w:bdr w:val="nil"/>
          <w:rtl/>
        </w:rPr>
        <w:tab/>
      </w:r>
      <w:r w:rsidRPr="00D40378">
        <w:rPr>
          <w:rFonts w:ascii="Georgia" w:eastAsia="Arial Unicode MS" w:hAnsi="Georgia" w:cs="Arial Unicode MS"/>
          <w:color w:val="000000"/>
          <w:sz w:val="16"/>
          <w:szCs w:val="16"/>
          <w:u w:color="000000"/>
          <w:bdr w:val="nil"/>
        </w:rPr>
        <w:t>Spitzer Department of Social Work, Ben-Gurion University of the Negev</w:t>
      </w:r>
    </w:p>
  </w:footnote>
  <w:footnote w:id="10">
    <w:p w14:paraId="5955D5B2" w14:textId="77777777" w:rsidR="00D40378" w:rsidRPr="00D40378" w:rsidRDefault="00D40378" w:rsidP="00D40378">
      <w:pPr>
        <w:bidi w:val="0"/>
        <w:spacing w:line="200" w:lineRule="exact"/>
        <w:ind w:left="397" w:hanging="397"/>
        <w:jc w:val="both"/>
        <w:rPr>
          <w:rFonts w:ascii="Georgia" w:eastAsia="Arial Unicode MS" w:hAnsi="Georgia" w:cs="Arial Unicode MS"/>
          <w:color w:val="000000"/>
          <w:sz w:val="16"/>
          <w:szCs w:val="16"/>
          <w:u w:color="000000"/>
          <w:bdr w:val="nil"/>
        </w:rPr>
      </w:pPr>
      <w:r w:rsidRPr="00D40378">
        <w:rPr>
          <w:rFonts w:ascii="Georgia" w:eastAsia="Arial Unicode MS" w:hAnsi="Georgia" w:cs="Arial Unicode MS"/>
          <w:color w:val="000000"/>
          <w:sz w:val="16"/>
          <w:szCs w:val="16"/>
          <w:u w:color="000000"/>
          <w:bdr w:val="nil"/>
        </w:rPr>
        <w:footnoteRef/>
      </w:r>
      <w:r w:rsidRPr="00D40378">
        <w:rPr>
          <w:rFonts w:ascii="Georgia" w:eastAsia="Arial Unicode MS" w:hAnsi="Georgia" w:cs="Arial Unicode MS"/>
          <w:color w:val="000000"/>
          <w:sz w:val="16"/>
          <w:szCs w:val="16"/>
          <w:u w:color="000000"/>
          <w:bdr w:val="nil"/>
          <w:rtl/>
        </w:rPr>
        <w:t xml:space="preserve"> </w:t>
      </w:r>
      <w:r w:rsidRPr="00D40378">
        <w:rPr>
          <w:rFonts w:ascii="Georgia" w:eastAsia="Arial Unicode MS" w:hAnsi="Georgia" w:cs="Arial Unicode MS"/>
          <w:color w:val="000000"/>
          <w:sz w:val="16"/>
          <w:szCs w:val="16"/>
          <w:u w:color="000000"/>
          <w:bdr w:val="nil"/>
          <w:rtl/>
        </w:rPr>
        <w:tab/>
      </w:r>
      <w:r w:rsidRPr="00D40378">
        <w:rPr>
          <w:rFonts w:ascii="Georgia" w:eastAsia="Arial Unicode MS" w:hAnsi="Georgia" w:cs="Arial Unicode MS"/>
          <w:color w:val="000000"/>
          <w:sz w:val="16"/>
          <w:szCs w:val="16"/>
          <w:u w:color="000000"/>
          <w:bdr w:val="nil"/>
        </w:rPr>
        <w:t>The Spitzer Department of Social Work, Ben-Gurion University of the Negev</w:t>
      </w:r>
    </w:p>
  </w:footnote>
  <w:footnote w:id="11">
    <w:p w14:paraId="2C248BA0" w14:textId="77777777" w:rsidR="00D40378" w:rsidRPr="00D40378" w:rsidRDefault="00D40378" w:rsidP="00D40378">
      <w:pPr>
        <w:bidi w:val="0"/>
        <w:spacing w:line="200" w:lineRule="exact"/>
        <w:ind w:left="397" w:hanging="397"/>
        <w:jc w:val="both"/>
        <w:rPr>
          <w:rFonts w:ascii="Georgia" w:eastAsia="Arial Unicode MS" w:hAnsi="Georgia" w:cs="Arial Unicode MS"/>
          <w:color w:val="000000"/>
          <w:sz w:val="16"/>
          <w:szCs w:val="16"/>
          <w:u w:color="000000"/>
          <w:bdr w:val="nil"/>
        </w:rPr>
      </w:pPr>
      <w:r w:rsidRPr="00D40378">
        <w:rPr>
          <w:rFonts w:ascii="Georgia" w:eastAsia="Arial Unicode MS" w:hAnsi="Georgia" w:cs="Arial Unicode MS"/>
          <w:color w:val="000000"/>
          <w:sz w:val="16"/>
          <w:szCs w:val="16"/>
          <w:u w:color="000000"/>
          <w:bdr w:val="nil"/>
        </w:rPr>
        <w:footnoteRef/>
      </w:r>
      <w:r w:rsidRPr="00D40378">
        <w:rPr>
          <w:rFonts w:ascii="Georgia" w:eastAsia="Arial Unicode MS" w:hAnsi="Georgia" w:cs="Arial Unicode MS"/>
          <w:color w:val="000000"/>
          <w:sz w:val="16"/>
          <w:szCs w:val="16"/>
          <w:u w:color="000000"/>
          <w:bdr w:val="nil"/>
          <w:rtl/>
        </w:rPr>
        <w:t xml:space="preserve"> </w:t>
      </w:r>
      <w:r w:rsidRPr="00D40378">
        <w:rPr>
          <w:rFonts w:ascii="Georgia" w:eastAsia="Arial Unicode MS" w:hAnsi="Georgia" w:cs="Arial Unicode MS"/>
          <w:color w:val="000000"/>
          <w:sz w:val="16"/>
          <w:szCs w:val="16"/>
          <w:u w:color="000000"/>
          <w:bdr w:val="nil"/>
          <w:rtl/>
        </w:rPr>
        <w:tab/>
      </w:r>
      <w:r w:rsidRPr="00D40378">
        <w:rPr>
          <w:rFonts w:ascii="Georgia" w:eastAsia="Arial Unicode MS" w:hAnsi="Georgia" w:cs="Arial Unicode MS"/>
          <w:color w:val="000000"/>
          <w:sz w:val="16"/>
          <w:szCs w:val="16"/>
          <w:u w:color="000000"/>
          <w:bdr w:val="nil"/>
        </w:rPr>
        <w:t>Kibbutzim College of Education, Technology and the Arts, Tel Aviv-Yafo</w:t>
      </w:r>
    </w:p>
  </w:footnote>
  <w:footnote w:id="12">
    <w:p w14:paraId="421AE4C4" w14:textId="77777777" w:rsidR="00D40378" w:rsidRPr="00D40378" w:rsidRDefault="00D40378" w:rsidP="00D40378">
      <w:pPr>
        <w:bidi w:val="0"/>
        <w:spacing w:line="200" w:lineRule="exact"/>
        <w:ind w:left="397" w:hanging="397"/>
        <w:jc w:val="both"/>
        <w:rPr>
          <w:rFonts w:ascii="Georgia" w:eastAsia="Arial Unicode MS" w:hAnsi="Georgia" w:cs="Arial Unicode MS"/>
          <w:color w:val="000000"/>
          <w:sz w:val="16"/>
          <w:szCs w:val="16"/>
          <w:u w:color="000000"/>
          <w:bdr w:val="nil"/>
        </w:rPr>
      </w:pPr>
      <w:r w:rsidRPr="00D40378">
        <w:rPr>
          <w:rFonts w:ascii="Georgia" w:eastAsia="Arial Unicode MS" w:hAnsi="Georgia" w:cs="Arial Unicode MS"/>
          <w:color w:val="000000"/>
          <w:sz w:val="16"/>
          <w:szCs w:val="16"/>
          <w:u w:color="000000"/>
          <w:bdr w:val="nil"/>
        </w:rPr>
        <w:footnoteRef/>
      </w:r>
      <w:r w:rsidRPr="00D40378">
        <w:rPr>
          <w:rFonts w:ascii="Georgia" w:eastAsia="Arial Unicode MS" w:hAnsi="Georgia" w:cs="Arial Unicode MS"/>
          <w:color w:val="000000"/>
          <w:sz w:val="16"/>
          <w:szCs w:val="16"/>
          <w:u w:color="000000"/>
          <w:bdr w:val="nil"/>
          <w:rtl/>
        </w:rPr>
        <w:t xml:space="preserve"> </w:t>
      </w:r>
      <w:r w:rsidRPr="00D40378">
        <w:rPr>
          <w:rFonts w:ascii="Georgia" w:eastAsia="Arial Unicode MS" w:hAnsi="Georgia" w:cs="Arial Unicode MS"/>
          <w:color w:val="000000"/>
          <w:sz w:val="16"/>
          <w:szCs w:val="16"/>
          <w:u w:color="000000"/>
          <w:bdr w:val="nil"/>
          <w:rtl/>
        </w:rPr>
        <w:tab/>
      </w:r>
      <w:r w:rsidRPr="00D40378">
        <w:rPr>
          <w:rFonts w:ascii="Georgia" w:eastAsia="Arial Unicode MS" w:hAnsi="Georgia" w:cs="Arial Unicode MS"/>
          <w:color w:val="000000"/>
          <w:sz w:val="16"/>
          <w:szCs w:val="16"/>
          <w:u w:color="000000"/>
          <w:bdr w:val="nil"/>
        </w:rPr>
        <w:t>Faculty of Business Administration, Ono Academic College</w:t>
      </w:r>
    </w:p>
  </w:footnote>
  <w:footnote w:id="13">
    <w:p w14:paraId="5B4124BB" w14:textId="77777777" w:rsidR="00D40378" w:rsidRPr="00D40378" w:rsidRDefault="00D40378" w:rsidP="00D40378">
      <w:pPr>
        <w:bidi w:val="0"/>
        <w:spacing w:line="200" w:lineRule="exact"/>
        <w:ind w:left="397" w:hanging="397"/>
        <w:jc w:val="both"/>
        <w:rPr>
          <w:rFonts w:ascii="Georgia" w:eastAsia="Arial Unicode MS" w:hAnsi="Georgia" w:cs="Arial Unicode MS"/>
          <w:color w:val="000000"/>
          <w:sz w:val="16"/>
          <w:szCs w:val="16"/>
          <w:u w:color="000000"/>
          <w:bdr w:val="nil"/>
        </w:rPr>
      </w:pPr>
      <w:r w:rsidRPr="00D40378">
        <w:rPr>
          <w:rFonts w:ascii="Georgia" w:eastAsia="Arial Unicode MS" w:hAnsi="Georgia" w:cs="Arial Unicode MS"/>
          <w:color w:val="000000"/>
          <w:sz w:val="16"/>
          <w:szCs w:val="16"/>
          <w:u w:color="000000"/>
          <w:bdr w:val="nil"/>
        </w:rPr>
        <w:footnoteRef/>
      </w:r>
      <w:r w:rsidRPr="00D40378">
        <w:rPr>
          <w:rFonts w:ascii="Georgia" w:eastAsia="Arial Unicode MS" w:hAnsi="Georgia" w:cs="Arial Unicode MS"/>
          <w:color w:val="000000"/>
          <w:sz w:val="16"/>
          <w:szCs w:val="16"/>
          <w:u w:color="000000"/>
          <w:bdr w:val="nil"/>
        </w:rPr>
        <w:t xml:space="preserve"> </w:t>
      </w:r>
      <w:r w:rsidRPr="00D40378">
        <w:rPr>
          <w:rFonts w:ascii="Georgia" w:eastAsia="Arial Unicode MS" w:hAnsi="Georgia" w:cs="Arial Unicode MS"/>
          <w:color w:val="000000"/>
          <w:sz w:val="16"/>
          <w:szCs w:val="16"/>
          <w:u w:color="000000"/>
          <w:bdr w:val="nil"/>
          <w:rtl/>
        </w:rPr>
        <w:tab/>
      </w:r>
      <w:r w:rsidRPr="00D40378">
        <w:rPr>
          <w:rFonts w:ascii="Georgia" w:eastAsia="Arial Unicode MS" w:hAnsi="Georgia" w:cs="Arial Unicode MS"/>
          <w:color w:val="000000"/>
          <w:sz w:val="16"/>
          <w:szCs w:val="16"/>
          <w:u w:color="000000"/>
          <w:bdr w:val="nil"/>
        </w:rPr>
        <w:t>Department of Gerontology, University of Haifa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B88F" w14:textId="77777777" w:rsidR="00A461C2" w:rsidRDefault="00A461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4C26" w14:textId="77777777" w:rsidR="00A461C2" w:rsidRDefault="00A461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9DA47" w14:textId="77777777" w:rsidR="00A461C2" w:rsidRPr="0065760C" w:rsidRDefault="00A461C2" w:rsidP="00B7129D">
    <w:pPr>
      <w:pStyle w:val="Heading1"/>
      <w:tabs>
        <w:tab w:val="center" w:pos="4536"/>
        <w:tab w:val="right" w:pos="9072"/>
      </w:tabs>
      <w:bidi w:val="0"/>
      <w:rPr>
        <w:rFonts w:ascii="Georgia" w:hAnsi="Georgia" w:cstheme="majorBidi"/>
        <w:b w:val="0"/>
        <w:bCs w:val="0"/>
        <w:color w:val="A6A6A6"/>
        <w:sz w:val="22"/>
        <w:szCs w:val="22"/>
      </w:rPr>
    </w:pPr>
    <w:r>
      <w:rPr>
        <w:rFonts w:ascii="Georgia" w:hAnsi="Georgia" w:cstheme="majorBidi"/>
        <w:noProof/>
        <w:sz w:val="24"/>
        <w:szCs w:val="24"/>
      </w:rPr>
      <w:fldChar w:fldCharType="begin"/>
    </w:r>
    <w:r>
      <w:rPr>
        <w:rFonts w:ascii="Georgia" w:hAnsi="Georgia" w:cstheme="majorBidi"/>
        <w:noProof/>
        <w:sz w:val="24"/>
        <w:szCs w:val="24"/>
      </w:rPr>
      <w:instrText xml:space="preserve"> PAGE  \* Arabic  \* MERGEFORMAT </w:instrText>
    </w:r>
    <w:r>
      <w:rPr>
        <w:rFonts w:ascii="Georgia" w:hAnsi="Georgia" w:cstheme="majorBidi"/>
        <w:noProof/>
        <w:sz w:val="24"/>
        <w:szCs w:val="24"/>
      </w:rPr>
      <w:fldChar w:fldCharType="separate"/>
    </w:r>
    <w:r>
      <w:rPr>
        <w:rFonts w:ascii="Georgia" w:hAnsi="Georgia" w:cstheme="majorBidi"/>
        <w:noProof/>
        <w:sz w:val="24"/>
        <w:szCs w:val="24"/>
      </w:rPr>
      <w:t>14</w:t>
    </w:r>
    <w:r>
      <w:rPr>
        <w:rFonts w:ascii="Georgia" w:hAnsi="Georgia" w:cstheme="majorBidi"/>
        <w:noProof/>
        <w:sz w:val="24"/>
        <w:szCs w:val="24"/>
      </w:rPr>
      <w:fldChar w:fldCharType="end"/>
    </w:r>
    <w:r w:rsidRPr="0065760C">
      <w:rPr>
        <w:rFonts w:ascii="Georgia" w:hAnsi="Georgia" w:cstheme="majorBidi"/>
        <w:b w:val="0"/>
        <w:bCs w:val="0"/>
        <w:noProof/>
        <w:sz w:val="18"/>
        <w:szCs w:val="18"/>
      </w:rPr>
      <w:t xml:space="preserve"> | Israel </w:t>
    </w:r>
    <w:r w:rsidRPr="0065760C">
      <w:rPr>
        <w:rFonts w:ascii="Georgia" w:hAnsi="Georgia" w:cstheme="majorBidi"/>
        <w:b w:val="0"/>
        <w:bCs w:val="0"/>
        <w:sz w:val="18"/>
        <w:szCs w:val="18"/>
      </w:rPr>
      <w:t>Journal of Social Policy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C7CE" w14:textId="77777777" w:rsidR="00A461C2" w:rsidRPr="0065760C" w:rsidRDefault="00A461C2" w:rsidP="00A803F8">
    <w:pPr>
      <w:pStyle w:val="Heading1"/>
      <w:tabs>
        <w:tab w:val="center" w:pos="4536"/>
        <w:tab w:val="right" w:pos="9072"/>
      </w:tabs>
      <w:bidi w:val="0"/>
      <w:jc w:val="right"/>
      <w:rPr>
        <w:rFonts w:ascii="Georgia" w:hAnsi="Georgia" w:cstheme="majorBidi"/>
        <w:b w:val="0"/>
        <w:bCs w:val="0"/>
        <w:noProof/>
        <w:color w:val="A6A6A6"/>
        <w:sz w:val="22"/>
        <w:szCs w:val="22"/>
      </w:rPr>
    </w:pPr>
    <w:r w:rsidRPr="0065760C">
      <w:rPr>
        <w:rFonts w:ascii="Georgia" w:hAnsi="Georgia" w:cstheme="majorBidi"/>
        <w:b w:val="0"/>
        <w:bCs w:val="0"/>
        <w:noProof/>
        <w:sz w:val="18"/>
        <w:szCs w:val="18"/>
      </w:rPr>
      <w:t xml:space="preserve">Social Security | </w:t>
    </w:r>
    <w:r>
      <w:rPr>
        <w:rFonts w:ascii="Georgia" w:hAnsi="Georgia" w:cstheme="majorBidi"/>
        <w:noProof/>
        <w:sz w:val="24"/>
        <w:szCs w:val="24"/>
      </w:rPr>
      <w:fldChar w:fldCharType="begin"/>
    </w:r>
    <w:r>
      <w:rPr>
        <w:rFonts w:ascii="Georgia" w:hAnsi="Georgia" w:cstheme="majorBidi"/>
        <w:noProof/>
        <w:sz w:val="24"/>
        <w:szCs w:val="24"/>
      </w:rPr>
      <w:instrText xml:space="preserve"> PAGE  \* Arabic  \* MERGEFORMAT </w:instrText>
    </w:r>
    <w:r>
      <w:rPr>
        <w:rFonts w:ascii="Georgia" w:hAnsi="Georgia" w:cstheme="majorBidi"/>
        <w:noProof/>
        <w:sz w:val="24"/>
        <w:szCs w:val="24"/>
      </w:rPr>
      <w:fldChar w:fldCharType="separate"/>
    </w:r>
    <w:r>
      <w:rPr>
        <w:rFonts w:ascii="Georgia" w:hAnsi="Georgia" w:cstheme="majorBidi"/>
        <w:noProof/>
        <w:sz w:val="24"/>
        <w:szCs w:val="24"/>
      </w:rPr>
      <w:t>15</w:t>
    </w:r>
    <w:r>
      <w:rPr>
        <w:rFonts w:ascii="Georgia" w:hAnsi="Georgia" w:cstheme="majorBidi"/>
        <w:noProof/>
        <w:sz w:val="24"/>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9509" w14:textId="10DB69FE" w:rsidR="00142593" w:rsidRPr="00142593" w:rsidRDefault="00142593" w:rsidP="00142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30D2"/>
    <w:multiLevelType w:val="hybridMultilevel"/>
    <w:tmpl w:val="2840A4D6"/>
    <w:lvl w:ilvl="0" w:tplc="C012F198">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32BB6AE3"/>
    <w:multiLevelType w:val="hybridMultilevel"/>
    <w:tmpl w:val="FBA4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D2F4F"/>
    <w:multiLevelType w:val="hybridMultilevel"/>
    <w:tmpl w:val="967C7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47E77"/>
    <w:multiLevelType w:val="hybridMultilevel"/>
    <w:tmpl w:val="D2F4549C"/>
    <w:lvl w:ilvl="0" w:tplc="C012F19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987DB2"/>
    <w:multiLevelType w:val="hybridMultilevel"/>
    <w:tmpl w:val="BD4A40C2"/>
    <w:lvl w:ilvl="0" w:tplc="C040CA74">
      <w:start w:val="1"/>
      <w:numFmt w:val="decimal"/>
      <w:lvlText w:val="%1."/>
      <w:lvlJc w:val="left"/>
      <w:pPr>
        <w:ind w:left="720" w:hanging="360"/>
      </w:pPr>
      <w:rPr>
        <w:rFonts w:ascii="Tahoma" w:hAnsi="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2670E"/>
    <w:multiLevelType w:val="hybridMultilevel"/>
    <w:tmpl w:val="8DE61352"/>
    <w:lvl w:ilvl="0" w:tplc="4B9E49E0">
      <w:start w:val="1"/>
      <w:numFmt w:val="decimal"/>
      <w:lvlText w:val="%1."/>
      <w:lvlJc w:val="left"/>
      <w:pPr>
        <w:ind w:left="720" w:hanging="360"/>
      </w:pPr>
      <w:rPr>
        <w:rFonts w:ascii="Tahoma" w:hAnsi="Tahoma" w:cs="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695235">
    <w:abstractNumId w:val="13"/>
  </w:num>
  <w:num w:numId="2" w16cid:durableId="1614551844">
    <w:abstractNumId w:val="17"/>
  </w:num>
  <w:num w:numId="3" w16cid:durableId="1411152202">
    <w:abstractNumId w:val="26"/>
  </w:num>
  <w:num w:numId="4" w16cid:durableId="1363553954">
    <w:abstractNumId w:val="23"/>
  </w:num>
  <w:num w:numId="5" w16cid:durableId="1179614815">
    <w:abstractNumId w:val="8"/>
  </w:num>
  <w:num w:numId="6" w16cid:durableId="1794398439">
    <w:abstractNumId w:val="22"/>
  </w:num>
  <w:num w:numId="7" w16cid:durableId="666592796">
    <w:abstractNumId w:val="15"/>
  </w:num>
  <w:num w:numId="8" w16cid:durableId="1135215764">
    <w:abstractNumId w:val="0"/>
  </w:num>
  <w:num w:numId="9" w16cid:durableId="696467008">
    <w:abstractNumId w:val="7"/>
  </w:num>
  <w:num w:numId="10" w16cid:durableId="2144155083">
    <w:abstractNumId w:val="25"/>
  </w:num>
  <w:num w:numId="11" w16cid:durableId="2039042357">
    <w:abstractNumId w:val="24"/>
  </w:num>
  <w:num w:numId="12" w16cid:durableId="467168696">
    <w:abstractNumId w:val="18"/>
  </w:num>
  <w:num w:numId="13" w16cid:durableId="1874268335">
    <w:abstractNumId w:val="11"/>
  </w:num>
  <w:num w:numId="14" w16cid:durableId="451560653">
    <w:abstractNumId w:val="6"/>
  </w:num>
  <w:num w:numId="15" w16cid:durableId="1553686965">
    <w:abstractNumId w:val="10"/>
  </w:num>
  <w:num w:numId="16" w16cid:durableId="1384986490">
    <w:abstractNumId w:val="4"/>
  </w:num>
  <w:num w:numId="17" w16cid:durableId="762455648">
    <w:abstractNumId w:val="27"/>
  </w:num>
  <w:num w:numId="18" w16cid:durableId="727925442">
    <w:abstractNumId w:val="19"/>
  </w:num>
  <w:num w:numId="19" w16cid:durableId="2056588032">
    <w:abstractNumId w:val="9"/>
  </w:num>
  <w:num w:numId="20" w16cid:durableId="2138449907">
    <w:abstractNumId w:val="3"/>
  </w:num>
  <w:num w:numId="21" w16cid:durableId="915866014">
    <w:abstractNumId w:val="1"/>
  </w:num>
  <w:num w:numId="22" w16cid:durableId="1432434260">
    <w:abstractNumId w:val="5"/>
  </w:num>
  <w:num w:numId="23" w16cid:durableId="1565676187">
    <w:abstractNumId w:val="12"/>
  </w:num>
  <w:num w:numId="24" w16cid:durableId="2085451382">
    <w:abstractNumId w:val="20"/>
  </w:num>
  <w:num w:numId="25" w16cid:durableId="1428384255">
    <w:abstractNumId w:val="21"/>
  </w:num>
  <w:num w:numId="26" w16cid:durableId="178857142">
    <w:abstractNumId w:val="16"/>
  </w:num>
  <w:num w:numId="27" w16cid:durableId="805314277">
    <w:abstractNumId w:val="14"/>
  </w:num>
  <w:num w:numId="28" w16cid:durableId="867332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10D3A"/>
    <w:rsid w:val="0004076F"/>
    <w:rsid w:val="00040A44"/>
    <w:rsid w:val="0004379A"/>
    <w:rsid w:val="00054D88"/>
    <w:rsid w:val="000552ED"/>
    <w:rsid w:val="000573DA"/>
    <w:rsid w:val="000667B0"/>
    <w:rsid w:val="00077087"/>
    <w:rsid w:val="00083814"/>
    <w:rsid w:val="00086EF2"/>
    <w:rsid w:val="00087AA7"/>
    <w:rsid w:val="000951DD"/>
    <w:rsid w:val="000962B1"/>
    <w:rsid w:val="000A3731"/>
    <w:rsid w:val="000B37F3"/>
    <w:rsid w:val="000B3899"/>
    <w:rsid w:val="000C11C8"/>
    <w:rsid w:val="000C13C4"/>
    <w:rsid w:val="000C32F6"/>
    <w:rsid w:val="000D35C8"/>
    <w:rsid w:val="000E38FA"/>
    <w:rsid w:val="000F0582"/>
    <w:rsid w:val="000F2A9A"/>
    <w:rsid w:val="000F5CAE"/>
    <w:rsid w:val="00111442"/>
    <w:rsid w:val="00142593"/>
    <w:rsid w:val="00145012"/>
    <w:rsid w:val="00152B26"/>
    <w:rsid w:val="001557E9"/>
    <w:rsid w:val="00160BCD"/>
    <w:rsid w:val="001629F1"/>
    <w:rsid w:val="00164AB3"/>
    <w:rsid w:val="00165447"/>
    <w:rsid w:val="00170419"/>
    <w:rsid w:val="00181E21"/>
    <w:rsid w:val="0018721E"/>
    <w:rsid w:val="00191908"/>
    <w:rsid w:val="00193124"/>
    <w:rsid w:val="001A0002"/>
    <w:rsid w:val="001A115B"/>
    <w:rsid w:val="001A1A47"/>
    <w:rsid w:val="001A20B5"/>
    <w:rsid w:val="001A3355"/>
    <w:rsid w:val="001B1955"/>
    <w:rsid w:val="001B40EE"/>
    <w:rsid w:val="001C240A"/>
    <w:rsid w:val="001C5AA2"/>
    <w:rsid w:val="001D1180"/>
    <w:rsid w:val="001D254D"/>
    <w:rsid w:val="001D2C96"/>
    <w:rsid w:val="001F30C1"/>
    <w:rsid w:val="001F6343"/>
    <w:rsid w:val="002044C6"/>
    <w:rsid w:val="002048EC"/>
    <w:rsid w:val="00213A15"/>
    <w:rsid w:val="00224C6A"/>
    <w:rsid w:val="00227591"/>
    <w:rsid w:val="00234C6F"/>
    <w:rsid w:val="002351B3"/>
    <w:rsid w:val="0024123B"/>
    <w:rsid w:val="00262177"/>
    <w:rsid w:val="00272B00"/>
    <w:rsid w:val="00280153"/>
    <w:rsid w:val="00281738"/>
    <w:rsid w:val="002905D2"/>
    <w:rsid w:val="00294F47"/>
    <w:rsid w:val="002B08B7"/>
    <w:rsid w:val="002B2C17"/>
    <w:rsid w:val="002B640A"/>
    <w:rsid w:val="002B6ABF"/>
    <w:rsid w:val="002B6B41"/>
    <w:rsid w:val="002C45DF"/>
    <w:rsid w:val="002F6AFD"/>
    <w:rsid w:val="002F7CA0"/>
    <w:rsid w:val="00314594"/>
    <w:rsid w:val="00316CC0"/>
    <w:rsid w:val="00317DCD"/>
    <w:rsid w:val="00322BF2"/>
    <w:rsid w:val="003246FE"/>
    <w:rsid w:val="003260AD"/>
    <w:rsid w:val="003267A2"/>
    <w:rsid w:val="00374196"/>
    <w:rsid w:val="003757CB"/>
    <w:rsid w:val="00387B22"/>
    <w:rsid w:val="00390DB7"/>
    <w:rsid w:val="00394431"/>
    <w:rsid w:val="00394889"/>
    <w:rsid w:val="003A0180"/>
    <w:rsid w:val="003A3173"/>
    <w:rsid w:val="003A333A"/>
    <w:rsid w:val="003A74DF"/>
    <w:rsid w:val="003B0CA1"/>
    <w:rsid w:val="003B1841"/>
    <w:rsid w:val="003B537C"/>
    <w:rsid w:val="003C17C5"/>
    <w:rsid w:val="003C3F77"/>
    <w:rsid w:val="003D0EC6"/>
    <w:rsid w:val="003D1152"/>
    <w:rsid w:val="003D1402"/>
    <w:rsid w:val="003D212E"/>
    <w:rsid w:val="003D4AF9"/>
    <w:rsid w:val="003D6C09"/>
    <w:rsid w:val="003E5B4F"/>
    <w:rsid w:val="00405788"/>
    <w:rsid w:val="00405ECD"/>
    <w:rsid w:val="00407035"/>
    <w:rsid w:val="004112B2"/>
    <w:rsid w:val="00411970"/>
    <w:rsid w:val="00416142"/>
    <w:rsid w:val="00423A61"/>
    <w:rsid w:val="00434483"/>
    <w:rsid w:val="00436B35"/>
    <w:rsid w:val="00437C0E"/>
    <w:rsid w:val="00446E1E"/>
    <w:rsid w:val="00451D7A"/>
    <w:rsid w:val="004543DB"/>
    <w:rsid w:val="0046108E"/>
    <w:rsid w:val="00470A99"/>
    <w:rsid w:val="00471597"/>
    <w:rsid w:val="00471658"/>
    <w:rsid w:val="00480951"/>
    <w:rsid w:val="004835DF"/>
    <w:rsid w:val="00486A88"/>
    <w:rsid w:val="00493BBF"/>
    <w:rsid w:val="00496D13"/>
    <w:rsid w:val="004A71EC"/>
    <w:rsid w:val="004A72F0"/>
    <w:rsid w:val="004B369E"/>
    <w:rsid w:val="004C38CE"/>
    <w:rsid w:val="004E0BE3"/>
    <w:rsid w:val="004E6887"/>
    <w:rsid w:val="00511A33"/>
    <w:rsid w:val="00512B59"/>
    <w:rsid w:val="00522824"/>
    <w:rsid w:val="005253B5"/>
    <w:rsid w:val="00527001"/>
    <w:rsid w:val="00530A10"/>
    <w:rsid w:val="005365DE"/>
    <w:rsid w:val="005416E9"/>
    <w:rsid w:val="00541B37"/>
    <w:rsid w:val="0055053A"/>
    <w:rsid w:val="00557971"/>
    <w:rsid w:val="005619D8"/>
    <w:rsid w:val="00564D81"/>
    <w:rsid w:val="00570F42"/>
    <w:rsid w:val="00576D40"/>
    <w:rsid w:val="0059386B"/>
    <w:rsid w:val="005957A2"/>
    <w:rsid w:val="00595B5D"/>
    <w:rsid w:val="005A23C4"/>
    <w:rsid w:val="005B2E2F"/>
    <w:rsid w:val="005B52BC"/>
    <w:rsid w:val="005B6C1C"/>
    <w:rsid w:val="005C7F41"/>
    <w:rsid w:val="005E2861"/>
    <w:rsid w:val="005E72CC"/>
    <w:rsid w:val="005F2F15"/>
    <w:rsid w:val="005F635C"/>
    <w:rsid w:val="006154FA"/>
    <w:rsid w:val="00621DEA"/>
    <w:rsid w:val="0062321C"/>
    <w:rsid w:val="00646BDF"/>
    <w:rsid w:val="0065160D"/>
    <w:rsid w:val="00652D7C"/>
    <w:rsid w:val="00652FC8"/>
    <w:rsid w:val="0065760C"/>
    <w:rsid w:val="00657C67"/>
    <w:rsid w:val="006624C6"/>
    <w:rsid w:val="006632CF"/>
    <w:rsid w:val="006656CB"/>
    <w:rsid w:val="006711CA"/>
    <w:rsid w:val="00677882"/>
    <w:rsid w:val="00681365"/>
    <w:rsid w:val="006824DB"/>
    <w:rsid w:val="00683B19"/>
    <w:rsid w:val="00693F09"/>
    <w:rsid w:val="0069449E"/>
    <w:rsid w:val="006A07E8"/>
    <w:rsid w:val="006B2136"/>
    <w:rsid w:val="006B2437"/>
    <w:rsid w:val="006B677F"/>
    <w:rsid w:val="006D3934"/>
    <w:rsid w:val="006D429D"/>
    <w:rsid w:val="006D6AAD"/>
    <w:rsid w:val="006D7496"/>
    <w:rsid w:val="006E0F39"/>
    <w:rsid w:val="006E2D05"/>
    <w:rsid w:val="006F4613"/>
    <w:rsid w:val="007178F3"/>
    <w:rsid w:val="007240DD"/>
    <w:rsid w:val="00733272"/>
    <w:rsid w:val="0073567B"/>
    <w:rsid w:val="00736F1E"/>
    <w:rsid w:val="007377A3"/>
    <w:rsid w:val="0075484F"/>
    <w:rsid w:val="00757626"/>
    <w:rsid w:val="007667D8"/>
    <w:rsid w:val="007715DE"/>
    <w:rsid w:val="00776EE2"/>
    <w:rsid w:val="007827B3"/>
    <w:rsid w:val="007919E7"/>
    <w:rsid w:val="00796021"/>
    <w:rsid w:val="007A6CDA"/>
    <w:rsid w:val="007B1E33"/>
    <w:rsid w:val="007B65EB"/>
    <w:rsid w:val="007B7399"/>
    <w:rsid w:val="007C37CD"/>
    <w:rsid w:val="007C6F64"/>
    <w:rsid w:val="007C7168"/>
    <w:rsid w:val="007C726C"/>
    <w:rsid w:val="007D5811"/>
    <w:rsid w:val="007D7780"/>
    <w:rsid w:val="007D7FE2"/>
    <w:rsid w:val="007F29C9"/>
    <w:rsid w:val="007F4A20"/>
    <w:rsid w:val="007F6780"/>
    <w:rsid w:val="007F7F6E"/>
    <w:rsid w:val="00801511"/>
    <w:rsid w:val="00810447"/>
    <w:rsid w:val="008110BD"/>
    <w:rsid w:val="0081122C"/>
    <w:rsid w:val="0081544A"/>
    <w:rsid w:val="00817C49"/>
    <w:rsid w:val="008220C8"/>
    <w:rsid w:val="00835D83"/>
    <w:rsid w:val="00837F2F"/>
    <w:rsid w:val="00840347"/>
    <w:rsid w:val="0084161C"/>
    <w:rsid w:val="008508B9"/>
    <w:rsid w:val="00862589"/>
    <w:rsid w:val="00870742"/>
    <w:rsid w:val="008907BE"/>
    <w:rsid w:val="0089386D"/>
    <w:rsid w:val="0089600E"/>
    <w:rsid w:val="008A2CE1"/>
    <w:rsid w:val="008B36DB"/>
    <w:rsid w:val="008B63CE"/>
    <w:rsid w:val="008D2958"/>
    <w:rsid w:val="008D5785"/>
    <w:rsid w:val="008E7662"/>
    <w:rsid w:val="008F52C3"/>
    <w:rsid w:val="008F67D2"/>
    <w:rsid w:val="008F7821"/>
    <w:rsid w:val="009023FC"/>
    <w:rsid w:val="00902783"/>
    <w:rsid w:val="00912616"/>
    <w:rsid w:val="00913099"/>
    <w:rsid w:val="009170FC"/>
    <w:rsid w:val="00933324"/>
    <w:rsid w:val="00935FAB"/>
    <w:rsid w:val="00940CC7"/>
    <w:rsid w:val="00946C6C"/>
    <w:rsid w:val="00947E55"/>
    <w:rsid w:val="009522CA"/>
    <w:rsid w:val="00953349"/>
    <w:rsid w:val="00955724"/>
    <w:rsid w:val="00962538"/>
    <w:rsid w:val="00980016"/>
    <w:rsid w:val="00983C2D"/>
    <w:rsid w:val="009916F6"/>
    <w:rsid w:val="009968D1"/>
    <w:rsid w:val="00997F03"/>
    <w:rsid w:val="009A5BFD"/>
    <w:rsid w:val="009B53E8"/>
    <w:rsid w:val="009B6FC3"/>
    <w:rsid w:val="009C550B"/>
    <w:rsid w:val="009C5E89"/>
    <w:rsid w:val="009D450D"/>
    <w:rsid w:val="009E2EB8"/>
    <w:rsid w:val="009E4137"/>
    <w:rsid w:val="009F340E"/>
    <w:rsid w:val="00A030E0"/>
    <w:rsid w:val="00A04D35"/>
    <w:rsid w:val="00A11378"/>
    <w:rsid w:val="00A21186"/>
    <w:rsid w:val="00A27C04"/>
    <w:rsid w:val="00A31945"/>
    <w:rsid w:val="00A36D7F"/>
    <w:rsid w:val="00A37942"/>
    <w:rsid w:val="00A419AE"/>
    <w:rsid w:val="00A41FB6"/>
    <w:rsid w:val="00A42A80"/>
    <w:rsid w:val="00A461C2"/>
    <w:rsid w:val="00A530A9"/>
    <w:rsid w:val="00A72172"/>
    <w:rsid w:val="00A803F8"/>
    <w:rsid w:val="00A87713"/>
    <w:rsid w:val="00A910EE"/>
    <w:rsid w:val="00A9196F"/>
    <w:rsid w:val="00A924FA"/>
    <w:rsid w:val="00A953FC"/>
    <w:rsid w:val="00A95F73"/>
    <w:rsid w:val="00A9757B"/>
    <w:rsid w:val="00AA2851"/>
    <w:rsid w:val="00AA3D50"/>
    <w:rsid w:val="00AB0F41"/>
    <w:rsid w:val="00AC1B1F"/>
    <w:rsid w:val="00AC2D77"/>
    <w:rsid w:val="00AC452F"/>
    <w:rsid w:val="00AD2E87"/>
    <w:rsid w:val="00AD6E3C"/>
    <w:rsid w:val="00AE03A0"/>
    <w:rsid w:val="00AE0A3D"/>
    <w:rsid w:val="00AE5493"/>
    <w:rsid w:val="00AE7630"/>
    <w:rsid w:val="00AF2D14"/>
    <w:rsid w:val="00AF7379"/>
    <w:rsid w:val="00B045A8"/>
    <w:rsid w:val="00B045C9"/>
    <w:rsid w:val="00B06A68"/>
    <w:rsid w:val="00B16E47"/>
    <w:rsid w:val="00B170F3"/>
    <w:rsid w:val="00B23956"/>
    <w:rsid w:val="00B25149"/>
    <w:rsid w:val="00B269D2"/>
    <w:rsid w:val="00B30C16"/>
    <w:rsid w:val="00B43D90"/>
    <w:rsid w:val="00B468E5"/>
    <w:rsid w:val="00B55ABE"/>
    <w:rsid w:val="00B7129D"/>
    <w:rsid w:val="00B728EF"/>
    <w:rsid w:val="00B77DEB"/>
    <w:rsid w:val="00B96DE7"/>
    <w:rsid w:val="00BA00B5"/>
    <w:rsid w:val="00BA06D4"/>
    <w:rsid w:val="00BA636B"/>
    <w:rsid w:val="00BC53BD"/>
    <w:rsid w:val="00BC768E"/>
    <w:rsid w:val="00BE5E0D"/>
    <w:rsid w:val="00C0253C"/>
    <w:rsid w:val="00C139D7"/>
    <w:rsid w:val="00C1711C"/>
    <w:rsid w:val="00C20E9D"/>
    <w:rsid w:val="00C25AE4"/>
    <w:rsid w:val="00C27C0D"/>
    <w:rsid w:val="00C44CE1"/>
    <w:rsid w:val="00C4710B"/>
    <w:rsid w:val="00C52405"/>
    <w:rsid w:val="00C52C59"/>
    <w:rsid w:val="00C52CC5"/>
    <w:rsid w:val="00C603A8"/>
    <w:rsid w:val="00C607A0"/>
    <w:rsid w:val="00C63126"/>
    <w:rsid w:val="00C70E4F"/>
    <w:rsid w:val="00C7439F"/>
    <w:rsid w:val="00C80DEE"/>
    <w:rsid w:val="00C849CB"/>
    <w:rsid w:val="00C93533"/>
    <w:rsid w:val="00CA28A9"/>
    <w:rsid w:val="00CA5B5A"/>
    <w:rsid w:val="00CA7399"/>
    <w:rsid w:val="00CA7495"/>
    <w:rsid w:val="00CA7D04"/>
    <w:rsid w:val="00CC1968"/>
    <w:rsid w:val="00CD01F1"/>
    <w:rsid w:val="00CD06B0"/>
    <w:rsid w:val="00CD0D2F"/>
    <w:rsid w:val="00CD462E"/>
    <w:rsid w:val="00CE32A7"/>
    <w:rsid w:val="00CF5FCA"/>
    <w:rsid w:val="00CF7A4A"/>
    <w:rsid w:val="00D11F9C"/>
    <w:rsid w:val="00D137AD"/>
    <w:rsid w:val="00D20CD5"/>
    <w:rsid w:val="00D20DE5"/>
    <w:rsid w:val="00D21D40"/>
    <w:rsid w:val="00D31964"/>
    <w:rsid w:val="00D31FFE"/>
    <w:rsid w:val="00D40378"/>
    <w:rsid w:val="00D569CD"/>
    <w:rsid w:val="00D56A48"/>
    <w:rsid w:val="00D570F2"/>
    <w:rsid w:val="00D65C35"/>
    <w:rsid w:val="00D669FC"/>
    <w:rsid w:val="00D76FB8"/>
    <w:rsid w:val="00D866A2"/>
    <w:rsid w:val="00D92080"/>
    <w:rsid w:val="00D9338F"/>
    <w:rsid w:val="00D94E6C"/>
    <w:rsid w:val="00D95D0D"/>
    <w:rsid w:val="00D96F3D"/>
    <w:rsid w:val="00DA0733"/>
    <w:rsid w:val="00DA7A7D"/>
    <w:rsid w:val="00DB2739"/>
    <w:rsid w:val="00DC3AA8"/>
    <w:rsid w:val="00DF0EF4"/>
    <w:rsid w:val="00DF30C9"/>
    <w:rsid w:val="00DF330D"/>
    <w:rsid w:val="00E1186E"/>
    <w:rsid w:val="00E13BC6"/>
    <w:rsid w:val="00E140D0"/>
    <w:rsid w:val="00E1629D"/>
    <w:rsid w:val="00E202C2"/>
    <w:rsid w:val="00E20BDB"/>
    <w:rsid w:val="00E2664B"/>
    <w:rsid w:val="00E31686"/>
    <w:rsid w:val="00E4211A"/>
    <w:rsid w:val="00E4567A"/>
    <w:rsid w:val="00E459C2"/>
    <w:rsid w:val="00E46D79"/>
    <w:rsid w:val="00E61D38"/>
    <w:rsid w:val="00E66CAC"/>
    <w:rsid w:val="00E77E7A"/>
    <w:rsid w:val="00E911AD"/>
    <w:rsid w:val="00E9229F"/>
    <w:rsid w:val="00E94167"/>
    <w:rsid w:val="00E9423B"/>
    <w:rsid w:val="00E95DB4"/>
    <w:rsid w:val="00EA0E25"/>
    <w:rsid w:val="00EA2226"/>
    <w:rsid w:val="00EB0943"/>
    <w:rsid w:val="00EC3930"/>
    <w:rsid w:val="00ED3C01"/>
    <w:rsid w:val="00ED6F02"/>
    <w:rsid w:val="00EF3155"/>
    <w:rsid w:val="00F0418C"/>
    <w:rsid w:val="00F0674E"/>
    <w:rsid w:val="00F11288"/>
    <w:rsid w:val="00F11BC3"/>
    <w:rsid w:val="00F121F9"/>
    <w:rsid w:val="00F165AC"/>
    <w:rsid w:val="00F20863"/>
    <w:rsid w:val="00F20E96"/>
    <w:rsid w:val="00F216E0"/>
    <w:rsid w:val="00F243ED"/>
    <w:rsid w:val="00F27347"/>
    <w:rsid w:val="00F3107D"/>
    <w:rsid w:val="00F32B2F"/>
    <w:rsid w:val="00F34DEC"/>
    <w:rsid w:val="00F44E2B"/>
    <w:rsid w:val="00F45146"/>
    <w:rsid w:val="00F5206B"/>
    <w:rsid w:val="00F54F60"/>
    <w:rsid w:val="00F55503"/>
    <w:rsid w:val="00F63CAC"/>
    <w:rsid w:val="00F66B96"/>
    <w:rsid w:val="00F779A3"/>
    <w:rsid w:val="00F82169"/>
    <w:rsid w:val="00F82C0D"/>
    <w:rsid w:val="00F83A95"/>
    <w:rsid w:val="00F83E62"/>
    <w:rsid w:val="00F854E1"/>
    <w:rsid w:val="00F92D6E"/>
    <w:rsid w:val="00F93198"/>
    <w:rsid w:val="00F95A64"/>
    <w:rsid w:val="00FB0DB0"/>
    <w:rsid w:val="00FB6ADD"/>
    <w:rsid w:val="00FC390B"/>
    <w:rsid w:val="00FD1398"/>
    <w:rsid w:val="00FD1A0B"/>
    <w:rsid w:val="00FE7079"/>
    <w:rsid w:val="00FE78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E9440"/>
  <w15:docId w15:val="{9FED1B94-44F5-4CE2-8926-8BB1B9B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C5"/>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header 3"/>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paragraph" w:styleId="BodyText2">
    <w:name w:val="Body Text 2"/>
    <w:basedOn w:val="Normal"/>
    <w:link w:val="BodyText2Char"/>
    <w:uiPriority w:val="99"/>
    <w:unhideWhenUsed/>
    <w:rsid w:val="0089386D"/>
    <w:pPr>
      <w:spacing w:after="120" w:line="480" w:lineRule="auto"/>
    </w:pPr>
  </w:style>
  <w:style w:type="character" w:customStyle="1" w:styleId="BodyText2Char">
    <w:name w:val="Body Text 2 Char"/>
    <w:link w:val="BodyText2"/>
    <w:uiPriority w:val="99"/>
    <w:rsid w:val="0089386D"/>
    <w:rPr>
      <w:rFonts w:cs="David"/>
      <w:sz w:val="24"/>
      <w:szCs w:val="24"/>
    </w:rPr>
  </w:style>
  <w:style w:type="paragraph" w:customStyle="1" w:styleId="author">
    <w:name w:val="author"/>
    <w:basedOn w:val="Normal"/>
    <w:qFormat/>
    <w:rsid w:val="00F44E2B"/>
    <w:pPr>
      <w:bidi w:val="0"/>
      <w:spacing w:after="120" w:line="360" w:lineRule="auto"/>
      <w:contextualSpacing/>
      <w:jc w:val="center"/>
    </w:pPr>
    <w:rPr>
      <w:rFonts w:eastAsia="Calibri" w:cs="Arial"/>
      <w:i/>
      <w:szCs w:val="32"/>
      <w:lang w:val="en-GB" w:bidi="ar-SA"/>
    </w:rPr>
  </w:style>
  <w:style w:type="paragraph" w:customStyle="1" w:styleId="Institution">
    <w:name w:val="Institution"/>
    <w:basedOn w:val="Normal"/>
    <w:qFormat/>
    <w:rsid w:val="00F44E2B"/>
    <w:pPr>
      <w:bidi w:val="0"/>
      <w:spacing w:after="120" w:line="360" w:lineRule="auto"/>
      <w:jc w:val="center"/>
    </w:pPr>
    <w:rPr>
      <w:rFonts w:eastAsia="Calibri" w:cs="Times New Roman"/>
      <w:b/>
      <w:sz w:val="22"/>
      <w:szCs w:val="22"/>
      <w:lang w:bidi="ar-SA"/>
    </w:rPr>
  </w:style>
  <w:style w:type="paragraph" w:customStyle="1" w:styleId="Author0">
    <w:name w:val="Author"/>
    <w:basedOn w:val="Normal"/>
    <w:autoRedefine/>
    <w:qFormat/>
    <w:rsid w:val="00F44E2B"/>
    <w:pPr>
      <w:widowControl w:val="0"/>
      <w:bidi w:val="0"/>
      <w:spacing w:after="120" w:line="360" w:lineRule="auto"/>
      <w:jc w:val="center"/>
    </w:pPr>
    <w:rPr>
      <w:rFonts w:cs="Times New Roman"/>
      <w:i/>
      <w:kern w:val="2"/>
      <w:szCs w:val="22"/>
      <w:lang w:val="en-GB" w:eastAsia="fr-CH" w:bidi="ar-SA"/>
    </w:rPr>
  </w:style>
  <w:style w:type="character" w:customStyle="1" w:styleId="EndnoteTextChar">
    <w:name w:val="Endnote Text Char"/>
    <w:link w:val="EndnoteText"/>
    <w:uiPriority w:val="99"/>
    <w:semiHidden/>
    <w:rsid w:val="00A924FA"/>
    <w:rPr>
      <w:rFonts w:ascii="Calibri" w:eastAsia="Calibri" w:hAnsi="Calibri" w:cs="Arial"/>
      <w:lang w:val="en-GB"/>
    </w:rPr>
  </w:style>
  <w:style w:type="character" w:styleId="EndnoteReference">
    <w:name w:val="endnote reference"/>
    <w:uiPriority w:val="99"/>
    <w:semiHidden/>
    <w:unhideWhenUsed/>
    <w:rsid w:val="00A924FA"/>
    <w:rPr>
      <w:vertAlign w:val="superscript"/>
    </w:rPr>
  </w:style>
  <w:style w:type="paragraph" w:customStyle="1" w:styleId="TxtBodyText">
    <w:name w:val="Txt Body Text"/>
    <w:basedOn w:val="Normal"/>
    <w:link w:val="TxtBodyTextChar"/>
    <w:qFormat/>
    <w:rsid w:val="00C70E4F"/>
    <w:pPr>
      <w:bidi w:val="0"/>
      <w:spacing w:line="560" w:lineRule="exact"/>
      <w:ind w:firstLine="720"/>
    </w:pPr>
    <w:rPr>
      <w:rFonts w:cs="Times New Roman"/>
      <w:lang w:bidi="ar-SA"/>
    </w:rPr>
  </w:style>
  <w:style w:type="character" w:customStyle="1" w:styleId="TxtBodyTextChar">
    <w:name w:val="Txt Body Text Char"/>
    <w:link w:val="TxtBodyText"/>
    <w:rsid w:val="00C70E4F"/>
    <w:rPr>
      <w:sz w:val="24"/>
      <w:szCs w:val="24"/>
      <w:lang w:bidi="ar-SA"/>
    </w:rPr>
  </w:style>
  <w:style w:type="paragraph" w:customStyle="1" w:styleId="OU">
    <w:name w:val="OU"/>
    <w:basedOn w:val="Normal"/>
    <w:link w:val="OUChar"/>
    <w:autoRedefine/>
    <w:qFormat/>
    <w:rsid w:val="00C70E4F"/>
    <w:pPr>
      <w:bidi w:val="0"/>
      <w:spacing w:before="120" w:after="120" w:line="276" w:lineRule="auto"/>
      <w:jc w:val="both"/>
    </w:pPr>
    <w:rPr>
      <w:position w:val="8"/>
    </w:rPr>
  </w:style>
  <w:style w:type="character" w:customStyle="1" w:styleId="OUChar">
    <w:name w:val="OU Char"/>
    <w:basedOn w:val="DefaultParagraphFont"/>
    <w:link w:val="OU"/>
    <w:rsid w:val="00C70E4F"/>
    <w:rPr>
      <w:rFonts w:cs="David"/>
      <w:position w:val="8"/>
      <w:sz w:val="24"/>
      <w:szCs w:val="24"/>
    </w:rPr>
  </w:style>
  <w:style w:type="character" w:customStyle="1" w:styleId="hps">
    <w:name w:val="hps"/>
    <w:rsid w:val="00912616"/>
    <w:rPr>
      <w:rFonts w:cs="Times New Roman"/>
    </w:rPr>
  </w:style>
  <w:style w:type="paragraph" w:styleId="BodyText3">
    <w:name w:val="Body Text 3"/>
    <w:basedOn w:val="Normal"/>
    <w:link w:val="BodyText3Char"/>
    <w:uiPriority w:val="99"/>
    <w:unhideWhenUsed/>
    <w:rsid w:val="00912616"/>
    <w:pPr>
      <w:bidi w:val="0"/>
      <w:spacing w:line="280" w:lineRule="exact"/>
      <w:jc w:val="both"/>
    </w:pPr>
    <w:rPr>
      <w:sz w:val="22"/>
      <w:szCs w:val="22"/>
    </w:rPr>
  </w:style>
  <w:style w:type="character" w:customStyle="1" w:styleId="BodyText3Char">
    <w:name w:val="Body Text 3 Char"/>
    <w:basedOn w:val="DefaultParagraphFont"/>
    <w:link w:val="BodyText3"/>
    <w:uiPriority w:val="99"/>
    <w:rsid w:val="00912616"/>
    <w:rPr>
      <w:rFonts w:cs="David"/>
      <w:sz w:val="22"/>
      <w:szCs w:val="22"/>
    </w:rPr>
  </w:style>
  <w:style w:type="paragraph" w:styleId="HTMLPreformatted">
    <w:name w:val="HTML Preformatted"/>
    <w:basedOn w:val="Normal"/>
    <w:link w:val="HTMLPreformattedChar"/>
    <w:uiPriority w:val="99"/>
    <w:unhideWhenUsed/>
    <w:rsid w:val="00F27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27347"/>
    <w:rPr>
      <w:rFonts w:ascii="Courier New" w:hAnsi="Courier New" w:cs="Courier New"/>
    </w:rPr>
  </w:style>
  <w:style w:type="paragraph" w:customStyle="1" w:styleId="Body">
    <w:name w:val="Body"/>
    <w:rsid w:val="00087AA7"/>
    <w:pPr>
      <w:pBdr>
        <w:top w:val="nil"/>
        <w:left w:val="nil"/>
        <w:bottom w:val="nil"/>
        <w:right w:val="nil"/>
        <w:between w:val="nil"/>
        <w:bar w:val="nil"/>
      </w:pBdr>
      <w:bidi/>
      <w:spacing w:after="160" w:line="259" w:lineRule="auto"/>
    </w:pPr>
    <w:rPr>
      <w:rFonts w:ascii="Arial Unicode MS" w:eastAsia="Arial Unicode MS" w:hAnsi="Arial Unicode MS" w:cs="Calibri" w:hint="cs"/>
      <w:color w:val="000000"/>
      <w:sz w:val="22"/>
      <w:szCs w:val="22"/>
      <w:u w:color="000000"/>
      <w:bdr w:val="nil"/>
      <w:lang w:val="he-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3944">
      <w:bodyDiv w:val="1"/>
      <w:marLeft w:val="0"/>
      <w:marRight w:val="0"/>
      <w:marTop w:val="0"/>
      <w:marBottom w:val="0"/>
      <w:divBdr>
        <w:top w:val="none" w:sz="0" w:space="0" w:color="auto"/>
        <w:left w:val="none" w:sz="0" w:space="0" w:color="auto"/>
        <w:bottom w:val="none" w:sz="0" w:space="0" w:color="auto"/>
        <w:right w:val="none" w:sz="0" w:space="0" w:color="auto"/>
      </w:divBdr>
    </w:div>
    <w:div w:id="20891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4.xm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header" Target="header5.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9BE41710-41EB-40CF-B8A0-5C502DDA0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2176</Words>
  <Characters>12407</Characters>
  <Application>Microsoft Office Word</Application>
  <DocSecurity>0</DocSecurity>
  <Lines>103</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Israel Journal of Social Policy 116</vt:lpstr>
      <vt:lpstr>Israel Journal of Social Policy 116</vt:lpstr>
    </vt:vector>
  </TitlesOfParts>
  <Company>Onit Computer Services Ltd</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 Journal of Social Policy 116</dc:title>
  <dc:creator>Mordechai Frankel</dc:creator>
  <cp:lastModifiedBy>Mordechai Frankel</cp:lastModifiedBy>
  <cp:revision>10</cp:revision>
  <cp:lastPrinted>2022-05-30T08:24:00Z</cp:lastPrinted>
  <dcterms:created xsi:type="dcterms:W3CDTF">2022-10-06T10:26:00Z</dcterms:created>
  <dcterms:modified xsi:type="dcterms:W3CDTF">2023-05-22T09:15:00Z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1391341429</vt:i4>
  </property>
  <property fmtid="{D5CDD505-2E9C-101B-9397-08002B2CF9AE}" pid="3" name="_NewReviewCycle">
    <vt:lpwstr/>
  </property>
  <property fmtid="{D5CDD505-2E9C-101B-9397-08002B2CF9AE}" pid="4" name="_EmailSubject">
    <vt:lpwstr>ביטחון סוציאלי </vt:lpwstr>
  </property>
  <property fmtid="{D5CDD505-2E9C-101B-9397-08002B2CF9AE}" pid="5" name="_AuthorEmail">
    <vt:lpwstr>eliav_am@snifim.blroot</vt:lpwstr>
  </property>
  <property fmtid="{D5CDD505-2E9C-101B-9397-08002B2CF9AE}" pid="6" name="_AuthorEmailDisplayName">
    <vt:lpwstr>אליאב אמסלם</vt:lpwstr>
  </property>
  <property fmtid="{D5CDD505-2E9C-101B-9397-08002B2CF9AE}" pid="7" name="_ReviewingToolsShownOnce">
    <vt:lpwstr/>
  </property>
</Properties>
</file>