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D6277" w14:textId="77777777" w:rsidR="00D541A6" w:rsidRPr="00D541A6" w:rsidRDefault="00D541A6" w:rsidP="00D541A6">
      <w:pPr>
        <w:pStyle w:val="NAME"/>
        <w:pBdr>
          <w:bottom w:val="none" w:sz="0" w:space="0" w:color="auto"/>
        </w:pBdr>
        <w:spacing w:before="360" w:after="0" w:line="480" w:lineRule="exact"/>
        <w:rPr>
          <w:rFonts w:ascii="Tahoma" w:hAnsi="Tahoma" w:cs="Guttman Aharoni"/>
          <w:b/>
          <w:bCs/>
          <w:color w:val="2A8E8C"/>
          <w:sz w:val="32"/>
          <w:szCs w:val="32"/>
          <w:rtl/>
        </w:rPr>
      </w:pPr>
      <w:r w:rsidRPr="00D541A6">
        <w:rPr>
          <w:rFonts w:ascii="Tahoma" w:hAnsi="Tahoma" w:cs="Guttman Aharoni" w:hint="cs"/>
          <w:b/>
          <w:bCs/>
          <w:color w:val="2A8E8C"/>
          <w:sz w:val="32"/>
          <w:szCs w:val="32"/>
          <w:rtl/>
        </w:rPr>
        <w:t>חקיקה ופסיקה חברתית</w:t>
      </w:r>
    </w:p>
    <w:p w14:paraId="63771C7C" w14:textId="77777777" w:rsidR="00D541A6" w:rsidRPr="00D541A6" w:rsidRDefault="00D541A6" w:rsidP="00D541A6">
      <w:pPr>
        <w:pStyle w:val="KOT5T"/>
        <w:spacing w:after="960" w:line="360" w:lineRule="exact"/>
        <w:jc w:val="right"/>
        <w:rPr>
          <w:color w:val="2A8E8C"/>
          <w:sz w:val="22"/>
          <w:szCs w:val="22"/>
          <w:rtl/>
        </w:rPr>
      </w:pPr>
      <w:r w:rsidRPr="00D541A6">
        <w:rPr>
          <w:rFonts w:hint="cs"/>
          <w:color w:val="2A8E8C"/>
          <w:sz w:val="22"/>
          <w:szCs w:val="22"/>
          <w:rtl/>
        </w:rPr>
        <w:t>מיכל סגל</w:t>
      </w:r>
      <w:r w:rsidRPr="00D541A6">
        <w:rPr>
          <w:color w:val="2A8E8C"/>
          <w:sz w:val="22"/>
          <w:szCs w:val="22"/>
          <w:vertAlign w:val="superscript"/>
          <w:rtl/>
        </w:rPr>
        <w:footnoteReference w:id="2"/>
      </w:r>
    </w:p>
    <w:p w14:paraId="6B8CB628" w14:textId="77777777" w:rsidR="00D541A6" w:rsidRPr="00D541A6" w:rsidRDefault="00D541A6" w:rsidP="00D541A6">
      <w:pPr>
        <w:pStyle w:val="KOT4"/>
        <w:spacing w:after="0"/>
        <w:ind w:right="0"/>
        <w:rPr>
          <w:rFonts w:cs="Guttman Aharoni"/>
          <w:color w:val="2A8E8C"/>
          <w:sz w:val="32"/>
          <w:szCs w:val="32"/>
          <w:rtl/>
        </w:rPr>
      </w:pPr>
      <w:r w:rsidRPr="00D541A6">
        <w:rPr>
          <w:rFonts w:cs="Guttman Aharoni" w:hint="cs"/>
          <w:color w:val="2A8E8C"/>
          <w:sz w:val="32"/>
          <w:szCs w:val="32"/>
          <w:rtl/>
        </w:rPr>
        <w:t xml:space="preserve">חידושי פסיקה </w:t>
      </w:r>
    </w:p>
    <w:p w14:paraId="014FE762" w14:textId="77777777" w:rsidR="00D541A6" w:rsidRPr="00863FB9" w:rsidRDefault="00D541A6" w:rsidP="00D541A6">
      <w:pPr>
        <w:spacing w:after="120" w:line="300" w:lineRule="exact"/>
        <w:jc w:val="both"/>
        <w:rPr>
          <w:color w:val="2A8E8C"/>
          <w:sz w:val="20"/>
          <w:szCs w:val="20"/>
        </w:rPr>
      </w:pPr>
    </w:p>
    <w:p w14:paraId="10351911" w14:textId="77777777" w:rsidR="00D541A6" w:rsidRPr="00D541A6" w:rsidRDefault="00D541A6" w:rsidP="00D541A6">
      <w:pPr>
        <w:pStyle w:val="KOT5"/>
        <w:jc w:val="both"/>
        <w:rPr>
          <w:b/>
          <w:bCs/>
          <w:color w:val="2A8E8C"/>
          <w:rtl/>
        </w:rPr>
      </w:pPr>
      <w:r w:rsidRPr="00D541A6">
        <w:rPr>
          <w:rFonts w:hint="cs"/>
          <w:b/>
          <w:bCs/>
          <w:color w:val="2A8E8C"/>
          <w:rtl/>
        </w:rPr>
        <w:t xml:space="preserve">נגישות אנשים עם מוגבלויות לתחבורה הציבורית </w:t>
      </w:r>
    </w:p>
    <w:p w14:paraId="600F5074" w14:textId="77777777" w:rsidR="00D541A6" w:rsidRPr="00D541A6" w:rsidRDefault="00D541A6" w:rsidP="00D541A6">
      <w:pPr>
        <w:pStyle w:val="Bauther"/>
        <w:keepNext/>
        <w:spacing w:before="0" w:after="240" w:line="280" w:lineRule="exact"/>
        <w:jc w:val="both"/>
        <w:rPr>
          <w:rFonts w:ascii="Times New Roman" w:hAnsi="Times New Roman" w:cs="Guttman Aharoni"/>
          <w:sz w:val="28"/>
          <w:szCs w:val="24"/>
          <w:rtl/>
        </w:rPr>
      </w:pPr>
      <w:r w:rsidRPr="00D541A6">
        <w:rPr>
          <w:rFonts w:ascii="Times New Roman" w:hAnsi="Times New Roman" w:cs="Guttman Aharoni"/>
          <w:sz w:val="28"/>
          <w:szCs w:val="24"/>
          <w:rtl/>
        </w:rPr>
        <w:t xml:space="preserve">ת"צ 21458-03-14 </w:t>
      </w:r>
      <w:r w:rsidRPr="00D541A6">
        <w:rPr>
          <w:rFonts w:ascii="Times New Roman" w:hAnsi="Times New Roman" w:cs="Guttman Aharoni"/>
          <w:b/>
          <w:bCs/>
          <w:sz w:val="28"/>
          <w:szCs w:val="24"/>
          <w:rtl/>
        </w:rPr>
        <w:t>ברון נ' רכבת ישראל בע"מ</w:t>
      </w:r>
      <w:r w:rsidRPr="00D541A6">
        <w:rPr>
          <w:rFonts w:ascii="Times New Roman" w:hAnsi="Times New Roman" w:cs="Guttman Aharoni" w:hint="cs"/>
          <w:sz w:val="28"/>
          <w:szCs w:val="24"/>
          <w:rtl/>
        </w:rPr>
        <w:t xml:space="preserve"> (ניתן ב</w:t>
      </w:r>
      <w:r w:rsidRPr="00275E42">
        <w:rPr>
          <w:rFonts w:ascii="David" w:hAnsi="David" w:cs="David"/>
          <w:sz w:val="28"/>
          <w:szCs w:val="24"/>
          <w:rtl/>
        </w:rPr>
        <w:t>-</w:t>
      </w:r>
      <w:r w:rsidRPr="00D541A6">
        <w:rPr>
          <w:rFonts w:ascii="Times New Roman" w:hAnsi="Times New Roman" w:cs="Guttman Aharoni" w:hint="cs"/>
          <w:sz w:val="28"/>
          <w:szCs w:val="24"/>
          <w:rtl/>
        </w:rPr>
        <w:t>31 בדצמבר 2022)</w:t>
      </w:r>
    </w:p>
    <w:p w14:paraId="468E6395" w14:textId="77777777" w:rsidR="00D541A6" w:rsidRPr="00D541A6" w:rsidRDefault="00D541A6" w:rsidP="00D541A6">
      <w:pPr>
        <w:spacing w:after="180" w:line="260" w:lineRule="exact"/>
        <w:jc w:val="both"/>
        <w:rPr>
          <w:sz w:val="20"/>
          <w:szCs w:val="20"/>
          <w:rtl/>
        </w:rPr>
      </w:pPr>
      <w:bookmarkStart w:id="0" w:name="_Hlk124425389"/>
      <w:r w:rsidRPr="00D541A6">
        <w:rPr>
          <w:rFonts w:hint="cs"/>
          <w:sz w:val="20"/>
          <w:szCs w:val="20"/>
          <w:rtl/>
        </w:rPr>
        <w:t>התובע הגיש תביעה ייצוגית בשם אנשים עם עיוורון ולקויות ראייה המשתמשים בשירותי התחבורה של רכבת ישרא</w:t>
      </w:r>
      <w:r w:rsidRPr="00D541A6">
        <w:rPr>
          <w:rFonts w:hint="eastAsia"/>
          <w:sz w:val="20"/>
          <w:szCs w:val="20"/>
          <w:rtl/>
        </w:rPr>
        <w:t>ל</w:t>
      </w:r>
      <w:bookmarkEnd w:id="0"/>
      <w:r w:rsidRPr="00D541A6">
        <w:rPr>
          <w:rFonts w:hint="cs"/>
          <w:sz w:val="20"/>
          <w:szCs w:val="20"/>
          <w:rtl/>
        </w:rPr>
        <w:t>. התובע, אדם עם עיוורון המשתמש בתחבורה הציבורית, חש תסכול והשפלה לאור אי-הנגישות של תחנות רכבת בישראל, כפי שעולה מדבריו:</w:t>
      </w:r>
    </w:p>
    <w:p w14:paraId="5F8F251E" w14:textId="77777777" w:rsidR="00D541A6" w:rsidRPr="00D541A6" w:rsidRDefault="00D541A6" w:rsidP="00D541A6">
      <w:pPr>
        <w:spacing w:after="180" w:line="260" w:lineRule="exact"/>
        <w:ind w:left="567"/>
        <w:jc w:val="both"/>
        <w:rPr>
          <w:sz w:val="20"/>
          <w:szCs w:val="20"/>
          <w:rtl/>
        </w:rPr>
      </w:pPr>
      <w:r w:rsidRPr="00D541A6">
        <w:rPr>
          <w:sz w:val="20"/>
          <w:szCs w:val="20"/>
          <w:rtl/>
        </w:rPr>
        <w:t>עמדתי כמו טמבל, כמה דקות</w:t>
      </w:r>
      <w:r w:rsidRPr="00D541A6">
        <w:rPr>
          <w:rFonts w:hint="cs"/>
          <w:sz w:val="20"/>
          <w:szCs w:val="20"/>
          <w:rtl/>
        </w:rPr>
        <w:t>.</w:t>
      </w:r>
      <w:r w:rsidRPr="00D541A6">
        <w:rPr>
          <w:sz w:val="20"/>
          <w:szCs w:val="20"/>
          <w:rtl/>
        </w:rPr>
        <w:t xml:space="preserve"> ידעתי שיש מדרגות, לא ידעתי איפה הן. הפחד הכי נורא זה ליפול במדרגות. וחיכיתי שיגיע מישהו והלכתי אחריו ולפי תנועות הרגליים שלו הבנתי איפה המדרגות. למה? כי המדרגות לא מסומנות. עם כל הכבוד למה שעשתה הרכבת, אם היו עושים מה שצריך לפי התקנות, דואגים לסיפור הזה, לא הייתי עומד שם כמו טמבל ומחכה שמישהו יעבור.</w:t>
      </w:r>
    </w:p>
    <w:p w14:paraId="118FCF83" w14:textId="77777777" w:rsidR="00D541A6" w:rsidRPr="00D541A6" w:rsidRDefault="00D541A6" w:rsidP="00D541A6">
      <w:pPr>
        <w:spacing w:after="180" w:line="260" w:lineRule="exact"/>
        <w:jc w:val="both"/>
        <w:rPr>
          <w:sz w:val="20"/>
          <w:szCs w:val="20"/>
          <w:rtl/>
        </w:rPr>
      </w:pPr>
      <w:r w:rsidRPr="00D541A6">
        <w:rPr>
          <w:rFonts w:hint="cs"/>
          <w:sz w:val="20"/>
          <w:szCs w:val="20"/>
          <w:rtl/>
        </w:rPr>
        <w:t xml:space="preserve">התובע דרש </w:t>
      </w:r>
      <w:proofErr w:type="spellStart"/>
      <w:r w:rsidRPr="00D541A6">
        <w:rPr>
          <w:rFonts w:hint="cs"/>
          <w:sz w:val="20"/>
          <w:szCs w:val="20"/>
          <w:rtl/>
        </w:rPr>
        <w:t>להנגיש</w:t>
      </w:r>
      <w:proofErr w:type="spellEnd"/>
      <w:r w:rsidRPr="00D541A6">
        <w:rPr>
          <w:rFonts w:hint="cs"/>
          <w:sz w:val="20"/>
          <w:szCs w:val="20"/>
          <w:rtl/>
        </w:rPr>
        <w:t xml:space="preserve"> את תחנות הרכבת בישראל בהתבסס על סעיף 19(א) </w:t>
      </w:r>
      <w:bookmarkStart w:id="1" w:name="_Hlk124425443"/>
      <w:r w:rsidRPr="00D541A6">
        <w:rPr>
          <w:rFonts w:hint="cs"/>
          <w:sz w:val="20"/>
          <w:szCs w:val="20"/>
          <w:rtl/>
        </w:rPr>
        <w:t>לחוק שוויון זכויות לאנשים עם מוגבלות, התשנ"ח-</w:t>
      </w:r>
      <w:bookmarkEnd w:id="1"/>
      <w:r w:rsidRPr="00D541A6">
        <w:rPr>
          <w:rFonts w:hint="cs"/>
          <w:sz w:val="20"/>
          <w:szCs w:val="20"/>
          <w:rtl/>
        </w:rPr>
        <w:t>1998 (להלן: חוק שוויון זכויות), ולפיו "</w:t>
      </w:r>
      <w:r w:rsidRPr="00D541A6">
        <w:rPr>
          <w:sz w:val="20"/>
          <w:szCs w:val="20"/>
          <w:rtl/>
        </w:rPr>
        <w:t>אדם עם מוגבלות זכאי לשירותי תחבורה ציבורית נגישים ומתאימים לשימושו, בתדירות סבירה</w:t>
      </w:r>
      <w:r w:rsidRPr="00D541A6">
        <w:rPr>
          <w:rFonts w:hint="cs"/>
          <w:sz w:val="20"/>
          <w:szCs w:val="20"/>
          <w:rtl/>
        </w:rPr>
        <w:t xml:space="preserve">", וכן בהתבסס על חובתה של רכבת ישראל </w:t>
      </w:r>
      <w:proofErr w:type="spellStart"/>
      <w:r w:rsidRPr="00D541A6">
        <w:rPr>
          <w:rFonts w:hint="cs"/>
          <w:sz w:val="20"/>
          <w:szCs w:val="20"/>
          <w:rtl/>
        </w:rPr>
        <w:t>להנגיש</w:t>
      </w:r>
      <w:proofErr w:type="spellEnd"/>
      <w:r w:rsidRPr="00D541A6">
        <w:rPr>
          <w:rFonts w:hint="cs"/>
          <w:sz w:val="20"/>
          <w:szCs w:val="20"/>
          <w:rtl/>
        </w:rPr>
        <w:t xml:space="preserve"> את שירותיה מכוח סעיף 19(ב) לחוק שוויון זכויות. </w:t>
      </w:r>
    </w:p>
    <w:p w14:paraId="55187F5F" w14:textId="77777777" w:rsidR="00D541A6" w:rsidRPr="00D541A6" w:rsidRDefault="00D541A6" w:rsidP="00D541A6">
      <w:pPr>
        <w:spacing w:after="180" w:line="260" w:lineRule="exact"/>
        <w:jc w:val="both"/>
        <w:rPr>
          <w:sz w:val="20"/>
          <w:szCs w:val="20"/>
          <w:rtl/>
        </w:rPr>
      </w:pPr>
      <w:r w:rsidRPr="00D541A6">
        <w:rPr>
          <w:rFonts w:hint="cs"/>
          <w:sz w:val="20"/>
          <w:szCs w:val="20"/>
          <w:rtl/>
        </w:rPr>
        <w:t xml:space="preserve">לצד הדרישה להנגשה, התובע </w:t>
      </w:r>
      <w:bookmarkStart w:id="2" w:name="_Hlk124425466"/>
      <w:r w:rsidRPr="00D541A6">
        <w:rPr>
          <w:rFonts w:hint="cs"/>
          <w:sz w:val="20"/>
          <w:szCs w:val="20"/>
          <w:rtl/>
        </w:rPr>
        <w:t xml:space="preserve">דרש גם לפצות את חברי הקבוצה על אי-ההנגשה של תחנות הרכבת. </w:t>
      </w:r>
      <w:bookmarkEnd w:id="2"/>
      <w:r w:rsidRPr="00D541A6">
        <w:rPr>
          <w:rFonts w:hint="cs"/>
          <w:sz w:val="20"/>
          <w:szCs w:val="20"/>
          <w:rtl/>
        </w:rPr>
        <w:t xml:space="preserve">לתביעה הייצוגית צורפו דוחות של </w:t>
      </w:r>
      <w:proofErr w:type="spellStart"/>
      <w:r w:rsidRPr="00D541A6">
        <w:rPr>
          <w:rFonts w:hint="cs"/>
          <w:sz w:val="20"/>
          <w:szCs w:val="20"/>
          <w:rtl/>
        </w:rPr>
        <w:t>מורשי</w:t>
      </w:r>
      <w:proofErr w:type="spellEnd"/>
      <w:r w:rsidRPr="00D541A6">
        <w:rPr>
          <w:rFonts w:hint="cs"/>
          <w:sz w:val="20"/>
          <w:szCs w:val="20"/>
          <w:rtl/>
        </w:rPr>
        <w:t xml:space="preserve"> נגישות ובהם עדויות על ליקויים בתחום הנגישות שנמצאו בתחנות הרכבת, כפי שעולה מפסק הדין:</w:t>
      </w:r>
    </w:p>
    <w:p w14:paraId="27DB54DA" w14:textId="77777777" w:rsidR="00D541A6" w:rsidRPr="00D541A6" w:rsidRDefault="00D541A6" w:rsidP="00E45F82">
      <w:pPr>
        <w:spacing w:after="180" w:line="260" w:lineRule="exact"/>
        <w:ind w:left="567"/>
        <w:jc w:val="both"/>
        <w:rPr>
          <w:sz w:val="20"/>
          <w:szCs w:val="20"/>
          <w:rtl/>
        </w:rPr>
      </w:pPr>
      <w:r w:rsidRPr="00D541A6">
        <w:rPr>
          <w:sz w:val="20"/>
          <w:szCs w:val="20"/>
          <w:rtl/>
        </w:rPr>
        <w:t>עמודים קונסטרוקטיביים שאינם מסומנים בניגוד חזותי; ה</w:t>
      </w:r>
      <w:r w:rsidRPr="00D541A6">
        <w:rPr>
          <w:rFonts w:hint="cs"/>
          <w:sz w:val="20"/>
          <w:szCs w:val="20"/>
          <w:rtl/>
        </w:rPr>
        <w:t>י</w:t>
      </w:r>
      <w:r w:rsidRPr="00D541A6">
        <w:rPr>
          <w:sz w:val="20"/>
          <w:szCs w:val="20"/>
          <w:rtl/>
        </w:rPr>
        <w:t xml:space="preserve">עדר סימון של קירות או ספסלים על הרציף; פס מוביל שאינו רצוף, אינו בניגוד חזותי לסביבה, ואינו ניתן </w:t>
      </w:r>
      <w:r w:rsidRPr="00D541A6">
        <w:rPr>
          <w:sz w:val="20"/>
          <w:szCs w:val="20"/>
          <w:rtl/>
        </w:rPr>
        <w:lastRenderedPageBreak/>
        <w:t>למישוש בעזרת מקל, ואף משמש לע</w:t>
      </w:r>
      <w:r w:rsidRPr="00D541A6">
        <w:rPr>
          <w:rFonts w:hint="cs"/>
          <w:sz w:val="20"/>
          <w:szCs w:val="20"/>
          <w:rtl/>
        </w:rPr>
        <w:t>י</w:t>
      </w:r>
      <w:r w:rsidRPr="00D541A6">
        <w:rPr>
          <w:sz w:val="20"/>
          <w:szCs w:val="20"/>
          <w:rtl/>
        </w:rPr>
        <w:t>תים להנחת ריהוט או פחים שמפריעים לתנועה בו; סימון מדרגות לקוי וה</w:t>
      </w:r>
      <w:r w:rsidRPr="00D541A6">
        <w:rPr>
          <w:rFonts w:hint="cs"/>
          <w:sz w:val="20"/>
          <w:szCs w:val="20"/>
          <w:rtl/>
        </w:rPr>
        <w:t>י</w:t>
      </w:r>
      <w:r w:rsidRPr="00D541A6">
        <w:rPr>
          <w:sz w:val="20"/>
          <w:szCs w:val="20"/>
          <w:rtl/>
        </w:rPr>
        <w:t>עדר סימון אזהרה לפני מדרגות; שפת הרציפים אינה מסומנת כראוי; עמדות מודיעין, קופות ודלפקי שירות שאינם מסומנים ונעדר מהם זמזם; מכונות אוטומטיות שאינן נושאות כיתוב בכתב מישושי ובכתב ברייל; ולוחות מידע שאינם נגישים לאנשים עם לקויי ראי</w:t>
      </w:r>
      <w:r w:rsidRPr="00D541A6">
        <w:rPr>
          <w:rFonts w:hint="cs"/>
          <w:sz w:val="20"/>
          <w:szCs w:val="20"/>
          <w:rtl/>
        </w:rPr>
        <w:t>י</w:t>
      </w:r>
      <w:r w:rsidRPr="00D541A6">
        <w:rPr>
          <w:sz w:val="20"/>
          <w:szCs w:val="20"/>
          <w:rtl/>
        </w:rPr>
        <w:t>ה.</w:t>
      </w:r>
    </w:p>
    <w:p w14:paraId="2452F3E8" w14:textId="77777777" w:rsidR="00D541A6" w:rsidRPr="00D541A6" w:rsidRDefault="00D541A6" w:rsidP="00D541A6">
      <w:pPr>
        <w:spacing w:after="180" w:line="260" w:lineRule="exact"/>
        <w:jc w:val="both"/>
        <w:rPr>
          <w:sz w:val="20"/>
          <w:szCs w:val="20"/>
          <w:rtl/>
        </w:rPr>
      </w:pPr>
      <w:r w:rsidRPr="00D541A6">
        <w:rPr>
          <w:rFonts w:hint="cs"/>
          <w:sz w:val="20"/>
          <w:szCs w:val="20"/>
          <w:rtl/>
        </w:rPr>
        <w:t>הנתבעת ביקשה לדחות את התביעה בנימוק שלהלן:</w:t>
      </w:r>
    </w:p>
    <w:p w14:paraId="1D63D46A" w14:textId="77777777" w:rsidR="00D541A6" w:rsidRPr="00D541A6" w:rsidRDefault="00D541A6" w:rsidP="00D541A6">
      <w:pPr>
        <w:spacing w:after="180" w:line="260" w:lineRule="exact"/>
        <w:ind w:left="567"/>
        <w:jc w:val="both"/>
        <w:rPr>
          <w:sz w:val="20"/>
          <w:szCs w:val="20"/>
          <w:rtl/>
        </w:rPr>
      </w:pPr>
      <w:r w:rsidRPr="00D541A6">
        <w:rPr>
          <w:sz w:val="20"/>
          <w:szCs w:val="20"/>
          <w:rtl/>
        </w:rPr>
        <w:t>התביעה מופרזת, שכן אין לטעון לפגיעה בכבודם של אנשים בשל אי קיום 7% מדרישות הנגישות. להפך, בעמידתה ברוב הדרישות מוכיחה הרכבת כי אין מדובר אלא בליקויים נקודתיים, בנושאים שונים, בתחנות שונות, וגם אם הופרו הנחיות כלשהן, אין לראות בכך פגיעה בכל מי שהוא לקוי רא</w:t>
      </w:r>
      <w:r w:rsidRPr="00D541A6">
        <w:rPr>
          <w:rFonts w:hint="cs"/>
          <w:sz w:val="20"/>
          <w:szCs w:val="20"/>
          <w:rtl/>
        </w:rPr>
        <w:t>י</w:t>
      </w:r>
      <w:r w:rsidRPr="00D541A6">
        <w:rPr>
          <w:sz w:val="20"/>
          <w:szCs w:val="20"/>
          <w:rtl/>
        </w:rPr>
        <w:t>יה בכל תחנת רכבת בכל נקודת זמן, גם אם מעולם לא נתקל באותה הפרה. לרכבת היום 69 תחנות</w:t>
      </w:r>
      <w:r w:rsidRPr="00D541A6">
        <w:rPr>
          <w:rFonts w:hint="cs"/>
          <w:sz w:val="20"/>
          <w:szCs w:val="20"/>
          <w:rtl/>
        </w:rPr>
        <w:t>,</w:t>
      </w:r>
      <w:r w:rsidRPr="00D541A6">
        <w:rPr>
          <w:sz w:val="20"/>
          <w:szCs w:val="20"/>
          <w:rtl/>
        </w:rPr>
        <w:t xml:space="preserve"> ולא מן הנמנע כי יימצאו ליקויים נקודתיים, אקראיים וזמניים עד לאיתורם ותיקונם</w:t>
      </w:r>
      <w:r w:rsidRPr="00D541A6">
        <w:rPr>
          <w:rFonts w:hint="cs"/>
          <w:sz w:val="20"/>
          <w:szCs w:val="20"/>
          <w:rtl/>
        </w:rPr>
        <w:t>.</w:t>
      </w:r>
    </w:p>
    <w:p w14:paraId="19D8A4C7" w14:textId="77777777" w:rsidR="00D541A6" w:rsidRPr="00D541A6" w:rsidRDefault="00D541A6" w:rsidP="00D541A6">
      <w:pPr>
        <w:spacing w:after="180" w:line="260" w:lineRule="exact"/>
        <w:jc w:val="both"/>
        <w:rPr>
          <w:sz w:val="20"/>
          <w:szCs w:val="20"/>
          <w:rtl/>
        </w:rPr>
      </w:pPr>
      <w:r w:rsidRPr="00D541A6">
        <w:rPr>
          <w:rFonts w:hint="cs"/>
          <w:sz w:val="20"/>
          <w:szCs w:val="20"/>
          <w:rtl/>
        </w:rPr>
        <w:t xml:space="preserve">פסק הדין, שנכתב בידי השופטת אסתר </w:t>
      </w:r>
      <w:proofErr w:type="spellStart"/>
      <w:r w:rsidRPr="00D541A6">
        <w:rPr>
          <w:rFonts w:hint="cs"/>
          <w:sz w:val="20"/>
          <w:szCs w:val="20"/>
          <w:rtl/>
        </w:rPr>
        <w:t>שטמר</w:t>
      </w:r>
      <w:proofErr w:type="spellEnd"/>
      <w:r w:rsidRPr="00D541A6">
        <w:rPr>
          <w:rFonts w:hint="cs"/>
          <w:sz w:val="20"/>
          <w:szCs w:val="20"/>
          <w:rtl/>
        </w:rPr>
        <w:t xml:space="preserve">, בוחן את החשיבות שיש </w:t>
      </w:r>
      <w:proofErr w:type="spellStart"/>
      <w:r w:rsidRPr="00D541A6">
        <w:rPr>
          <w:rFonts w:hint="cs"/>
          <w:sz w:val="20"/>
          <w:szCs w:val="20"/>
          <w:rtl/>
        </w:rPr>
        <w:t>בהנגשת</w:t>
      </w:r>
      <w:proofErr w:type="spellEnd"/>
      <w:r w:rsidRPr="00D541A6">
        <w:rPr>
          <w:rFonts w:hint="cs"/>
          <w:sz w:val="20"/>
          <w:szCs w:val="20"/>
          <w:rtl/>
        </w:rPr>
        <w:t xml:space="preserve"> התחבורה הציבורית לאנשים עם מוגבלויות: </w:t>
      </w:r>
    </w:p>
    <w:p w14:paraId="27361799" w14:textId="77777777" w:rsidR="00D541A6" w:rsidRPr="00D541A6" w:rsidRDefault="00D541A6" w:rsidP="00D541A6">
      <w:pPr>
        <w:spacing w:after="180" w:line="260" w:lineRule="exact"/>
        <w:ind w:left="567"/>
        <w:jc w:val="both"/>
        <w:rPr>
          <w:sz w:val="20"/>
          <w:szCs w:val="20"/>
          <w:rtl/>
        </w:rPr>
      </w:pPr>
      <w:r w:rsidRPr="00D541A6">
        <w:rPr>
          <w:sz w:val="20"/>
          <w:szCs w:val="20"/>
          <w:rtl/>
        </w:rPr>
        <w:t>הנגשת מבני ציבור ותחבורה ציבורית לאנשים עם מוגבלות היא בעלת חשיבות עליונה בהקלת הקשיים שהם מתמודדים ע</w:t>
      </w:r>
      <w:r w:rsidRPr="00D541A6">
        <w:rPr>
          <w:rFonts w:hint="cs"/>
          <w:sz w:val="20"/>
          <w:szCs w:val="20"/>
          <w:rtl/>
        </w:rPr>
        <w:t>י</w:t>
      </w:r>
      <w:r w:rsidRPr="00D541A6">
        <w:rPr>
          <w:sz w:val="20"/>
          <w:szCs w:val="20"/>
          <w:rtl/>
        </w:rPr>
        <w:t xml:space="preserve">מם, ובהקלת ההתמודדות עם הגבלת העצמאות הנגזרת מן המוגבלות. לצער </w:t>
      </w:r>
      <w:proofErr w:type="spellStart"/>
      <w:r w:rsidRPr="00D541A6">
        <w:rPr>
          <w:sz w:val="20"/>
          <w:szCs w:val="20"/>
          <w:rtl/>
        </w:rPr>
        <w:t>הכל</w:t>
      </w:r>
      <w:proofErr w:type="spellEnd"/>
      <w:r w:rsidRPr="00D541A6">
        <w:rPr>
          <w:sz w:val="20"/>
          <w:szCs w:val="20"/>
          <w:rtl/>
        </w:rPr>
        <w:t xml:space="preserve"> אין דרך לאיין את המוגבלות, אך שומה על החברה לתת פתרונות ראויים שיקלו על התנהלות עצמאית ככל האפשר של אנשים עם מוגבלות. לשם כך נחקק חוק השוויון</w:t>
      </w:r>
      <w:r w:rsidRPr="00D541A6">
        <w:rPr>
          <w:rFonts w:hint="cs"/>
          <w:sz w:val="20"/>
          <w:szCs w:val="20"/>
          <w:rtl/>
        </w:rPr>
        <w:t>.</w:t>
      </w:r>
    </w:p>
    <w:p w14:paraId="61340FFD" w14:textId="77777777" w:rsidR="00D541A6" w:rsidRPr="00D541A6" w:rsidRDefault="00D541A6" w:rsidP="00D541A6">
      <w:pPr>
        <w:spacing w:after="180" w:line="260" w:lineRule="exact"/>
        <w:jc w:val="both"/>
        <w:rPr>
          <w:sz w:val="20"/>
          <w:szCs w:val="20"/>
          <w:rtl/>
        </w:rPr>
      </w:pPr>
      <w:r w:rsidRPr="00D541A6">
        <w:rPr>
          <w:rFonts w:hint="cs"/>
          <w:sz w:val="20"/>
          <w:szCs w:val="20"/>
          <w:rtl/>
        </w:rPr>
        <w:t>בית המשפט אישר את התובענה הייצוגית ומינה בהסכמת הצדדים מומחית מטעמו לבחינת הליקויים שהצדדים הצביעו עליהם. בפסק דינו קבע בית המשפט כי הרכבת לא עמדה בדרישות הדין כולן בשנים 2007</w:t>
      </w:r>
      <w:r w:rsidRPr="00D541A6">
        <w:rPr>
          <w:rFonts w:hint="eastAsia"/>
          <w:sz w:val="20"/>
          <w:szCs w:val="20"/>
          <w:rtl/>
        </w:rPr>
        <w:t>–</w:t>
      </w:r>
      <w:r w:rsidRPr="00D541A6">
        <w:rPr>
          <w:rFonts w:hint="cs"/>
          <w:sz w:val="20"/>
          <w:szCs w:val="20"/>
          <w:rtl/>
        </w:rPr>
        <w:t>2017. אשר לשיעור ההנגשה קבע בית המשפט כך:</w:t>
      </w:r>
      <w:r w:rsidRPr="00D541A6">
        <w:rPr>
          <w:sz w:val="20"/>
          <w:szCs w:val="20"/>
          <w:rtl/>
        </w:rPr>
        <w:t xml:space="preserve"> </w:t>
      </w:r>
    </w:p>
    <w:p w14:paraId="25563AB9" w14:textId="77777777" w:rsidR="00D541A6" w:rsidRPr="00D541A6" w:rsidRDefault="00D541A6" w:rsidP="00D541A6">
      <w:pPr>
        <w:spacing w:after="180" w:line="260" w:lineRule="exact"/>
        <w:ind w:left="567"/>
        <w:jc w:val="both"/>
        <w:rPr>
          <w:sz w:val="20"/>
          <w:szCs w:val="20"/>
          <w:rtl/>
        </w:rPr>
      </w:pPr>
      <w:r w:rsidRPr="00D541A6">
        <w:rPr>
          <w:sz w:val="20"/>
          <w:szCs w:val="20"/>
          <w:rtl/>
        </w:rPr>
        <w:t>אם כי לא ניתן לקבוע במדויק מהו שיעור אי ההנגשה בכל שלב – ברי כי בתקופה שקדמה להגשת בקשת האישור הרכבת לא עמדה לפחות ב-15%</w:t>
      </w:r>
      <w:r w:rsidRPr="00D541A6">
        <w:rPr>
          <w:rFonts w:hint="cs"/>
          <w:sz w:val="20"/>
          <w:szCs w:val="20"/>
          <w:rtl/>
        </w:rPr>
        <w:t>–</w:t>
      </w:r>
      <w:r w:rsidRPr="00D541A6">
        <w:rPr>
          <w:sz w:val="20"/>
          <w:szCs w:val="20"/>
          <w:rtl/>
        </w:rPr>
        <w:t>20% מחובותיה, ואין להקל בכך ראש</w:t>
      </w:r>
      <w:r w:rsidRPr="00D541A6">
        <w:rPr>
          <w:rFonts w:hint="cs"/>
          <w:sz w:val="20"/>
          <w:szCs w:val="20"/>
          <w:rtl/>
        </w:rPr>
        <w:t xml:space="preserve"> [...] </w:t>
      </w:r>
      <w:r w:rsidRPr="00D541A6">
        <w:rPr>
          <w:sz w:val="20"/>
          <w:szCs w:val="20"/>
          <w:rtl/>
        </w:rPr>
        <w:t>שוב אבהיר כי אין מדובר בכימות מהותי ואיכותי, כי אם בכימות מספרי, שבהכרח אינו נותן תמונה מלאה על שיעור ההנגשה המהותי בתחנות הרכבת.</w:t>
      </w:r>
    </w:p>
    <w:p w14:paraId="78178E91" w14:textId="77777777" w:rsidR="00D541A6" w:rsidRPr="00275E42" w:rsidRDefault="00D541A6" w:rsidP="00275E42">
      <w:pPr>
        <w:spacing w:after="180" w:line="300" w:lineRule="exact"/>
        <w:jc w:val="both"/>
        <w:rPr>
          <w:rFonts w:ascii="David" w:hAnsi="David"/>
          <w:color w:val="000000"/>
          <w:szCs w:val="20"/>
          <w:rtl/>
        </w:rPr>
      </w:pPr>
      <w:r w:rsidRPr="00275E42">
        <w:rPr>
          <w:rFonts w:ascii="David" w:hAnsi="David" w:hint="cs"/>
          <w:color w:val="000000"/>
          <w:szCs w:val="20"/>
          <w:rtl/>
        </w:rPr>
        <w:t>לפיכך נקבע כי על הרכבת לעמוד בכל דרישות הדין. בית המשפט פסק לכל אחד מחברי הקבוצה פיצוי בגובה 500 שקלים על בסיס חישוב הנזק הכולל, המוערך ב-13,500,000 שקלים.</w:t>
      </w:r>
    </w:p>
    <w:p w14:paraId="3AC535D4" w14:textId="77777777" w:rsidR="00D541A6" w:rsidRPr="00275E42" w:rsidRDefault="00D541A6" w:rsidP="00275E42">
      <w:pPr>
        <w:spacing w:after="180" w:line="300" w:lineRule="exact"/>
        <w:jc w:val="both"/>
        <w:rPr>
          <w:rFonts w:ascii="David" w:hAnsi="David"/>
          <w:color w:val="000000"/>
          <w:szCs w:val="20"/>
          <w:rtl/>
        </w:rPr>
      </w:pPr>
    </w:p>
    <w:p w14:paraId="631097BE" w14:textId="77777777" w:rsidR="00D541A6" w:rsidRPr="00275E42" w:rsidRDefault="00D541A6" w:rsidP="00275E42">
      <w:pPr>
        <w:pStyle w:val="KOT5"/>
        <w:jc w:val="both"/>
        <w:rPr>
          <w:b/>
          <w:bCs/>
          <w:color w:val="2A8E8C"/>
          <w:rtl/>
        </w:rPr>
      </w:pPr>
      <w:r w:rsidRPr="00275E42">
        <w:rPr>
          <w:rFonts w:hint="cs"/>
          <w:b/>
          <w:bCs/>
          <w:color w:val="2A8E8C"/>
          <w:rtl/>
        </w:rPr>
        <w:lastRenderedPageBreak/>
        <w:t>פיטורים שנעשו עקב הפליה מחמת גיל</w:t>
      </w:r>
    </w:p>
    <w:p w14:paraId="0E9A5295" w14:textId="77777777" w:rsidR="00D541A6" w:rsidRPr="00275E42" w:rsidRDefault="00D541A6" w:rsidP="00275E42">
      <w:pPr>
        <w:keepNext/>
        <w:keepLines/>
        <w:spacing w:after="120" w:line="360" w:lineRule="auto"/>
        <w:rPr>
          <w:rFonts w:cs="Guttman Aharoni"/>
          <w:szCs w:val="22"/>
          <w:rtl/>
        </w:rPr>
      </w:pPr>
      <w:proofErr w:type="spellStart"/>
      <w:r w:rsidRPr="00275E42">
        <w:rPr>
          <w:rFonts w:cs="Guttman Aharoni" w:hint="cs"/>
          <w:szCs w:val="22"/>
          <w:rtl/>
        </w:rPr>
        <w:t>סע"ש</w:t>
      </w:r>
      <w:proofErr w:type="spellEnd"/>
      <w:r w:rsidRPr="00275E42">
        <w:rPr>
          <w:rFonts w:cs="Guttman Aharoni" w:hint="cs"/>
          <w:szCs w:val="22"/>
          <w:rtl/>
        </w:rPr>
        <w:t xml:space="preserve"> 2540-12-20 </w:t>
      </w:r>
      <w:r w:rsidRPr="00275E42">
        <w:rPr>
          <w:rFonts w:cs="Guttman Aharoni" w:hint="cs"/>
          <w:b/>
          <w:bCs/>
          <w:szCs w:val="22"/>
          <w:rtl/>
        </w:rPr>
        <w:t xml:space="preserve">שטיינברג נ' </w:t>
      </w:r>
      <w:proofErr w:type="spellStart"/>
      <w:r w:rsidRPr="00275E42">
        <w:rPr>
          <w:rFonts w:cs="Guttman Aharoni" w:hint="cs"/>
          <w:b/>
          <w:bCs/>
          <w:szCs w:val="22"/>
          <w:rtl/>
        </w:rPr>
        <w:t>סמ</w:t>
      </w:r>
      <w:proofErr w:type="spellEnd"/>
      <w:r w:rsidRPr="00275E42">
        <w:rPr>
          <w:rFonts w:ascii="David" w:hAnsi="David"/>
          <w:b/>
          <w:bCs/>
          <w:szCs w:val="22"/>
          <w:rtl/>
        </w:rPr>
        <w:t>-</w:t>
      </w:r>
      <w:r w:rsidRPr="00275E42">
        <w:rPr>
          <w:rFonts w:cs="Guttman Aharoni" w:hint="cs"/>
          <w:b/>
          <w:bCs/>
          <w:szCs w:val="22"/>
          <w:rtl/>
        </w:rPr>
        <w:t>ליין בע"מ</w:t>
      </w:r>
      <w:r w:rsidRPr="00275E42">
        <w:rPr>
          <w:rFonts w:cs="Guttman Aharoni" w:hint="cs"/>
          <w:szCs w:val="22"/>
          <w:rtl/>
        </w:rPr>
        <w:t xml:space="preserve"> (ניתן ב</w:t>
      </w:r>
      <w:r w:rsidRPr="00275E42">
        <w:rPr>
          <w:rFonts w:ascii="David" w:hAnsi="David"/>
          <w:szCs w:val="22"/>
          <w:rtl/>
        </w:rPr>
        <w:t>-</w:t>
      </w:r>
      <w:r w:rsidRPr="00275E42">
        <w:rPr>
          <w:rFonts w:cs="Guttman Aharoni" w:hint="cs"/>
          <w:szCs w:val="22"/>
          <w:rtl/>
        </w:rPr>
        <w:t>25 בנובמבר 2022)</w:t>
      </w:r>
    </w:p>
    <w:p w14:paraId="515EC996" w14:textId="77777777" w:rsidR="00D541A6" w:rsidRPr="00D541A6" w:rsidRDefault="00D541A6" w:rsidP="00D541A6">
      <w:pPr>
        <w:spacing w:after="180" w:line="260" w:lineRule="exact"/>
        <w:jc w:val="both"/>
        <w:rPr>
          <w:sz w:val="22"/>
          <w:szCs w:val="20"/>
          <w:rtl/>
        </w:rPr>
      </w:pPr>
      <w:r w:rsidRPr="00D541A6">
        <w:rPr>
          <w:rFonts w:hint="cs"/>
          <w:sz w:val="22"/>
          <w:szCs w:val="20"/>
          <w:rtl/>
        </w:rPr>
        <w:t xml:space="preserve">התובע, יליד 1960, עבד אצל הנתבעת כ-37 שנים בתפקידים מגוונים, ובעשרים השנים האחרונות בתפקיד סוכן מכירות. התביעה הוגשה בעיקר בטענה לפיטורין שלא כדין בשל הפליה מחמת גיל, תוך הפרה של חוק שוויון הזדמנויות בעבודה, התשמ"ח-1988. טענתו העיקרית של התובע </w:t>
      </w:r>
      <w:proofErr w:type="spellStart"/>
      <w:r w:rsidRPr="00D541A6">
        <w:rPr>
          <w:rFonts w:hint="cs"/>
          <w:sz w:val="22"/>
          <w:szCs w:val="20"/>
          <w:rtl/>
        </w:rPr>
        <w:t>היתה</w:t>
      </w:r>
      <w:proofErr w:type="spellEnd"/>
      <w:r w:rsidRPr="00D541A6">
        <w:rPr>
          <w:rFonts w:hint="cs"/>
          <w:sz w:val="22"/>
          <w:szCs w:val="20"/>
          <w:rtl/>
        </w:rPr>
        <w:t xml:space="preserve"> שהחברה העדיפה סוכני מכירה צעירים על פניו, וכי זאת הסיבה העיקרית לפיטוריו. הוא דרש פיצויים בסך 900,000 שקלים בשל הפלייתו מחמת גילו והפסדי השתכרות. </w:t>
      </w:r>
    </w:p>
    <w:p w14:paraId="3C6866D2" w14:textId="77777777" w:rsidR="00D541A6" w:rsidRPr="00D541A6" w:rsidRDefault="00D541A6" w:rsidP="00D541A6">
      <w:pPr>
        <w:spacing w:after="180" w:line="260" w:lineRule="exact"/>
        <w:jc w:val="both"/>
        <w:rPr>
          <w:sz w:val="22"/>
          <w:szCs w:val="20"/>
          <w:rtl/>
        </w:rPr>
      </w:pPr>
      <w:r w:rsidRPr="00D541A6">
        <w:rPr>
          <w:rFonts w:hint="cs"/>
          <w:sz w:val="22"/>
          <w:szCs w:val="20"/>
          <w:rtl/>
        </w:rPr>
        <w:t>הנתבעת טענה כי בעקבות משבר הקורונה וירידה ברווחים היא נאלצה לצמצם את כוח האדם ב-10%, וכי התובע נמנה עם העובדים שפוטרו עקב חוסר שביעות רצון מתפקודו ובלי קשר לגילו.</w:t>
      </w:r>
    </w:p>
    <w:p w14:paraId="0C3D4C47" w14:textId="77777777" w:rsidR="00D541A6" w:rsidRPr="00D541A6" w:rsidRDefault="00D541A6" w:rsidP="00D541A6">
      <w:pPr>
        <w:spacing w:after="180" w:line="260" w:lineRule="exact"/>
        <w:jc w:val="both"/>
        <w:rPr>
          <w:sz w:val="22"/>
          <w:szCs w:val="20"/>
          <w:rtl/>
        </w:rPr>
      </w:pPr>
      <w:r w:rsidRPr="00D541A6">
        <w:rPr>
          <w:rFonts w:hint="cs"/>
          <w:sz w:val="22"/>
          <w:szCs w:val="20"/>
          <w:rtl/>
        </w:rPr>
        <w:t xml:space="preserve">בפסק הדין הדגישה השופטת </w:t>
      </w:r>
      <w:r w:rsidRPr="00D541A6">
        <w:rPr>
          <w:sz w:val="22"/>
          <w:szCs w:val="20"/>
          <w:rtl/>
        </w:rPr>
        <w:t xml:space="preserve">אסנת </w:t>
      </w:r>
      <w:proofErr w:type="spellStart"/>
      <w:r w:rsidRPr="00D541A6">
        <w:rPr>
          <w:sz w:val="22"/>
          <w:szCs w:val="20"/>
          <w:rtl/>
        </w:rPr>
        <w:t>רובוביץ</w:t>
      </w:r>
      <w:proofErr w:type="spellEnd"/>
      <w:r w:rsidRPr="00D541A6">
        <w:rPr>
          <w:rFonts w:hint="cs"/>
          <w:sz w:val="22"/>
          <w:szCs w:val="20"/>
          <w:rtl/>
        </w:rPr>
        <w:t>-</w:t>
      </w:r>
      <w:r w:rsidRPr="00D541A6">
        <w:rPr>
          <w:sz w:val="22"/>
          <w:szCs w:val="20"/>
          <w:rtl/>
        </w:rPr>
        <w:t>ברכש</w:t>
      </w:r>
      <w:r w:rsidRPr="00D541A6">
        <w:rPr>
          <w:rFonts w:hint="cs"/>
          <w:sz w:val="22"/>
          <w:szCs w:val="20"/>
          <w:rtl/>
        </w:rPr>
        <w:t xml:space="preserve"> את הזכות לשוויון כזכות בעלת מעמד חוקתי. הזכות לשוויון בתעסוקה מוגנת מכוח חוק שוויון הזדמנויו</w:t>
      </w:r>
      <w:r w:rsidRPr="00D541A6">
        <w:rPr>
          <w:rFonts w:hint="eastAsia"/>
          <w:sz w:val="22"/>
          <w:szCs w:val="20"/>
          <w:rtl/>
        </w:rPr>
        <w:t>ת</w:t>
      </w:r>
      <w:r w:rsidRPr="00D541A6">
        <w:rPr>
          <w:rFonts w:hint="cs"/>
          <w:sz w:val="22"/>
          <w:szCs w:val="20"/>
          <w:rtl/>
        </w:rPr>
        <w:t xml:space="preserve"> בעבודה, התשמ"ח-1988:</w:t>
      </w:r>
    </w:p>
    <w:p w14:paraId="26A3E5EF" w14:textId="77777777" w:rsidR="00D541A6" w:rsidRPr="00D541A6" w:rsidRDefault="00D541A6" w:rsidP="00275E42">
      <w:pPr>
        <w:spacing w:after="180" w:line="260" w:lineRule="exact"/>
        <w:ind w:left="567"/>
        <w:jc w:val="both"/>
        <w:rPr>
          <w:sz w:val="22"/>
          <w:szCs w:val="20"/>
          <w:rtl/>
        </w:rPr>
      </w:pPr>
      <w:r w:rsidRPr="00D541A6">
        <w:rPr>
          <w:color w:val="000000"/>
          <w:sz w:val="22"/>
          <w:szCs w:val="20"/>
          <w:shd w:val="clear" w:color="auto" w:fill="FFFFFF"/>
          <w:rtl/>
        </w:rPr>
        <w:t xml:space="preserve">האיסור על הפליה מחמת "גיל" התווסף לחוק שוויון ההזדמנויות במסגרת תיקון מס' 3 משנת 1995, יחד עם עילות נוספות </w:t>
      </w:r>
      <w:r w:rsidRPr="00D541A6">
        <w:rPr>
          <w:rFonts w:hint="cs"/>
          <w:color w:val="000000"/>
          <w:sz w:val="22"/>
          <w:szCs w:val="20"/>
          <w:shd w:val="clear" w:color="auto" w:fill="FFFFFF"/>
          <w:rtl/>
        </w:rPr>
        <w:t>[</w:t>
      </w:r>
      <w:r w:rsidRPr="00D541A6">
        <w:rPr>
          <w:color w:val="000000"/>
          <w:sz w:val="22"/>
          <w:szCs w:val="20"/>
          <w:shd w:val="clear" w:color="auto" w:fill="FFFFFF"/>
          <w:rtl/>
        </w:rPr>
        <w:t>...</w:t>
      </w:r>
      <w:r w:rsidRPr="00D541A6">
        <w:rPr>
          <w:rFonts w:hint="cs"/>
          <w:color w:val="000000"/>
          <w:sz w:val="22"/>
          <w:szCs w:val="20"/>
          <w:shd w:val="clear" w:color="auto" w:fill="FFFFFF"/>
          <w:rtl/>
        </w:rPr>
        <w:t xml:space="preserve">] </w:t>
      </w:r>
      <w:r w:rsidRPr="00D541A6">
        <w:rPr>
          <w:color w:val="000000"/>
          <w:sz w:val="22"/>
          <w:szCs w:val="20"/>
          <w:shd w:val="clear" w:color="auto" w:fill="FFFFFF"/>
          <w:rtl/>
        </w:rPr>
        <w:t>הגם שהחוק מנוסח באופן ניטראלי, במרבית המקרים מכוונת ההפליה מחמת גיל כלפי מי שהחברה מתייחסת אליו כאל "מבוגר" או "זקן", ויש בה כדי לשקף בעיה חברתית רחבת היקף של התייחסות לאנשים בגיל מתקדם כקבוצה חברתית המתויגת כבעלת מאפייני חולשה ואי יכולת אך ורק בשל גילה הכרונולו</w:t>
      </w:r>
      <w:r w:rsidRPr="00D541A6">
        <w:rPr>
          <w:rFonts w:hint="cs"/>
          <w:color w:val="000000"/>
          <w:sz w:val="22"/>
          <w:szCs w:val="20"/>
          <w:shd w:val="clear" w:color="auto" w:fill="FFFFFF"/>
          <w:rtl/>
        </w:rPr>
        <w:t>גי.</w:t>
      </w:r>
    </w:p>
    <w:p w14:paraId="78B8C6C1" w14:textId="77777777" w:rsidR="00D541A6" w:rsidRPr="00D541A6" w:rsidRDefault="00D541A6" w:rsidP="00D541A6">
      <w:pPr>
        <w:spacing w:after="180" w:line="260" w:lineRule="exact"/>
        <w:jc w:val="both"/>
        <w:rPr>
          <w:sz w:val="22"/>
          <w:szCs w:val="20"/>
          <w:rtl/>
        </w:rPr>
      </w:pPr>
      <w:r w:rsidRPr="00D541A6">
        <w:rPr>
          <w:rFonts w:hint="cs"/>
          <w:sz w:val="22"/>
          <w:szCs w:val="20"/>
          <w:rtl/>
        </w:rPr>
        <w:t xml:space="preserve">השופטת פסקה כי התובע הופלה על סמך גילו, ולא על סמך תפקודו הלקוי, כפי שטענה הנתבעת. לפי פסק הדין, הנתבעת לא הביאה כל ראיה לכך שהסיבה לפיטוריו של התובע </w:t>
      </w:r>
      <w:proofErr w:type="spellStart"/>
      <w:r w:rsidRPr="00D541A6">
        <w:rPr>
          <w:rFonts w:hint="cs"/>
          <w:sz w:val="22"/>
          <w:szCs w:val="20"/>
          <w:rtl/>
        </w:rPr>
        <w:t>היתה</w:t>
      </w:r>
      <w:proofErr w:type="spellEnd"/>
      <w:r w:rsidRPr="00D541A6">
        <w:rPr>
          <w:rFonts w:hint="cs"/>
          <w:sz w:val="22"/>
          <w:szCs w:val="20"/>
          <w:rtl/>
        </w:rPr>
        <w:t xml:space="preserve"> אי-שביעות רצון מתפקודו. זאת ועוד, הנתבעת בחרה להביא לעדות על תפקודיו של התובע כסוכן מכירות את סמנכ"ל הכספים, ולא את הממונה הישיר עליו. השופטת ביקרה את התנהלות הנתבעת על שבחרה לפטר את התובע, ולא שקלה אפשרויות העסקה נוספות. ה</w:t>
      </w:r>
      <w:r w:rsidRPr="00D541A6">
        <w:rPr>
          <w:sz w:val="22"/>
          <w:szCs w:val="20"/>
          <w:rtl/>
        </w:rPr>
        <w:t xml:space="preserve">שופטת פסקה לתובע פיצוי של 80,000 </w:t>
      </w:r>
      <w:r w:rsidRPr="00D541A6">
        <w:rPr>
          <w:rFonts w:hint="cs"/>
          <w:sz w:val="22"/>
          <w:szCs w:val="20"/>
          <w:rtl/>
        </w:rPr>
        <w:t>שקלים</w:t>
      </w:r>
      <w:r w:rsidRPr="00D541A6">
        <w:rPr>
          <w:sz w:val="22"/>
          <w:szCs w:val="20"/>
          <w:rtl/>
        </w:rPr>
        <w:t xml:space="preserve"> בגין ה</w:t>
      </w:r>
      <w:r w:rsidRPr="00D541A6">
        <w:rPr>
          <w:rFonts w:hint="cs"/>
          <w:sz w:val="22"/>
          <w:szCs w:val="20"/>
          <w:rtl/>
        </w:rPr>
        <w:t>ה</w:t>
      </w:r>
      <w:r w:rsidRPr="00D541A6">
        <w:rPr>
          <w:sz w:val="22"/>
          <w:szCs w:val="20"/>
          <w:rtl/>
        </w:rPr>
        <w:t>פליה, ו-20,000 ש</w:t>
      </w:r>
      <w:r w:rsidRPr="00D541A6">
        <w:rPr>
          <w:rFonts w:hint="cs"/>
          <w:sz w:val="22"/>
          <w:szCs w:val="20"/>
          <w:rtl/>
        </w:rPr>
        <w:t xml:space="preserve">קלים </w:t>
      </w:r>
      <w:r w:rsidRPr="00D541A6">
        <w:rPr>
          <w:sz w:val="22"/>
          <w:szCs w:val="20"/>
          <w:rtl/>
        </w:rPr>
        <w:t>נוספים עבור הוצאות ושכ</w:t>
      </w:r>
      <w:r w:rsidRPr="00D541A6">
        <w:rPr>
          <w:rFonts w:hint="cs"/>
          <w:sz w:val="22"/>
          <w:szCs w:val="20"/>
          <w:rtl/>
        </w:rPr>
        <w:t>ר טרחת</w:t>
      </w:r>
      <w:r w:rsidRPr="00D541A6">
        <w:rPr>
          <w:sz w:val="22"/>
          <w:szCs w:val="20"/>
          <w:rtl/>
        </w:rPr>
        <w:t xml:space="preserve"> </w:t>
      </w:r>
      <w:r w:rsidRPr="00D541A6">
        <w:rPr>
          <w:rFonts w:hint="cs"/>
          <w:sz w:val="22"/>
          <w:szCs w:val="20"/>
          <w:rtl/>
        </w:rPr>
        <w:t>עורך דין.</w:t>
      </w:r>
    </w:p>
    <w:p w14:paraId="63ADDE82" w14:textId="77777777" w:rsidR="00D541A6" w:rsidRPr="00D541A6" w:rsidRDefault="00D541A6" w:rsidP="00D541A6">
      <w:pPr>
        <w:spacing w:after="180" w:line="260" w:lineRule="exact"/>
        <w:jc w:val="both"/>
        <w:rPr>
          <w:sz w:val="22"/>
          <w:szCs w:val="20"/>
          <w:rtl/>
        </w:rPr>
      </w:pPr>
    </w:p>
    <w:p w14:paraId="203E1FEF" w14:textId="77777777" w:rsidR="00D541A6" w:rsidRPr="00275E42" w:rsidRDefault="00D541A6" w:rsidP="00275E42">
      <w:pPr>
        <w:pStyle w:val="KOT5"/>
        <w:jc w:val="both"/>
        <w:rPr>
          <w:b/>
          <w:bCs/>
          <w:color w:val="2A8E8C"/>
          <w:rtl/>
        </w:rPr>
      </w:pPr>
      <w:r w:rsidRPr="00275E42">
        <w:rPr>
          <w:rFonts w:hint="cs"/>
          <w:b/>
          <w:bCs/>
          <w:color w:val="2A8E8C"/>
          <w:rtl/>
        </w:rPr>
        <w:t xml:space="preserve">בחינת רצונו המשוער של נפטר להעמיד צאצאים </w:t>
      </w:r>
    </w:p>
    <w:p w14:paraId="0A5BCD39" w14:textId="77777777" w:rsidR="00D541A6" w:rsidRPr="00275E42" w:rsidRDefault="00D541A6" w:rsidP="00D541A6">
      <w:pPr>
        <w:spacing w:line="360" w:lineRule="auto"/>
        <w:rPr>
          <w:rFonts w:cs="Guttman Aharoni"/>
          <w:color w:val="000000" w:themeColor="text1"/>
          <w:szCs w:val="22"/>
          <w:rtl/>
        </w:rPr>
      </w:pPr>
      <w:r w:rsidRPr="00275E42">
        <w:rPr>
          <w:rFonts w:cs="Guttman Aharoni"/>
          <w:color w:val="000000"/>
          <w:szCs w:val="22"/>
          <w:rtl/>
        </w:rPr>
        <w:t>ת"ע (פ"ת) 29428-07-22</w:t>
      </w:r>
      <w:r w:rsidRPr="00275E42">
        <w:rPr>
          <w:rFonts w:cs="Guttman Aharoni"/>
          <w:b/>
          <w:bCs/>
          <w:color w:val="000000"/>
          <w:szCs w:val="22"/>
          <w:rtl/>
        </w:rPr>
        <w:t xml:space="preserve"> </w:t>
      </w:r>
      <w:proofErr w:type="spellStart"/>
      <w:r w:rsidRPr="00275E42">
        <w:rPr>
          <w:rFonts w:cs="Guttman Aharoni"/>
          <w:b/>
          <w:bCs/>
          <w:color w:val="000000"/>
          <w:szCs w:val="22"/>
          <w:rtl/>
        </w:rPr>
        <w:t>ט"ח</w:t>
      </w:r>
      <w:proofErr w:type="spellEnd"/>
      <w:r w:rsidRPr="00275E42">
        <w:rPr>
          <w:rFonts w:cs="Guttman Aharoni"/>
          <w:b/>
          <w:bCs/>
          <w:color w:val="000000"/>
          <w:szCs w:val="22"/>
          <w:rtl/>
        </w:rPr>
        <w:t xml:space="preserve"> נ' משרד הפנים</w:t>
      </w:r>
      <w:r w:rsidRPr="00275E42">
        <w:rPr>
          <w:rFonts w:cs="Guttman Aharoni" w:hint="cs"/>
          <w:b/>
          <w:bCs/>
          <w:color w:val="4F81BD" w:themeColor="accent1"/>
          <w:szCs w:val="22"/>
          <w:rtl/>
        </w:rPr>
        <w:t xml:space="preserve"> </w:t>
      </w:r>
      <w:r w:rsidRPr="00275E42">
        <w:rPr>
          <w:rFonts w:cs="Guttman Aharoni"/>
          <w:color w:val="000000" w:themeColor="text1"/>
          <w:szCs w:val="22"/>
          <w:rtl/>
        </w:rPr>
        <w:t>(ניתן ב</w:t>
      </w:r>
      <w:r w:rsidRPr="00275E42">
        <w:rPr>
          <w:rFonts w:ascii="David" w:hAnsi="David"/>
          <w:color w:val="000000" w:themeColor="text1"/>
          <w:szCs w:val="22"/>
          <w:rtl/>
        </w:rPr>
        <w:t>-</w:t>
      </w:r>
      <w:r w:rsidRPr="00275E42">
        <w:rPr>
          <w:rFonts w:cs="Guttman Aharoni"/>
          <w:color w:val="000000" w:themeColor="text1"/>
          <w:szCs w:val="22"/>
          <w:rtl/>
        </w:rPr>
        <w:t xml:space="preserve">3 </w:t>
      </w:r>
      <w:r w:rsidRPr="00275E42">
        <w:rPr>
          <w:rFonts w:cs="Guttman Aharoni" w:hint="cs"/>
          <w:color w:val="000000" w:themeColor="text1"/>
          <w:szCs w:val="22"/>
          <w:rtl/>
        </w:rPr>
        <w:t>ב</w:t>
      </w:r>
      <w:r w:rsidRPr="00275E42">
        <w:rPr>
          <w:rFonts w:cs="Guttman Aharoni" w:hint="eastAsia"/>
          <w:color w:val="000000" w:themeColor="text1"/>
          <w:szCs w:val="22"/>
          <w:rtl/>
        </w:rPr>
        <w:t>ינואר</w:t>
      </w:r>
      <w:r w:rsidRPr="00275E42">
        <w:rPr>
          <w:rFonts w:cs="Guttman Aharoni"/>
          <w:color w:val="000000" w:themeColor="text1"/>
          <w:szCs w:val="22"/>
          <w:rtl/>
        </w:rPr>
        <w:t xml:space="preserve"> 2023)</w:t>
      </w:r>
    </w:p>
    <w:p w14:paraId="7EDCBC6D" w14:textId="77777777" w:rsidR="00D541A6" w:rsidRPr="00D541A6" w:rsidRDefault="00D541A6" w:rsidP="00D541A6">
      <w:pPr>
        <w:spacing w:after="180" w:line="260" w:lineRule="exact"/>
        <w:jc w:val="both"/>
        <w:rPr>
          <w:color w:val="000000" w:themeColor="text1"/>
          <w:sz w:val="22"/>
          <w:szCs w:val="20"/>
          <w:rtl/>
        </w:rPr>
      </w:pPr>
      <w:r w:rsidRPr="00D541A6">
        <w:rPr>
          <w:rFonts w:hint="cs"/>
          <w:color w:val="000000" w:themeColor="text1"/>
          <w:sz w:val="22"/>
          <w:szCs w:val="20"/>
          <w:rtl/>
        </w:rPr>
        <w:t xml:space="preserve">המבקשת </w:t>
      </w:r>
      <w:proofErr w:type="spellStart"/>
      <w:r w:rsidRPr="00D541A6">
        <w:rPr>
          <w:rFonts w:hint="cs"/>
          <w:color w:val="000000" w:themeColor="text1"/>
          <w:sz w:val="22"/>
          <w:szCs w:val="20"/>
          <w:rtl/>
        </w:rPr>
        <w:t>היתה</w:t>
      </w:r>
      <w:proofErr w:type="spellEnd"/>
      <w:r w:rsidRPr="00D541A6">
        <w:rPr>
          <w:rFonts w:hint="cs"/>
          <w:color w:val="000000" w:themeColor="text1"/>
          <w:sz w:val="22"/>
          <w:szCs w:val="20"/>
          <w:rtl/>
        </w:rPr>
        <w:t xml:space="preserve"> נשואה למנוח כ-17 שנים. במהלך שנות נישואיהם כשלו ניסיונותיה</w:t>
      </w:r>
      <w:r w:rsidRPr="00D541A6">
        <w:rPr>
          <w:rFonts w:hint="eastAsia"/>
          <w:color w:val="000000" w:themeColor="text1"/>
          <w:sz w:val="22"/>
          <w:szCs w:val="20"/>
          <w:rtl/>
        </w:rPr>
        <w:t>ם</w:t>
      </w:r>
      <w:r w:rsidRPr="00D541A6">
        <w:rPr>
          <w:rFonts w:hint="cs"/>
          <w:color w:val="000000" w:themeColor="text1"/>
          <w:sz w:val="22"/>
          <w:szCs w:val="20"/>
          <w:rtl/>
        </w:rPr>
        <w:t xml:space="preserve"> להביא ילדים לעולם. לאחר פטירת המנוח הגישה המבקשת, בהסכמת הוריו של המנוח, בקשה לבית המשפט לענייני משפחה להתיר לה להשתמש בזרעו של המנוח לשם ביצוע הפריה באמצעות אם פונדקאית, בהתבסס על רצונו המשוער של המנוח להביא ילדים לעולם עם המבקשת גם לאחר מותו. </w:t>
      </w:r>
    </w:p>
    <w:p w14:paraId="75358EB1" w14:textId="77777777" w:rsidR="00D541A6" w:rsidRPr="00D541A6" w:rsidRDefault="00D541A6" w:rsidP="00D541A6">
      <w:pPr>
        <w:spacing w:after="180" w:line="260" w:lineRule="exact"/>
        <w:jc w:val="both"/>
        <w:rPr>
          <w:color w:val="000000" w:themeColor="text1"/>
          <w:sz w:val="22"/>
          <w:szCs w:val="20"/>
          <w:rtl/>
        </w:rPr>
      </w:pPr>
      <w:r w:rsidRPr="00D541A6">
        <w:rPr>
          <w:rFonts w:hint="cs"/>
          <w:color w:val="000000" w:themeColor="text1"/>
          <w:sz w:val="22"/>
          <w:szCs w:val="20"/>
          <w:rtl/>
        </w:rPr>
        <w:lastRenderedPageBreak/>
        <w:t>המשיב (היועץ המשפטי לממשלה, המייצג את משרד הפנים) טען כי ביכולתו לסתור את רצונו המשוער של המנוח, וביקש מבית המשפט להורות על הגשת תסקיר מהשירות למען הילד. המבקשת התנגדה לכך.</w:t>
      </w:r>
    </w:p>
    <w:p w14:paraId="22B00820" w14:textId="77777777" w:rsidR="00D541A6" w:rsidRPr="00D541A6" w:rsidRDefault="00D541A6" w:rsidP="00D541A6">
      <w:pPr>
        <w:spacing w:after="180" w:line="260" w:lineRule="exact"/>
        <w:jc w:val="both"/>
        <w:rPr>
          <w:sz w:val="20"/>
          <w:szCs w:val="20"/>
          <w:rtl/>
        </w:rPr>
      </w:pPr>
      <w:r w:rsidRPr="00D541A6">
        <w:rPr>
          <w:rFonts w:hint="cs"/>
          <w:color w:val="000000" w:themeColor="text1"/>
          <w:sz w:val="22"/>
          <w:szCs w:val="20"/>
          <w:rtl/>
        </w:rPr>
        <w:t>השופטת נאוה גדיש ציינה את הכלל ולפיו "</w:t>
      </w:r>
      <w:r w:rsidRPr="00D541A6">
        <w:rPr>
          <w:rFonts w:hint="cs"/>
          <w:sz w:val="20"/>
          <w:szCs w:val="20"/>
          <w:rtl/>
        </w:rPr>
        <w:t>כאשר אדם היה נשוי במועד פטירתו, זוגתו היא שתוכל להביא לפני בית המשפט את רצונו, בהיותה 'האדם הקרוב אליו ביותר', כך בהנחיות ב</w:t>
      </w:r>
      <w:r w:rsidRPr="00D541A6">
        <w:rPr>
          <w:sz w:val="20"/>
          <w:szCs w:val="20"/>
          <w:rtl/>
        </w:rPr>
        <w:t>"</w:t>
      </w:r>
      <w:r w:rsidRPr="00D541A6">
        <w:rPr>
          <w:rFonts w:hint="cs"/>
          <w:sz w:val="20"/>
          <w:szCs w:val="20"/>
          <w:rtl/>
        </w:rPr>
        <w:t>כ היועמ</w:t>
      </w:r>
      <w:r w:rsidRPr="00D541A6">
        <w:rPr>
          <w:sz w:val="20"/>
          <w:szCs w:val="20"/>
          <w:rtl/>
        </w:rPr>
        <w:t>"</w:t>
      </w:r>
      <w:r w:rsidRPr="00D541A6">
        <w:rPr>
          <w:rFonts w:hint="cs"/>
          <w:sz w:val="20"/>
          <w:szCs w:val="20"/>
          <w:rtl/>
        </w:rPr>
        <w:t>ש", ואת החזקה כי "כל אדם מבקש שתהיה לו המשכיות וכאשר הוא נשוי, הדעת נותנת שהרצון הטבעי הוא שהדבר יעשה יחד עם רעייתו".</w:t>
      </w:r>
    </w:p>
    <w:p w14:paraId="563475C9" w14:textId="77777777" w:rsidR="00D541A6" w:rsidRPr="00D541A6" w:rsidRDefault="00D541A6" w:rsidP="00D541A6">
      <w:pPr>
        <w:spacing w:after="180" w:line="260" w:lineRule="exact"/>
        <w:jc w:val="both"/>
        <w:rPr>
          <w:sz w:val="20"/>
          <w:szCs w:val="20"/>
          <w:rtl/>
        </w:rPr>
      </w:pPr>
      <w:r w:rsidRPr="00D541A6">
        <w:rPr>
          <w:rFonts w:hint="cs"/>
          <w:sz w:val="20"/>
          <w:szCs w:val="20"/>
          <w:rtl/>
        </w:rPr>
        <w:t>השופטת פסקה לטובת המבקשת שלא להורות על הגשת התסקיר, מהטעם שרצונו של המנוח להביא ילדים לעולם עם המבקשת עולה מכך שהוריו ואחיו תומכים בבקשה וכן מהמסמכים שצורפו לבקשה, ומעידים שהמנוח היה בחייו שותף פעיל בטיפולי הפוריות. לפיכך אין טעם להורות על הגשת התסקיר כדי לבחון, לבקשת המשיב, "את רצונה הכן והאמיתי של המבקשת", כיוון שהבקשה והמסמכים הנלווים לה מעידים על כך.</w:t>
      </w:r>
    </w:p>
    <w:p w14:paraId="359788C5" w14:textId="77777777" w:rsidR="00D541A6" w:rsidRPr="00D541A6" w:rsidRDefault="00D541A6" w:rsidP="00D541A6">
      <w:pPr>
        <w:spacing w:after="180" w:line="260" w:lineRule="exact"/>
        <w:jc w:val="both"/>
        <w:rPr>
          <w:sz w:val="20"/>
          <w:szCs w:val="20"/>
          <w:rtl/>
        </w:rPr>
      </w:pPr>
      <w:r w:rsidRPr="00D541A6">
        <w:rPr>
          <w:rFonts w:hint="cs"/>
          <w:sz w:val="20"/>
          <w:szCs w:val="20"/>
          <w:rtl/>
        </w:rPr>
        <w:t>לבסוף, השופטת גדיש התייחסה אל הרגישות והיעילות הנדרשות מצד המשיב לטיפול במקרים מסוג זה:</w:t>
      </w:r>
    </w:p>
    <w:p w14:paraId="1166C4DC" w14:textId="77777777" w:rsidR="00D541A6" w:rsidRPr="00D541A6" w:rsidRDefault="00D541A6" w:rsidP="00275E42">
      <w:pPr>
        <w:spacing w:after="180" w:line="260" w:lineRule="exact"/>
        <w:ind w:left="567"/>
        <w:jc w:val="both"/>
        <w:rPr>
          <w:sz w:val="20"/>
          <w:szCs w:val="20"/>
          <w:rtl/>
        </w:rPr>
      </w:pPr>
      <w:r w:rsidRPr="00D541A6">
        <w:rPr>
          <w:rFonts w:hint="cs"/>
          <w:sz w:val="20"/>
          <w:szCs w:val="20"/>
          <w:rtl/>
        </w:rPr>
        <w:t>לפני סיום, מצאתי להבהיר כי חרף ההבנה לעומס המוטל על ב</w:t>
      </w:r>
      <w:r w:rsidRPr="00D541A6">
        <w:rPr>
          <w:sz w:val="20"/>
          <w:szCs w:val="20"/>
          <w:rtl/>
        </w:rPr>
        <w:t>"</w:t>
      </w:r>
      <w:r w:rsidRPr="00D541A6">
        <w:rPr>
          <w:rFonts w:hint="cs"/>
          <w:sz w:val="20"/>
          <w:szCs w:val="20"/>
          <w:rtl/>
        </w:rPr>
        <w:t>כ היועמ</w:t>
      </w:r>
      <w:r w:rsidRPr="00D541A6">
        <w:rPr>
          <w:sz w:val="20"/>
          <w:szCs w:val="20"/>
          <w:rtl/>
        </w:rPr>
        <w:t>"</w:t>
      </w:r>
      <w:r w:rsidRPr="00D541A6">
        <w:rPr>
          <w:rFonts w:hint="cs"/>
          <w:sz w:val="20"/>
          <w:szCs w:val="20"/>
          <w:rtl/>
        </w:rPr>
        <w:t>ש, מצופה היה כי במקרים רגישים כמו זה שלפניי, יעשה מאמץ לראות את האישה העומדת מולו ולסייע לה. לא די בכך שעליה להתמודד עם התהום שנפערה בחייה, עת איבדה את בן זוגה, היא נדרשת גם לפתוח בהליך משפטי, על מנת להמשיך בתהליך בו החלה עם בעלה המנוח. הרושם שנוצר הוא כי במקום לסייע, המשיב מכביד עליה, שלא לצורך, הן בעיכוב במתן התגובה (המשיב הגיש את תגובתו לאחר חמש בקשות למתן ארכה) והן בדרישה לקבלת התסקיר, כאשר כאמור לממד הזמן יש חשיבות גבוהה בסיכוייה להרות ולממש את רצונה ואת רצון המנוח.</w:t>
      </w:r>
    </w:p>
    <w:p w14:paraId="2E9AF6DA" w14:textId="77777777" w:rsidR="00D541A6" w:rsidRPr="00275E42" w:rsidRDefault="00D541A6" w:rsidP="00275E42">
      <w:pPr>
        <w:spacing w:after="180" w:line="260" w:lineRule="exact"/>
        <w:jc w:val="both"/>
        <w:rPr>
          <w:sz w:val="20"/>
          <w:szCs w:val="20"/>
          <w:rtl/>
        </w:rPr>
      </w:pPr>
    </w:p>
    <w:p w14:paraId="438DB9BD" w14:textId="77777777" w:rsidR="00D541A6" w:rsidRPr="00275E42" w:rsidRDefault="00D541A6" w:rsidP="00275E42">
      <w:pPr>
        <w:pStyle w:val="KOT5"/>
        <w:jc w:val="both"/>
        <w:rPr>
          <w:b/>
          <w:bCs/>
          <w:color w:val="2A8E8C"/>
        </w:rPr>
      </w:pPr>
      <w:r w:rsidRPr="00275E42">
        <w:rPr>
          <w:rFonts w:hint="cs"/>
          <w:b/>
          <w:bCs/>
          <w:color w:val="2A8E8C"/>
          <w:rtl/>
        </w:rPr>
        <w:t>התאמה מגדרית של קטין</w:t>
      </w:r>
    </w:p>
    <w:p w14:paraId="2F1B580F" w14:textId="77777777" w:rsidR="00D541A6" w:rsidRPr="00275E42" w:rsidRDefault="00D541A6" w:rsidP="00D541A6">
      <w:pPr>
        <w:spacing w:after="120" w:line="360" w:lineRule="auto"/>
        <w:rPr>
          <w:rFonts w:cs="Guttman Aharoni"/>
          <w:szCs w:val="22"/>
          <w:rtl/>
        </w:rPr>
      </w:pPr>
      <w:bookmarkStart w:id="3" w:name="_Hlk128480949"/>
      <w:proofErr w:type="spellStart"/>
      <w:r w:rsidRPr="00275E42">
        <w:rPr>
          <w:rFonts w:cs="Guttman Aharoni"/>
          <w:szCs w:val="22"/>
          <w:rtl/>
        </w:rPr>
        <w:t>עת"מ</w:t>
      </w:r>
      <w:proofErr w:type="spellEnd"/>
      <w:r w:rsidRPr="00275E42">
        <w:rPr>
          <w:rFonts w:cs="Guttman Aharoni"/>
          <w:szCs w:val="22"/>
          <w:rtl/>
        </w:rPr>
        <w:t xml:space="preserve"> 23922-01-23</w:t>
      </w:r>
      <w:r w:rsidRPr="00275E42">
        <w:rPr>
          <w:rFonts w:cs="Guttman Aharoni"/>
          <w:b/>
          <w:bCs/>
          <w:szCs w:val="22"/>
          <w:rtl/>
        </w:rPr>
        <w:t xml:space="preserve"> פלונית ואח' נ' גב' שוש נגר </w:t>
      </w:r>
      <w:r w:rsidRPr="00275E42">
        <w:rPr>
          <w:rFonts w:cs="Guttman Aharoni" w:hint="cs"/>
          <w:b/>
          <w:bCs/>
          <w:szCs w:val="22"/>
          <w:rtl/>
        </w:rPr>
        <w:t xml:space="preserve">– </w:t>
      </w:r>
      <w:r w:rsidRPr="00275E42">
        <w:rPr>
          <w:rFonts w:cs="Guttman Aharoni"/>
          <w:b/>
          <w:bCs/>
          <w:szCs w:val="22"/>
          <w:rtl/>
        </w:rPr>
        <w:t xml:space="preserve">ראש </w:t>
      </w:r>
      <w:proofErr w:type="spellStart"/>
      <w:r w:rsidRPr="00275E42">
        <w:rPr>
          <w:rFonts w:cs="Guttman Aharoni"/>
          <w:b/>
          <w:bCs/>
          <w:szCs w:val="22"/>
          <w:rtl/>
        </w:rPr>
        <w:t>החמ"ד</w:t>
      </w:r>
      <w:proofErr w:type="spellEnd"/>
      <w:r w:rsidRPr="00275E42">
        <w:rPr>
          <w:rFonts w:cs="Guttman Aharoni"/>
          <w:b/>
          <w:bCs/>
          <w:szCs w:val="22"/>
          <w:rtl/>
        </w:rPr>
        <w:t xml:space="preserve"> ואח'</w:t>
      </w:r>
      <w:r w:rsidRPr="00275E42">
        <w:rPr>
          <w:rFonts w:cs="Guttman Aharoni" w:hint="cs"/>
          <w:b/>
          <w:bCs/>
          <w:szCs w:val="22"/>
          <w:rtl/>
        </w:rPr>
        <w:t xml:space="preserve"> </w:t>
      </w:r>
      <w:r w:rsidRPr="00275E42">
        <w:rPr>
          <w:rFonts w:cs="Guttman Aharoni"/>
          <w:szCs w:val="22"/>
          <w:rtl/>
        </w:rPr>
        <w:t>(</w:t>
      </w:r>
      <w:r w:rsidRPr="00275E42">
        <w:rPr>
          <w:rFonts w:cs="Guttman Aharoni" w:hint="eastAsia"/>
          <w:szCs w:val="22"/>
          <w:rtl/>
        </w:rPr>
        <w:t>ניתן</w:t>
      </w:r>
      <w:r w:rsidRPr="00275E42">
        <w:rPr>
          <w:rFonts w:cs="Guttman Aharoni"/>
          <w:szCs w:val="22"/>
          <w:rtl/>
        </w:rPr>
        <w:t xml:space="preserve"> ב</w:t>
      </w:r>
      <w:r w:rsidRPr="00275E42">
        <w:rPr>
          <w:rFonts w:ascii="David" w:hAnsi="David"/>
          <w:szCs w:val="22"/>
          <w:rtl/>
        </w:rPr>
        <w:t>-</w:t>
      </w:r>
      <w:r w:rsidRPr="00275E42">
        <w:rPr>
          <w:rFonts w:cs="Guttman Aharoni"/>
          <w:szCs w:val="22"/>
          <w:rtl/>
        </w:rPr>
        <w:t xml:space="preserve">30 </w:t>
      </w:r>
      <w:r w:rsidRPr="00275E42">
        <w:rPr>
          <w:rFonts w:cs="Guttman Aharoni" w:hint="cs"/>
          <w:szCs w:val="22"/>
          <w:rtl/>
        </w:rPr>
        <w:t>ב</w:t>
      </w:r>
      <w:r w:rsidRPr="00275E42">
        <w:rPr>
          <w:rFonts w:cs="Guttman Aharoni" w:hint="eastAsia"/>
          <w:szCs w:val="22"/>
          <w:rtl/>
        </w:rPr>
        <w:t>ינואר</w:t>
      </w:r>
      <w:r w:rsidRPr="00275E42">
        <w:rPr>
          <w:rFonts w:cs="Guttman Aharoni"/>
          <w:szCs w:val="22"/>
          <w:rtl/>
        </w:rPr>
        <w:t xml:space="preserve"> 2023)</w:t>
      </w:r>
    </w:p>
    <w:bookmarkEnd w:id="3"/>
    <w:p w14:paraId="470E0D77" w14:textId="77777777" w:rsidR="00D541A6" w:rsidRPr="00D541A6" w:rsidRDefault="00D541A6" w:rsidP="00D541A6">
      <w:pPr>
        <w:spacing w:after="180" w:line="260" w:lineRule="exact"/>
        <w:jc w:val="both"/>
        <w:rPr>
          <w:sz w:val="22"/>
          <w:szCs w:val="20"/>
          <w:rtl/>
        </w:rPr>
      </w:pPr>
      <w:r w:rsidRPr="00D541A6">
        <w:rPr>
          <w:rFonts w:hint="cs"/>
          <w:sz w:val="22"/>
          <w:szCs w:val="20"/>
          <w:rtl/>
        </w:rPr>
        <w:t xml:space="preserve">קטין הלומד בבית ספר ממלכתי-דתי בכיתה מעורבת עבר התאמה מגדרית ומזוהה כזכר. העותרים, הורים של תלמידים בבית הספר, גילו בתחילת שנת הלימודים כי </w:t>
      </w:r>
      <w:r w:rsidRPr="00D541A6">
        <w:rPr>
          <w:sz w:val="22"/>
          <w:szCs w:val="20"/>
          <w:rtl/>
        </w:rPr>
        <w:t>אף שהתלמיד מזדהה מבחינה מגדרית כזכר, מינו הביולוגי הוא נקבה</w:t>
      </w:r>
      <w:r w:rsidRPr="00D541A6">
        <w:rPr>
          <w:rFonts w:hint="cs"/>
          <w:sz w:val="22"/>
          <w:szCs w:val="20"/>
          <w:rtl/>
        </w:rPr>
        <w:t xml:space="preserve">. לפיכך עתרו הפונים לבית המשפט המחוזי בבקשה לחייב את התלמיד להגיע לבית הספר בלבוש התואם את "מינו הביולוגי", ולהורות למורים להפסיק להתייחס אל הקטין כזכר, או לחלופין לאפשר להם להעביר את ילדיהם לבית הספר ממלכתי-דתי אחר </w:t>
      </w:r>
      <w:r w:rsidRPr="00D541A6">
        <w:rPr>
          <w:sz w:val="22"/>
          <w:szCs w:val="20"/>
          <w:rtl/>
        </w:rPr>
        <w:t>–</w:t>
      </w:r>
      <w:r w:rsidRPr="00D541A6">
        <w:rPr>
          <w:rFonts w:hint="cs"/>
          <w:sz w:val="22"/>
          <w:szCs w:val="20"/>
          <w:rtl/>
        </w:rPr>
        <w:t xml:space="preserve"> כל זאת כדי לאפשר להם לחנך את ילדיהם על פי השקפת עולמם, המבוססת על ערכי חינוך תורניים. לאחר הגשת העתירה החליט מנהל החינוך הממלכתי-דתי להעביר את הקטין לבית ספר אחר. למרות זאת ביקשו העותרים לקיים את הדיון.</w:t>
      </w:r>
    </w:p>
    <w:p w14:paraId="01277C28" w14:textId="77777777" w:rsidR="00D541A6" w:rsidRPr="00D541A6" w:rsidRDefault="00D541A6" w:rsidP="00D541A6">
      <w:pPr>
        <w:spacing w:after="180" w:line="260" w:lineRule="exact"/>
        <w:jc w:val="both"/>
        <w:rPr>
          <w:sz w:val="22"/>
          <w:szCs w:val="20"/>
          <w:rtl/>
        </w:rPr>
      </w:pPr>
      <w:r w:rsidRPr="00D541A6">
        <w:rPr>
          <w:rFonts w:hint="cs"/>
          <w:sz w:val="22"/>
          <w:szCs w:val="20"/>
          <w:rtl/>
        </w:rPr>
        <w:lastRenderedPageBreak/>
        <w:t xml:space="preserve">השופט אורן שוורץ דחה את העתירה בנימוק שבקשת העותרים לחייב מורים לפנות אל התלמיד בלשון נקבה פוגעת בטובתו, וכפי שטענו הורי הקטין: </w:t>
      </w:r>
    </w:p>
    <w:p w14:paraId="62D2A98D" w14:textId="77777777" w:rsidR="00D541A6" w:rsidRPr="00D541A6" w:rsidRDefault="00D541A6" w:rsidP="00275E42">
      <w:pPr>
        <w:spacing w:after="180" w:line="260" w:lineRule="exact"/>
        <w:ind w:left="567"/>
        <w:jc w:val="both"/>
        <w:rPr>
          <w:sz w:val="22"/>
          <w:szCs w:val="20"/>
          <w:rtl/>
        </w:rPr>
      </w:pPr>
      <w:r w:rsidRPr="00D541A6">
        <w:rPr>
          <w:sz w:val="20"/>
          <w:szCs w:val="20"/>
          <w:rtl/>
        </w:rPr>
        <w:t xml:space="preserve">מקובל על כל המומחים </w:t>
      </w:r>
      <w:proofErr w:type="spellStart"/>
      <w:r w:rsidRPr="00D541A6">
        <w:rPr>
          <w:sz w:val="20"/>
          <w:szCs w:val="20"/>
          <w:rtl/>
        </w:rPr>
        <w:t>שטרנסג'נדריות</w:t>
      </w:r>
      <w:proofErr w:type="spellEnd"/>
      <w:r w:rsidRPr="00D541A6">
        <w:rPr>
          <w:sz w:val="20"/>
          <w:szCs w:val="20"/>
          <w:rtl/>
        </w:rPr>
        <w:t xml:space="preserve"> אינה בחירה, אלא זהות שנכפית על האדם. כפירה בזהות זו מצד החברה או נידוי בגינה גורמת לאדם למצוקה אדירה, לחרדות, לדיכאונות ואף לניסיונות אובדנות בשיעור גבוה. הדרישה לחייב ילד טרנסג'נדר להתלבש בהתאם למגדר שהוא אינו מזדהה ע</w:t>
      </w:r>
      <w:r w:rsidRPr="00D541A6">
        <w:rPr>
          <w:rFonts w:hint="cs"/>
          <w:sz w:val="20"/>
          <w:szCs w:val="20"/>
          <w:rtl/>
        </w:rPr>
        <w:t>י</w:t>
      </w:r>
      <w:r w:rsidRPr="00D541A6">
        <w:rPr>
          <w:sz w:val="20"/>
          <w:szCs w:val="20"/>
          <w:rtl/>
        </w:rPr>
        <w:t>מו מהווה פגיעה בגרעין של הכבוד והכחשה של הזהות</w:t>
      </w:r>
      <w:r w:rsidRPr="00D541A6">
        <w:rPr>
          <w:rFonts w:hint="cs"/>
          <w:sz w:val="20"/>
          <w:szCs w:val="20"/>
          <w:rtl/>
        </w:rPr>
        <w:t>.</w:t>
      </w:r>
      <w:r w:rsidRPr="00D541A6">
        <w:rPr>
          <w:sz w:val="20"/>
          <w:szCs w:val="20"/>
          <w:rtl/>
        </w:rPr>
        <w:t xml:space="preserve"> </w:t>
      </w:r>
    </w:p>
    <w:p w14:paraId="46BF67B5" w14:textId="77777777" w:rsidR="00D541A6" w:rsidRPr="00D541A6" w:rsidRDefault="00D541A6" w:rsidP="00D541A6">
      <w:pPr>
        <w:spacing w:after="180" w:line="260" w:lineRule="exact"/>
        <w:jc w:val="both"/>
        <w:rPr>
          <w:sz w:val="22"/>
          <w:szCs w:val="20"/>
          <w:rtl/>
        </w:rPr>
      </w:pPr>
      <w:r w:rsidRPr="00D541A6">
        <w:rPr>
          <w:rFonts w:hint="cs"/>
          <w:sz w:val="22"/>
          <w:szCs w:val="20"/>
          <w:rtl/>
        </w:rPr>
        <w:t xml:space="preserve">נוסף על כך, בקשת העותרים להתערב בהחלטת הרשות המקומית ולאפשר להם להעביר את ילדיהם לבית ספר ממלכתי-דתי אחר נדחתה משני טעמים. הראשון הוא אי-מיצוי ההליכים </w:t>
      </w:r>
      <w:r w:rsidRPr="00D541A6">
        <w:rPr>
          <w:sz w:val="22"/>
          <w:szCs w:val="20"/>
          <w:rtl/>
        </w:rPr>
        <w:t>–</w:t>
      </w:r>
      <w:r w:rsidRPr="00D541A6">
        <w:rPr>
          <w:rFonts w:hint="cs"/>
          <w:sz w:val="22"/>
          <w:szCs w:val="20"/>
          <w:rtl/>
        </w:rPr>
        <w:t xml:space="preserve"> לפני הגשת התביעה לבית המשפט המחוזי היה על העותרים להגיש בקשה לרשות המקומית להעברת ילדיה</w:t>
      </w:r>
      <w:r w:rsidRPr="00D541A6">
        <w:rPr>
          <w:rFonts w:hint="eastAsia"/>
          <w:sz w:val="22"/>
          <w:szCs w:val="20"/>
          <w:rtl/>
        </w:rPr>
        <w:t>ם</w:t>
      </w:r>
      <w:r w:rsidRPr="00D541A6">
        <w:rPr>
          <w:rFonts w:hint="cs"/>
          <w:sz w:val="22"/>
          <w:szCs w:val="20"/>
          <w:rtl/>
        </w:rPr>
        <w:t xml:space="preserve"> לבית הספר אחר, על פי תקנות העברה (תקנות לימוד חובה בחינוך ממלכתי (רישום), התשי"ט-1959, ותקנות החינוך ממלכתי (העברה), התש"יט-1959). לדברי השופט שוורץ, "בית המשפט לעניינים מנהליים אינו בא בנעלי הרשות ואינו שם את שיקול דעתו תחת שיקול דעתה של הרשות". הטעם השני הוא סתירה של סעיף 5 לחוק זכויות התלמיד, התשס"א-2000, ולפיו </w:t>
      </w:r>
      <w:r w:rsidRPr="00D541A6">
        <w:rPr>
          <w:sz w:val="22"/>
          <w:szCs w:val="20"/>
          <w:rtl/>
        </w:rPr>
        <w:t>–</w:t>
      </w:r>
      <w:r w:rsidRPr="00D541A6">
        <w:rPr>
          <w:rFonts w:hint="cs"/>
          <w:sz w:val="22"/>
          <w:szCs w:val="20"/>
          <w:rtl/>
        </w:rPr>
        <w:t xml:space="preserve"> </w:t>
      </w:r>
    </w:p>
    <w:p w14:paraId="37FA55C2" w14:textId="77777777" w:rsidR="00D541A6" w:rsidRPr="00D541A6" w:rsidRDefault="00D541A6" w:rsidP="00275E42">
      <w:pPr>
        <w:spacing w:after="180" w:line="260" w:lineRule="exact"/>
        <w:ind w:left="567"/>
        <w:jc w:val="both"/>
        <w:rPr>
          <w:sz w:val="22"/>
          <w:szCs w:val="20"/>
          <w:rtl/>
        </w:rPr>
      </w:pPr>
      <w:r w:rsidRPr="00D541A6">
        <w:rPr>
          <w:sz w:val="20"/>
          <w:szCs w:val="20"/>
          <w:rtl/>
        </w:rPr>
        <w:t xml:space="preserve">רשות חינוך מקומית, מוסד חינוך או אדם הפועל מטעמם, לא יפלו תלמיד מטעמים עדתיים, מטעמים של ארץ מוצא, מטעמים של רקע חברתי-כלכלי, </w:t>
      </w:r>
      <w:r w:rsidRPr="00D541A6">
        <w:rPr>
          <w:sz w:val="20"/>
          <w:szCs w:val="20"/>
          <w:u w:val="single"/>
          <w:rtl/>
        </w:rPr>
        <w:t>מטעמים של נטייה מינית או זהות מגדרית</w:t>
      </w:r>
      <w:r w:rsidRPr="00D541A6">
        <w:rPr>
          <w:rFonts w:hint="cs"/>
          <w:sz w:val="20"/>
          <w:szCs w:val="20"/>
          <w:rtl/>
        </w:rPr>
        <w:t xml:space="preserve"> [ההדגשה במקור, </w:t>
      </w:r>
      <w:proofErr w:type="spellStart"/>
      <w:r w:rsidRPr="00D541A6">
        <w:rPr>
          <w:rFonts w:hint="cs"/>
          <w:sz w:val="20"/>
          <w:szCs w:val="20"/>
          <w:rtl/>
        </w:rPr>
        <w:t>מ"ס</w:t>
      </w:r>
      <w:proofErr w:type="spellEnd"/>
      <w:r w:rsidRPr="00D541A6">
        <w:rPr>
          <w:rFonts w:hint="cs"/>
          <w:sz w:val="20"/>
          <w:szCs w:val="20"/>
          <w:rtl/>
        </w:rPr>
        <w:t>]</w:t>
      </w:r>
      <w:r w:rsidRPr="00D541A6">
        <w:rPr>
          <w:sz w:val="20"/>
          <w:szCs w:val="20"/>
          <w:rtl/>
        </w:rPr>
        <w:t xml:space="preserve">, או מטעמים של השקפה פוליטית, בין של הילד ובין של הוריו, בכל אחד מאלה: </w:t>
      </w:r>
    </w:p>
    <w:p w14:paraId="19B8C680" w14:textId="77777777" w:rsidR="00D541A6" w:rsidRPr="00D541A6" w:rsidRDefault="00D541A6" w:rsidP="00275E42">
      <w:pPr>
        <w:spacing w:after="180" w:line="260" w:lineRule="exact"/>
        <w:ind w:left="567"/>
        <w:jc w:val="both"/>
        <w:rPr>
          <w:sz w:val="20"/>
          <w:szCs w:val="20"/>
        </w:rPr>
      </w:pPr>
      <w:r w:rsidRPr="00D541A6">
        <w:rPr>
          <w:rFonts w:hint="cs"/>
          <w:sz w:val="20"/>
          <w:szCs w:val="20"/>
          <w:rtl/>
        </w:rPr>
        <w:t xml:space="preserve">1) </w:t>
      </w:r>
      <w:r w:rsidRPr="00D541A6">
        <w:rPr>
          <w:sz w:val="20"/>
          <w:szCs w:val="20"/>
          <w:rtl/>
        </w:rPr>
        <w:t>רישום תלמיד, קבלתו או הרחקתו ממוסד חינוך;</w:t>
      </w:r>
    </w:p>
    <w:p w14:paraId="60A3D9DD" w14:textId="77777777" w:rsidR="00D541A6" w:rsidRDefault="00D541A6" w:rsidP="00D541A6">
      <w:pPr>
        <w:spacing w:after="180" w:line="260" w:lineRule="exact"/>
        <w:jc w:val="both"/>
        <w:rPr>
          <w:sz w:val="22"/>
          <w:szCs w:val="20"/>
        </w:rPr>
      </w:pPr>
      <w:r w:rsidRPr="00D541A6">
        <w:rPr>
          <w:rFonts w:hint="cs"/>
          <w:sz w:val="22"/>
          <w:szCs w:val="20"/>
          <w:rtl/>
        </w:rPr>
        <w:t xml:space="preserve">וכן סתירה של חוזר מנכ"ל משרד החינוך על </w:t>
      </w:r>
      <w:r w:rsidRPr="00D541A6">
        <w:rPr>
          <w:sz w:val="20"/>
          <w:szCs w:val="20"/>
          <w:rtl/>
        </w:rPr>
        <w:t>איסור הפליה מטעמים של נטייה מינית או זהות מגדרית</w:t>
      </w:r>
      <w:r w:rsidRPr="00D541A6">
        <w:rPr>
          <w:rFonts w:hint="cs"/>
          <w:sz w:val="22"/>
          <w:szCs w:val="20"/>
          <w:rtl/>
        </w:rPr>
        <w:t xml:space="preserve"> (2.8-1, תשע"ה), ולפיו </w:t>
      </w:r>
      <w:r w:rsidRPr="00D541A6">
        <w:rPr>
          <w:sz w:val="22"/>
          <w:szCs w:val="20"/>
          <w:rtl/>
        </w:rPr>
        <w:t>"יש חשיבות רבה לחנך לערך קבלת האחר, גם כאשר הוא שונה בנטייתו או בזהותו המגדרית".</w:t>
      </w:r>
    </w:p>
    <w:p w14:paraId="0A825891" w14:textId="77777777" w:rsidR="00275E42" w:rsidRPr="00D541A6" w:rsidRDefault="00275E42" w:rsidP="00D541A6">
      <w:pPr>
        <w:spacing w:after="180" w:line="260" w:lineRule="exact"/>
        <w:jc w:val="both"/>
        <w:rPr>
          <w:sz w:val="22"/>
          <w:szCs w:val="20"/>
          <w:rtl/>
        </w:rPr>
      </w:pPr>
    </w:p>
    <w:p w14:paraId="10D303BC" w14:textId="77777777" w:rsidR="00D541A6" w:rsidRPr="00275E42" w:rsidRDefault="00D541A6" w:rsidP="00275E42">
      <w:pPr>
        <w:pStyle w:val="KOT5"/>
        <w:jc w:val="both"/>
        <w:rPr>
          <w:b/>
          <w:bCs/>
          <w:color w:val="2A8E8C"/>
          <w:rtl/>
        </w:rPr>
      </w:pPr>
      <w:r w:rsidRPr="00275E42">
        <w:rPr>
          <w:rFonts w:hint="cs"/>
          <w:b/>
          <w:bCs/>
          <w:color w:val="2A8E8C"/>
          <w:rtl/>
        </w:rPr>
        <w:t>התנהלות של חברות ביטוח בצירוף אזרחים ותיקים לתוכניות ביטוח</w:t>
      </w:r>
    </w:p>
    <w:p w14:paraId="0A42F640" w14:textId="77777777" w:rsidR="00D541A6" w:rsidRPr="00275E42" w:rsidRDefault="00D541A6" w:rsidP="00D541A6">
      <w:pPr>
        <w:spacing w:line="360" w:lineRule="auto"/>
        <w:rPr>
          <w:rFonts w:cs="Guttman Aharoni"/>
          <w:color w:val="000000" w:themeColor="text1"/>
          <w:szCs w:val="22"/>
          <w:rtl/>
        </w:rPr>
      </w:pPr>
      <w:r w:rsidRPr="00275E42">
        <w:rPr>
          <w:rFonts w:cs="Guttman Aharoni" w:hint="eastAsia"/>
          <w:color w:val="000000" w:themeColor="text1"/>
          <w:szCs w:val="22"/>
          <w:rtl/>
        </w:rPr>
        <w:t>בג</w:t>
      </w:r>
      <w:r w:rsidRPr="00275E42">
        <w:rPr>
          <w:rFonts w:cs="Guttman Aharoni"/>
          <w:color w:val="000000" w:themeColor="text1"/>
          <w:szCs w:val="22"/>
          <w:rtl/>
        </w:rPr>
        <w:t>"ץ 5732/22</w:t>
      </w:r>
      <w:r w:rsidRPr="00275E42">
        <w:rPr>
          <w:rFonts w:cs="Guttman Aharoni" w:hint="cs"/>
          <w:b/>
          <w:bCs/>
          <w:color w:val="000000" w:themeColor="text1"/>
          <w:szCs w:val="22"/>
          <w:rtl/>
        </w:rPr>
        <w:t xml:space="preserve"> לשכת סוכני ביטוח בישראל ואחרים נ' הממונה על שוק ההון, ביטוח וחיסכון</w:t>
      </w:r>
      <w:r w:rsidRPr="00275E42">
        <w:rPr>
          <w:rFonts w:cs="Guttman Aharoni"/>
          <w:b/>
          <w:bCs/>
          <w:color w:val="000000" w:themeColor="text1"/>
          <w:szCs w:val="22"/>
          <w:rtl/>
        </w:rPr>
        <w:t xml:space="preserve"> </w:t>
      </w:r>
      <w:r w:rsidRPr="00275E42">
        <w:rPr>
          <w:rFonts w:cs="Guttman Aharoni"/>
          <w:color w:val="000000" w:themeColor="text1"/>
          <w:szCs w:val="22"/>
          <w:rtl/>
        </w:rPr>
        <w:t>(ניתן ב</w:t>
      </w:r>
      <w:r w:rsidRPr="00275E42">
        <w:rPr>
          <w:rFonts w:ascii="David" w:hAnsi="David"/>
          <w:color w:val="000000" w:themeColor="text1"/>
          <w:szCs w:val="22"/>
          <w:rtl/>
        </w:rPr>
        <w:t>-2</w:t>
      </w:r>
      <w:r w:rsidRPr="00275E42">
        <w:rPr>
          <w:rFonts w:cs="Guttman Aharoni"/>
          <w:color w:val="000000" w:themeColor="text1"/>
          <w:szCs w:val="22"/>
          <w:rtl/>
        </w:rPr>
        <w:t xml:space="preserve"> </w:t>
      </w:r>
      <w:r w:rsidRPr="00275E42">
        <w:rPr>
          <w:rFonts w:cs="Guttman Aharoni" w:hint="eastAsia"/>
          <w:color w:val="000000" w:themeColor="text1"/>
          <w:szCs w:val="22"/>
          <w:rtl/>
        </w:rPr>
        <w:t>בפברואר</w:t>
      </w:r>
      <w:r w:rsidRPr="00275E42">
        <w:rPr>
          <w:rFonts w:cs="Guttman Aharoni"/>
          <w:color w:val="000000" w:themeColor="text1"/>
          <w:szCs w:val="22"/>
          <w:rtl/>
        </w:rPr>
        <w:t xml:space="preserve"> 2023</w:t>
      </w:r>
      <w:r w:rsidRPr="00275E42">
        <w:rPr>
          <w:rFonts w:cs="Guttman Aharoni" w:hint="cs"/>
          <w:color w:val="000000" w:themeColor="text1"/>
          <w:szCs w:val="22"/>
          <w:rtl/>
        </w:rPr>
        <w:t>)</w:t>
      </w:r>
    </w:p>
    <w:p w14:paraId="45EDBC82" w14:textId="35B65DA9" w:rsidR="00D541A6" w:rsidRPr="00D541A6" w:rsidRDefault="00D541A6" w:rsidP="00D541A6">
      <w:pPr>
        <w:spacing w:after="180" w:line="260" w:lineRule="exact"/>
        <w:jc w:val="both"/>
        <w:rPr>
          <w:rFonts w:ascii="David" w:hAnsi="David"/>
          <w:color w:val="000000" w:themeColor="text1"/>
          <w:sz w:val="20"/>
          <w:szCs w:val="20"/>
          <w:rtl/>
        </w:rPr>
      </w:pPr>
      <w:r w:rsidRPr="00D541A6">
        <w:rPr>
          <w:rFonts w:ascii="David" w:hAnsi="David"/>
          <w:color w:val="000000" w:themeColor="text1"/>
          <w:sz w:val="20"/>
          <w:szCs w:val="20"/>
          <w:rtl/>
        </w:rPr>
        <w:t xml:space="preserve">העתירה הוגשה נגד </w:t>
      </w:r>
      <w:r w:rsidRPr="00D541A6">
        <w:rPr>
          <w:rFonts w:ascii="David" w:hAnsi="David"/>
          <w:color w:val="000000"/>
          <w:sz w:val="20"/>
          <w:szCs w:val="20"/>
          <w:rtl/>
        </w:rPr>
        <w:t>חוזר ביטוח מספר 2022-1-10, שכותרתו</w:t>
      </w:r>
      <w:r w:rsidR="00275E42">
        <w:rPr>
          <w:rFonts w:ascii="David" w:hAnsi="David" w:hint="cs"/>
          <w:color w:val="000000"/>
          <w:sz w:val="20"/>
          <w:szCs w:val="20"/>
          <w:rtl/>
        </w:rPr>
        <w:t xml:space="preserve"> </w:t>
      </w:r>
      <w:r w:rsidRPr="00D541A6">
        <w:rPr>
          <w:rFonts w:ascii="David" w:hAnsi="David"/>
          <w:color w:val="000000"/>
          <w:sz w:val="20"/>
          <w:szCs w:val="20"/>
          <w:rtl/>
        </w:rPr>
        <w:t>"צירוף לביטוח – תיקון" (</w:t>
      </w:r>
      <w:r w:rsidRPr="00D541A6">
        <w:rPr>
          <w:rFonts w:ascii="David" w:hAnsi="David"/>
          <w:color w:val="000000" w:themeColor="text1"/>
          <w:sz w:val="20"/>
          <w:szCs w:val="20"/>
          <w:rtl/>
        </w:rPr>
        <w:t xml:space="preserve">נכנס לתוקף ביום 27 בפברואר 2022). </w:t>
      </w:r>
      <w:r w:rsidRPr="00D541A6">
        <w:rPr>
          <w:rStyle w:val="cf01"/>
          <w:rFonts w:ascii="David" w:hAnsi="David" w:cs="David"/>
          <w:sz w:val="20"/>
          <w:szCs w:val="20"/>
          <w:rtl/>
        </w:rPr>
        <w:t xml:space="preserve">החוזר קבע כי כאשר נעשית פנייה יזומה מצד סוכנות ביטוח לאדם שעבר את גיל הפרישה בהצעה להצטרף לתוכנית ביטוח, סוכן הביטוח יוכל לכרות את החוזה </w:t>
      </w:r>
      <w:proofErr w:type="spellStart"/>
      <w:r w:rsidRPr="00D541A6">
        <w:rPr>
          <w:rStyle w:val="cf01"/>
          <w:rFonts w:ascii="David" w:hAnsi="David" w:cs="David"/>
          <w:sz w:val="20"/>
          <w:szCs w:val="20"/>
          <w:rtl/>
        </w:rPr>
        <w:t>הביטוחי</w:t>
      </w:r>
      <w:proofErr w:type="spellEnd"/>
      <w:r w:rsidRPr="00D541A6">
        <w:rPr>
          <w:rStyle w:val="cf01"/>
          <w:rFonts w:ascii="David" w:hAnsi="David" w:cs="David"/>
          <w:sz w:val="20"/>
          <w:szCs w:val="20"/>
          <w:rtl/>
        </w:rPr>
        <w:t xml:space="preserve"> רק לאחר 48 שעות ממועד ההצעה</w:t>
      </w:r>
      <w:r w:rsidRPr="00D541A6">
        <w:rPr>
          <w:rStyle w:val="cf01"/>
          <w:rFonts w:ascii="David" w:hAnsi="David" w:cs="David"/>
          <w:sz w:val="20"/>
          <w:szCs w:val="20"/>
        </w:rPr>
        <w:t>.</w:t>
      </w:r>
      <w:r w:rsidRPr="00D541A6" w:rsidDel="00300D5D">
        <w:rPr>
          <w:rFonts w:ascii="David" w:hAnsi="David"/>
          <w:color w:val="000000" w:themeColor="text1"/>
          <w:sz w:val="20"/>
          <w:szCs w:val="20"/>
          <w:rtl/>
        </w:rPr>
        <w:t xml:space="preserve"> </w:t>
      </w:r>
      <w:r w:rsidRPr="00D541A6">
        <w:rPr>
          <w:rFonts w:ascii="David" w:hAnsi="David"/>
          <w:color w:val="000000" w:themeColor="text1"/>
          <w:sz w:val="20"/>
          <w:szCs w:val="20"/>
          <w:rtl/>
        </w:rPr>
        <w:t xml:space="preserve">מטרת החוזר היא לאפשר לאנשים בקבוצת גיל זו לשקול בנחת וברוגע אם רצונם לחתום על החוזה </w:t>
      </w:r>
      <w:proofErr w:type="spellStart"/>
      <w:r w:rsidRPr="00D541A6">
        <w:rPr>
          <w:rFonts w:ascii="David" w:hAnsi="David"/>
          <w:color w:val="000000" w:themeColor="text1"/>
          <w:sz w:val="20"/>
          <w:szCs w:val="20"/>
          <w:rtl/>
        </w:rPr>
        <w:t>הביטוחי</w:t>
      </w:r>
      <w:proofErr w:type="spellEnd"/>
      <w:r w:rsidRPr="00D541A6">
        <w:rPr>
          <w:rFonts w:ascii="David" w:hAnsi="David"/>
          <w:color w:val="000000" w:themeColor="text1"/>
          <w:sz w:val="20"/>
          <w:szCs w:val="20"/>
          <w:rtl/>
        </w:rPr>
        <w:t>.</w:t>
      </w:r>
    </w:p>
    <w:p w14:paraId="4C65971A" w14:textId="77777777" w:rsidR="00D541A6" w:rsidRPr="00D541A6" w:rsidRDefault="00D541A6" w:rsidP="00D541A6">
      <w:pPr>
        <w:pStyle w:val="CommentText"/>
        <w:spacing w:after="180" w:line="260" w:lineRule="exact"/>
        <w:jc w:val="both"/>
        <w:rPr>
          <w:rFonts w:ascii="David" w:hAnsi="David" w:cs="David"/>
          <w:color w:val="000000" w:themeColor="text1"/>
          <w:rtl/>
        </w:rPr>
      </w:pPr>
      <w:r w:rsidRPr="00D541A6">
        <w:rPr>
          <w:rFonts w:ascii="David" w:hAnsi="David" w:cs="David"/>
          <w:color w:val="000000" w:themeColor="text1"/>
          <w:rtl/>
        </w:rPr>
        <w:t>העתירה נדחתה משלושה טעמים. הראשון הוא אי-מיצוי הליכים. לפני הגשת העתירה פנתה לשכת סוכני הביטוח אל המשיב במכתב וביטאה את התנגדותה לחוזר הביטוח. ואולם</w:t>
      </w:r>
    </w:p>
    <w:p w14:paraId="70628C0C" w14:textId="77777777" w:rsidR="00D541A6" w:rsidRPr="00D541A6" w:rsidRDefault="00D541A6" w:rsidP="00275E42">
      <w:pPr>
        <w:pStyle w:val="CommentText"/>
        <w:spacing w:after="180" w:line="260" w:lineRule="exact"/>
        <w:ind w:left="567"/>
        <w:jc w:val="both"/>
        <w:rPr>
          <w:rFonts w:ascii="David" w:hAnsi="David" w:cs="David"/>
          <w:color w:val="000000" w:themeColor="text1"/>
        </w:rPr>
      </w:pPr>
      <w:r w:rsidRPr="00D541A6">
        <w:rPr>
          <w:rFonts w:ascii="David" w:hAnsi="David" w:cs="David"/>
          <w:color w:val="000000" w:themeColor="text1"/>
          <w:rtl/>
        </w:rPr>
        <w:lastRenderedPageBreak/>
        <w:t>העתירה הוגשה ביום 30 באוגוסט 2022, בחלוף שבועיים בלבד מאז פניית העותרת 1 למשיב, סמוך לאחר שהמשיב הודיע לעותרת 1, בהתייחס לטענותיה, כי "פנייתה נמצאת בטיפול, וכי נדרשת היוועצות עם הוועדה המייעצת במסגרת הדיון שנקבע ליום 18 בספטמבר 2022" (פסקה 44</w:t>
      </w:r>
      <w:r w:rsidRPr="00D541A6">
        <w:rPr>
          <w:rFonts w:ascii="David" w:hAnsi="David" w:cs="David"/>
          <w:color w:val="000000" w:themeColor="text1"/>
        </w:rPr>
        <w:t xml:space="preserve"> </w:t>
      </w:r>
      <w:r w:rsidRPr="00D541A6">
        <w:rPr>
          <w:rFonts w:ascii="David" w:hAnsi="David" w:cs="David"/>
          <w:color w:val="000000" w:themeColor="text1"/>
          <w:rtl/>
        </w:rPr>
        <w:t>לתגובת המשיב).</w:t>
      </w:r>
    </w:p>
    <w:p w14:paraId="0FA38CC4" w14:textId="77777777" w:rsidR="00D541A6" w:rsidRPr="00D541A6" w:rsidRDefault="00D541A6" w:rsidP="00D541A6">
      <w:pPr>
        <w:spacing w:after="180" w:line="260" w:lineRule="exact"/>
        <w:jc w:val="both"/>
        <w:rPr>
          <w:rFonts w:ascii="David" w:hAnsi="David"/>
          <w:color w:val="000000" w:themeColor="text1"/>
          <w:sz w:val="20"/>
          <w:szCs w:val="20"/>
          <w:rtl/>
        </w:rPr>
      </w:pPr>
      <w:r w:rsidRPr="00D541A6">
        <w:rPr>
          <w:rFonts w:ascii="David" w:hAnsi="David"/>
          <w:color w:val="000000" w:themeColor="text1"/>
          <w:sz w:val="20"/>
          <w:szCs w:val="20"/>
          <w:rtl/>
        </w:rPr>
        <w:t xml:space="preserve">הטעם השני, לפי בית המשפט, הוא שאומנם העותרים מתיימרים לייצג אזרחים ותיקים, אך האינטרס של העותרים אינו תואם את האינטרסים של אזרחים ותיקים. </w:t>
      </w:r>
    </w:p>
    <w:p w14:paraId="105BFDF8" w14:textId="77777777" w:rsidR="00D541A6" w:rsidRPr="00D541A6" w:rsidRDefault="00D541A6" w:rsidP="00D541A6">
      <w:pPr>
        <w:spacing w:after="180" w:line="260" w:lineRule="exact"/>
        <w:jc w:val="both"/>
        <w:rPr>
          <w:rFonts w:ascii="David" w:hAnsi="David"/>
          <w:color w:val="000000" w:themeColor="text1"/>
          <w:sz w:val="20"/>
          <w:szCs w:val="20"/>
          <w:rtl/>
        </w:rPr>
      </w:pPr>
      <w:r w:rsidRPr="00D541A6">
        <w:rPr>
          <w:rFonts w:ascii="David" w:hAnsi="David"/>
          <w:color w:val="000000" w:themeColor="text1"/>
          <w:sz w:val="20"/>
          <w:szCs w:val="20"/>
          <w:rtl/>
        </w:rPr>
        <w:t>הטעם השלישי הוא שהתיקון לחוזר הביטוח אינו פוגע בזכויות יסוד של אזרחים ותיקים, נהפוך הוא:</w:t>
      </w:r>
    </w:p>
    <w:p w14:paraId="342AC080" w14:textId="77777777" w:rsidR="00D541A6" w:rsidRPr="00D541A6" w:rsidRDefault="00D541A6" w:rsidP="00275E42">
      <w:pPr>
        <w:pStyle w:val="CommentText"/>
        <w:spacing w:after="180" w:line="260" w:lineRule="exact"/>
        <w:ind w:left="567"/>
        <w:jc w:val="both"/>
        <w:rPr>
          <w:rFonts w:ascii="David" w:hAnsi="David" w:cs="David"/>
          <w:color w:val="000000" w:themeColor="text1"/>
          <w:rtl/>
        </w:rPr>
      </w:pPr>
      <w:r w:rsidRPr="00D541A6">
        <w:rPr>
          <w:rFonts w:ascii="David" w:hAnsi="David" w:cs="David"/>
          <w:color w:val="000000" w:themeColor="text1"/>
          <w:rtl/>
        </w:rPr>
        <w:t>התיקון לא נועד אלא להילחם בתופעה זו, להעצים את כוחם של האזרחים הוותיקים, בבחינת "אנטי-</w:t>
      </w:r>
      <w:proofErr w:type="spellStart"/>
      <w:r w:rsidRPr="00D541A6">
        <w:rPr>
          <w:rFonts w:ascii="David" w:hAnsi="David" w:cs="David"/>
          <w:color w:val="000000" w:themeColor="text1"/>
          <w:rtl/>
        </w:rPr>
        <w:t>גילנות</w:t>
      </w:r>
      <w:proofErr w:type="spellEnd"/>
      <w:r w:rsidRPr="00D541A6">
        <w:rPr>
          <w:rFonts w:ascii="David" w:hAnsi="David" w:cs="David"/>
          <w:color w:val="000000" w:themeColor="text1"/>
          <w:rtl/>
        </w:rPr>
        <w:t>", ולהבטיח את כוחם של אלה, מול ניסיונות שיווק של מוצרי ביטוח, על ידי גורמים המבקשים לסגור עסקה "כאן ועכשיו". המשיב אף הוסיף כי מדובר בהגנה מוגבלת ומאוזנת, המתייחסת לשיווק יזום בלבד, באמצעות הטלפון, ואשר גבולותיה תחומים ומצומצמים לזמן קצר.</w:t>
      </w:r>
    </w:p>
    <w:p w14:paraId="6727CB2F" w14:textId="77777777" w:rsidR="00D541A6" w:rsidRPr="00275E42" w:rsidRDefault="00D541A6" w:rsidP="00275E42">
      <w:pPr>
        <w:spacing w:after="180" w:line="260" w:lineRule="exact"/>
        <w:jc w:val="both"/>
        <w:rPr>
          <w:rFonts w:ascii="David" w:hAnsi="David"/>
          <w:color w:val="000000" w:themeColor="text1"/>
          <w:sz w:val="20"/>
          <w:szCs w:val="20"/>
          <w:rtl/>
        </w:rPr>
      </w:pPr>
    </w:p>
    <w:p w14:paraId="7CAABE5C" w14:textId="77777777" w:rsidR="00D541A6" w:rsidRPr="00275E42" w:rsidRDefault="00D541A6" w:rsidP="00275E42">
      <w:pPr>
        <w:pStyle w:val="KOT5"/>
        <w:jc w:val="both"/>
        <w:rPr>
          <w:b/>
          <w:bCs/>
          <w:color w:val="2A8E8C"/>
          <w:rtl/>
        </w:rPr>
      </w:pPr>
      <w:r w:rsidRPr="00275E42">
        <w:rPr>
          <w:rFonts w:hint="cs"/>
          <w:b/>
          <w:bCs/>
          <w:color w:val="2A8E8C"/>
          <w:rtl/>
        </w:rPr>
        <w:t xml:space="preserve">הכרה בתקופת מאסר כהיעדרות קצרה וארעית למטרת הכרה באדם כדייר ממשיך </w:t>
      </w:r>
    </w:p>
    <w:p w14:paraId="3D55CC07" w14:textId="77777777" w:rsidR="00D541A6" w:rsidRPr="00275E42" w:rsidRDefault="00D541A6" w:rsidP="00D541A6">
      <w:pPr>
        <w:spacing w:after="120" w:line="360" w:lineRule="auto"/>
        <w:rPr>
          <w:rFonts w:cs="Guttman Aharoni"/>
          <w:color w:val="000000" w:themeColor="text1"/>
          <w:szCs w:val="22"/>
          <w:rtl/>
        </w:rPr>
      </w:pPr>
      <w:proofErr w:type="spellStart"/>
      <w:r w:rsidRPr="00275E42">
        <w:rPr>
          <w:rFonts w:cs="Guttman Aharoni" w:hint="cs"/>
          <w:color w:val="000000" w:themeColor="text1"/>
          <w:szCs w:val="22"/>
          <w:rtl/>
        </w:rPr>
        <w:t>עע"ם</w:t>
      </w:r>
      <w:proofErr w:type="spellEnd"/>
      <w:r w:rsidRPr="00275E42">
        <w:rPr>
          <w:rFonts w:cs="Guttman Aharoni" w:hint="cs"/>
          <w:color w:val="000000" w:themeColor="text1"/>
          <w:szCs w:val="22"/>
          <w:rtl/>
        </w:rPr>
        <w:t xml:space="preserve"> 4504/22 </w:t>
      </w:r>
      <w:r w:rsidRPr="00275E42">
        <w:rPr>
          <w:rFonts w:cs="Guttman Aharoni" w:hint="cs"/>
          <w:b/>
          <w:bCs/>
          <w:color w:val="000000" w:themeColor="text1"/>
          <w:szCs w:val="22"/>
          <w:rtl/>
        </w:rPr>
        <w:t xml:space="preserve">משרד הבינוי והשיכון נגד אברהם סויסה ועמידר </w:t>
      </w:r>
      <w:r w:rsidRPr="00275E42">
        <w:rPr>
          <w:rFonts w:cs="Guttman Aharoni"/>
          <w:b/>
          <w:bCs/>
          <w:color w:val="000000" w:themeColor="text1"/>
          <w:szCs w:val="22"/>
          <w:rtl/>
        </w:rPr>
        <w:t>–</w:t>
      </w:r>
      <w:r w:rsidRPr="00275E42">
        <w:rPr>
          <w:rFonts w:cs="Guttman Aharoni" w:hint="cs"/>
          <w:b/>
          <w:bCs/>
          <w:color w:val="000000" w:themeColor="text1"/>
          <w:szCs w:val="22"/>
          <w:rtl/>
        </w:rPr>
        <w:t xml:space="preserve"> החברה הלאומית לשיכון בישראל</w:t>
      </w:r>
      <w:r w:rsidRPr="00275E42">
        <w:rPr>
          <w:rFonts w:cs="Guttman Aharoni" w:hint="cs"/>
          <w:color w:val="000000" w:themeColor="text1"/>
          <w:szCs w:val="22"/>
          <w:rtl/>
        </w:rPr>
        <w:t xml:space="preserve"> (ניתן ב</w:t>
      </w:r>
      <w:r w:rsidRPr="00275E42">
        <w:rPr>
          <w:rFonts w:ascii="David" w:hAnsi="David"/>
          <w:color w:val="000000" w:themeColor="text1"/>
          <w:szCs w:val="22"/>
          <w:rtl/>
        </w:rPr>
        <w:t>-</w:t>
      </w:r>
      <w:r w:rsidRPr="00275E42">
        <w:rPr>
          <w:rFonts w:cs="Guttman Aharoni" w:hint="cs"/>
          <w:color w:val="000000" w:themeColor="text1"/>
          <w:szCs w:val="22"/>
          <w:rtl/>
        </w:rPr>
        <w:t>14 במרץ 2023)</w:t>
      </w:r>
    </w:p>
    <w:p w14:paraId="1F810515" w14:textId="77777777" w:rsidR="00D541A6" w:rsidRPr="00D541A6" w:rsidRDefault="00D541A6" w:rsidP="00D541A6">
      <w:pPr>
        <w:spacing w:after="180" w:line="260" w:lineRule="exact"/>
        <w:jc w:val="both"/>
        <w:rPr>
          <w:color w:val="000000" w:themeColor="text1"/>
          <w:sz w:val="22"/>
          <w:szCs w:val="20"/>
          <w:rtl/>
        </w:rPr>
      </w:pPr>
      <w:r w:rsidRPr="00D541A6">
        <w:rPr>
          <w:rFonts w:hint="cs"/>
          <w:color w:val="000000" w:themeColor="text1"/>
          <w:sz w:val="22"/>
          <w:szCs w:val="20"/>
          <w:rtl/>
        </w:rPr>
        <w:t xml:space="preserve">חוק הדיור ציבורי </w:t>
      </w:r>
      <w:r w:rsidRPr="00D541A6">
        <w:rPr>
          <w:color w:val="000000" w:themeColor="text1"/>
          <w:sz w:val="22"/>
          <w:szCs w:val="20"/>
          <w:rtl/>
        </w:rPr>
        <w:t>(זכויות רכישה), תשנ"ט-1998</w:t>
      </w:r>
      <w:r w:rsidRPr="00D541A6">
        <w:rPr>
          <w:rFonts w:hint="cs"/>
          <w:color w:val="000000" w:themeColor="text1"/>
          <w:sz w:val="22"/>
          <w:szCs w:val="20"/>
          <w:rtl/>
        </w:rPr>
        <w:t xml:space="preserve"> קובע את התנאים שבהם אדם זכאי להמשיך להתגורר בדירה ציבורית כדייר ממשיך. בסעיף 1 לחוק הדיור הציבורי מוגדר דייר ממשיך כך:</w:t>
      </w:r>
    </w:p>
    <w:p w14:paraId="33ACB69E" w14:textId="77777777" w:rsidR="00D541A6" w:rsidRPr="00D541A6" w:rsidRDefault="00D541A6" w:rsidP="00275E42">
      <w:pPr>
        <w:spacing w:after="180" w:line="260" w:lineRule="exact"/>
        <w:ind w:left="567"/>
        <w:jc w:val="both"/>
        <w:rPr>
          <w:color w:val="000000" w:themeColor="text1"/>
          <w:sz w:val="22"/>
          <w:szCs w:val="20"/>
          <w:rtl/>
        </w:rPr>
      </w:pPr>
      <w:r w:rsidRPr="00D541A6">
        <w:rPr>
          <w:color w:val="000000" w:themeColor="text1"/>
          <w:sz w:val="22"/>
          <w:szCs w:val="20"/>
          <w:rtl/>
        </w:rPr>
        <w:t xml:space="preserve">בן זוג של זכאי שנפטר או של זכאי שעבר להתגורר במוסד סיעודי, לרבות הידוע בציבור כבן זוגו, וכן ילדו, נכדו, הורהו או מי שהזכאי היה </w:t>
      </w:r>
      <w:proofErr w:type="spellStart"/>
      <w:r w:rsidRPr="00D541A6">
        <w:rPr>
          <w:color w:val="000000" w:themeColor="text1"/>
          <w:sz w:val="22"/>
          <w:szCs w:val="20"/>
          <w:rtl/>
        </w:rPr>
        <w:t>אפוטרופסו</w:t>
      </w:r>
      <w:proofErr w:type="spellEnd"/>
      <w:r w:rsidRPr="00D541A6">
        <w:rPr>
          <w:color w:val="000000" w:themeColor="text1"/>
          <w:sz w:val="22"/>
          <w:szCs w:val="20"/>
          <w:rtl/>
        </w:rPr>
        <w:t>, ובלבד שהוא התגורר עם הזכאי בדירה הציבורית תקופה של שלוש שנים לפחות בסמוך למועד פטירת הזכאי או למועד שבו עבר הזכאי להתגורר במוסד הסיעודי</w:t>
      </w:r>
      <w:r w:rsidRPr="00D541A6">
        <w:rPr>
          <w:rFonts w:hint="cs"/>
          <w:color w:val="000000" w:themeColor="text1"/>
          <w:sz w:val="22"/>
          <w:szCs w:val="20"/>
          <w:rtl/>
        </w:rPr>
        <w:t>.</w:t>
      </w:r>
    </w:p>
    <w:p w14:paraId="03E6A9E3" w14:textId="77777777" w:rsidR="00D541A6" w:rsidRPr="00D541A6" w:rsidRDefault="00D541A6" w:rsidP="00275E42">
      <w:pPr>
        <w:spacing w:after="180" w:line="260" w:lineRule="exact"/>
        <w:ind w:left="567"/>
        <w:jc w:val="both"/>
        <w:rPr>
          <w:color w:val="000000" w:themeColor="text1"/>
          <w:sz w:val="22"/>
          <w:szCs w:val="20"/>
          <w:rtl/>
        </w:rPr>
      </w:pPr>
      <w:r w:rsidRPr="00D541A6">
        <w:rPr>
          <w:rFonts w:hint="cs"/>
          <w:color w:val="000000" w:themeColor="text1"/>
          <w:sz w:val="22"/>
          <w:szCs w:val="20"/>
          <w:rtl/>
        </w:rPr>
        <w:t xml:space="preserve">תנאי נוסף להכרת אדם כדייר ממשיך היא זכאותו של האדם לקבלת דיור ציבורי. עם זאת, בעקבות מחסור בדירות שמיועדות לדיור ציבורי והתחשבות באדם שגר שנים בדירה ציבורית להמשיך להתגורר בדירתו, תוקן חוק זכויות הדייר הציבורי, כך שגם אדם שאינו זכאי לדירה ציבורית יוגדר כדייר ממשיך במידה והוא התגורר עם הזכאי בדירה ציבורית </w:t>
      </w:r>
      <w:r w:rsidRPr="00D541A6">
        <w:rPr>
          <w:color w:val="000000" w:themeColor="text1"/>
          <w:sz w:val="22"/>
          <w:szCs w:val="20"/>
          <w:rtl/>
        </w:rPr>
        <w:t>במשך ארבע שנים לפחות ברציפות</w:t>
      </w:r>
      <w:r w:rsidRPr="00D541A6">
        <w:rPr>
          <w:rFonts w:hint="cs"/>
          <w:color w:val="000000" w:themeColor="text1"/>
          <w:sz w:val="22"/>
          <w:szCs w:val="20"/>
          <w:rtl/>
        </w:rPr>
        <w:t>,</w:t>
      </w:r>
      <w:r w:rsidRPr="00D541A6">
        <w:rPr>
          <w:color w:val="000000" w:themeColor="text1"/>
          <w:sz w:val="22"/>
          <w:szCs w:val="20"/>
          <w:rtl/>
        </w:rPr>
        <w:t xml:space="preserve"> עד למועד שבו נפטר הזכאי או עבר למוסד סיעודי</w:t>
      </w:r>
      <w:r w:rsidRPr="00D541A6">
        <w:rPr>
          <w:rFonts w:hint="cs"/>
          <w:color w:val="000000" w:themeColor="text1"/>
          <w:sz w:val="22"/>
          <w:szCs w:val="20"/>
          <w:rtl/>
        </w:rPr>
        <w:t>.</w:t>
      </w:r>
    </w:p>
    <w:p w14:paraId="43101ED0" w14:textId="0B1816B4" w:rsidR="00D541A6" w:rsidRPr="00D541A6" w:rsidRDefault="00D541A6" w:rsidP="00E95AF5">
      <w:pPr>
        <w:spacing w:after="180" w:line="260" w:lineRule="exact"/>
        <w:jc w:val="both"/>
        <w:rPr>
          <w:color w:val="000000" w:themeColor="text1"/>
          <w:sz w:val="22"/>
          <w:szCs w:val="20"/>
          <w:rtl/>
        </w:rPr>
      </w:pPr>
      <w:r w:rsidRPr="00D541A6">
        <w:rPr>
          <w:rFonts w:hint="cs"/>
          <w:color w:val="000000" w:themeColor="text1"/>
          <w:sz w:val="22"/>
          <w:szCs w:val="20"/>
          <w:rtl/>
        </w:rPr>
        <w:t xml:space="preserve">בנוהל </w:t>
      </w:r>
      <w:r w:rsidRPr="00D541A6">
        <w:rPr>
          <w:color w:val="000000" w:themeColor="text1"/>
          <w:sz w:val="22"/>
          <w:szCs w:val="20"/>
          <w:rtl/>
        </w:rPr>
        <w:t>מנהל לסיוע בדיור 08/19 "הסדרת זכויות חוזיות של דיירים ממשיכים" (</w:t>
      </w:r>
      <w:r w:rsidR="00E95AF5">
        <w:rPr>
          <w:rFonts w:hint="cs"/>
          <w:color w:val="000000" w:themeColor="text1"/>
          <w:sz w:val="22"/>
          <w:szCs w:val="20"/>
          <w:rtl/>
        </w:rPr>
        <w:t xml:space="preserve">18 באוגוסט 2015) </w:t>
      </w:r>
      <w:r w:rsidRPr="00D541A6">
        <w:rPr>
          <w:rFonts w:hint="cs"/>
          <w:color w:val="000000" w:themeColor="text1"/>
          <w:sz w:val="22"/>
          <w:szCs w:val="20"/>
          <w:rtl/>
        </w:rPr>
        <w:t xml:space="preserve">נקבע כי </w:t>
      </w:r>
      <w:r w:rsidRPr="00D541A6">
        <w:rPr>
          <w:color w:val="000000" w:themeColor="text1"/>
          <w:sz w:val="22"/>
          <w:szCs w:val="20"/>
          <w:rtl/>
        </w:rPr>
        <w:t>"הרציפות אינה נגרעת עקב היעדרויות קצרות וארעיות במהותן כגון שירות מילואים, או אשפוז לטיפול רפואי"</w:t>
      </w:r>
      <w:r w:rsidRPr="00D541A6">
        <w:rPr>
          <w:rFonts w:hint="cs"/>
          <w:color w:val="000000" w:themeColor="text1"/>
          <w:sz w:val="22"/>
          <w:szCs w:val="20"/>
          <w:rtl/>
        </w:rPr>
        <w:t>.</w:t>
      </w:r>
    </w:p>
    <w:p w14:paraId="5C7AF7FD" w14:textId="77777777" w:rsidR="00D541A6" w:rsidRPr="00D541A6" w:rsidRDefault="00D541A6" w:rsidP="00D541A6">
      <w:pPr>
        <w:spacing w:after="180" w:line="260" w:lineRule="exact"/>
        <w:jc w:val="both"/>
        <w:rPr>
          <w:rFonts w:ascii="David" w:hAnsi="David"/>
          <w:sz w:val="20"/>
          <w:szCs w:val="18"/>
          <w:rtl/>
        </w:rPr>
      </w:pPr>
      <w:r w:rsidRPr="00D541A6">
        <w:rPr>
          <w:rFonts w:hint="cs"/>
          <w:color w:val="000000" w:themeColor="text1"/>
          <w:sz w:val="22"/>
          <w:szCs w:val="20"/>
          <w:rtl/>
        </w:rPr>
        <w:lastRenderedPageBreak/>
        <w:t>המשיב גר בדירה ארבע שנים לפני שאימו נפטרה. בתקופת המגורים שהה המשיב במאסר 13 חודשים. בעקבות כך ביקש המשיב ממשרד הבינוי והשיכון להכיר בכך שתקופת המאסר תיחשב להיעדרו</w:t>
      </w:r>
      <w:r w:rsidRPr="00D541A6">
        <w:rPr>
          <w:rFonts w:hint="eastAsia"/>
          <w:color w:val="000000" w:themeColor="text1"/>
          <w:sz w:val="22"/>
          <w:szCs w:val="20"/>
          <w:rtl/>
        </w:rPr>
        <w:t>ת</w:t>
      </w:r>
      <w:r w:rsidRPr="00D541A6">
        <w:rPr>
          <w:rFonts w:hint="cs"/>
          <w:color w:val="000000" w:themeColor="text1"/>
          <w:sz w:val="22"/>
          <w:szCs w:val="20"/>
          <w:rtl/>
        </w:rPr>
        <w:t xml:space="preserve"> קצרה וארעית לעניין הגדרתו כדייר ממשיך. משרד הבינוי והשיכון דחה את בקשתו, והמשיב ערער לבית המשפט לעניינים מנהליים. בית המשפט לעניינים מנהליים קיבל את בקשת המשיב להכיר בו כדייר ממשיך, ומכאן הערעור לבית המשפט העליון. </w:t>
      </w:r>
      <w:r w:rsidRPr="00D541A6">
        <w:rPr>
          <w:rFonts w:hint="cs"/>
          <w:color w:val="000000" w:themeColor="text1"/>
          <w:sz w:val="20"/>
          <w:szCs w:val="20"/>
          <w:rtl/>
        </w:rPr>
        <w:t>שופטי בית משפט העליון קיבלו את ערעור משרד הבינוי והשיכון מהטעם</w:t>
      </w:r>
      <w:r w:rsidRPr="00D541A6">
        <w:rPr>
          <w:rFonts w:ascii="David" w:hAnsi="David" w:hint="cs"/>
          <w:sz w:val="16"/>
          <w:szCs w:val="20"/>
          <w:rtl/>
        </w:rPr>
        <w:t xml:space="preserve"> ש</w:t>
      </w:r>
      <w:r w:rsidRPr="00D541A6">
        <w:rPr>
          <w:rFonts w:ascii="David" w:hAnsi="David"/>
          <w:sz w:val="16"/>
          <w:szCs w:val="20"/>
          <w:rtl/>
        </w:rPr>
        <w:t>את דרישת רציפות המגורים יש לפרש על רקע תכלי</w:t>
      </w:r>
      <w:r w:rsidRPr="00D541A6">
        <w:rPr>
          <w:rFonts w:ascii="David" w:hAnsi="David" w:hint="cs"/>
          <w:sz w:val="16"/>
          <w:szCs w:val="20"/>
          <w:rtl/>
        </w:rPr>
        <w:t>ו</w:t>
      </w:r>
      <w:r w:rsidRPr="00D541A6">
        <w:rPr>
          <w:rFonts w:ascii="David" w:hAnsi="David"/>
          <w:sz w:val="16"/>
          <w:szCs w:val="20"/>
          <w:rtl/>
        </w:rPr>
        <w:t xml:space="preserve">ת </w:t>
      </w:r>
      <w:r w:rsidRPr="00D541A6">
        <w:rPr>
          <w:rFonts w:ascii="David" w:hAnsi="David" w:hint="cs"/>
          <w:sz w:val="16"/>
          <w:szCs w:val="20"/>
          <w:rtl/>
        </w:rPr>
        <w:t>חוק הדיור הציבורי:</w:t>
      </w:r>
    </w:p>
    <w:p w14:paraId="74888A5C" w14:textId="77777777" w:rsidR="00D541A6" w:rsidRPr="00D541A6" w:rsidRDefault="00D541A6" w:rsidP="00275E42">
      <w:pPr>
        <w:spacing w:after="180" w:line="260" w:lineRule="exact"/>
        <w:ind w:left="567"/>
        <w:jc w:val="both"/>
        <w:rPr>
          <w:rFonts w:ascii="David" w:hAnsi="David"/>
          <w:color w:val="000000" w:themeColor="text1"/>
          <w:sz w:val="20"/>
          <w:szCs w:val="20"/>
          <w:rtl/>
        </w:rPr>
      </w:pPr>
      <w:r w:rsidRPr="00D541A6">
        <w:rPr>
          <w:rFonts w:ascii="David" w:hAnsi="David"/>
          <w:sz w:val="20"/>
          <w:szCs w:val="20"/>
          <w:rtl/>
        </w:rPr>
        <w:t>תקופת מאסר בת 13 חודשים היא תקופה משמעותית וממושכת, שעולה על רבע מתקופת הרציפות הנדרשת. בחינת תקופה זו על רקע מצוקת הדיור הקשה של משפחות שממתינות לדיור ציבורי וההקפדה המתחייבת בפרשנות תנאי הזכאות, מעלה כי לא ניתן לקבל את הקביעה כי מדובר בתקופה "קצרה וארעית". משכך – לא ניתן לראות במשיב כדייר ממשיך של א</w:t>
      </w:r>
      <w:r w:rsidRPr="00D541A6">
        <w:rPr>
          <w:rFonts w:ascii="David" w:hAnsi="David" w:hint="cs"/>
          <w:sz w:val="20"/>
          <w:szCs w:val="20"/>
          <w:rtl/>
        </w:rPr>
        <w:t>י</w:t>
      </w:r>
      <w:r w:rsidRPr="00D541A6">
        <w:rPr>
          <w:rFonts w:ascii="David" w:hAnsi="David"/>
          <w:sz w:val="20"/>
          <w:szCs w:val="20"/>
          <w:rtl/>
        </w:rPr>
        <w:t>מו.</w:t>
      </w:r>
    </w:p>
    <w:p w14:paraId="3530E961" w14:textId="77777777" w:rsidR="00D541A6" w:rsidRPr="00D541A6" w:rsidRDefault="00D541A6" w:rsidP="00D541A6">
      <w:pPr>
        <w:spacing w:after="180" w:line="260" w:lineRule="exact"/>
        <w:ind w:left="-58"/>
        <w:jc w:val="both"/>
        <w:rPr>
          <w:color w:val="000000" w:themeColor="text1"/>
          <w:sz w:val="22"/>
          <w:szCs w:val="20"/>
          <w:rtl/>
        </w:rPr>
      </w:pPr>
      <w:r w:rsidRPr="00D541A6">
        <w:rPr>
          <w:rFonts w:hint="cs"/>
          <w:color w:val="000000" w:themeColor="text1"/>
          <w:sz w:val="22"/>
          <w:szCs w:val="20"/>
          <w:rtl/>
        </w:rPr>
        <w:t>עם זאת, בית המשפט קובע כי מסקנתו בפסק הדין הנוכחי אינה שוללת את האפשרות להכיר בנסיבות אחרות כי תקופת מאסר תיחשב בגדר חריג.</w:t>
      </w:r>
    </w:p>
    <w:p w14:paraId="3075EEC1" w14:textId="77777777" w:rsidR="00D541A6" w:rsidRPr="00D541A6" w:rsidRDefault="00D541A6" w:rsidP="00D541A6">
      <w:pPr>
        <w:spacing w:after="180" w:line="260" w:lineRule="exact"/>
        <w:ind w:left="-199"/>
        <w:jc w:val="both"/>
        <w:rPr>
          <w:color w:val="000000" w:themeColor="text1"/>
          <w:sz w:val="22"/>
          <w:szCs w:val="20"/>
          <w:rtl/>
        </w:rPr>
      </w:pPr>
    </w:p>
    <w:p w14:paraId="375524A7" w14:textId="77777777" w:rsidR="00D541A6" w:rsidRPr="00D541A6" w:rsidRDefault="00D541A6" w:rsidP="00D541A6">
      <w:pPr>
        <w:spacing w:after="180" w:line="260" w:lineRule="exact"/>
        <w:ind w:left="-199"/>
        <w:jc w:val="both"/>
        <w:rPr>
          <w:color w:val="000000" w:themeColor="text1"/>
          <w:sz w:val="22"/>
          <w:szCs w:val="20"/>
          <w:rtl/>
        </w:rPr>
      </w:pPr>
    </w:p>
    <w:p w14:paraId="586BD988" w14:textId="77777777" w:rsidR="00D541A6" w:rsidRPr="00275E42" w:rsidRDefault="00D541A6" w:rsidP="00275E42">
      <w:pPr>
        <w:pStyle w:val="KOT4"/>
        <w:spacing w:after="0"/>
        <w:ind w:right="0"/>
        <w:rPr>
          <w:rFonts w:cs="Guttman Aharoni"/>
          <w:color w:val="2A8E8C"/>
          <w:sz w:val="32"/>
          <w:szCs w:val="32"/>
          <w:rtl/>
        </w:rPr>
      </w:pPr>
      <w:r w:rsidRPr="00275E42">
        <w:rPr>
          <w:rFonts w:cs="Guttman Aharoni" w:hint="cs"/>
          <w:color w:val="2A8E8C"/>
          <w:sz w:val="32"/>
          <w:szCs w:val="32"/>
          <w:rtl/>
        </w:rPr>
        <w:t>חידושי חקיקה</w:t>
      </w:r>
    </w:p>
    <w:p w14:paraId="3C851F75" w14:textId="77777777" w:rsidR="00D541A6" w:rsidRPr="00275E42" w:rsidRDefault="00D541A6" w:rsidP="00275E42">
      <w:pPr>
        <w:spacing w:after="120" w:line="300" w:lineRule="exact"/>
        <w:jc w:val="both"/>
        <w:rPr>
          <w:color w:val="2A8E8C"/>
          <w:sz w:val="20"/>
          <w:szCs w:val="20"/>
          <w:rtl/>
        </w:rPr>
      </w:pPr>
    </w:p>
    <w:p w14:paraId="5A14984E" w14:textId="77777777" w:rsidR="00D541A6" w:rsidRPr="00275E42" w:rsidRDefault="00D541A6" w:rsidP="00275E42">
      <w:pPr>
        <w:pStyle w:val="KOT5"/>
        <w:jc w:val="both"/>
        <w:rPr>
          <w:b/>
          <w:bCs/>
          <w:color w:val="2A8E8C"/>
          <w:rtl/>
        </w:rPr>
      </w:pPr>
      <w:r w:rsidRPr="00275E42">
        <w:rPr>
          <w:b/>
          <w:bCs/>
          <w:color w:val="2A8E8C"/>
          <w:rtl/>
        </w:rPr>
        <w:t xml:space="preserve">חוק לתיקון פקודת בתי הסוהר </w:t>
      </w:r>
      <w:r w:rsidRPr="00275E42">
        <w:rPr>
          <w:rFonts w:hint="cs"/>
          <w:b/>
          <w:bCs/>
          <w:color w:val="2A8E8C"/>
          <w:rtl/>
        </w:rPr>
        <w:t>(</w:t>
      </w:r>
      <w:r w:rsidRPr="00275E42">
        <w:rPr>
          <w:b/>
          <w:bCs/>
          <w:color w:val="2A8E8C"/>
          <w:rtl/>
        </w:rPr>
        <w:t>מס' 61 והוראת שעה</w:t>
      </w:r>
      <w:r w:rsidRPr="00275E42">
        <w:rPr>
          <w:rFonts w:hint="cs"/>
          <w:b/>
          <w:bCs/>
          <w:color w:val="2A8E8C"/>
          <w:rtl/>
        </w:rPr>
        <w:t>)</w:t>
      </w:r>
      <w:r w:rsidRPr="00275E42">
        <w:rPr>
          <w:b/>
          <w:bCs/>
          <w:color w:val="2A8E8C"/>
          <w:rtl/>
        </w:rPr>
        <w:t>, התשפ"ג</w:t>
      </w:r>
      <w:r w:rsidRPr="00275E42">
        <w:rPr>
          <w:rFonts w:ascii="David" w:hAnsi="David" w:cs="David"/>
          <w:b/>
          <w:bCs/>
          <w:color w:val="2A8E8C"/>
          <w:rtl/>
        </w:rPr>
        <w:t>-</w:t>
      </w:r>
      <w:r w:rsidRPr="00275E42">
        <w:rPr>
          <w:b/>
          <w:bCs/>
          <w:color w:val="2A8E8C"/>
          <w:rtl/>
        </w:rPr>
        <w:t>2</w:t>
      </w:r>
      <w:r w:rsidRPr="00275E42">
        <w:rPr>
          <w:rFonts w:hint="cs"/>
          <w:b/>
          <w:bCs/>
          <w:color w:val="2A8E8C"/>
          <w:rtl/>
        </w:rPr>
        <w:t>023</w:t>
      </w:r>
    </w:p>
    <w:p w14:paraId="6323C924" w14:textId="77777777" w:rsidR="00D541A6" w:rsidRPr="00D541A6" w:rsidRDefault="00D541A6" w:rsidP="00D541A6">
      <w:pPr>
        <w:spacing w:after="180" w:line="260" w:lineRule="exact"/>
        <w:jc w:val="both"/>
        <w:rPr>
          <w:sz w:val="22"/>
          <w:szCs w:val="20"/>
          <w:rtl/>
        </w:rPr>
      </w:pPr>
      <w:r w:rsidRPr="00D541A6">
        <w:rPr>
          <w:rFonts w:hint="cs"/>
          <w:sz w:val="22"/>
          <w:szCs w:val="20"/>
          <w:rtl/>
        </w:rPr>
        <w:t>בהתאם לסעיף 10 לחוק זכויות נפגעי עבירה, התשס"א-2001, נפגעי עבירות מין או עבירות אלימות זכאים לבקש מגופים שונים, ובהם שירות בית הסוהר, ליידע אותם על שחרורו ממאסר של הנאשם בעבירה נגדם. המידע נמסר לנפגעים באמצעות מערכת מידע ממחושבת. התיקון לחוק מבקש להתמודד עם מקרים שבהם מועד השחרור המנהלי הצפוי של האסיר כפי שהוזן במערכ</w:t>
      </w:r>
      <w:r w:rsidRPr="00D541A6">
        <w:rPr>
          <w:rFonts w:hint="eastAsia"/>
          <w:sz w:val="22"/>
          <w:szCs w:val="20"/>
          <w:rtl/>
        </w:rPr>
        <w:t>ת</w:t>
      </w:r>
      <w:r w:rsidRPr="00D541A6">
        <w:rPr>
          <w:rFonts w:hint="cs"/>
          <w:sz w:val="22"/>
          <w:szCs w:val="20"/>
          <w:rtl/>
        </w:rPr>
        <w:t xml:space="preserve"> הממוחשבת אינו מועד השחרור בפועל. לפי התיקון, נציב שירות בתי הסוהר רשאי לקבוע כי שחרור האסיר יתבצע יום לאחר יום השחרור שנקבע, אם הוא סבור כי דחיית השחרור של האסיר נדרשת כדי ליידע נפגעי עבירות מין או אלימות על שחרורו.</w:t>
      </w:r>
    </w:p>
    <w:p w14:paraId="4BEE1B23" w14:textId="77777777" w:rsidR="00D541A6" w:rsidRPr="00D541A6" w:rsidRDefault="00D541A6" w:rsidP="00D541A6">
      <w:pPr>
        <w:spacing w:after="180" w:line="260" w:lineRule="exact"/>
        <w:jc w:val="both"/>
        <w:rPr>
          <w:sz w:val="20"/>
          <w:szCs w:val="16"/>
          <w:rtl/>
        </w:rPr>
      </w:pPr>
    </w:p>
    <w:sectPr w:rsidR="00D541A6" w:rsidRPr="00D541A6" w:rsidSect="00365E60">
      <w:headerReference w:type="even" r:id="rId8"/>
      <w:headerReference w:type="default" r:id="rId9"/>
      <w:footnotePr>
        <w:numRestart w:val="eachPage"/>
      </w:footnotePr>
      <w:pgSz w:w="11906" w:h="16838" w:code="9"/>
      <w:pgMar w:top="3402" w:right="2608" w:bottom="2722" w:left="2608" w:header="2552" w:footer="2438" w:gutter="0"/>
      <w:pgNumType w:start="20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8237" w14:textId="77777777" w:rsidR="00211D18" w:rsidRDefault="00211D18">
      <w:pPr>
        <w:spacing w:line="240" w:lineRule="auto"/>
      </w:pPr>
      <w:r>
        <w:separator/>
      </w:r>
    </w:p>
  </w:endnote>
  <w:endnote w:type="continuationSeparator" w:id="0">
    <w:p w14:paraId="2DE36A58" w14:textId="77777777" w:rsidR="00211D18" w:rsidRDefault="00211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Aharoni">
    <w:panose1 w:val="02010401010101010101"/>
    <w:charset w:val="B1"/>
    <w:family w:val="auto"/>
    <w:pitch w:val="variable"/>
    <w:sig w:usb0="00000801" w:usb1="40000000" w:usb2="00000000" w:usb3="00000000" w:csb0="00000020" w:csb1="00000000"/>
  </w:font>
  <w:font w:name="Guttman Hodes">
    <w:altName w:val="Arial"/>
    <w:charset w:val="B1"/>
    <w:family w:val="auto"/>
    <w:pitch w:val="variable"/>
    <w:sig w:usb0="00000801" w:usb1="40000000" w:usb2="00000000" w:usb3="00000000" w:csb0="00000020" w:csb1="00000000"/>
  </w:font>
  <w:font w:name="Code">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TUR">
    <w:altName w:val="Arial"/>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98D4" w14:textId="77777777" w:rsidR="00211D18" w:rsidRDefault="00211D18" w:rsidP="00A04D35">
      <w:pPr>
        <w:spacing w:before="120" w:after="80"/>
        <w:rPr>
          <w:rFonts w:cs="FrankRuehl"/>
          <w:sz w:val="18"/>
          <w:szCs w:val="18"/>
        </w:rPr>
      </w:pPr>
      <w:r>
        <w:rPr>
          <w:rFonts w:cs="FrankRuehl" w:hint="cs"/>
          <w:sz w:val="18"/>
          <w:szCs w:val="18"/>
          <w:rtl/>
        </w:rPr>
        <w:t>_____________</w:t>
      </w:r>
    </w:p>
  </w:footnote>
  <w:footnote w:type="continuationSeparator" w:id="0">
    <w:p w14:paraId="7E8B2D71" w14:textId="77777777" w:rsidR="00211D18" w:rsidRDefault="00211D18">
      <w:r>
        <w:continuationSeparator/>
      </w:r>
    </w:p>
  </w:footnote>
  <w:footnote w:type="continuationNotice" w:id="1">
    <w:p w14:paraId="125D750E" w14:textId="77777777" w:rsidR="00211D18" w:rsidRDefault="00211D18">
      <w:pPr>
        <w:rPr>
          <w:rtl/>
        </w:rPr>
      </w:pPr>
    </w:p>
  </w:footnote>
  <w:footnote w:id="2">
    <w:p w14:paraId="6EE85DFD" w14:textId="77777777" w:rsidR="00D541A6" w:rsidRPr="00D541A6" w:rsidRDefault="00D541A6" w:rsidP="00D541A6">
      <w:pPr>
        <w:pStyle w:val="FootnoteText"/>
        <w:keepLines/>
        <w:spacing w:after="180" w:line="200" w:lineRule="exact"/>
        <w:ind w:left="397" w:hanging="397"/>
        <w:jc w:val="both"/>
        <w:rPr>
          <w:rStyle w:val="FootnoteReference"/>
          <w:rFonts w:cs="David"/>
          <w:sz w:val="14"/>
          <w:szCs w:val="16"/>
          <w:vertAlign w:val="baseline"/>
          <w:rtl/>
        </w:rPr>
      </w:pPr>
      <w:r w:rsidRPr="00D541A6">
        <w:rPr>
          <w:rStyle w:val="FootnoteReference"/>
          <w:rFonts w:cs="David" w:hint="cs"/>
          <w:sz w:val="14"/>
          <w:szCs w:val="16"/>
          <w:vertAlign w:val="baseline"/>
          <w:rtl/>
        </w:rPr>
        <w:t xml:space="preserve">* </w:t>
      </w:r>
      <w:r w:rsidRPr="00D541A6">
        <w:rPr>
          <w:rStyle w:val="FootnoteReference"/>
          <w:rFonts w:cs="David"/>
          <w:sz w:val="14"/>
          <w:szCs w:val="16"/>
          <w:vertAlign w:val="baseline"/>
          <w:rtl/>
        </w:rPr>
        <w:tab/>
      </w:r>
      <w:r w:rsidRPr="00D541A6">
        <w:rPr>
          <w:rStyle w:val="FootnoteReference"/>
          <w:rFonts w:cs="David" w:hint="cs"/>
          <w:sz w:val="14"/>
          <w:szCs w:val="16"/>
          <w:vertAlign w:val="baseline"/>
          <w:rtl/>
        </w:rPr>
        <w:t xml:space="preserve">ברצוני להודות במיוחד לעורך הפורש, פרופ' אבישי </w:t>
      </w:r>
      <w:proofErr w:type="spellStart"/>
      <w:r w:rsidRPr="00D541A6">
        <w:rPr>
          <w:rStyle w:val="FootnoteReference"/>
          <w:rFonts w:cs="David" w:hint="cs"/>
          <w:sz w:val="14"/>
          <w:szCs w:val="16"/>
          <w:vertAlign w:val="baseline"/>
          <w:rtl/>
        </w:rPr>
        <w:t>בניש</w:t>
      </w:r>
      <w:proofErr w:type="spellEnd"/>
      <w:r w:rsidRPr="00D541A6">
        <w:rPr>
          <w:rStyle w:val="FootnoteReference"/>
          <w:rFonts w:cs="David" w:hint="cs"/>
          <w:sz w:val="14"/>
          <w:szCs w:val="16"/>
          <w:vertAlign w:val="baseline"/>
          <w:rtl/>
        </w:rPr>
        <w:t xml:space="preserve">, אשר נשא בתפקיד בארבע השנים האחרונות, ותרם רבות להצלחת המדור. </w:t>
      </w:r>
    </w:p>
    <w:p w14:paraId="636AB309" w14:textId="77777777" w:rsidR="00D541A6" w:rsidRPr="00D541A6" w:rsidRDefault="00D541A6" w:rsidP="00D541A6">
      <w:pPr>
        <w:pStyle w:val="FootnoteText"/>
        <w:keepLines/>
        <w:spacing w:line="200" w:lineRule="exact"/>
        <w:ind w:left="397" w:hanging="397"/>
        <w:jc w:val="both"/>
        <w:rPr>
          <w:rStyle w:val="FootnoteReference"/>
          <w:rFonts w:cs="David"/>
          <w:sz w:val="14"/>
          <w:szCs w:val="16"/>
          <w:vertAlign w:val="baseline"/>
          <w:rtl/>
        </w:rPr>
      </w:pPr>
      <w:r w:rsidRPr="00D541A6">
        <w:rPr>
          <w:rStyle w:val="FootnoteReference"/>
          <w:rFonts w:cs="David"/>
          <w:sz w:val="14"/>
          <w:szCs w:val="16"/>
          <w:vertAlign w:val="baseline"/>
        </w:rPr>
        <w:footnoteRef/>
      </w:r>
      <w:r w:rsidRPr="00D541A6">
        <w:rPr>
          <w:rStyle w:val="FootnoteReference"/>
          <w:rFonts w:cs="David"/>
          <w:sz w:val="14"/>
          <w:szCs w:val="16"/>
          <w:vertAlign w:val="baseline"/>
          <w:rtl/>
        </w:rPr>
        <w:t xml:space="preserve"> </w:t>
      </w:r>
      <w:r w:rsidRPr="00D541A6">
        <w:rPr>
          <w:rStyle w:val="FootnoteReference"/>
          <w:rFonts w:cs="David"/>
          <w:sz w:val="14"/>
          <w:szCs w:val="16"/>
          <w:vertAlign w:val="baseline"/>
          <w:rtl/>
        </w:rPr>
        <w:tab/>
      </w:r>
      <w:r w:rsidRPr="00D541A6">
        <w:rPr>
          <w:rStyle w:val="FootnoteReference"/>
          <w:rFonts w:cs="David" w:hint="cs"/>
          <w:sz w:val="14"/>
          <w:szCs w:val="16"/>
          <w:vertAlign w:val="baseline"/>
          <w:rtl/>
        </w:rPr>
        <w:t>דוקטור, החוג לעבודה סוציאלית, המכללה האקדמית תל-חי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F758" w14:textId="0E009136" w:rsidR="00D541A6" w:rsidRPr="00AE7DAB" w:rsidRDefault="00D541A6" w:rsidP="00AE7DAB">
    <w:pPr>
      <w:pStyle w:val="Heading1"/>
      <w:tabs>
        <w:tab w:val="center" w:pos="4536"/>
        <w:tab w:val="right" w:pos="9072"/>
      </w:tabs>
      <w:rPr>
        <w:rFonts w:ascii="David" w:hAnsi="David"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E95AF5">
      <w:rPr>
        <w:rFonts w:ascii="David" w:hAnsi="David" w:cs="David"/>
        <w:noProof/>
        <w:sz w:val="24"/>
        <w:szCs w:val="24"/>
        <w:rtl/>
      </w:rPr>
      <w:t>6</w:t>
    </w:r>
    <w:r w:rsidRPr="00A17DA2">
      <w:rPr>
        <w:rFonts w:ascii="David" w:hAnsi="David" w:cs="David"/>
        <w:noProof/>
        <w:sz w:val="24"/>
        <w:szCs w:val="24"/>
      </w:rPr>
      <w:fldChar w:fldCharType="end"/>
    </w:r>
    <w:r>
      <w:rPr>
        <w:rFonts w:ascii="David" w:hAnsi="David" w:cs="David"/>
        <w:b w:val="0"/>
        <w:bCs w:val="0"/>
        <w:color w:val="A6A6A6"/>
        <w:sz w:val="20"/>
        <w:szCs w:val="20"/>
        <w:rtl/>
      </w:rPr>
      <w:t xml:space="preserve">  |  ביטחון סוציאלי </w:t>
    </w:r>
    <w:r>
      <w:rPr>
        <w:rFonts w:ascii="David" w:hAnsi="David" w:cs="David" w:hint="cs"/>
        <w:b w:val="0"/>
        <w:bCs w:val="0"/>
        <w:color w:val="A6A6A6"/>
        <w:sz w:val="20"/>
        <w:szCs w:val="20"/>
        <w:rtl/>
      </w:rPr>
      <w:t>120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3794" w14:textId="23C599C9" w:rsidR="00D541A6" w:rsidRPr="00CA633F" w:rsidRDefault="00D541A6" w:rsidP="00E72215">
    <w:pPr>
      <w:pStyle w:val="Heading1"/>
      <w:tabs>
        <w:tab w:val="center" w:pos="4536"/>
        <w:tab w:val="right" w:pos="9072"/>
      </w:tabs>
      <w:jc w:val="right"/>
      <w:rPr>
        <w:rFonts w:ascii="David" w:hAnsi="David" w:cs="David"/>
        <w:b w:val="0"/>
        <w:bCs w:val="0"/>
        <w:noProof/>
        <w:color w:val="A6A6A6"/>
        <w:sz w:val="20"/>
        <w:szCs w:val="20"/>
      </w:rPr>
    </w:pPr>
    <w:r w:rsidRPr="00E72215">
      <w:rPr>
        <w:rFonts w:ascii="David" w:hAnsi="David" w:cs="David"/>
        <w:b w:val="0"/>
        <w:bCs w:val="0"/>
        <w:noProof/>
        <w:color w:val="A6A6A6"/>
        <w:sz w:val="20"/>
        <w:szCs w:val="20"/>
        <w:rtl/>
      </w:rPr>
      <w:t>חקיקה ופסיקה חברתית</w:t>
    </w:r>
    <w:r w:rsidRPr="00CA633F">
      <w:rPr>
        <w:rFonts w:ascii="David" w:hAnsi="David" w:cs="David"/>
        <w:b w:val="0"/>
        <w:bCs w:val="0"/>
        <w:noProof/>
        <w:color w:val="A6A6A6"/>
        <w:sz w:val="20"/>
        <w:szCs w:val="20"/>
        <w:rtl/>
      </w:rPr>
      <w:t xml:space="preserve">  |  </w:t>
    </w: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E95AF5">
      <w:rPr>
        <w:rFonts w:ascii="David" w:hAnsi="David" w:cs="David"/>
        <w:noProof/>
        <w:sz w:val="24"/>
        <w:szCs w:val="24"/>
        <w:rtl/>
      </w:rPr>
      <w:t>7</w:t>
    </w:r>
    <w:r w:rsidRPr="00A17DA2">
      <w:rPr>
        <w:rFonts w:ascii="David" w:hAnsi="David" w:cs="David"/>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6001B"/>
    <w:multiLevelType w:val="hybridMultilevel"/>
    <w:tmpl w:val="B2C4B5E4"/>
    <w:lvl w:ilvl="0" w:tplc="B914BFE2">
      <w:start w:val="1"/>
      <w:numFmt w:val="decimal"/>
      <w:pStyle w:val="Ruller4"/>
      <w:lvlText w:val="%1."/>
      <w:lvlJc w:val="left"/>
      <w:pPr>
        <w:tabs>
          <w:tab w:val="num" w:pos="907"/>
        </w:tabs>
        <w:ind w:left="0" w:firstLine="0"/>
      </w:pPr>
      <w:rPr>
        <w:rFonts w:hint="default"/>
      </w:rPr>
    </w:lvl>
    <w:lvl w:ilvl="1" w:tplc="BF0A78CA" w:tentative="1">
      <w:start w:val="1"/>
      <w:numFmt w:val="lowerLetter"/>
      <w:lvlText w:val="%2."/>
      <w:lvlJc w:val="left"/>
      <w:pPr>
        <w:tabs>
          <w:tab w:val="num" w:pos="1440"/>
        </w:tabs>
        <w:ind w:left="1440" w:hanging="360"/>
      </w:pPr>
    </w:lvl>
    <w:lvl w:ilvl="2" w:tplc="3DB0D620" w:tentative="1">
      <w:start w:val="1"/>
      <w:numFmt w:val="lowerRoman"/>
      <w:lvlText w:val="%3."/>
      <w:lvlJc w:val="right"/>
      <w:pPr>
        <w:tabs>
          <w:tab w:val="num" w:pos="2160"/>
        </w:tabs>
        <w:ind w:left="2160" w:hanging="180"/>
      </w:pPr>
    </w:lvl>
    <w:lvl w:ilvl="3" w:tplc="3DAC6F7E" w:tentative="1">
      <w:start w:val="1"/>
      <w:numFmt w:val="decimal"/>
      <w:lvlText w:val="%4."/>
      <w:lvlJc w:val="left"/>
      <w:pPr>
        <w:tabs>
          <w:tab w:val="num" w:pos="2880"/>
        </w:tabs>
        <w:ind w:left="2880" w:hanging="360"/>
      </w:pPr>
    </w:lvl>
    <w:lvl w:ilvl="4" w:tplc="CF0224A6" w:tentative="1">
      <w:start w:val="1"/>
      <w:numFmt w:val="lowerLetter"/>
      <w:lvlText w:val="%5."/>
      <w:lvlJc w:val="left"/>
      <w:pPr>
        <w:tabs>
          <w:tab w:val="num" w:pos="3600"/>
        </w:tabs>
        <w:ind w:left="3600" w:hanging="360"/>
      </w:pPr>
    </w:lvl>
    <w:lvl w:ilvl="5" w:tplc="5D422DE6" w:tentative="1">
      <w:start w:val="1"/>
      <w:numFmt w:val="lowerRoman"/>
      <w:lvlText w:val="%6."/>
      <w:lvlJc w:val="right"/>
      <w:pPr>
        <w:tabs>
          <w:tab w:val="num" w:pos="4320"/>
        </w:tabs>
        <w:ind w:left="4320" w:hanging="180"/>
      </w:pPr>
    </w:lvl>
    <w:lvl w:ilvl="6" w:tplc="441EABFA" w:tentative="1">
      <w:start w:val="1"/>
      <w:numFmt w:val="decimal"/>
      <w:lvlText w:val="%7."/>
      <w:lvlJc w:val="left"/>
      <w:pPr>
        <w:tabs>
          <w:tab w:val="num" w:pos="5040"/>
        </w:tabs>
        <w:ind w:left="5040" w:hanging="360"/>
      </w:pPr>
    </w:lvl>
    <w:lvl w:ilvl="7" w:tplc="0B4A70C4" w:tentative="1">
      <w:start w:val="1"/>
      <w:numFmt w:val="lowerLetter"/>
      <w:lvlText w:val="%8."/>
      <w:lvlJc w:val="left"/>
      <w:pPr>
        <w:tabs>
          <w:tab w:val="num" w:pos="5760"/>
        </w:tabs>
        <w:ind w:left="5760" w:hanging="360"/>
      </w:pPr>
    </w:lvl>
    <w:lvl w:ilvl="8" w:tplc="9AA4F1EE" w:tentative="1">
      <w:start w:val="1"/>
      <w:numFmt w:val="lowerRoman"/>
      <w:lvlText w:val="%9."/>
      <w:lvlJc w:val="right"/>
      <w:pPr>
        <w:tabs>
          <w:tab w:val="num" w:pos="6480"/>
        </w:tabs>
        <w:ind w:left="6480" w:hanging="180"/>
      </w:pPr>
    </w:lvl>
  </w:abstractNum>
  <w:abstractNum w:abstractNumId="4" w15:restartNumberingAfterBreak="0">
    <w:nsid w:val="0D09499D"/>
    <w:multiLevelType w:val="hybridMultilevel"/>
    <w:tmpl w:val="810892D2"/>
    <w:lvl w:ilvl="0" w:tplc="20B8B7F4">
      <w:start w:val="1"/>
      <w:numFmt w:val="bullet"/>
      <w:lvlText w:val=""/>
      <w:lvlJc w:val="left"/>
      <w:rPr>
        <w:rFonts w:ascii="Symbol" w:eastAsia="Times New Roman" w:hAnsi="Symbol" w:cs="David" w:hint="default"/>
        <w:lang w:bidi="he-IL"/>
      </w:rPr>
    </w:lvl>
    <w:lvl w:ilvl="1" w:tplc="B14C5A44" w:tentative="1">
      <w:start w:val="1"/>
      <w:numFmt w:val="bullet"/>
      <w:lvlText w:val="o"/>
      <w:lvlJc w:val="left"/>
      <w:pPr>
        <w:ind w:left="1080" w:hanging="360"/>
      </w:pPr>
      <w:rPr>
        <w:rFonts w:ascii="Courier New" w:hAnsi="Courier New" w:cs="Courier New" w:hint="default"/>
      </w:rPr>
    </w:lvl>
    <w:lvl w:ilvl="2" w:tplc="4DEE1A78" w:tentative="1">
      <w:start w:val="1"/>
      <w:numFmt w:val="bullet"/>
      <w:lvlText w:val=""/>
      <w:lvlJc w:val="left"/>
      <w:pPr>
        <w:ind w:left="1800" w:hanging="360"/>
      </w:pPr>
      <w:rPr>
        <w:rFonts w:ascii="Wingdings" w:hAnsi="Wingdings" w:hint="default"/>
      </w:rPr>
    </w:lvl>
    <w:lvl w:ilvl="3" w:tplc="AE046094" w:tentative="1">
      <w:start w:val="1"/>
      <w:numFmt w:val="bullet"/>
      <w:lvlText w:val=""/>
      <w:lvlJc w:val="left"/>
      <w:pPr>
        <w:ind w:left="2520" w:hanging="360"/>
      </w:pPr>
      <w:rPr>
        <w:rFonts w:ascii="Symbol" w:hAnsi="Symbol" w:hint="default"/>
      </w:rPr>
    </w:lvl>
    <w:lvl w:ilvl="4" w:tplc="9286BFF2" w:tentative="1">
      <w:start w:val="1"/>
      <w:numFmt w:val="bullet"/>
      <w:lvlText w:val="o"/>
      <w:lvlJc w:val="left"/>
      <w:pPr>
        <w:ind w:left="3240" w:hanging="360"/>
      </w:pPr>
      <w:rPr>
        <w:rFonts w:ascii="Courier New" w:hAnsi="Courier New" w:cs="Courier New" w:hint="default"/>
      </w:rPr>
    </w:lvl>
    <w:lvl w:ilvl="5" w:tplc="33CCA05C" w:tentative="1">
      <w:start w:val="1"/>
      <w:numFmt w:val="bullet"/>
      <w:lvlText w:val=""/>
      <w:lvlJc w:val="left"/>
      <w:pPr>
        <w:ind w:left="3960" w:hanging="360"/>
      </w:pPr>
      <w:rPr>
        <w:rFonts w:ascii="Wingdings" w:hAnsi="Wingdings" w:hint="default"/>
      </w:rPr>
    </w:lvl>
    <w:lvl w:ilvl="6" w:tplc="8D544728" w:tentative="1">
      <w:start w:val="1"/>
      <w:numFmt w:val="bullet"/>
      <w:lvlText w:val=""/>
      <w:lvlJc w:val="left"/>
      <w:pPr>
        <w:ind w:left="4680" w:hanging="360"/>
      </w:pPr>
      <w:rPr>
        <w:rFonts w:ascii="Symbol" w:hAnsi="Symbol" w:hint="default"/>
      </w:rPr>
    </w:lvl>
    <w:lvl w:ilvl="7" w:tplc="4E36E492" w:tentative="1">
      <w:start w:val="1"/>
      <w:numFmt w:val="bullet"/>
      <w:lvlText w:val="o"/>
      <w:lvlJc w:val="left"/>
      <w:pPr>
        <w:ind w:left="5400" w:hanging="360"/>
      </w:pPr>
      <w:rPr>
        <w:rFonts w:ascii="Courier New" w:hAnsi="Courier New" w:cs="Courier New" w:hint="default"/>
      </w:rPr>
    </w:lvl>
    <w:lvl w:ilvl="8" w:tplc="655A8A44" w:tentative="1">
      <w:start w:val="1"/>
      <w:numFmt w:val="bullet"/>
      <w:lvlText w:val=""/>
      <w:lvlJc w:val="left"/>
      <w:pPr>
        <w:ind w:left="6120" w:hanging="360"/>
      </w:pPr>
      <w:rPr>
        <w:rFonts w:ascii="Wingdings" w:hAnsi="Wingdings" w:hint="default"/>
      </w:rPr>
    </w:lvl>
  </w:abstractNum>
  <w:abstractNum w:abstractNumId="5"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40180"/>
    <w:multiLevelType w:val="multilevel"/>
    <w:tmpl w:val="9EFA45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02DA3"/>
    <w:multiLevelType w:val="hybridMultilevel"/>
    <w:tmpl w:val="3A18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64523"/>
    <w:multiLevelType w:val="hybridMultilevel"/>
    <w:tmpl w:val="AB52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190E6293"/>
    <w:multiLevelType w:val="hybridMultilevel"/>
    <w:tmpl w:val="BB4E4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4"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E41F0"/>
    <w:multiLevelType w:val="multilevel"/>
    <w:tmpl w:val="AF62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8"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E03EA"/>
    <w:multiLevelType w:val="hybridMultilevel"/>
    <w:tmpl w:val="3B26B22E"/>
    <w:lvl w:ilvl="0" w:tplc="E3EA104A">
      <w:numFmt w:val="bullet"/>
      <w:lvlText w:val=""/>
      <w:lvlJc w:val="left"/>
      <w:pPr>
        <w:ind w:left="360" w:hanging="360"/>
      </w:pPr>
      <w:rPr>
        <w:rFonts w:ascii="Symbol" w:eastAsia="Times New Roman" w:hAnsi="Symbol" w:cs="Aria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205F6D"/>
    <w:multiLevelType w:val="hybridMultilevel"/>
    <w:tmpl w:val="CEE25194"/>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B3815"/>
    <w:multiLevelType w:val="multilevel"/>
    <w:tmpl w:val="615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E1CAB"/>
    <w:multiLevelType w:val="hybridMultilevel"/>
    <w:tmpl w:val="B60EB136"/>
    <w:lvl w:ilvl="0" w:tplc="54B41068">
      <w:start w:val="40"/>
      <w:numFmt w:val="bullet"/>
      <w:lvlText w:val=""/>
      <w:lvlJc w:val="left"/>
      <w:pPr>
        <w:ind w:left="360" w:hanging="360"/>
      </w:pPr>
      <w:rPr>
        <w:rFonts w:ascii="Symbol" w:eastAsia="Calibri" w:hAnsi="Symbol" w:cs="Aria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9" w15:restartNumberingAfterBreak="0">
    <w:nsid w:val="56413207"/>
    <w:multiLevelType w:val="hybridMultilevel"/>
    <w:tmpl w:val="E7289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5B63D7"/>
    <w:multiLevelType w:val="multilevel"/>
    <w:tmpl w:val="0FAC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5F51EB"/>
    <w:multiLevelType w:val="hybridMultilevel"/>
    <w:tmpl w:val="4288AC66"/>
    <w:lvl w:ilvl="0" w:tplc="1A7C478C">
      <w:start w:val="1"/>
      <w:numFmt w:val="bullet"/>
      <w:lvlText w:val=""/>
      <w:lvlJc w:val="left"/>
      <w:rPr>
        <w:rFonts w:ascii="Symbol" w:eastAsia="Calibr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0E5D45"/>
    <w:multiLevelType w:val="multilevel"/>
    <w:tmpl w:val="BC5A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076784">
    <w:abstractNumId w:val="18"/>
  </w:num>
  <w:num w:numId="2" w16cid:durableId="1050154850">
    <w:abstractNumId w:val="22"/>
  </w:num>
  <w:num w:numId="3" w16cid:durableId="1172141151">
    <w:abstractNumId w:val="36"/>
  </w:num>
  <w:num w:numId="4" w16cid:durableId="2013332667">
    <w:abstractNumId w:val="30"/>
  </w:num>
  <w:num w:numId="5" w16cid:durableId="209920753">
    <w:abstractNumId w:val="13"/>
  </w:num>
  <w:num w:numId="6" w16cid:durableId="1395280532">
    <w:abstractNumId w:val="26"/>
  </w:num>
  <w:num w:numId="7" w16cid:durableId="758217722">
    <w:abstractNumId w:val="20"/>
  </w:num>
  <w:num w:numId="8" w16cid:durableId="1091508283">
    <w:abstractNumId w:val="0"/>
  </w:num>
  <w:num w:numId="9" w16cid:durableId="387917951">
    <w:abstractNumId w:val="11"/>
  </w:num>
  <w:num w:numId="10" w16cid:durableId="2003268072">
    <w:abstractNumId w:val="35"/>
  </w:num>
  <w:num w:numId="11" w16cid:durableId="624578354">
    <w:abstractNumId w:val="31"/>
  </w:num>
  <w:num w:numId="12" w16cid:durableId="1159736857">
    <w:abstractNumId w:val="23"/>
  </w:num>
  <w:num w:numId="13" w16cid:durableId="1571574362">
    <w:abstractNumId w:val="17"/>
  </w:num>
  <w:num w:numId="14" w16cid:durableId="1706366393">
    <w:abstractNumId w:val="8"/>
  </w:num>
  <w:num w:numId="15" w16cid:durableId="922448176">
    <w:abstractNumId w:val="16"/>
  </w:num>
  <w:num w:numId="16" w16cid:durableId="1800536275">
    <w:abstractNumId w:val="5"/>
  </w:num>
  <w:num w:numId="17" w16cid:durableId="680741805">
    <w:abstractNumId w:val="37"/>
  </w:num>
  <w:num w:numId="18" w16cid:durableId="68771556">
    <w:abstractNumId w:val="24"/>
  </w:num>
  <w:num w:numId="19" w16cid:durableId="993290255">
    <w:abstractNumId w:val="14"/>
  </w:num>
  <w:num w:numId="20" w16cid:durableId="1628926990">
    <w:abstractNumId w:val="2"/>
  </w:num>
  <w:num w:numId="21" w16cid:durableId="621882758">
    <w:abstractNumId w:val="1"/>
  </w:num>
  <w:num w:numId="22" w16cid:durableId="1539657968">
    <w:abstractNumId w:val="7"/>
  </w:num>
  <w:num w:numId="23" w16cid:durableId="827943890">
    <w:abstractNumId w:val="21"/>
  </w:num>
  <w:num w:numId="24" w16cid:durableId="1642347625">
    <w:abstractNumId w:val="15"/>
  </w:num>
  <w:num w:numId="25" w16cid:durableId="1661927882">
    <w:abstractNumId w:val="32"/>
  </w:num>
  <w:num w:numId="26" w16cid:durableId="250703612">
    <w:abstractNumId w:val="19"/>
  </w:num>
  <w:num w:numId="27" w16cid:durableId="1856724354">
    <w:abstractNumId w:val="25"/>
  </w:num>
  <w:num w:numId="28" w16cid:durableId="835000653">
    <w:abstractNumId w:val="6"/>
  </w:num>
  <w:num w:numId="29" w16cid:durableId="1534462390">
    <w:abstractNumId w:val="3"/>
  </w:num>
  <w:num w:numId="30" w16cid:durableId="801845420">
    <w:abstractNumId w:val="28"/>
  </w:num>
  <w:num w:numId="31" w16cid:durableId="1574006938">
    <w:abstractNumId w:val="27"/>
  </w:num>
  <w:num w:numId="32" w16cid:durableId="1346833108">
    <w:abstractNumId w:val="9"/>
  </w:num>
  <w:num w:numId="33" w16cid:durableId="1833370991">
    <w:abstractNumId w:val="33"/>
  </w:num>
  <w:num w:numId="34" w16cid:durableId="220020911">
    <w:abstractNumId w:val="29"/>
  </w:num>
  <w:num w:numId="35" w16cid:durableId="1757550458">
    <w:abstractNumId w:val="10"/>
  </w:num>
  <w:num w:numId="36" w16cid:durableId="866334555">
    <w:abstractNumId w:val="4"/>
  </w:num>
  <w:num w:numId="37" w16cid:durableId="1047026961">
    <w:abstractNumId w:val="34"/>
  </w:num>
  <w:num w:numId="38" w16cid:durableId="19577131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397"/>
  <w:evenAndOddHeaders/>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36E97"/>
    <w:rsid w:val="000552ED"/>
    <w:rsid w:val="000718C2"/>
    <w:rsid w:val="00087316"/>
    <w:rsid w:val="00087B26"/>
    <w:rsid w:val="000A3731"/>
    <w:rsid w:val="000A7604"/>
    <w:rsid w:val="000C131C"/>
    <w:rsid w:val="000C13C4"/>
    <w:rsid w:val="000C236E"/>
    <w:rsid w:val="000C24D2"/>
    <w:rsid w:val="000C32F6"/>
    <w:rsid w:val="000C4352"/>
    <w:rsid w:val="000C7415"/>
    <w:rsid w:val="000D0CA3"/>
    <w:rsid w:val="000D10A7"/>
    <w:rsid w:val="000D7955"/>
    <w:rsid w:val="000E38FA"/>
    <w:rsid w:val="00157782"/>
    <w:rsid w:val="00160BCD"/>
    <w:rsid w:val="001645B1"/>
    <w:rsid w:val="00164AB3"/>
    <w:rsid w:val="00170E1D"/>
    <w:rsid w:val="001742E8"/>
    <w:rsid w:val="00181D16"/>
    <w:rsid w:val="0018721E"/>
    <w:rsid w:val="00192673"/>
    <w:rsid w:val="001A0002"/>
    <w:rsid w:val="001D2C96"/>
    <w:rsid w:val="001D2FDC"/>
    <w:rsid w:val="001D3641"/>
    <w:rsid w:val="001D4749"/>
    <w:rsid w:val="001E6A9C"/>
    <w:rsid w:val="001F2FFC"/>
    <w:rsid w:val="002044C6"/>
    <w:rsid w:val="00211D18"/>
    <w:rsid w:val="00212324"/>
    <w:rsid w:val="00217A08"/>
    <w:rsid w:val="00224C6A"/>
    <w:rsid w:val="00227591"/>
    <w:rsid w:val="00234C6B"/>
    <w:rsid w:val="00240506"/>
    <w:rsid w:val="0024191D"/>
    <w:rsid w:val="002519BC"/>
    <w:rsid w:val="00261F65"/>
    <w:rsid w:val="00272B00"/>
    <w:rsid w:val="00275E42"/>
    <w:rsid w:val="002A2B0C"/>
    <w:rsid w:val="002B3E4A"/>
    <w:rsid w:val="002C45DF"/>
    <w:rsid w:val="002E5DFE"/>
    <w:rsid w:val="002F0EE3"/>
    <w:rsid w:val="002F0FCF"/>
    <w:rsid w:val="00305880"/>
    <w:rsid w:val="003119FD"/>
    <w:rsid w:val="00314821"/>
    <w:rsid w:val="003151B1"/>
    <w:rsid w:val="00317DCD"/>
    <w:rsid w:val="003446BB"/>
    <w:rsid w:val="0035035B"/>
    <w:rsid w:val="00351FEF"/>
    <w:rsid w:val="00360F01"/>
    <w:rsid w:val="00365E60"/>
    <w:rsid w:val="00374196"/>
    <w:rsid w:val="0038402D"/>
    <w:rsid w:val="00393D19"/>
    <w:rsid w:val="00393F32"/>
    <w:rsid w:val="003B04E0"/>
    <w:rsid w:val="003B537C"/>
    <w:rsid w:val="003C6AA7"/>
    <w:rsid w:val="003D0578"/>
    <w:rsid w:val="003D1152"/>
    <w:rsid w:val="003D4AF9"/>
    <w:rsid w:val="003E0A56"/>
    <w:rsid w:val="003F0A7C"/>
    <w:rsid w:val="003F78BB"/>
    <w:rsid w:val="00405788"/>
    <w:rsid w:val="004112B2"/>
    <w:rsid w:val="00413580"/>
    <w:rsid w:val="00416142"/>
    <w:rsid w:val="00424C06"/>
    <w:rsid w:val="0044308F"/>
    <w:rsid w:val="00446E1E"/>
    <w:rsid w:val="004543DB"/>
    <w:rsid w:val="00457193"/>
    <w:rsid w:val="00466666"/>
    <w:rsid w:val="00470FED"/>
    <w:rsid w:val="00471658"/>
    <w:rsid w:val="0049377A"/>
    <w:rsid w:val="004A71EC"/>
    <w:rsid w:val="004B1C7A"/>
    <w:rsid w:val="004E0958"/>
    <w:rsid w:val="005005D6"/>
    <w:rsid w:val="0050192F"/>
    <w:rsid w:val="00510316"/>
    <w:rsid w:val="00512B59"/>
    <w:rsid w:val="005211F2"/>
    <w:rsid w:val="00527001"/>
    <w:rsid w:val="005368B8"/>
    <w:rsid w:val="005416E9"/>
    <w:rsid w:val="00550D8D"/>
    <w:rsid w:val="005550EA"/>
    <w:rsid w:val="005619D8"/>
    <w:rsid w:val="0057021D"/>
    <w:rsid w:val="00584764"/>
    <w:rsid w:val="00584CB0"/>
    <w:rsid w:val="0059386B"/>
    <w:rsid w:val="00594AD6"/>
    <w:rsid w:val="005A4E4A"/>
    <w:rsid w:val="005D669A"/>
    <w:rsid w:val="005D7151"/>
    <w:rsid w:val="005F608C"/>
    <w:rsid w:val="005F635C"/>
    <w:rsid w:val="005F7159"/>
    <w:rsid w:val="00607F1B"/>
    <w:rsid w:val="00610B49"/>
    <w:rsid w:val="0061346A"/>
    <w:rsid w:val="006154FA"/>
    <w:rsid w:val="00616982"/>
    <w:rsid w:val="0062321C"/>
    <w:rsid w:val="006358E3"/>
    <w:rsid w:val="0065160D"/>
    <w:rsid w:val="00652D7C"/>
    <w:rsid w:val="0065482B"/>
    <w:rsid w:val="00657997"/>
    <w:rsid w:val="00667945"/>
    <w:rsid w:val="0068148C"/>
    <w:rsid w:val="006824DB"/>
    <w:rsid w:val="00683B19"/>
    <w:rsid w:val="00686290"/>
    <w:rsid w:val="006A07E8"/>
    <w:rsid w:val="006A0E9A"/>
    <w:rsid w:val="006B1072"/>
    <w:rsid w:val="006B543C"/>
    <w:rsid w:val="006D0DA1"/>
    <w:rsid w:val="006E0F39"/>
    <w:rsid w:val="006F5773"/>
    <w:rsid w:val="006F6786"/>
    <w:rsid w:val="00702D1B"/>
    <w:rsid w:val="00704779"/>
    <w:rsid w:val="00716740"/>
    <w:rsid w:val="007178F3"/>
    <w:rsid w:val="00720415"/>
    <w:rsid w:val="007240DD"/>
    <w:rsid w:val="00725FD5"/>
    <w:rsid w:val="00733272"/>
    <w:rsid w:val="00736438"/>
    <w:rsid w:val="00736791"/>
    <w:rsid w:val="007377A3"/>
    <w:rsid w:val="007405C7"/>
    <w:rsid w:val="007506C0"/>
    <w:rsid w:val="00753896"/>
    <w:rsid w:val="007667D8"/>
    <w:rsid w:val="007742CB"/>
    <w:rsid w:val="00776EE2"/>
    <w:rsid w:val="00777381"/>
    <w:rsid w:val="00787937"/>
    <w:rsid w:val="00796021"/>
    <w:rsid w:val="007A1DAF"/>
    <w:rsid w:val="007A31E7"/>
    <w:rsid w:val="007A6CDA"/>
    <w:rsid w:val="007B7399"/>
    <w:rsid w:val="007C7168"/>
    <w:rsid w:val="007C726C"/>
    <w:rsid w:val="007D3C42"/>
    <w:rsid w:val="007D3C93"/>
    <w:rsid w:val="007D6EEE"/>
    <w:rsid w:val="007E5546"/>
    <w:rsid w:val="007E6EFF"/>
    <w:rsid w:val="007F1459"/>
    <w:rsid w:val="007F29C9"/>
    <w:rsid w:val="008046BD"/>
    <w:rsid w:val="008118B6"/>
    <w:rsid w:val="00815B57"/>
    <w:rsid w:val="00826FF6"/>
    <w:rsid w:val="00830DEF"/>
    <w:rsid w:val="00837F2F"/>
    <w:rsid w:val="00840D01"/>
    <w:rsid w:val="0084161C"/>
    <w:rsid w:val="00851BDA"/>
    <w:rsid w:val="00852711"/>
    <w:rsid w:val="0085752E"/>
    <w:rsid w:val="00863FB9"/>
    <w:rsid w:val="00881FB9"/>
    <w:rsid w:val="0088603E"/>
    <w:rsid w:val="00892A98"/>
    <w:rsid w:val="008C0830"/>
    <w:rsid w:val="008E3B75"/>
    <w:rsid w:val="008F5AA2"/>
    <w:rsid w:val="008F7821"/>
    <w:rsid w:val="009023FC"/>
    <w:rsid w:val="009041F4"/>
    <w:rsid w:val="00910E15"/>
    <w:rsid w:val="00913099"/>
    <w:rsid w:val="00937F47"/>
    <w:rsid w:val="00940C99"/>
    <w:rsid w:val="00941F73"/>
    <w:rsid w:val="009522CA"/>
    <w:rsid w:val="00964C3B"/>
    <w:rsid w:val="00980980"/>
    <w:rsid w:val="009A29C1"/>
    <w:rsid w:val="009B53E8"/>
    <w:rsid w:val="009C1F8B"/>
    <w:rsid w:val="009C5E89"/>
    <w:rsid w:val="009D4AFE"/>
    <w:rsid w:val="009D6526"/>
    <w:rsid w:val="009D7325"/>
    <w:rsid w:val="009E1AC8"/>
    <w:rsid w:val="009E4BBC"/>
    <w:rsid w:val="009E6FD9"/>
    <w:rsid w:val="00A04D35"/>
    <w:rsid w:val="00A14F23"/>
    <w:rsid w:val="00A23653"/>
    <w:rsid w:val="00A27C04"/>
    <w:rsid w:val="00A34A5C"/>
    <w:rsid w:val="00A35FB3"/>
    <w:rsid w:val="00A36D7F"/>
    <w:rsid w:val="00A41266"/>
    <w:rsid w:val="00A41FB6"/>
    <w:rsid w:val="00A50FBE"/>
    <w:rsid w:val="00A54674"/>
    <w:rsid w:val="00A61580"/>
    <w:rsid w:val="00A6397F"/>
    <w:rsid w:val="00A8097E"/>
    <w:rsid w:val="00A80EBE"/>
    <w:rsid w:val="00A84CB3"/>
    <w:rsid w:val="00A910EE"/>
    <w:rsid w:val="00A953FC"/>
    <w:rsid w:val="00A95F73"/>
    <w:rsid w:val="00AC5C15"/>
    <w:rsid w:val="00AC7681"/>
    <w:rsid w:val="00AD38FA"/>
    <w:rsid w:val="00AE03A0"/>
    <w:rsid w:val="00AE0A3D"/>
    <w:rsid w:val="00AE31E1"/>
    <w:rsid w:val="00AE7DAB"/>
    <w:rsid w:val="00AF2301"/>
    <w:rsid w:val="00AF7379"/>
    <w:rsid w:val="00B01614"/>
    <w:rsid w:val="00B045C9"/>
    <w:rsid w:val="00B108F2"/>
    <w:rsid w:val="00B23956"/>
    <w:rsid w:val="00B405E1"/>
    <w:rsid w:val="00B43027"/>
    <w:rsid w:val="00B468E5"/>
    <w:rsid w:val="00B80567"/>
    <w:rsid w:val="00B8506D"/>
    <w:rsid w:val="00B86340"/>
    <w:rsid w:val="00BB7C63"/>
    <w:rsid w:val="00BC0FE8"/>
    <w:rsid w:val="00BE7538"/>
    <w:rsid w:val="00BF32DB"/>
    <w:rsid w:val="00C1139E"/>
    <w:rsid w:val="00C12622"/>
    <w:rsid w:val="00C36BC7"/>
    <w:rsid w:val="00C36CE5"/>
    <w:rsid w:val="00C44B37"/>
    <w:rsid w:val="00C44CE1"/>
    <w:rsid w:val="00C541C3"/>
    <w:rsid w:val="00C75652"/>
    <w:rsid w:val="00C83840"/>
    <w:rsid w:val="00C93533"/>
    <w:rsid w:val="00CA3EF1"/>
    <w:rsid w:val="00CA5B5A"/>
    <w:rsid w:val="00CA7399"/>
    <w:rsid w:val="00CA7495"/>
    <w:rsid w:val="00CB48B4"/>
    <w:rsid w:val="00CC1091"/>
    <w:rsid w:val="00CD2DFC"/>
    <w:rsid w:val="00CE7E78"/>
    <w:rsid w:val="00CF5FCA"/>
    <w:rsid w:val="00CF7A4A"/>
    <w:rsid w:val="00D20DE5"/>
    <w:rsid w:val="00D21D40"/>
    <w:rsid w:val="00D226D8"/>
    <w:rsid w:val="00D31A54"/>
    <w:rsid w:val="00D541A6"/>
    <w:rsid w:val="00D6176D"/>
    <w:rsid w:val="00D7163E"/>
    <w:rsid w:val="00D75644"/>
    <w:rsid w:val="00D92080"/>
    <w:rsid w:val="00D9338F"/>
    <w:rsid w:val="00D94E6C"/>
    <w:rsid w:val="00D97001"/>
    <w:rsid w:val="00DB0203"/>
    <w:rsid w:val="00DC0593"/>
    <w:rsid w:val="00DD7635"/>
    <w:rsid w:val="00DE50A8"/>
    <w:rsid w:val="00DF30C9"/>
    <w:rsid w:val="00DF330D"/>
    <w:rsid w:val="00E262A6"/>
    <w:rsid w:val="00E45F82"/>
    <w:rsid w:val="00E60DB0"/>
    <w:rsid w:val="00E61D38"/>
    <w:rsid w:val="00E6797F"/>
    <w:rsid w:val="00E72215"/>
    <w:rsid w:val="00E75662"/>
    <w:rsid w:val="00E7703B"/>
    <w:rsid w:val="00E86DC5"/>
    <w:rsid w:val="00E91315"/>
    <w:rsid w:val="00E94167"/>
    <w:rsid w:val="00E95AF5"/>
    <w:rsid w:val="00E95DB4"/>
    <w:rsid w:val="00EA2CFC"/>
    <w:rsid w:val="00EB0106"/>
    <w:rsid w:val="00EB244B"/>
    <w:rsid w:val="00EC6C70"/>
    <w:rsid w:val="00EC6F48"/>
    <w:rsid w:val="00ED3C01"/>
    <w:rsid w:val="00ED6F02"/>
    <w:rsid w:val="00EF07B4"/>
    <w:rsid w:val="00EF2087"/>
    <w:rsid w:val="00F0418C"/>
    <w:rsid w:val="00F077DB"/>
    <w:rsid w:val="00F20863"/>
    <w:rsid w:val="00F20E96"/>
    <w:rsid w:val="00F216E0"/>
    <w:rsid w:val="00F243ED"/>
    <w:rsid w:val="00F30EC2"/>
    <w:rsid w:val="00F3107D"/>
    <w:rsid w:val="00F32B2F"/>
    <w:rsid w:val="00F341CC"/>
    <w:rsid w:val="00F352B5"/>
    <w:rsid w:val="00F64DF6"/>
    <w:rsid w:val="00F70364"/>
    <w:rsid w:val="00F75137"/>
    <w:rsid w:val="00F90F55"/>
    <w:rsid w:val="00F97D85"/>
    <w:rsid w:val="00F97F9E"/>
    <w:rsid w:val="00FA1C8B"/>
    <w:rsid w:val="00FB16BF"/>
    <w:rsid w:val="00FB4B8A"/>
    <w:rsid w:val="00FC336F"/>
    <w:rsid w:val="00FD1A0B"/>
    <w:rsid w:val="00FD3B59"/>
    <w:rsid w:val="00FE0965"/>
    <w:rsid w:val="00FE7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B25EB"/>
  <w15:docId w15:val="{D5519596-7042-4226-B2E2-37ECD37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Heading3Char">
    <w:name w:val="Heading 3 Char"/>
    <w:link w:val="Heading3"/>
    <w:uiPriority w:val="9"/>
    <w:rsid w:val="00E95DB4"/>
    <w:rPr>
      <w:rFonts w:cs="FrankRuehl"/>
      <w:b/>
      <w:bCs/>
    </w:rPr>
  </w:style>
  <w:style w:type="character" w:customStyle="1" w:styleId="Heading9Char">
    <w:name w:val="Heading 9 Char"/>
    <w:link w:val="Heading9"/>
    <w:uiPriority w:val="9"/>
    <w:rsid w:val="00471658"/>
    <w:rPr>
      <w:rFonts w:cs="FrankRuehl"/>
      <w:b/>
      <w:bCs/>
      <w:sz w:val="26"/>
      <w:szCs w:val="26"/>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7E6EFF"/>
    <w:pPr>
      <w:spacing w:after="0"/>
      <w:ind w:right="0"/>
    </w:pPr>
    <w:rPr>
      <w:rFonts w:cs="Guttman Aharoni"/>
      <w:b w:val="0"/>
      <w:bCs w:val="0"/>
      <w:color w:val="0070C0"/>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E95DB4"/>
    <w:rPr>
      <w:rFonts w:cs="David"/>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95DB4"/>
    <w:rPr>
      <w:rFonts w:cs="David"/>
      <w:sz w:val="24"/>
      <w:szCs w:val="24"/>
    </w:r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qFormat/>
    <w:pPr>
      <w:spacing w:line="240" w:lineRule="auto"/>
    </w:pPr>
    <w:rPr>
      <w:rFonts w:cs="Times New Roman"/>
      <w:sz w:val="20"/>
      <w:szCs w:val="20"/>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DB4"/>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sid w:val="00E95DB4"/>
  </w:style>
  <w:style w:type="character" w:customStyle="1" w:styleId="CommentSubjectChar">
    <w:name w:val="Comment Subject Char"/>
    <w:link w:val="CommentSubject"/>
    <w:uiPriority w:val="99"/>
    <w:semiHidden/>
    <w:rsid w:val="00E95DB4"/>
    <w:rPr>
      <w:b/>
      <w:bCs/>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character" w:customStyle="1" w:styleId="TitleChar">
    <w:name w:val="Title Char"/>
    <w:link w:val="Title"/>
    <w:uiPriority w:val="10"/>
    <w:rsid w:val="00E95DB4"/>
    <w:rPr>
      <w:rFonts w:cs="David"/>
      <w:sz w:val="24"/>
      <w:szCs w:val="24"/>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styleId="CommentReference">
    <w:name w:val="annotation reference"/>
    <w:uiPriority w:val="99"/>
    <w:semiHidden/>
    <w:unhideWhenUsed/>
    <w:rsid w:val="00E95DB4"/>
    <w:rPr>
      <w:sz w:val="16"/>
      <w:szCs w:val="16"/>
    </w:rPr>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pple-converted-space">
    <w:name w:val="apple-converted-space"/>
    <w:rsid w:val="00E95DB4"/>
  </w:style>
  <w:style w:type="character" w:customStyle="1" w:styleId="personname">
    <w:name w:val="person_name"/>
    <w:rsid w:val="00E95DB4"/>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7E6EFF"/>
    <w:pPr>
      <w:outlineLvl w:val="3"/>
    </w:pPr>
    <w:rPr>
      <w:rFonts w:ascii="Times New Roman" w:hAnsi="Times New Roman" w:cs="Times New Roman"/>
      <w:b/>
      <w:bCs/>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E6797F"/>
    <w:pPr>
      <w:spacing w:before="120" w:after="120" w:line="280" w:lineRule="exact"/>
    </w:pPr>
    <w:rPr>
      <w:color w:val="0B5294"/>
      <w:sz w:val="20"/>
      <w:szCs w:val="20"/>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FootnoteTextChar1">
    <w:name w:val="Footnote Text Char1"/>
    <w:aliases w:val="תו Char"/>
    <w:uiPriority w:val="99"/>
    <w:semiHidden/>
    <w:locked/>
    <w:rsid w:val="00F30EC2"/>
    <w:rPr>
      <w:rFonts w:ascii="Times New Roman" w:eastAsia="Calibri" w:hAnsi="Times New Roman" w:cs="David"/>
      <w:sz w:val="20"/>
      <w:szCs w:val="20"/>
    </w:rPr>
  </w:style>
  <w:style w:type="paragraph" w:styleId="BodyText2">
    <w:name w:val="Body Text 2"/>
    <w:basedOn w:val="Normal"/>
    <w:link w:val="BodyText2Char"/>
    <w:uiPriority w:val="99"/>
    <w:unhideWhenUsed/>
    <w:rsid w:val="00A50FBE"/>
    <w:pPr>
      <w:spacing w:after="120" w:line="300" w:lineRule="exact"/>
      <w:jc w:val="both"/>
    </w:pPr>
    <w:rPr>
      <w:rFonts w:cs="Times New Roman"/>
      <w:sz w:val="22"/>
      <w:szCs w:val="22"/>
    </w:rPr>
  </w:style>
  <w:style w:type="character" w:customStyle="1" w:styleId="BodyText2Char">
    <w:name w:val="Body Text 2 Char"/>
    <w:link w:val="BodyText2"/>
    <w:uiPriority w:val="99"/>
    <w:rsid w:val="00A50FBE"/>
    <w:rPr>
      <w:rFonts w:ascii="Times New Roman" w:hAnsi="Times New Roman" w:cs="Times New Roman"/>
      <w:sz w:val="22"/>
      <w:szCs w:val="22"/>
    </w:rPr>
  </w:style>
  <w:style w:type="paragraph" w:styleId="BodyTextIndent2">
    <w:name w:val="Body Text Indent 2"/>
    <w:basedOn w:val="Normal"/>
    <w:link w:val="BodyTextIndent2Char"/>
    <w:uiPriority w:val="99"/>
    <w:unhideWhenUsed/>
    <w:rsid w:val="008C0830"/>
    <w:pPr>
      <w:spacing w:after="120" w:line="300" w:lineRule="exact"/>
      <w:ind w:left="567"/>
      <w:jc w:val="both"/>
    </w:pPr>
    <w:rPr>
      <w:rFonts w:cs="Times New Roman"/>
      <w:sz w:val="22"/>
      <w:szCs w:val="22"/>
    </w:rPr>
  </w:style>
  <w:style w:type="character" w:customStyle="1" w:styleId="BodyTextIndent2Char">
    <w:name w:val="Body Text Indent 2 Char"/>
    <w:link w:val="BodyTextIndent2"/>
    <w:uiPriority w:val="99"/>
    <w:rsid w:val="008C0830"/>
    <w:rPr>
      <w:sz w:val="22"/>
      <w:szCs w:val="22"/>
    </w:rPr>
  </w:style>
  <w:style w:type="paragraph" w:customStyle="1" w:styleId="Default0">
    <w:name w:val="Default"/>
    <w:rsid w:val="007506C0"/>
    <w:pPr>
      <w:autoSpaceDE w:val="0"/>
      <w:autoSpaceDN w:val="0"/>
      <w:adjustRightInd w:val="0"/>
    </w:pPr>
    <w:rPr>
      <w:rFonts w:ascii="Code" w:eastAsia="Calibri" w:hAnsi="Code" w:cs="Code"/>
      <w:color w:val="000000"/>
      <w:sz w:val="24"/>
      <w:szCs w:val="24"/>
      <w:lang w:val="en-GB"/>
    </w:rPr>
  </w:style>
  <w:style w:type="paragraph" w:customStyle="1" w:styleId="m5913543275134307516xm-6574082299105977569xmsonormal">
    <w:name w:val="m_5913543275134307516x_m_-6574082299105977569x_msonormal"/>
    <w:basedOn w:val="Normal"/>
    <w:rsid w:val="00787937"/>
    <w:pPr>
      <w:bidi w:val="0"/>
      <w:spacing w:before="100" w:beforeAutospacing="1" w:after="100" w:afterAutospacing="1" w:line="240" w:lineRule="auto"/>
    </w:pPr>
    <w:rPr>
      <w:rFonts w:cs="Times New Roman"/>
      <w:lang w:val="en-GB" w:eastAsia="en-GB"/>
    </w:rPr>
  </w:style>
  <w:style w:type="paragraph" w:customStyle="1" w:styleId="Hesber">
    <w:name w:val="Hesber"/>
    <w:basedOn w:val="Normal"/>
    <w:rsid w:val="00E72215"/>
    <w:pPr>
      <w:widowControl w:val="0"/>
      <w:autoSpaceDE w:val="0"/>
      <w:autoSpaceDN w:val="0"/>
      <w:adjustRightInd w:val="0"/>
      <w:snapToGrid w:val="0"/>
      <w:spacing w:line="360" w:lineRule="auto"/>
      <w:ind w:firstLine="340"/>
      <w:jc w:val="both"/>
    </w:pPr>
    <w:rPr>
      <w:rFonts w:ascii="Arial" w:eastAsia="Arial Unicode MS" w:hAnsi="Arial"/>
      <w:color w:val="000000"/>
      <w:sz w:val="20"/>
      <w:szCs w:val="26"/>
      <w:lang w:eastAsia="ja-JP"/>
    </w:rPr>
  </w:style>
  <w:style w:type="character" w:customStyle="1" w:styleId="mw-headline">
    <w:name w:val="mw-headline"/>
    <w:rsid w:val="00E72215"/>
  </w:style>
  <w:style w:type="paragraph" w:customStyle="1" w:styleId="Ruller4">
    <w:name w:val="Ruller 4 ממוספר"/>
    <w:basedOn w:val="Normal"/>
    <w:next w:val="Normal"/>
    <w:rsid w:val="00E72215"/>
    <w:pPr>
      <w:numPr>
        <w:numId w:val="29"/>
      </w:numPr>
      <w:tabs>
        <w:tab w:val="left" w:pos="800"/>
      </w:tabs>
      <w:overflowPunct w:val="0"/>
      <w:autoSpaceDE w:val="0"/>
      <w:autoSpaceDN w:val="0"/>
      <w:adjustRightInd w:val="0"/>
      <w:spacing w:line="360" w:lineRule="auto"/>
      <w:jc w:val="both"/>
      <w:textAlignment w:val="baseline"/>
    </w:pPr>
    <w:rPr>
      <w:rFonts w:ascii="Garamond" w:hAnsi="Garamond" w:cs="FrankRuehl"/>
      <w:spacing w:val="10"/>
      <w:szCs w:val="28"/>
    </w:rPr>
  </w:style>
  <w:style w:type="paragraph" w:customStyle="1" w:styleId="Ruller40">
    <w:name w:val="Ruller4"/>
    <w:basedOn w:val="Normal"/>
    <w:link w:val="Ruller41"/>
    <w:qFormat/>
    <w:rsid w:val="00E72215"/>
    <w:pPr>
      <w:tabs>
        <w:tab w:val="left" w:pos="800"/>
      </w:tabs>
      <w:overflowPunct w:val="0"/>
      <w:autoSpaceDE w:val="0"/>
      <w:autoSpaceDN w:val="0"/>
      <w:adjustRightInd w:val="0"/>
      <w:spacing w:line="360" w:lineRule="auto"/>
      <w:jc w:val="both"/>
      <w:textAlignment w:val="baseline"/>
    </w:pPr>
    <w:rPr>
      <w:rFonts w:ascii="Arial TUR" w:hAnsi="Arial TUR" w:cs="FrankRuehl"/>
      <w:spacing w:val="10"/>
      <w:sz w:val="22"/>
      <w:szCs w:val="28"/>
    </w:rPr>
  </w:style>
  <w:style w:type="character" w:customStyle="1" w:styleId="Ruller41">
    <w:name w:val="Ruller4 תו"/>
    <w:link w:val="Ruller40"/>
    <w:locked/>
    <w:rsid w:val="00E72215"/>
    <w:rPr>
      <w:rFonts w:ascii="Arial TUR" w:hAnsi="Arial TUR" w:cs="FrankRuehl"/>
      <w:spacing w:val="10"/>
      <w:sz w:val="22"/>
      <w:szCs w:val="28"/>
    </w:rPr>
  </w:style>
  <w:style w:type="character" w:customStyle="1" w:styleId="law-external">
    <w:name w:val="law-external"/>
    <w:rsid w:val="00E72215"/>
  </w:style>
  <w:style w:type="paragraph" w:styleId="BodyTextIndent3">
    <w:name w:val="Body Text Indent 3"/>
    <w:basedOn w:val="Normal"/>
    <w:link w:val="BodyTextIndent3Char"/>
    <w:uiPriority w:val="99"/>
    <w:unhideWhenUsed/>
    <w:rsid w:val="00393F32"/>
    <w:pPr>
      <w:spacing w:after="120" w:line="300" w:lineRule="exact"/>
      <w:ind w:left="567"/>
      <w:jc w:val="both"/>
    </w:pPr>
    <w:rPr>
      <w:rFonts w:ascii="David" w:hAnsi="David"/>
      <w:sz w:val="20"/>
      <w:szCs w:val="20"/>
    </w:rPr>
  </w:style>
  <w:style w:type="character" w:customStyle="1" w:styleId="BodyTextIndent3Char">
    <w:name w:val="Body Text Indent 3 Char"/>
    <w:link w:val="BodyTextIndent3"/>
    <w:uiPriority w:val="99"/>
    <w:rsid w:val="00393F32"/>
    <w:rPr>
      <w:rFonts w:ascii="David" w:hAnsi="David" w:cs="David"/>
    </w:rPr>
  </w:style>
  <w:style w:type="paragraph" w:customStyle="1" w:styleId="BODYVERDICT">
    <w:name w:val="BODY VERDICT"/>
    <w:basedOn w:val="Normal"/>
    <w:rsid w:val="00AE7DAB"/>
    <w:pPr>
      <w:overflowPunct w:val="0"/>
      <w:autoSpaceDE w:val="0"/>
      <w:autoSpaceDN w:val="0"/>
      <w:adjustRightInd w:val="0"/>
      <w:spacing w:line="240" w:lineRule="auto"/>
    </w:pPr>
    <w:rPr>
      <w:rFonts w:cs="FrankRuehl"/>
      <w:spacing w:val="10"/>
      <w:sz w:val="22"/>
      <w:szCs w:val="28"/>
    </w:rPr>
  </w:style>
  <w:style w:type="paragraph" w:styleId="Revision">
    <w:name w:val="Revision"/>
    <w:hidden/>
    <w:uiPriority w:val="99"/>
    <w:semiHidden/>
    <w:rsid w:val="00AE7DAB"/>
    <w:rPr>
      <w:rFonts w:ascii="Calibri" w:eastAsia="Calibri" w:hAnsi="Calibri" w:cs="Arial"/>
      <w:noProof/>
      <w:sz w:val="22"/>
      <w:szCs w:val="22"/>
    </w:rPr>
  </w:style>
  <w:style w:type="paragraph" w:customStyle="1" w:styleId="big-header">
    <w:name w:val="big-header"/>
    <w:basedOn w:val="Normal"/>
    <w:rsid w:val="00AE7DAB"/>
    <w:pPr>
      <w:bidi w:val="0"/>
      <w:spacing w:before="100" w:beforeAutospacing="1" w:after="100" w:afterAutospacing="1" w:line="240" w:lineRule="auto"/>
    </w:pPr>
    <w:rPr>
      <w:rFonts w:cs="Times New Roman"/>
    </w:rPr>
  </w:style>
  <w:style w:type="paragraph" w:customStyle="1" w:styleId="p00">
    <w:name w:val="p00"/>
    <w:basedOn w:val="Normal"/>
    <w:rsid w:val="00AE7DAB"/>
    <w:pPr>
      <w:bidi w:val="0"/>
      <w:spacing w:before="100" w:beforeAutospacing="1" w:after="100" w:afterAutospacing="1" w:line="240" w:lineRule="auto"/>
    </w:pPr>
    <w:rPr>
      <w:rFonts w:cs="Times New Roman"/>
    </w:rPr>
  </w:style>
  <w:style w:type="character" w:customStyle="1" w:styleId="big-number">
    <w:name w:val="big-number"/>
    <w:basedOn w:val="DefaultParagraphFont"/>
    <w:rsid w:val="00AE7DAB"/>
  </w:style>
  <w:style w:type="paragraph" w:customStyle="1" w:styleId="p22">
    <w:name w:val="p22"/>
    <w:basedOn w:val="Normal"/>
    <w:rsid w:val="00AE7DAB"/>
    <w:pPr>
      <w:bidi w:val="0"/>
      <w:spacing w:before="100" w:beforeAutospacing="1" w:after="100" w:afterAutospacing="1" w:line="240" w:lineRule="auto"/>
    </w:pPr>
    <w:rPr>
      <w:rFonts w:cs="Times New Roman"/>
    </w:rPr>
  </w:style>
  <w:style w:type="paragraph" w:customStyle="1" w:styleId="p33">
    <w:name w:val="p33"/>
    <w:basedOn w:val="Normal"/>
    <w:rsid w:val="00AE7DAB"/>
    <w:pPr>
      <w:bidi w:val="0"/>
      <w:spacing w:before="100" w:beforeAutospacing="1" w:after="100" w:afterAutospacing="1" w:line="240" w:lineRule="auto"/>
    </w:pPr>
    <w:rPr>
      <w:rFonts w:cs="Times New Roman"/>
    </w:rPr>
  </w:style>
  <w:style w:type="character" w:customStyle="1" w:styleId="il">
    <w:name w:val="il"/>
    <w:basedOn w:val="DefaultParagraphFont"/>
    <w:rsid w:val="00EC6C70"/>
  </w:style>
  <w:style w:type="character" w:customStyle="1" w:styleId="law-local">
    <w:name w:val="law-local"/>
    <w:basedOn w:val="DefaultParagraphFont"/>
    <w:rsid w:val="00EC6C70"/>
  </w:style>
  <w:style w:type="character" w:customStyle="1" w:styleId="cf01">
    <w:name w:val="cf01"/>
    <w:basedOn w:val="DefaultParagraphFont"/>
    <w:rsid w:val="00D541A6"/>
    <w:rPr>
      <w:rFonts w:ascii="Tahoma" w:hAnsi="Tahoma" w:cs="Tahom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7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5FB9E78E9A6D0F429A0711AC650C3099" ma:contentTypeVersion="1" ma:contentTypeDescription="צור מסמך חדש." ma:contentTypeScope="" ma:versionID="e88152e45055f4ab58afd426be7117f5">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919236-683A-492A-A9A6-48EA21B02144}"/>
</file>

<file path=customXml/itemProps2.xml><?xml version="1.0" encoding="utf-8"?>
<ds:datastoreItem xmlns:ds="http://schemas.openxmlformats.org/officeDocument/2006/customXml" ds:itemID="{E27F90C0-96B0-455F-8C34-5E6F887B84A4}"/>
</file>

<file path=customXml/itemProps3.xml><?xml version="1.0" encoding="utf-8"?>
<ds:datastoreItem xmlns:ds="http://schemas.openxmlformats.org/officeDocument/2006/customXml" ds:itemID="{F1415F78-8512-4D0D-9367-1AB354198A45}"/>
</file>

<file path=docProps/app.xml><?xml version="1.0" encoding="utf-8"?>
<Properties xmlns="http://schemas.openxmlformats.org/officeDocument/2006/extended-properties" xmlns:vt="http://schemas.openxmlformats.org/officeDocument/2006/docPropsVTypes">
  <Template>Normal.dotm</Template>
  <TotalTime>101</TotalTime>
  <Pages>7</Pages>
  <Words>1976</Words>
  <Characters>11267</Characters>
  <Application>Microsoft Office Word</Application>
  <DocSecurity>0</DocSecurity>
  <Lines>93</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חקיקה ופסיקה חברתית</vt:lpstr>
      <vt:lpstr>חקיקה ופסיקה חברתית</vt:lpstr>
    </vt:vector>
  </TitlesOfParts>
  <Company>Onit Computer Services Ltd</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חקיקה ופסיקה חברתית</dc:title>
  <dc:creator>Mordechai Frankel</dc:creator>
  <cp:lastModifiedBy>Mordechai Frankel</cp:lastModifiedBy>
  <cp:revision>22</cp:revision>
  <cp:lastPrinted>2023-09-19T11:50:00Z</cp:lastPrinted>
  <dcterms:created xsi:type="dcterms:W3CDTF">2022-10-19T10:11:00Z</dcterms:created>
  <dcterms:modified xsi:type="dcterms:W3CDTF">2023-09-19T11:50:00Z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0x0101005FB9E78E9A6D0F429A0711AC650C3099</vt:lpwstr>
  </property>
  <property fmtid="{D5CDD505-2E9C-101B-9397-08002B2CF9AE}" pid="3" name="Order">
    <vt:r8>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