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49928" w14:textId="77777777" w:rsidR="00F079B8" w:rsidRPr="00DE0BCC" w:rsidRDefault="00F079B8" w:rsidP="00F079B8">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DE0BCC">
        <w:rPr>
          <w:rFonts w:ascii="Tahoma" w:hAnsi="Tahoma" w:cs="Guttman Aharoni"/>
          <w:b/>
          <w:bCs/>
          <w:color w:val="2A8E8C"/>
          <w:sz w:val="36"/>
          <w:szCs w:val="36"/>
          <w:rtl/>
        </w:rPr>
        <w:t>דבר העורך</w:t>
      </w:r>
    </w:p>
    <w:p w14:paraId="10245E17" w14:textId="4545F1DA" w:rsidR="005E570F" w:rsidRPr="005E570F" w:rsidRDefault="005E570F" w:rsidP="00FA3AF5">
      <w:pPr>
        <w:spacing w:after="180" w:line="280" w:lineRule="exact"/>
        <w:jc w:val="both"/>
        <w:rPr>
          <w:rFonts w:ascii="David" w:hAnsi="David"/>
          <w:sz w:val="20"/>
          <w:szCs w:val="20"/>
          <w:rtl/>
        </w:rPr>
      </w:pPr>
      <w:r w:rsidRPr="005E570F">
        <w:rPr>
          <w:rFonts w:ascii="David" w:hAnsi="David" w:hint="cs"/>
          <w:sz w:val="20"/>
          <w:szCs w:val="20"/>
          <w:rtl/>
        </w:rPr>
        <w:t xml:space="preserve">באופן טרגי, ועוד בטרם יצא לאור הגיליון הנוכחי, מדינת ישראל חוותה (ועדיין חווה) את </w:t>
      </w:r>
      <w:r w:rsidR="00FA3AF5">
        <w:rPr>
          <w:rFonts w:ascii="David" w:hAnsi="David" w:hint="cs"/>
          <w:sz w:val="20"/>
          <w:szCs w:val="20"/>
          <w:rtl/>
        </w:rPr>
        <w:t>האסון הקשה</w:t>
      </w:r>
      <w:r w:rsidRPr="005E570F">
        <w:rPr>
          <w:rFonts w:ascii="David" w:hAnsi="David" w:hint="cs"/>
          <w:sz w:val="20"/>
          <w:szCs w:val="20"/>
          <w:rtl/>
        </w:rPr>
        <w:t xml:space="preserve"> בתולדותיה:</w:t>
      </w:r>
      <w:r w:rsidRPr="005E570F">
        <w:rPr>
          <w:rFonts w:ascii="David" w:hAnsi="David" w:hint="cs"/>
          <w:sz w:val="20"/>
          <w:szCs w:val="20"/>
        </w:rPr>
        <w:t xml:space="preserve"> </w:t>
      </w:r>
      <w:r w:rsidR="00FA3AF5">
        <w:rPr>
          <w:rFonts w:ascii="David" w:hAnsi="David" w:hint="cs"/>
          <w:sz w:val="20"/>
          <w:szCs w:val="20"/>
          <w:rtl/>
        </w:rPr>
        <w:t>טבח ה-</w:t>
      </w:r>
      <w:r w:rsidRPr="005E570F">
        <w:rPr>
          <w:rFonts w:ascii="David" w:hAnsi="David" w:hint="cs"/>
          <w:sz w:val="20"/>
          <w:szCs w:val="20"/>
          <w:rtl/>
        </w:rPr>
        <w:t>7 באוקטובר</w:t>
      </w:r>
      <w:r w:rsidR="00FA3AF5">
        <w:rPr>
          <w:rFonts w:ascii="David" w:hAnsi="David" w:hint="cs"/>
          <w:sz w:val="20"/>
          <w:szCs w:val="20"/>
          <w:rtl/>
        </w:rPr>
        <w:t xml:space="preserve"> ביישובי עוטף עזה</w:t>
      </w:r>
      <w:r w:rsidRPr="005E570F">
        <w:rPr>
          <w:rFonts w:ascii="David" w:hAnsi="David" w:hint="cs"/>
          <w:sz w:val="20"/>
          <w:szCs w:val="20"/>
          <w:rtl/>
        </w:rPr>
        <w:t xml:space="preserve"> ומלחמת "חרבות ברזל" שנפתחה בעקבותי</w:t>
      </w:r>
      <w:r w:rsidR="00FA3AF5">
        <w:rPr>
          <w:rFonts w:ascii="David" w:hAnsi="David" w:hint="cs"/>
          <w:sz w:val="20"/>
          <w:szCs w:val="20"/>
          <w:rtl/>
        </w:rPr>
        <w:t>ו</w:t>
      </w:r>
      <w:r w:rsidRPr="005E570F">
        <w:rPr>
          <w:rFonts w:ascii="David" w:hAnsi="David" w:hint="cs"/>
          <w:sz w:val="20"/>
          <w:szCs w:val="20"/>
          <w:rtl/>
        </w:rPr>
        <w:t xml:space="preserve">. נכון לתחילת נובמבר 2023, והנתונים אינם סופיים, ידוע לנו על יותר </w:t>
      </w:r>
      <w:r w:rsidR="00956ED3">
        <w:rPr>
          <w:rFonts w:ascii="David" w:hAnsi="David"/>
          <w:sz w:val="20"/>
          <w:szCs w:val="20"/>
          <w:rtl/>
        </w:rPr>
        <w:br/>
      </w:r>
      <w:r w:rsidR="00FA3AF5">
        <w:rPr>
          <w:rFonts w:ascii="David" w:hAnsi="David" w:hint="cs"/>
          <w:sz w:val="20"/>
          <w:szCs w:val="20"/>
          <w:rtl/>
        </w:rPr>
        <w:t>מ-1,100</w:t>
      </w:r>
      <w:r w:rsidRPr="005E570F">
        <w:rPr>
          <w:rFonts w:ascii="David" w:hAnsi="David" w:hint="cs"/>
          <w:sz w:val="20"/>
          <w:szCs w:val="20"/>
          <w:rtl/>
        </w:rPr>
        <w:t xml:space="preserve"> נרצחים ויותר </w:t>
      </w:r>
      <w:r w:rsidR="00FA3AF5" w:rsidRPr="005E570F">
        <w:rPr>
          <w:rFonts w:ascii="David" w:hAnsi="David" w:hint="cs"/>
          <w:sz w:val="20"/>
          <w:szCs w:val="20"/>
          <w:rtl/>
        </w:rPr>
        <w:t>מ</w:t>
      </w:r>
      <w:r w:rsidR="00FA3AF5">
        <w:rPr>
          <w:rFonts w:ascii="David" w:hAnsi="David" w:hint="cs"/>
          <w:sz w:val="20"/>
          <w:szCs w:val="20"/>
          <w:rtl/>
        </w:rPr>
        <w:t>-200</w:t>
      </w:r>
      <w:r w:rsidR="00FA3AF5" w:rsidRPr="005E570F">
        <w:rPr>
          <w:rFonts w:ascii="David" w:hAnsi="David" w:hint="cs"/>
          <w:sz w:val="20"/>
          <w:szCs w:val="20"/>
          <w:rtl/>
        </w:rPr>
        <w:t xml:space="preserve"> </w:t>
      </w:r>
      <w:r w:rsidRPr="005E570F">
        <w:rPr>
          <w:rFonts w:ascii="David" w:hAnsi="David" w:hint="cs"/>
          <w:sz w:val="20"/>
          <w:szCs w:val="20"/>
          <w:rtl/>
        </w:rPr>
        <w:t xml:space="preserve">חטופים </w:t>
      </w:r>
      <w:r w:rsidRPr="005E570F">
        <w:rPr>
          <w:rFonts w:ascii="David" w:hAnsi="David"/>
          <w:sz w:val="20"/>
          <w:szCs w:val="20"/>
          <w:rtl/>
        </w:rPr>
        <w:t>–</w:t>
      </w:r>
      <w:r w:rsidRPr="005E570F">
        <w:rPr>
          <w:rFonts w:ascii="David" w:hAnsi="David" w:hint="cs"/>
          <w:sz w:val="20"/>
          <w:szCs w:val="20"/>
          <w:rtl/>
        </w:rPr>
        <w:t xml:space="preserve"> בהם ילדים וזקנים </w:t>
      </w:r>
      <w:r w:rsidRPr="005E570F">
        <w:rPr>
          <w:rFonts w:ascii="David" w:hAnsi="David"/>
          <w:sz w:val="20"/>
          <w:szCs w:val="20"/>
          <w:rtl/>
        </w:rPr>
        <w:t>–</w:t>
      </w:r>
      <w:r w:rsidRPr="005E570F">
        <w:rPr>
          <w:rFonts w:ascii="David" w:hAnsi="David" w:hint="cs"/>
          <w:sz w:val="20"/>
          <w:szCs w:val="20"/>
          <w:rtl/>
        </w:rPr>
        <w:t xml:space="preserve"> המוחזקים בעזה. אין ספק, מדובר באירוע היסטורי טרגי וכבר כעת הוא מהווה טראומה לאומית שיידרשו שנים ארוכות להתגבר עליה. האסון הזה </w:t>
      </w:r>
      <w:r w:rsidRPr="005E570F">
        <w:rPr>
          <w:rFonts w:ascii="David" w:hAnsi="David"/>
          <w:sz w:val="20"/>
          <w:szCs w:val="20"/>
          <w:rtl/>
        </w:rPr>
        <w:t>–</w:t>
      </w:r>
      <w:r w:rsidRPr="005E570F">
        <w:rPr>
          <w:rFonts w:ascii="David" w:hAnsi="David" w:hint="cs"/>
          <w:sz w:val="20"/>
          <w:szCs w:val="20"/>
          <w:rtl/>
        </w:rPr>
        <w:t xml:space="preserve"> וכמובן הסיבות שהביאו להתרחשותו, אופן ניהולו, ההתמודדות עימו ותוצאותיו </w:t>
      </w:r>
      <w:r w:rsidRPr="005E570F">
        <w:rPr>
          <w:rFonts w:ascii="David" w:hAnsi="David"/>
          <w:sz w:val="20"/>
          <w:szCs w:val="20"/>
          <w:rtl/>
        </w:rPr>
        <w:t>–</w:t>
      </w:r>
      <w:r w:rsidRPr="005E570F">
        <w:rPr>
          <w:rFonts w:ascii="David" w:hAnsi="David" w:hint="cs"/>
          <w:sz w:val="20"/>
          <w:szCs w:val="20"/>
          <w:rtl/>
        </w:rPr>
        <w:t xml:space="preserve"> יילמדו וייחקרו עוד רבות. יתרה מכך, שאלות רבות מספור מתעוררות כבר בימים אלה בדבר האופן שבו המדיניות החברתית הישראלית, משרדי הממשלה והחברה האזרחית התמודדו ומתמודדים עם האירוע. בהתחשב בעובדה שאנחנו בעיצומה של מלחמה, לא ארחיב בדברים במסגרת זו. אומר רק </w:t>
      </w:r>
      <w:r w:rsidRPr="005E570F">
        <w:rPr>
          <w:rFonts w:ascii="David" w:hAnsi="David"/>
          <w:sz w:val="20"/>
          <w:szCs w:val="20"/>
          <w:rtl/>
        </w:rPr>
        <w:t>–</w:t>
      </w:r>
      <w:r w:rsidRPr="005E570F">
        <w:rPr>
          <w:rFonts w:ascii="David" w:hAnsi="David" w:hint="cs"/>
          <w:sz w:val="20"/>
          <w:szCs w:val="20"/>
          <w:rtl/>
        </w:rPr>
        <w:t xml:space="preserve"> בשמי ובשם כל מערכת כתב העת </w:t>
      </w:r>
      <w:r w:rsidRPr="005E570F">
        <w:rPr>
          <w:rFonts w:ascii="David" w:hAnsi="David" w:hint="cs"/>
          <w:b/>
          <w:bCs/>
          <w:sz w:val="20"/>
          <w:szCs w:val="20"/>
          <w:rtl/>
        </w:rPr>
        <w:t>ביטחון סוציאלי</w:t>
      </w:r>
      <w:r w:rsidRPr="005E570F">
        <w:rPr>
          <w:rFonts w:ascii="David" w:hAnsi="David" w:hint="cs"/>
          <w:sz w:val="20"/>
          <w:szCs w:val="20"/>
        </w:rPr>
        <w:t xml:space="preserve"> </w:t>
      </w:r>
      <w:r w:rsidRPr="005E570F">
        <w:rPr>
          <w:rFonts w:ascii="David" w:hAnsi="David"/>
          <w:sz w:val="20"/>
          <w:szCs w:val="20"/>
          <w:rtl/>
        </w:rPr>
        <w:t>–</w:t>
      </w:r>
      <w:r w:rsidRPr="005E570F">
        <w:rPr>
          <w:rFonts w:ascii="David" w:hAnsi="David" w:hint="cs"/>
          <w:sz w:val="20"/>
          <w:szCs w:val="20"/>
          <w:rtl/>
        </w:rPr>
        <w:t xml:space="preserve"> כי אנו משתתפים בצערן של כל משפחות הנרצחים והחללים, מתפללים לשובם המהיר ובשלום של כל החטופים, מייחלים להחלמתם המהירה של כל הפצועים, ומחזקים את ידי כל אנשי ונשות כוחות הביטחון ועובדי</w:t>
      </w:r>
      <w:r w:rsidR="00FA3AF5">
        <w:rPr>
          <w:rFonts w:ascii="David" w:hAnsi="David" w:hint="cs"/>
          <w:sz w:val="20"/>
          <w:szCs w:val="20"/>
          <w:rtl/>
        </w:rPr>
        <w:t xml:space="preserve"> ועובד</w:t>
      </w:r>
      <w:r w:rsidRPr="005E570F">
        <w:rPr>
          <w:rFonts w:ascii="David" w:hAnsi="David" w:hint="cs"/>
          <w:sz w:val="20"/>
          <w:szCs w:val="20"/>
          <w:rtl/>
        </w:rPr>
        <w:t xml:space="preserve">ות הרווחה והבריאות </w:t>
      </w:r>
      <w:r w:rsidR="00FA3AF5">
        <w:rPr>
          <w:rFonts w:ascii="David" w:hAnsi="David" w:hint="cs"/>
          <w:sz w:val="20"/>
          <w:szCs w:val="20"/>
          <w:rtl/>
        </w:rPr>
        <w:t>העושים</w:t>
      </w:r>
      <w:r w:rsidR="00FA3AF5" w:rsidRPr="005E570F">
        <w:rPr>
          <w:rFonts w:ascii="David" w:hAnsi="David" w:hint="cs"/>
          <w:sz w:val="20"/>
          <w:szCs w:val="20"/>
          <w:rtl/>
        </w:rPr>
        <w:t xml:space="preserve"> </w:t>
      </w:r>
      <w:r w:rsidRPr="005E570F">
        <w:rPr>
          <w:rFonts w:ascii="David" w:hAnsi="David" w:hint="cs"/>
          <w:sz w:val="20"/>
          <w:szCs w:val="20"/>
          <w:rtl/>
        </w:rPr>
        <w:t>לילות כימים במלחמה זו. התייחסות מלאה לאסון ולמלחמה תיעשה בדבר העורך של הגיליון הבא.</w:t>
      </w:r>
    </w:p>
    <w:p w14:paraId="5E3A4191"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hint="cs"/>
          <w:sz w:val="20"/>
          <w:szCs w:val="20"/>
          <w:rtl/>
        </w:rPr>
        <w:t xml:space="preserve">דברים אלה נכתבים זמן לא רב לאחר שכנסת ישראל החליטה לאשר חוק אשר מצמצם בצורה ניכרת את האפשרות של בתי המשפט בישראל להפעיל באמצעות עילת הסבירות ביקורת שיפוטית על החלטות של הממשלה, ראש הממשלה והשרים. בשיח הציבורי הישראלי זכה מהלך חקיקה זה לביקורת רבה, בטענה כי מדובר למעשה במהלך המביא לפגיעה מהותית במשטר הדמוקרטי בישראל. הדבר נעוץ בכך שצמצום עילת הסבירות יעניק כוח רב לרשות המבצעת, ויפגע באיזון הכוחות בינה לבין הרשות השופטת, באופן שיאפשר פגיעה משמעותית בזכויות אדם. תומכי המהלך, מצידם, גורסים שעילת הסבירות, כפי שזו התפתחה בעשורים האחרונים במסגרת פסיקת בג"צ, הפרה את איזון הכוחות בין הרשות המבצעת לבין הרשות השופטת, באופן הפוגע בכוחו של שלטון הרוב </w:t>
      </w:r>
      <w:r w:rsidRPr="00F079B8">
        <w:rPr>
          <w:rFonts w:ascii="David" w:hAnsi="David"/>
          <w:sz w:val="20"/>
          <w:szCs w:val="20"/>
          <w:rtl/>
        </w:rPr>
        <w:t>–</w:t>
      </w:r>
      <w:r w:rsidRPr="00F079B8">
        <w:rPr>
          <w:rFonts w:ascii="David" w:hAnsi="David" w:hint="cs"/>
          <w:sz w:val="20"/>
          <w:szCs w:val="20"/>
          <w:rtl/>
        </w:rPr>
        <w:t xml:space="preserve"> אשר אף ממנה את הממשלה, ומונע מהרשות המבצעת מלהגשים ולהוציא לפעול מדיניות חברתית המשקפת את העדפות הציבור אשר מינה אותה.</w:t>
      </w:r>
    </w:p>
    <w:p w14:paraId="7BF22DC4"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hint="cs"/>
          <w:sz w:val="20"/>
          <w:szCs w:val="20"/>
          <w:rtl/>
        </w:rPr>
        <w:t>כפי שניתן לחזות בחודשים האחרונים, עימות ציבורי זה הוא רק חלק קטן ממה שנראה כשבר אידאולוגי עמוק בין תפיסות עולם פוליטיות בחברה הישראלית. בלהט היצרים, ובשיח שלעיתים נגרר להתלהמות וקיצוניות משני הצדדים, לא ניתן תמיד להבחין בין טיעונים מבוססים וראויים לבין טיעונים פופוליסטיים ושטחיים. יתרה מכך, הגם שלעובדים/</w:t>
      </w:r>
      <w:proofErr w:type="spellStart"/>
      <w:r w:rsidRPr="00F079B8">
        <w:rPr>
          <w:rFonts w:ascii="David" w:hAnsi="David" w:hint="cs"/>
          <w:sz w:val="20"/>
          <w:szCs w:val="20"/>
          <w:rtl/>
        </w:rPr>
        <w:t>ות</w:t>
      </w:r>
      <w:proofErr w:type="spellEnd"/>
      <w:r w:rsidRPr="00F079B8">
        <w:rPr>
          <w:rFonts w:ascii="David" w:hAnsi="David" w:hint="cs"/>
          <w:sz w:val="20"/>
          <w:szCs w:val="20"/>
          <w:rtl/>
        </w:rPr>
        <w:t xml:space="preserve"> </w:t>
      </w:r>
      <w:r w:rsidRPr="00F079B8">
        <w:rPr>
          <w:rFonts w:ascii="David" w:hAnsi="David" w:hint="cs"/>
          <w:sz w:val="20"/>
          <w:szCs w:val="20"/>
          <w:rtl/>
        </w:rPr>
        <w:lastRenderedPageBreak/>
        <w:t>סוציאליים, ולמגוון רחב של עובדות ועובדי מקצועות הבריאות והמדיניות החברתית, יש נראות במאבק הציבורי הנעוץ בתחום, לא תמיד ברורה הזיקה בין עילת הסבירות לבין עיצוב המדיניות החברתית והביטחון הסוציאלי בישראל.</w:t>
      </w:r>
    </w:p>
    <w:p w14:paraId="14D2AD18"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hint="cs"/>
          <w:sz w:val="20"/>
          <w:szCs w:val="20"/>
          <w:rtl/>
        </w:rPr>
        <w:t xml:space="preserve">בהקשר זה יש לזכור כי ההתפתחות ההיסטורית בתחומים רבים של המדיניות החברתית במדינת ישראל התאפיינה במהלכים של צמצום שיקול הדעת המנהלי ועיגונו במסגרת חקיקה ראשית, אשר "משרטטת" ומתווה את מסגרתו. דוגמה אחת מיני רבות לכך היא חקיקת חוק הבטחת הכנסה התשמ"א-1980, אשר ביטל למעשה את שיקול הדעת הרחב שהוענק בשעתו במסגרת חוק שירותי הסעד תשי"ח-1958 לפקידי הסעד (כפי שכונו בשעתו), ועיגן אותו בצורה מוגדרת וברורה בהוראות חוק הבטחת הכנסה. יתרה מכך, עיקרי מדיניות הביטחון הסוציאלי בישראלי מעוגנים הלכה למעשה בחוק הביטוח הלאומי </w:t>
      </w:r>
      <w:r w:rsidRPr="00F079B8">
        <w:rPr>
          <w:rFonts w:ascii="David" w:hAnsi="David"/>
          <w:sz w:val="20"/>
          <w:szCs w:val="20"/>
          <w:rtl/>
        </w:rPr>
        <w:t>–</w:t>
      </w:r>
      <w:r w:rsidRPr="00F079B8">
        <w:rPr>
          <w:rFonts w:ascii="David" w:hAnsi="David" w:hint="cs"/>
          <w:sz w:val="20"/>
          <w:szCs w:val="20"/>
          <w:rtl/>
        </w:rPr>
        <w:t xml:space="preserve"> שנחקק כבר בשנת 1953, ומאז עבר שינויים רבים ושונים </w:t>
      </w:r>
      <w:r w:rsidRPr="00F079B8">
        <w:rPr>
          <w:rFonts w:ascii="David" w:hAnsi="David"/>
          <w:sz w:val="20"/>
          <w:szCs w:val="20"/>
          <w:rtl/>
        </w:rPr>
        <w:t>–</w:t>
      </w:r>
      <w:r w:rsidRPr="00F079B8">
        <w:rPr>
          <w:rFonts w:ascii="David" w:hAnsi="David" w:hint="cs"/>
          <w:sz w:val="20"/>
          <w:szCs w:val="20"/>
          <w:rtl/>
        </w:rPr>
        <w:t xml:space="preserve"> והיקף שיקול הדעת המנהלי בכל הנוגע להענקת הזכויות המפורטות בו הוא מצומצם וצר יחסית. מכאן, שצמצום היקף הביקורת השיפוטית אינו מסכן זכויות אלה.</w:t>
      </w:r>
    </w:p>
    <w:p w14:paraId="714732FB"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hint="cs"/>
          <w:sz w:val="20"/>
          <w:szCs w:val="20"/>
          <w:rtl/>
        </w:rPr>
        <w:t>עם זאת, חשוב לזכור כי גם במציאות שבה זכויות רבות הקשורות לביטחון הסוציאלי בישראל מעוגנות בחקיקה ראשית של הכנסת, הביצוע והיישום של חוקים אלה עדיין נתון לא פעם לפרשנות של הרשות המבצעת, ולהפעלת שיקול דעתה המקצועי. במסגרת זו, עילת הסבירות היא לא פעם העילה היחידה שבאמצעותה ניתן לתקוף את שיקול הדעת המנהלי ולערער עליו. הדבר נכון במיוחד כשמדובר באוכלוסיות מוחלשות או מודרות דוגמת אזרחים ותיקים, אנשים עם מוגבלות, אנשים בעוני, עולים חדשים ועוד, אשר לא פעם אינם מקבלים משקל הולם באופן שבו הרשות המבצעת מיישמת את תפקידה. חשוב לזכור גם כי ההיסטוריה הישראלית מלמדת שלעיתים רק פנייה לבית המשפט ושימוש בעילת הסבירות, ולעיתים רק האיום בהגשת תביעה תוך שימוש בעילת הסבירות, גרמו לרשות המבצעת לשקול מחדש את עמדתה, ובסופו של דבר חייבו אותה להעניק משקל הולם לזכויות האדם של אוכלוסיות אלה.</w:t>
      </w:r>
    </w:p>
    <w:p w14:paraId="537BA90A"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hint="cs"/>
          <w:sz w:val="20"/>
          <w:szCs w:val="20"/>
          <w:rtl/>
        </w:rPr>
        <w:t xml:space="preserve">עילת הסבירות היא אפוא בעלת משקל וחשיבות גם בתחומי המדיניות החברתית והביטחון הסוציאלי. עם זאת, ביטולה אינו מוביל </w:t>
      </w:r>
      <w:r w:rsidRPr="00F079B8">
        <w:rPr>
          <w:rFonts w:ascii="David" w:hAnsi="David"/>
          <w:sz w:val="20"/>
          <w:szCs w:val="20"/>
          <w:rtl/>
        </w:rPr>
        <w:t>–</w:t>
      </w:r>
      <w:r w:rsidRPr="00F079B8">
        <w:rPr>
          <w:rFonts w:ascii="David" w:hAnsi="David" w:hint="cs"/>
          <w:sz w:val="20"/>
          <w:szCs w:val="20"/>
          <w:rtl/>
        </w:rPr>
        <w:t xml:space="preserve"> ככזה </w:t>
      </w:r>
      <w:r w:rsidRPr="00F079B8">
        <w:rPr>
          <w:rFonts w:ascii="David" w:hAnsi="David"/>
          <w:sz w:val="20"/>
          <w:szCs w:val="20"/>
          <w:rtl/>
        </w:rPr>
        <w:t>–</w:t>
      </w:r>
      <w:r w:rsidRPr="00F079B8">
        <w:rPr>
          <w:rFonts w:ascii="David" w:hAnsi="David" w:hint="cs"/>
          <w:sz w:val="20"/>
          <w:szCs w:val="20"/>
          <w:rtl/>
        </w:rPr>
        <w:t xml:space="preserve"> לביטול הזכויות או לשינוי במדיניות החברתית והביטחון הסוציאלי בישראלי, כפי שאלה מעוגנים בסדרה ארוכה של חוקים שנחקקו לאורך השנים בתחום. הסיכון האמיתי בהקשר זה </w:t>
      </w:r>
      <w:r w:rsidRPr="00F079B8">
        <w:rPr>
          <w:rFonts w:ascii="David" w:hAnsi="David"/>
          <w:sz w:val="20"/>
          <w:szCs w:val="20"/>
          <w:rtl/>
        </w:rPr>
        <w:t>–</w:t>
      </w:r>
      <w:r w:rsidRPr="00F079B8">
        <w:rPr>
          <w:rFonts w:ascii="David" w:hAnsi="David" w:hint="cs"/>
          <w:sz w:val="20"/>
          <w:szCs w:val="20"/>
          <w:rtl/>
        </w:rPr>
        <w:t xml:space="preserve"> ופה נעוץ הקושי הממשי במהלך החקיקה שבוצע </w:t>
      </w:r>
      <w:r w:rsidRPr="00F079B8">
        <w:rPr>
          <w:rFonts w:ascii="David" w:hAnsi="David"/>
          <w:sz w:val="20"/>
          <w:szCs w:val="20"/>
          <w:rtl/>
        </w:rPr>
        <w:t>–</w:t>
      </w:r>
      <w:r w:rsidRPr="00F079B8">
        <w:rPr>
          <w:rFonts w:ascii="David" w:hAnsi="David" w:hint="cs"/>
          <w:sz w:val="20"/>
          <w:szCs w:val="20"/>
          <w:rtl/>
        </w:rPr>
        <w:t xml:space="preserve"> הוא שבהיעדר קיומה של עילת הסבירות, הרשות המבצעת תרשה לעצמה לאמץ מדיניות חברתית אשר </w:t>
      </w:r>
      <w:r w:rsidRPr="00F079B8">
        <w:rPr>
          <w:rFonts w:ascii="David" w:hAnsi="David"/>
          <w:sz w:val="20"/>
          <w:szCs w:val="20"/>
          <w:rtl/>
        </w:rPr>
        <w:t>תִּשְׁחַק</w:t>
      </w:r>
      <w:r w:rsidRPr="00F079B8">
        <w:rPr>
          <w:rFonts w:ascii="David" w:hAnsi="David" w:hint="cs"/>
          <w:sz w:val="20"/>
          <w:szCs w:val="20"/>
          <w:rtl/>
        </w:rPr>
        <w:t xml:space="preserve"> זכויות חברתיות ותפגע בהן, וכל זאת במסגרת שיקול הדעת המוענק לה במערך החקיקה הקיים. </w:t>
      </w:r>
    </w:p>
    <w:p w14:paraId="4A10C72A"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hint="cs"/>
          <w:sz w:val="20"/>
          <w:szCs w:val="20"/>
          <w:rtl/>
        </w:rPr>
        <w:t xml:space="preserve">מצד אחד, הנבואה ניתנה לשוטים, ולכן לא ניתן לומר בוודאות שזה מה שאכן יקרה. מצד אחר, ההיסטוריה (והטבע) האנושיים מלמדים כי הכוח משחית. זה אולי החשש המשמעותי ביותר בהקשר של הקשר בין צמצום עילת הסבירות לבין הביטחון הסוציאלי והמדיניות </w:t>
      </w:r>
      <w:r w:rsidRPr="00F079B8">
        <w:rPr>
          <w:rFonts w:ascii="David" w:hAnsi="David" w:hint="cs"/>
          <w:sz w:val="20"/>
          <w:szCs w:val="20"/>
          <w:rtl/>
        </w:rPr>
        <w:lastRenderedPageBreak/>
        <w:t>החברתית בישראל:</w:t>
      </w:r>
      <w:r w:rsidRPr="00F079B8">
        <w:rPr>
          <w:rFonts w:ascii="David" w:hAnsi="David" w:hint="cs"/>
          <w:sz w:val="20"/>
          <w:szCs w:val="20"/>
        </w:rPr>
        <w:t xml:space="preserve"> </w:t>
      </w:r>
      <w:r w:rsidRPr="00F079B8">
        <w:rPr>
          <w:rFonts w:ascii="David" w:hAnsi="David" w:hint="cs"/>
          <w:sz w:val="20"/>
          <w:szCs w:val="20"/>
          <w:rtl/>
        </w:rPr>
        <w:t xml:space="preserve">שלאורך זמן, ובהיעדר מערך האיזונים הראוי </w:t>
      </w:r>
      <w:r w:rsidRPr="00F079B8">
        <w:rPr>
          <w:rFonts w:ascii="David" w:hAnsi="David"/>
          <w:sz w:val="20"/>
          <w:szCs w:val="20"/>
          <w:rtl/>
        </w:rPr>
        <w:t>–</w:t>
      </w:r>
      <w:r w:rsidRPr="00F079B8">
        <w:rPr>
          <w:rFonts w:ascii="David" w:hAnsi="David" w:hint="cs"/>
          <w:sz w:val="20"/>
          <w:szCs w:val="20"/>
          <w:rtl/>
        </w:rPr>
        <w:t xml:space="preserve"> אשר מעוגן בקיומה של עילת הביקורת השיפוטית על סבירות הפרשנות ואופן הפעלת שיקול הדעת המנהלי בתחומים אלה </w:t>
      </w:r>
      <w:r w:rsidRPr="00F079B8">
        <w:rPr>
          <w:rFonts w:ascii="David" w:hAnsi="David"/>
          <w:sz w:val="20"/>
          <w:szCs w:val="20"/>
          <w:rtl/>
        </w:rPr>
        <w:t>–</w:t>
      </w:r>
      <w:r w:rsidRPr="00F079B8">
        <w:rPr>
          <w:rFonts w:ascii="David" w:hAnsi="David" w:hint="cs"/>
          <w:sz w:val="20"/>
          <w:szCs w:val="20"/>
          <w:rtl/>
        </w:rPr>
        <w:t xml:space="preserve"> צמצום עילת הסבירות יגרור עימו פגיעה דווקא באוכלוסיות המוחלשות ביותר, לאור שיקולים פסולים, אישיים וסקטוריאליים, העומדים בניגוד לתפיסת העולם הבסיסית של מדינת הרווחה הישראלית.</w:t>
      </w:r>
    </w:p>
    <w:p w14:paraId="00B56AA2" w14:textId="77777777" w:rsidR="00F079B8" w:rsidRPr="005E570F" w:rsidRDefault="00F079B8" w:rsidP="00F079B8">
      <w:pPr>
        <w:spacing w:after="180" w:line="280" w:lineRule="exact"/>
        <w:jc w:val="both"/>
        <w:rPr>
          <w:rFonts w:ascii="David" w:hAnsi="David"/>
          <w:spacing w:val="-2"/>
          <w:sz w:val="20"/>
          <w:szCs w:val="20"/>
          <w:rtl/>
        </w:rPr>
      </w:pPr>
      <w:r w:rsidRPr="005E570F">
        <w:rPr>
          <w:rFonts w:ascii="David" w:hAnsi="David" w:hint="cs"/>
          <w:spacing w:val="-2"/>
          <w:sz w:val="20"/>
          <w:szCs w:val="20"/>
          <w:rtl/>
        </w:rPr>
        <w:t xml:space="preserve">על רקע חששות כבדים אלה, שרק ימים יגידו אם אכן יתגשמו, ניתן למצוא מזור מסוים בעוצמתו של המחקר המדעי ובכוחם של הליכי חשיבה וביקורת עצמאיים. המאמרים השונים המפורסמים בגיליון זה של </w:t>
      </w:r>
      <w:r w:rsidRPr="005E570F">
        <w:rPr>
          <w:rFonts w:ascii="David" w:hAnsi="David" w:hint="cs"/>
          <w:b/>
          <w:bCs/>
          <w:spacing w:val="-2"/>
          <w:sz w:val="20"/>
          <w:szCs w:val="20"/>
          <w:rtl/>
        </w:rPr>
        <w:t>ביטחון סוציאלי</w:t>
      </w:r>
      <w:r w:rsidRPr="005E570F">
        <w:rPr>
          <w:rFonts w:ascii="David" w:hAnsi="David" w:hint="cs"/>
          <w:spacing w:val="-2"/>
          <w:sz w:val="20"/>
          <w:szCs w:val="20"/>
          <w:rtl/>
        </w:rPr>
        <w:t xml:space="preserve">, אשר חשוב לזכור כי הוא מוצא לאור על ידי המוסד לביטוח לאומי </w:t>
      </w:r>
      <w:r w:rsidRPr="005E570F">
        <w:rPr>
          <w:rFonts w:ascii="David" w:hAnsi="David"/>
          <w:spacing w:val="-2"/>
          <w:sz w:val="20"/>
          <w:szCs w:val="20"/>
          <w:rtl/>
        </w:rPr>
        <w:t>–</w:t>
      </w:r>
      <w:r w:rsidRPr="005E570F">
        <w:rPr>
          <w:rFonts w:ascii="David" w:hAnsi="David" w:hint="cs"/>
          <w:spacing w:val="-2"/>
          <w:sz w:val="20"/>
          <w:szCs w:val="20"/>
          <w:rtl/>
        </w:rPr>
        <w:t xml:space="preserve"> גוף של המדינה שהוא עצמו מעוגן במסגרת דבר חקיקה של הכנסת </w:t>
      </w:r>
      <w:r w:rsidRPr="005E570F">
        <w:rPr>
          <w:rFonts w:ascii="David" w:hAnsi="David"/>
          <w:spacing w:val="-2"/>
          <w:sz w:val="20"/>
          <w:szCs w:val="20"/>
          <w:rtl/>
        </w:rPr>
        <w:t>–</w:t>
      </w:r>
      <w:r w:rsidRPr="005E570F">
        <w:rPr>
          <w:rFonts w:ascii="David" w:hAnsi="David" w:hint="cs"/>
          <w:spacing w:val="-2"/>
          <w:sz w:val="20"/>
          <w:szCs w:val="20"/>
          <w:rtl/>
        </w:rPr>
        <w:t xml:space="preserve"> מנסים לבחון אירועים וסוגיות חברתיות תוך אימוץ אמות מידה "סבירות": שאלות נשאלות, מוצגות שיטות לחקירתן, נתונים נאספים לשם ניתוחם, ובסופו של הליך מתקיים דיון המבוסס על ניתוח הנתונים </w:t>
      </w:r>
      <w:r w:rsidRPr="005E570F">
        <w:rPr>
          <w:rFonts w:ascii="David" w:hAnsi="David"/>
          <w:spacing w:val="-2"/>
          <w:sz w:val="20"/>
          <w:szCs w:val="20"/>
          <w:rtl/>
        </w:rPr>
        <w:t>–</w:t>
      </w:r>
      <w:r w:rsidRPr="005E570F">
        <w:rPr>
          <w:rFonts w:ascii="David" w:hAnsi="David" w:hint="cs"/>
          <w:spacing w:val="-2"/>
          <w:sz w:val="20"/>
          <w:szCs w:val="20"/>
          <w:rtl/>
        </w:rPr>
        <w:t xml:space="preserve"> והכל באופן שקוף המאפשר לקוראים לשפוט באובייקטיביות את הנטען בהם. בטרם פרסומם עוברים כל המאמרים הליך של שיפוט מדעי </w:t>
      </w:r>
      <w:r w:rsidRPr="005E570F">
        <w:rPr>
          <w:rFonts w:ascii="David" w:hAnsi="David"/>
          <w:spacing w:val="-2"/>
          <w:sz w:val="20"/>
          <w:szCs w:val="20"/>
          <w:rtl/>
        </w:rPr>
        <w:t>–</w:t>
      </w:r>
      <w:r w:rsidRPr="005E570F">
        <w:rPr>
          <w:rFonts w:ascii="David" w:hAnsi="David" w:hint="cs"/>
          <w:spacing w:val="-2"/>
          <w:sz w:val="20"/>
          <w:szCs w:val="20"/>
          <w:rtl/>
        </w:rPr>
        <w:t xml:space="preserve"> שבמובנים רבים מאמץ גם הוא את עילת הסבירות: מאמרים ש"אינם סבירים", במובן זה שאינם עומדים באמות המידה המדעיות המקובלות, לא יתקבלו לפרסום. האם היינו מקבלים כתב עת מדעי שהליכי השיפוט לקבלת המאמרים בו אינם כפופים לעילת הסבירות?</w:t>
      </w:r>
    </w:p>
    <w:p w14:paraId="4AC86A32" w14:textId="77777777" w:rsidR="00F079B8" w:rsidRPr="005E570F" w:rsidRDefault="00F079B8" w:rsidP="00182BC2">
      <w:pPr>
        <w:spacing w:after="180" w:line="280" w:lineRule="exact"/>
        <w:jc w:val="both"/>
        <w:rPr>
          <w:rFonts w:ascii="Georgia" w:hAnsi="Georgia"/>
          <w:spacing w:val="-2"/>
          <w:sz w:val="18"/>
          <w:szCs w:val="20"/>
          <w:rtl/>
        </w:rPr>
      </w:pPr>
      <w:r w:rsidRPr="005E570F">
        <w:rPr>
          <w:rFonts w:ascii="David" w:hAnsi="David" w:hint="cs"/>
          <w:spacing w:val="-2"/>
          <w:sz w:val="20"/>
          <w:szCs w:val="20"/>
          <w:rtl/>
        </w:rPr>
        <w:t>כנהוג ב</w:t>
      </w:r>
      <w:r w:rsidRPr="005E570F">
        <w:rPr>
          <w:rFonts w:ascii="David" w:hAnsi="David" w:hint="cs"/>
          <w:b/>
          <w:bCs/>
          <w:spacing w:val="-2"/>
          <w:sz w:val="20"/>
          <w:szCs w:val="20"/>
          <w:rtl/>
        </w:rPr>
        <w:t>ביטחון סוציאלי</w:t>
      </w:r>
      <w:r w:rsidRPr="005E570F">
        <w:rPr>
          <w:rFonts w:ascii="David" w:hAnsi="David" w:hint="cs"/>
          <w:spacing w:val="-2"/>
          <w:sz w:val="20"/>
          <w:szCs w:val="20"/>
          <w:rtl/>
        </w:rPr>
        <w:t xml:space="preserve">, את הגיליון פותח דווקא מאמר שאינו מעוגן במחקר אמפירי, אלא מאמר דעה. את המאמר כתבו דורון </w:t>
      </w:r>
      <w:proofErr w:type="spellStart"/>
      <w:r w:rsidRPr="005E570F">
        <w:rPr>
          <w:rFonts w:ascii="David" w:hAnsi="David" w:hint="cs"/>
          <w:spacing w:val="-2"/>
          <w:sz w:val="20"/>
          <w:szCs w:val="20"/>
          <w:rtl/>
        </w:rPr>
        <w:t>מרימס</w:t>
      </w:r>
      <w:proofErr w:type="spellEnd"/>
      <w:r w:rsidRPr="005E570F">
        <w:rPr>
          <w:rFonts w:ascii="David" w:hAnsi="David" w:hint="cs"/>
          <w:spacing w:val="-2"/>
          <w:sz w:val="20"/>
          <w:szCs w:val="20"/>
          <w:rtl/>
        </w:rPr>
        <w:t xml:space="preserve"> </w:t>
      </w:r>
      <w:proofErr w:type="spellStart"/>
      <w:r w:rsidRPr="005E570F">
        <w:rPr>
          <w:rFonts w:ascii="David" w:hAnsi="David" w:hint="cs"/>
          <w:spacing w:val="-2"/>
          <w:sz w:val="20"/>
          <w:szCs w:val="20"/>
          <w:rtl/>
        </w:rPr>
        <w:t>וטניה</w:t>
      </w:r>
      <w:proofErr w:type="spellEnd"/>
      <w:r w:rsidRPr="005E570F">
        <w:rPr>
          <w:rFonts w:ascii="David" w:hAnsi="David" w:hint="cs"/>
          <w:spacing w:val="-2"/>
          <w:sz w:val="20"/>
          <w:szCs w:val="20"/>
          <w:rtl/>
        </w:rPr>
        <w:t xml:space="preserve"> </w:t>
      </w:r>
      <w:proofErr w:type="spellStart"/>
      <w:r w:rsidRPr="005E570F">
        <w:rPr>
          <w:rFonts w:ascii="David" w:hAnsi="David" w:hint="cs"/>
          <w:spacing w:val="-2"/>
          <w:sz w:val="20"/>
          <w:szCs w:val="20"/>
          <w:rtl/>
        </w:rPr>
        <w:t>בוגוסלבסקי</w:t>
      </w:r>
      <w:proofErr w:type="spellEnd"/>
      <w:r w:rsidRPr="005E570F">
        <w:rPr>
          <w:rFonts w:ascii="David" w:hAnsi="David" w:hint="cs"/>
          <w:spacing w:val="-2"/>
          <w:sz w:val="20"/>
          <w:szCs w:val="20"/>
          <w:rtl/>
        </w:rPr>
        <w:t xml:space="preserve">, שניהם מבית החולים הגריאטרי "שוהם" בפרדס חנה, והם מאתגרים </w:t>
      </w:r>
      <w:r w:rsidR="008D56CE" w:rsidRPr="005E570F">
        <w:rPr>
          <w:rFonts w:ascii="David" w:hAnsi="David" w:hint="cs"/>
          <w:spacing w:val="-2"/>
          <w:sz w:val="20"/>
          <w:szCs w:val="20"/>
          <w:rtl/>
        </w:rPr>
        <w:t xml:space="preserve">בו </w:t>
      </w:r>
      <w:r w:rsidRPr="005E570F">
        <w:rPr>
          <w:rFonts w:ascii="David" w:hAnsi="David" w:hint="cs"/>
          <w:spacing w:val="-2"/>
          <w:sz w:val="20"/>
          <w:szCs w:val="20"/>
          <w:rtl/>
        </w:rPr>
        <w:t>את הסבירות של המדיניות החברתית בישראל</w:t>
      </w:r>
      <w:r w:rsidR="001D3FFE" w:rsidRPr="005E570F">
        <w:rPr>
          <w:rFonts w:ascii="David" w:hAnsi="David" w:hint="cs"/>
          <w:spacing w:val="-2"/>
          <w:sz w:val="20"/>
          <w:szCs w:val="20"/>
          <w:rtl/>
        </w:rPr>
        <w:t xml:space="preserve">. </w:t>
      </w:r>
      <w:r w:rsidR="001D3FFE" w:rsidRPr="005E570F">
        <w:rPr>
          <w:rFonts w:ascii="David" w:hAnsi="David" w:hint="eastAsia"/>
          <w:spacing w:val="-2"/>
          <w:sz w:val="20"/>
          <w:szCs w:val="20"/>
          <w:rtl/>
        </w:rPr>
        <w:t>נקודת</w:t>
      </w:r>
      <w:r w:rsidR="001D3FFE" w:rsidRPr="005E570F">
        <w:rPr>
          <w:rFonts w:ascii="David" w:hAnsi="David"/>
          <w:spacing w:val="-2"/>
          <w:sz w:val="20"/>
          <w:szCs w:val="20"/>
          <w:rtl/>
        </w:rPr>
        <w:t xml:space="preserve"> </w:t>
      </w:r>
      <w:r w:rsidR="001D3FFE" w:rsidRPr="005E570F">
        <w:rPr>
          <w:rFonts w:ascii="David" w:hAnsi="David" w:hint="eastAsia"/>
          <w:spacing w:val="-2"/>
          <w:sz w:val="20"/>
          <w:szCs w:val="20"/>
          <w:rtl/>
        </w:rPr>
        <w:t>המוצא</w:t>
      </w:r>
      <w:r w:rsidR="001D3FFE" w:rsidRPr="005E570F">
        <w:rPr>
          <w:rFonts w:ascii="David" w:hAnsi="David"/>
          <w:spacing w:val="-2"/>
          <w:sz w:val="20"/>
          <w:szCs w:val="20"/>
          <w:rtl/>
        </w:rPr>
        <w:t xml:space="preserve"> </w:t>
      </w:r>
      <w:r w:rsidR="001D3FFE" w:rsidRPr="005E570F">
        <w:rPr>
          <w:rFonts w:ascii="David" w:hAnsi="David" w:hint="eastAsia"/>
          <w:spacing w:val="-2"/>
          <w:sz w:val="20"/>
          <w:szCs w:val="20"/>
          <w:rtl/>
        </w:rPr>
        <w:t>של</w:t>
      </w:r>
      <w:r w:rsidR="001D3FFE" w:rsidRPr="005E570F">
        <w:rPr>
          <w:rFonts w:ascii="David" w:hAnsi="David"/>
          <w:spacing w:val="-2"/>
          <w:sz w:val="20"/>
          <w:szCs w:val="20"/>
          <w:rtl/>
        </w:rPr>
        <w:t xml:space="preserve"> </w:t>
      </w:r>
      <w:r w:rsidR="001D3FFE" w:rsidRPr="005E570F">
        <w:rPr>
          <w:rFonts w:ascii="David" w:hAnsi="David" w:hint="eastAsia"/>
          <w:spacing w:val="-2"/>
          <w:sz w:val="20"/>
          <w:szCs w:val="20"/>
          <w:rtl/>
        </w:rPr>
        <w:t>מאמרם</w:t>
      </w:r>
      <w:r w:rsidR="001D3FFE" w:rsidRPr="005E570F">
        <w:rPr>
          <w:rFonts w:ascii="David" w:hAnsi="David"/>
          <w:spacing w:val="-2"/>
          <w:sz w:val="20"/>
          <w:szCs w:val="20"/>
          <w:rtl/>
        </w:rPr>
        <w:t>,</w:t>
      </w:r>
      <w:r w:rsidR="001D3FFE" w:rsidRPr="005E570F">
        <w:rPr>
          <w:rFonts w:ascii="David" w:hAnsi="David" w:hint="cs"/>
          <w:b/>
          <w:bCs/>
          <w:spacing w:val="-2"/>
          <w:sz w:val="20"/>
          <w:szCs w:val="20"/>
          <w:rtl/>
        </w:rPr>
        <w:t xml:space="preserve"> </w:t>
      </w:r>
      <w:r w:rsidR="001D3FFE" w:rsidRPr="005E570F">
        <w:rPr>
          <w:rFonts w:ascii="David" w:hAnsi="David"/>
          <w:b/>
          <w:bCs/>
          <w:spacing w:val="-2"/>
          <w:sz w:val="20"/>
          <w:szCs w:val="20"/>
          <w:rtl/>
        </w:rPr>
        <w:t>דמנציה בישראל: תרופות חדשות, טכנולוגיות חדשות והסיכון להחמרת הפערים בטיפול</w:t>
      </w:r>
      <w:r w:rsidR="001D3FFE" w:rsidRPr="005E570F">
        <w:rPr>
          <w:rFonts w:ascii="David" w:hAnsi="David"/>
          <w:spacing w:val="-2"/>
          <w:sz w:val="20"/>
          <w:szCs w:val="20"/>
          <w:rtl/>
        </w:rPr>
        <w:t>,</w:t>
      </w:r>
      <w:r w:rsidRPr="005E570F">
        <w:rPr>
          <w:rFonts w:ascii="Georgia" w:hAnsi="Georgia" w:hint="cs"/>
          <w:spacing w:val="-2"/>
          <w:sz w:val="18"/>
          <w:szCs w:val="20"/>
          <w:rtl/>
        </w:rPr>
        <w:t xml:space="preserve"> נעוצה במציאות אשר בה </w:t>
      </w:r>
      <w:r w:rsidRPr="005E570F">
        <w:rPr>
          <w:rFonts w:ascii="Georgia" w:hAnsi="Georgia"/>
          <w:spacing w:val="-2"/>
          <w:sz w:val="18"/>
          <w:szCs w:val="20"/>
          <w:rtl/>
        </w:rPr>
        <w:t xml:space="preserve">עם העלייה בתוחלת החיים </w:t>
      </w:r>
      <w:r w:rsidRPr="005E570F">
        <w:rPr>
          <w:rFonts w:ascii="Georgia" w:hAnsi="Georgia" w:hint="cs"/>
          <w:spacing w:val="-2"/>
          <w:sz w:val="18"/>
          <w:szCs w:val="20"/>
          <w:rtl/>
        </w:rPr>
        <w:t xml:space="preserve">חלה </w:t>
      </w:r>
      <w:r w:rsidRPr="005E570F">
        <w:rPr>
          <w:rFonts w:ascii="Georgia" w:hAnsi="Georgia"/>
          <w:spacing w:val="-2"/>
          <w:sz w:val="18"/>
          <w:szCs w:val="20"/>
          <w:rtl/>
        </w:rPr>
        <w:t>עלי</w:t>
      </w:r>
      <w:r w:rsidRPr="005E570F">
        <w:rPr>
          <w:rFonts w:ascii="Georgia" w:hAnsi="Georgia" w:hint="cs"/>
          <w:spacing w:val="-2"/>
          <w:sz w:val="18"/>
          <w:szCs w:val="20"/>
          <w:rtl/>
        </w:rPr>
        <w:t>י</w:t>
      </w:r>
      <w:r w:rsidRPr="005E570F">
        <w:rPr>
          <w:rFonts w:ascii="Georgia" w:hAnsi="Georgia"/>
          <w:spacing w:val="-2"/>
          <w:sz w:val="18"/>
          <w:szCs w:val="20"/>
          <w:rtl/>
        </w:rPr>
        <w:t xml:space="preserve">ה </w:t>
      </w:r>
      <w:r w:rsidRPr="005E570F">
        <w:rPr>
          <w:rFonts w:ascii="Georgia" w:hAnsi="Georgia" w:hint="cs"/>
          <w:spacing w:val="-2"/>
          <w:sz w:val="18"/>
          <w:szCs w:val="20"/>
          <w:rtl/>
        </w:rPr>
        <w:t xml:space="preserve">גם </w:t>
      </w:r>
      <w:r w:rsidRPr="005E570F">
        <w:rPr>
          <w:rFonts w:ascii="Georgia" w:hAnsi="Georgia"/>
          <w:spacing w:val="-2"/>
          <w:sz w:val="18"/>
          <w:szCs w:val="20"/>
          <w:rtl/>
        </w:rPr>
        <w:t>בשכיחות המחלות הגורמות לדמנציה</w:t>
      </w:r>
      <w:r w:rsidRPr="005E570F">
        <w:rPr>
          <w:rFonts w:ascii="Georgia" w:hAnsi="Georgia" w:hint="cs"/>
          <w:spacing w:val="-2"/>
          <w:sz w:val="18"/>
          <w:szCs w:val="20"/>
          <w:rtl/>
        </w:rPr>
        <w:t>,</w:t>
      </w:r>
      <w:r w:rsidRPr="005E570F">
        <w:rPr>
          <w:rFonts w:ascii="Georgia" w:hAnsi="Georgia"/>
          <w:spacing w:val="-2"/>
          <w:sz w:val="18"/>
          <w:szCs w:val="20"/>
          <w:rtl/>
        </w:rPr>
        <w:t xml:space="preserve"> ובמודעות הציבורית למחלות אלה. עד לאחרונה, שינוי באורח החיים, בעיקר בנושאי תזונה ופעילות גופנית, הי</w:t>
      </w:r>
      <w:r w:rsidRPr="005E570F">
        <w:rPr>
          <w:rFonts w:ascii="Georgia" w:hAnsi="Georgia" w:hint="cs"/>
          <w:spacing w:val="-2"/>
          <w:sz w:val="18"/>
          <w:szCs w:val="20"/>
          <w:rtl/>
        </w:rPr>
        <w:t>ה</w:t>
      </w:r>
      <w:r w:rsidRPr="005E570F">
        <w:rPr>
          <w:rFonts w:ascii="Georgia" w:hAnsi="Georgia"/>
          <w:spacing w:val="-2"/>
          <w:sz w:val="18"/>
          <w:szCs w:val="20"/>
          <w:rtl/>
        </w:rPr>
        <w:t xml:space="preserve"> גיש</w:t>
      </w:r>
      <w:r w:rsidRPr="005E570F">
        <w:rPr>
          <w:rFonts w:ascii="Georgia" w:hAnsi="Georgia" w:hint="cs"/>
          <w:spacing w:val="-2"/>
          <w:sz w:val="18"/>
          <w:szCs w:val="20"/>
          <w:rtl/>
        </w:rPr>
        <w:t>ת</w:t>
      </w:r>
      <w:r w:rsidRPr="005E570F">
        <w:rPr>
          <w:rFonts w:ascii="Georgia" w:hAnsi="Georgia"/>
          <w:spacing w:val="-2"/>
          <w:sz w:val="18"/>
          <w:szCs w:val="20"/>
          <w:rtl/>
        </w:rPr>
        <w:t xml:space="preserve"> הטיפול המקובלת לדחיית התפתחות</w:t>
      </w:r>
      <w:r w:rsidRPr="005E570F">
        <w:rPr>
          <w:rFonts w:ascii="Georgia" w:hAnsi="Georgia" w:hint="cs"/>
          <w:spacing w:val="-2"/>
          <w:sz w:val="18"/>
          <w:szCs w:val="20"/>
          <w:rtl/>
        </w:rPr>
        <w:t>ה</w:t>
      </w:r>
      <w:r w:rsidRPr="005E570F">
        <w:rPr>
          <w:rFonts w:ascii="Georgia" w:hAnsi="Georgia"/>
          <w:spacing w:val="-2"/>
          <w:sz w:val="18"/>
          <w:szCs w:val="20"/>
          <w:rtl/>
        </w:rPr>
        <w:t xml:space="preserve"> </w:t>
      </w:r>
      <w:r w:rsidRPr="005E570F">
        <w:rPr>
          <w:rFonts w:ascii="Georgia" w:hAnsi="Georgia" w:hint="cs"/>
          <w:spacing w:val="-2"/>
          <w:sz w:val="18"/>
          <w:szCs w:val="20"/>
          <w:rtl/>
        </w:rPr>
        <w:t>של ה</w:t>
      </w:r>
      <w:r w:rsidRPr="005E570F">
        <w:rPr>
          <w:rFonts w:ascii="Georgia" w:hAnsi="Georgia"/>
          <w:spacing w:val="-2"/>
          <w:sz w:val="18"/>
          <w:szCs w:val="20"/>
          <w:rtl/>
        </w:rPr>
        <w:t>דמנציה.</w:t>
      </w:r>
      <w:r w:rsidRPr="005E570F">
        <w:rPr>
          <w:rFonts w:ascii="Georgia" w:hAnsi="Georgia" w:hint="cs"/>
          <w:spacing w:val="-2"/>
          <w:sz w:val="18"/>
          <w:szCs w:val="20"/>
          <w:rtl/>
        </w:rPr>
        <w:t xml:space="preserve"> אולם </w:t>
      </w:r>
      <w:r w:rsidRPr="005E570F">
        <w:rPr>
          <w:rFonts w:ascii="Georgia" w:hAnsi="Georgia"/>
          <w:spacing w:val="-2"/>
          <w:sz w:val="18"/>
          <w:szCs w:val="20"/>
          <w:rtl/>
        </w:rPr>
        <w:t>בשנים האחרונות</w:t>
      </w:r>
      <w:r w:rsidRPr="005E570F">
        <w:rPr>
          <w:rFonts w:ascii="Georgia" w:hAnsi="Georgia" w:hint="cs"/>
          <w:spacing w:val="-2"/>
          <w:sz w:val="18"/>
          <w:szCs w:val="20"/>
          <w:rtl/>
        </w:rPr>
        <w:t xml:space="preserve"> מ</w:t>
      </w:r>
      <w:r w:rsidRPr="005E570F">
        <w:rPr>
          <w:rFonts w:ascii="Georgia" w:hAnsi="Georgia"/>
          <w:spacing w:val="-2"/>
          <w:sz w:val="18"/>
          <w:szCs w:val="20"/>
          <w:rtl/>
        </w:rPr>
        <w:t>תרחשת לנגד עינ</w:t>
      </w:r>
      <w:r w:rsidRPr="005E570F">
        <w:rPr>
          <w:rFonts w:ascii="Georgia" w:hAnsi="Georgia" w:hint="cs"/>
          <w:spacing w:val="-2"/>
          <w:sz w:val="18"/>
          <w:szCs w:val="20"/>
          <w:rtl/>
        </w:rPr>
        <w:t>י</w:t>
      </w:r>
      <w:r w:rsidRPr="005E570F">
        <w:rPr>
          <w:rFonts w:ascii="Georgia" w:hAnsi="Georgia"/>
          <w:spacing w:val="-2"/>
          <w:sz w:val="18"/>
          <w:szCs w:val="20"/>
          <w:rtl/>
        </w:rPr>
        <w:t xml:space="preserve">נו מהפכה באבחון </w:t>
      </w:r>
      <w:r w:rsidRPr="005E570F">
        <w:rPr>
          <w:rFonts w:ascii="Georgia" w:hAnsi="Georgia" w:hint="cs"/>
          <w:spacing w:val="-2"/>
          <w:sz w:val="18"/>
          <w:szCs w:val="20"/>
          <w:rtl/>
        </w:rPr>
        <w:t xml:space="preserve">של הדמנציה </w:t>
      </w:r>
      <w:r w:rsidRPr="005E570F">
        <w:rPr>
          <w:rFonts w:ascii="Georgia" w:hAnsi="Georgia"/>
          <w:spacing w:val="-2"/>
          <w:sz w:val="18"/>
          <w:szCs w:val="20"/>
          <w:rtl/>
        </w:rPr>
        <w:t>ובטיפול ב</w:t>
      </w:r>
      <w:r w:rsidRPr="005E570F">
        <w:rPr>
          <w:rFonts w:ascii="Georgia" w:hAnsi="Georgia" w:hint="cs"/>
          <w:spacing w:val="-2"/>
          <w:sz w:val="18"/>
          <w:szCs w:val="20"/>
          <w:rtl/>
        </w:rPr>
        <w:t>ה</w:t>
      </w:r>
      <w:r w:rsidRPr="005E570F">
        <w:rPr>
          <w:rFonts w:ascii="Georgia" w:hAnsi="Georgia"/>
          <w:spacing w:val="-2"/>
          <w:sz w:val="18"/>
          <w:szCs w:val="20"/>
          <w:rtl/>
        </w:rPr>
        <w:t>. לאבחון מחלת אלצהיימר נוספים אמצעים טכנולוג</w:t>
      </w:r>
      <w:r w:rsidRPr="005E570F">
        <w:rPr>
          <w:rFonts w:ascii="Georgia" w:hAnsi="Georgia" w:hint="cs"/>
          <w:spacing w:val="-2"/>
          <w:sz w:val="18"/>
          <w:szCs w:val="20"/>
          <w:rtl/>
        </w:rPr>
        <w:t>י</w:t>
      </w:r>
      <w:r w:rsidRPr="005E570F">
        <w:rPr>
          <w:rFonts w:ascii="Georgia" w:hAnsi="Georgia"/>
          <w:spacing w:val="-2"/>
          <w:sz w:val="18"/>
          <w:szCs w:val="20"/>
          <w:rtl/>
        </w:rPr>
        <w:t>ים חדשים</w:t>
      </w:r>
      <w:r w:rsidRPr="005E570F">
        <w:rPr>
          <w:rFonts w:ascii="Georgia" w:hAnsi="Georgia" w:hint="cs"/>
          <w:spacing w:val="-2"/>
          <w:sz w:val="18"/>
          <w:szCs w:val="20"/>
          <w:rtl/>
        </w:rPr>
        <w:t>, ובה</w:t>
      </w:r>
      <w:r w:rsidR="008D56CE" w:rsidRPr="005E570F">
        <w:rPr>
          <w:rFonts w:ascii="Georgia" w:hAnsi="Georgia" w:hint="cs"/>
          <w:spacing w:val="-2"/>
          <w:sz w:val="18"/>
          <w:szCs w:val="20"/>
          <w:rtl/>
        </w:rPr>
        <w:t>ם</w:t>
      </w:r>
      <w:r w:rsidRPr="005E570F">
        <w:rPr>
          <w:rFonts w:ascii="Georgia" w:hAnsi="Georgia" w:hint="cs"/>
          <w:spacing w:val="-2"/>
          <w:sz w:val="18"/>
          <w:szCs w:val="20"/>
          <w:rtl/>
        </w:rPr>
        <w:t xml:space="preserve"> </w:t>
      </w:r>
      <w:r w:rsidRPr="005E570F">
        <w:rPr>
          <w:rFonts w:ascii="Georgia" w:hAnsi="Georgia"/>
          <w:spacing w:val="-2"/>
          <w:sz w:val="18"/>
          <w:szCs w:val="20"/>
          <w:rtl/>
        </w:rPr>
        <w:t>בדיקות הדמיה מתוחכמות שמטרתן איתור שינויים פתולוגי</w:t>
      </w:r>
      <w:r w:rsidRPr="005E570F">
        <w:rPr>
          <w:rFonts w:ascii="Georgia" w:hAnsi="Georgia" w:hint="cs"/>
          <w:spacing w:val="-2"/>
          <w:sz w:val="18"/>
          <w:szCs w:val="20"/>
          <w:rtl/>
        </w:rPr>
        <w:t>י</w:t>
      </w:r>
      <w:r w:rsidRPr="005E570F">
        <w:rPr>
          <w:rFonts w:ascii="Georgia" w:hAnsi="Georgia"/>
          <w:spacing w:val="-2"/>
          <w:sz w:val="18"/>
          <w:szCs w:val="20"/>
          <w:rtl/>
        </w:rPr>
        <w:t xml:space="preserve">ם עוד טרם התפתחות הסימנים הקליניים. </w:t>
      </w:r>
      <w:r w:rsidRPr="005E570F">
        <w:rPr>
          <w:rFonts w:ascii="Georgia" w:hAnsi="Georgia" w:hint="cs"/>
          <w:spacing w:val="-2"/>
          <w:sz w:val="18"/>
          <w:szCs w:val="20"/>
          <w:rtl/>
        </w:rPr>
        <w:t xml:space="preserve">יתרה מכך, </w:t>
      </w:r>
      <w:r w:rsidRPr="005E570F">
        <w:rPr>
          <w:rFonts w:ascii="Georgia" w:hAnsi="Georgia"/>
          <w:spacing w:val="-2"/>
          <w:sz w:val="18"/>
          <w:szCs w:val="20"/>
          <w:rtl/>
        </w:rPr>
        <w:t>בשנת 2021 א</w:t>
      </w:r>
      <w:r w:rsidRPr="005E570F">
        <w:rPr>
          <w:rFonts w:ascii="Georgia" w:hAnsi="Georgia" w:hint="cs"/>
          <w:spacing w:val="-2"/>
          <w:sz w:val="18"/>
          <w:szCs w:val="20"/>
          <w:rtl/>
        </w:rPr>
        <w:t>י</w:t>
      </w:r>
      <w:r w:rsidRPr="005E570F">
        <w:rPr>
          <w:rFonts w:ascii="Georgia" w:hAnsi="Georgia"/>
          <w:spacing w:val="-2"/>
          <w:sz w:val="18"/>
          <w:szCs w:val="20"/>
          <w:rtl/>
        </w:rPr>
        <w:t xml:space="preserve">שר ארגון המזון והבריאות האמריקאי </w:t>
      </w:r>
      <w:r w:rsidRPr="005E570F">
        <w:rPr>
          <w:rFonts w:ascii="Georgia" w:hAnsi="Georgia" w:hint="cs"/>
          <w:spacing w:val="-2"/>
          <w:sz w:val="18"/>
          <w:szCs w:val="20"/>
          <w:rtl/>
        </w:rPr>
        <w:t>(</w:t>
      </w:r>
      <w:r w:rsidRPr="005E570F">
        <w:rPr>
          <w:rFonts w:ascii="Georgia" w:hAnsi="Georgia"/>
          <w:spacing w:val="-2"/>
          <w:sz w:val="18"/>
          <w:szCs w:val="20"/>
        </w:rPr>
        <w:t>FDA</w:t>
      </w:r>
      <w:r w:rsidRPr="005E570F">
        <w:rPr>
          <w:rFonts w:ascii="Georgia" w:hAnsi="Georgia" w:hint="cs"/>
          <w:spacing w:val="-2"/>
          <w:sz w:val="18"/>
          <w:szCs w:val="20"/>
          <w:rtl/>
        </w:rPr>
        <w:t xml:space="preserve">) את התרופה הראשונה שמטרתה שינוי המהלך של מחלת אלצהיימר. </w:t>
      </w:r>
    </w:p>
    <w:p w14:paraId="059ED37D"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hint="cs"/>
          <w:sz w:val="20"/>
          <w:szCs w:val="20"/>
          <w:rtl/>
        </w:rPr>
        <w:t xml:space="preserve">נראה אפוא כי </w:t>
      </w:r>
      <w:r w:rsidRPr="00F079B8">
        <w:rPr>
          <w:rFonts w:ascii="David" w:hAnsi="David"/>
          <w:sz w:val="20"/>
          <w:szCs w:val="20"/>
          <w:rtl/>
        </w:rPr>
        <w:t xml:space="preserve">השילוב של אבחון מוקדם </w:t>
      </w:r>
      <w:r w:rsidRPr="00F079B8">
        <w:rPr>
          <w:rFonts w:ascii="David" w:hAnsi="David" w:hint="cs"/>
          <w:sz w:val="20"/>
          <w:szCs w:val="20"/>
          <w:rtl/>
        </w:rPr>
        <w:t xml:space="preserve">עם </w:t>
      </w:r>
      <w:r w:rsidRPr="00F079B8">
        <w:rPr>
          <w:rFonts w:ascii="David" w:hAnsi="David"/>
          <w:sz w:val="20"/>
          <w:szCs w:val="20"/>
          <w:rtl/>
        </w:rPr>
        <w:t>טיפול אשר ישנה את מהלך המחלה עשוי לדחות ואולי אף למנוע את התפתחות המחלות הגורמות לדמנציה.</w:t>
      </w:r>
      <w:r w:rsidRPr="00F079B8">
        <w:rPr>
          <w:rFonts w:ascii="David" w:hAnsi="David" w:hint="cs"/>
          <w:sz w:val="20"/>
          <w:szCs w:val="20"/>
          <w:rtl/>
        </w:rPr>
        <w:t xml:space="preserve"> לפיכך, </w:t>
      </w:r>
      <w:r w:rsidRPr="00F079B8">
        <w:rPr>
          <w:rFonts w:ascii="David" w:hAnsi="David"/>
          <w:sz w:val="20"/>
          <w:szCs w:val="20"/>
          <w:rtl/>
        </w:rPr>
        <w:t>השקעת משאבים במחקר ו</w:t>
      </w:r>
      <w:r w:rsidRPr="00F079B8">
        <w:rPr>
          <w:rFonts w:ascii="David" w:hAnsi="David" w:hint="cs"/>
          <w:sz w:val="20"/>
          <w:szCs w:val="20"/>
          <w:rtl/>
        </w:rPr>
        <w:t>ב</w:t>
      </w:r>
      <w:r w:rsidRPr="00F079B8">
        <w:rPr>
          <w:rFonts w:ascii="David" w:hAnsi="David"/>
          <w:sz w:val="20"/>
          <w:szCs w:val="20"/>
          <w:rtl/>
        </w:rPr>
        <w:t>פיתוח אמצעים לאבחון מוקדם ו</w:t>
      </w:r>
      <w:r w:rsidRPr="00F079B8">
        <w:rPr>
          <w:rFonts w:ascii="David" w:hAnsi="David" w:hint="cs"/>
          <w:sz w:val="20"/>
          <w:szCs w:val="20"/>
          <w:rtl/>
        </w:rPr>
        <w:t>ל</w:t>
      </w:r>
      <w:r w:rsidRPr="00F079B8">
        <w:rPr>
          <w:rFonts w:ascii="David" w:hAnsi="David"/>
          <w:sz w:val="20"/>
          <w:szCs w:val="20"/>
          <w:rtl/>
        </w:rPr>
        <w:t xml:space="preserve">טיפול תרופתי לדחייה או </w:t>
      </w:r>
      <w:r w:rsidRPr="00F079B8">
        <w:rPr>
          <w:rFonts w:ascii="David" w:hAnsi="David" w:hint="cs"/>
          <w:sz w:val="20"/>
          <w:szCs w:val="20"/>
          <w:rtl/>
        </w:rPr>
        <w:t>ל</w:t>
      </w:r>
      <w:r w:rsidRPr="00F079B8">
        <w:rPr>
          <w:rFonts w:ascii="David" w:hAnsi="David"/>
          <w:sz w:val="20"/>
          <w:szCs w:val="20"/>
          <w:rtl/>
        </w:rPr>
        <w:t>מניעה של המחלות הניווניות של המוח הוא מתבקש ומבורך. עם זאת חשוב לזכור שהדרך להשגת מטרה זו עוד ארוכה ועלולה לה</w:t>
      </w:r>
      <w:r w:rsidRPr="00F079B8">
        <w:rPr>
          <w:rFonts w:ascii="David" w:hAnsi="David" w:hint="cs"/>
          <w:sz w:val="20"/>
          <w:szCs w:val="20"/>
          <w:rtl/>
        </w:rPr>
        <w:t>י</w:t>
      </w:r>
      <w:r w:rsidRPr="00F079B8">
        <w:rPr>
          <w:rFonts w:ascii="David" w:hAnsi="David"/>
          <w:sz w:val="20"/>
          <w:szCs w:val="20"/>
          <w:rtl/>
        </w:rPr>
        <w:t>משך שנים רבות</w:t>
      </w:r>
      <w:r w:rsidRPr="00F079B8">
        <w:rPr>
          <w:rFonts w:ascii="David" w:hAnsi="David" w:hint="cs"/>
          <w:sz w:val="20"/>
          <w:szCs w:val="20"/>
          <w:rtl/>
        </w:rPr>
        <w:t>,</w:t>
      </w:r>
      <w:r w:rsidRPr="00F079B8">
        <w:rPr>
          <w:rFonts w:ascii="David" w:hAnsi="David"/>
          <w:sz w:val="20"/>
          <w:szCs w:val="20"/>
          <w:rtl/>
        </w:rPr>
        <w:t xml:space="preserve"> וכיום עדיין אין תרופות המוכחות כיעילות ובטוחות למניעת דמנציה.</w:t>
      </w:r>
    </w:p>
    <w:p w14:paraId="392420C0"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hint="cs"/>
          <w:sz w:val="20"/>
          <w:szCs w:val="20"/>
          <w:rtl/>
        </w:rPr>
        <w:lastRenderedPageBreak/>
        <w:t xml:space="preserve">על רקע זה, מחברי המאמר </w:t>
      </w:r>
      <w:r w:rsidRPr="00F079B8">
        <w:rPr>
          <w:rFonts w:ascii="David" w:hAnsi="David"/>
          <w:sz w:val="20"/>
          <w:szCs w:val="20"/>
          <w:rtl/>
        </w:rPr>
        <w:t xml:space="preserve">מחדדים את </w:t>
      </w:r>
      <w:r w:rsidRPr="00F079B8">
        <w:rPr>
          <w:rFonts w:ascii="David" w:hAnsi="David" w:hint="cs"/>
          <w:sz w:val="20"/>
          <w:szCs w:val="20"/>
          <w:rtl/>
        </w:rPr>
        <w:t>ה</w:t>
      </w:r>
      <w:r w:rsidRPr="00F079B8">
        <w:rPr>
          <w:rFonts w:ascii="David" w:hAnsi="David"/>
          <w:sz w:val="20"/>
          <w:szCs w:val="20"/>
          <w:rtl/>
        </w:rPr>
        <w:t xml:space="preserve">חשיבות </w:t>
      </w:r>
      <w:r w:rsidRPr="00F079B8">
        <w:rPr>
          <w:rFonts w:ascii="David" w:hAnsi="David" w:hint="cs"/>
          <w:sz w:val="20"/>
          <w:szCs w:val="20"/>
          <w:rtl/>
        </w:rPr>
        <w:t>שיש ל</w:t>
      </w:r>
      <w:r w:rsidRPr="00F079B8">
        <w:rPr>
          <w:rFonts w:ascii="David" w:hAnsi="David"/>
          <w:sz w:val="20"/>
          <w:szCs w:val="20"/>
          <w:rtl/>
        </w:rPr>
        <w:t>פיתוח שירותים לחולים עם דמנציה</w:t>
      </w:r>
      <w:r w:rsidRPr="00F079B8">
        <w:rPr>
          <w:rFonts w:ascii="David" w:hAnsi="David" w:hint="cs"/>
          <w:sz w:val="20"/>
          <w:szCs w:val="20"/>
          <w:rtl/>
        </w:rPr>
        <w:t>,</w:t>
      </w:r>
      <w:r w:rsidRPr="00F079B8">
        <w:rPr>
          <w:rFonts w:ascii="David" w:hAnsi="David"/>
          <w:sz w:val="20"/>
          <w:szCs w:val="20"/>
          <w:rtl/>
        </w:rPr>
        <w:t xml:space="preserve"> במיוחד בשלבים מתקדמים</w:t>
      </w:r>
      <w:r w:rsidRPr="00F079B8">
        <w:rPr>
          <w:rFonts w:ascii="David" w:hAnsi="David" w:hint="cs"/>
          <w:sz w:val="20"/>
          <w:szCs w:val="20"/>
          <w:rtl/>
        </w:rPr>
        <w:t>,</w:t>
      </w:r>
      <w:r w:rsidRPr="00F079B8">
        <w:rPr>
          <w:rFonts w:ascii="David" w:hAnsi="David"/>
          <w:sz w:val="20"/>
          <w:szCs w:val="20"/>
          <w:rtl/>
        </w:rPr>
        <w:t xml:space="preserve"> ומתריעים מפני הטי</w:t>
      </w:r>
      <w:r w:rsidRPr="00F079B8">
        <w:rPr>
          <w:rFonts w:ascii="David" w:hAnsi="David" w:hint="cs"/>
          <w:sz w:val="20"/>
          <w:szCs w:val="20"/>
          <w:rtl/>
        </w:rPr>
        <w:t xml:space="preserve">ה גורפת של </w:t>
      </w:r>
      <w:r w:rsidRPr="00F079B8">
        <w:rPr>
          <w:rFonts w:ascii="David" w:hAnsi="David"/>
          <w:sz w:val="20"/>
          <w:szCs w:val="20"/>
          <w:rtl/>
        </w:rPr>
        <w:t>תשומת הלב והמשאבים האנושיים והכלכליים לפעולות בעלות פוטנציאל למניעת דמנציה –</w:t>
      </w:r>
      <w:r w:rsidRPr="00F079B8">
        <w:rPr>
          <w:rFonts w:ascii="David" w:hAnsi="David" w:hint="cs"/>
          <w:sz w:val="20"/>
          <w:szCs w:val="20"/>
          <w:rtl/>
        </w:rPr>
        <w:t xml:space="preserve"> על חשבון </w:t>
      </w:r>
      <w:r w:rsidRPr="00F079B8">
        <w:rPr>
          <w:rFonts w:ascii="David" w:hAnsi="David"/>
          <w:sz w:val="20"/>
          <w:szCs w:val="20"/>
          <w:rtl/>
        </w:rPr>
        <w:t xml:space="preserve">הזנחה אפשרית של הטיפול בחולים עם דמנציה בשלבים מתקדמים. מדיניות </w:t>
      </w:r>
      <w:r w:rsidRPr="00F079B8">
        <w:rPr>
          <w:rFonts w:ascii="David" w:hAnsi="David" w:hint="cs"/>
          <w:sz w:val="20"/>
          <w:szCs w:val="20"/>
          <w:rtl/>
        </w:rPr>
        <w:t>כ</w:t>
      </w:r>
      <w:r w:rsidRPr="00F079B8">
        <w:rPr>
          <w:rFonts w:ascii="David" w:hAnsi="David"/>
          <w:sz w:val="20"/>
          <w:szCs w:val="20"/>
          <w:rtl/>
        </w:rPr>
        <w:t xml:space="preserve">זו עלולה לפגוע במיוחד בחולים ממעמד </w:t>
      </w:r>
      <w:r w:rsidRPr="00F079B8">
        <w:rPr>
          <w:rFonts w:ascii="David" w:hAnsi="David" w:hint="cs"/>
          <w:sz w:val="20"/>
          <w:szCs w:val="20"/>
          <w:rtl/>
        </w:rPr>
        <w:t xml:space="preserve">חברתי-כלכלי </w:t>
      </w:r>
      <w:r w:rsidRPr="00F079B8">
        <w:rPr>
          <w:rFonts w:ascii="David" w:hAnsi="David"/>
          <w:sz w:val="20"/>
          <w:szCs w:val="20"/>
          <w:rtl/>
        </w:rPr>
        <w:t>נמוך</w:t>
      </w:r>
      <w:r w:rsidRPr="00F079B8">
        <w:rPr>
          <w:rFonts w:ascii="David" w:hAnsi="David" w:hint="cs"/>
          <w:sz w:val="20"/>
          <w:szCs w:val="20"/>
          <w:rtl/>
        </w:rPr>
        <w:t>,</w:t>
      </w:r>
      <w:r w:rsidRPr="00F079B8">
        <w:rPr>
          <w:rFonts w:ascii="David" w:hAnsi="David"/>
          <w:sz w:val="20"/>
          <w:szCs w:val="20"/>
          <w:rtl/>
        </w:rPr>
        <w:t xml:space="preserve"> ו</w:t>
      </w:r>
      <w:r w:rsidRPr="00F079B8">
        <w:rPr>
          <w:rFonts w:ascii="David" w:hAnsi="David" w:hint="cs"/>
          <w:sz w:val="20"/>
          <w:szCs w:val="20"/>
          <w:rtl/>
        </w:rPr>
        <w:t>ב</w:t>
      </w:r>
      <w:r w:rsidRPr="00F079B8">
        <w:rPr>
          <w:rFonts w:ascii="David" w:hAnsi="David"/>
          <w:sz w:val="20"/>
          <w:szCs w:val="20"/>
          <w:rtl/>
        </w:rPr>
        <w:t>אלה החיים בפריפריה של מדינת ישראל.</w:t>
      </w:r>
      <w:r w:rsidRPr="00F079B8">
        <w:rPr>
          <w:rFonts w:ascii="David" w:hAnsi="David" w:hint="cs"/>
          <w:sz w:val="20"/>
          <w:szCs w:val="20"/>
          <w:rtl/>
        </w:rPr>
        <w:t xml:space="preserve"> </w:t>
      </w:r>
      <w:r w:rsidRPr="00F079B8">
        <w:rPr>
          <w:rFonts w:ascii="David" w:hAnsi="David"/>
          <w:sz w:val="20"/>
          <w:szCs w:val="20"/>
          <w:rtl/>
        </w:rPr>
        <w:t>מעטים בחברה זקוקים לעזרה ו</w:t>
      </w:r>
      <w:r w:rsidRPr="00F079B8">
        <w:rPr>
          <w:rFonts w:ascii="David" w:hAnsi="David" w:hint="cs"/>
          <w:sz w:val="20"/>
          <w:szCs w:val="20"/>
          <w:rtl/>
        </w:rPr>
        <w:t>ל</w:t>
      </w:r>
      <w:r w:rsidRPr="00F079B8">
        <w:rPr>
          <w:rFonts w:ascii="David" w:hAnsi="David"/>
          <w:sz w:val="20"/>
          <w:szCs w:val="20"/>
          <w:rtl/>
        </w:rPr>
        <w:t xml:space="preserve">תמיכה </w:t>
      </w:r>
      <w:r w:rsidRPr="00F079B8">
        <w:rPr>
          <w:rFonts w:ascii="David" w:hAnsi="David" w:hint="cs"/>
          <w:sz w:val="20"/>
          <w:szCs w:val="20"/>
          <w:rtl/>
        </w:rPr>
        <w:t xml:space="preserve">כמו אלה שזקוקים להן הסובלים </w:t>
      </w:r>
      <w:r w:rsidRPr="00F079B8">
        <w:rPr>
          <w:rFonts w:ascii="David" w:hAnsi="David"/>
          <w:sz w:val="20"/>
          <w:szCs w:val="20"/>
          <w:rtl/>
        </w:rPr>
        <w:t>מדמנציה</w:t>
      </w:r>
      <w:r w:rsidRPr="00F079B8">
        <w:rPr>
          <w:rFonts w:ascii="David" w:hAnsi="David" w:hint="cs"/>
          <w:sz w:val="20"/>
          <w:szCs w:val="20"/>
          <w:rtl/>
        </w:rPr>
        <w:t xml:space="preserve"> מתקדמת</w:t>
      </w:r>
      <w:r w:rsidRPr="00F079B8">
        <w:rPr>
          <w:rFonts w:ascii="David" w:hAnsi="David"/>
          <w:sz w:val="20"/>
          <w:szCs w:val="20"/>
          <w:rtl/>
        </w:rPr>
        <w:t xml:space="preserve"> והמטפל</w:t>
      </w:r>
      <w:r w:rsidRPr="00F079B8">
        <w:rPr>
          <w:rFonts w:ascii="David" w:hAnsi="David" w:hint="cs"/>
          <w:sz w:val="20"/>
          <w:szCs w:val="20"/>
          <w:rtl/>
        </w:rPr>
        <w:t xml:space="preserve">ים העיקריים בהם. לפיכך, וכפי שטוענים המחברים, </w:t>
      </w:r>
      <w:r w:rsidRPr="00F079B8">
        <w:rPr>
          <w:rFonts w:ascii="David" w:hAnsi="David"/>
          <w:sz w:val="20"/>
          <w:szCs w:val="20"/>
          <w:rtl/>
        </w:rPr>
        <w:t>חשוב להעלות את המודעות למצוק</w:t>
      </w:r>
      <w:r w:rsidRPr="00F079B8">
        <w:rPr>
          <w:rFonts w:ascii="David" w:hAnsi="David" w:hint="cs"/>
          <w:sz w:val="20"/>
          <w:szCs w:val="20"/>
          <w:rtl/>
        </w:rPr>
        <w:t xml:space="preserve">ת החולים ובני משפחותיהם, </w:t>
      </w:r>
      <w:r w:rsidRPr="00F079B8">
        <w:rPr>
          <w:rFonts w:ascii="David" w:hAnsi="David"/>
          <w:sz w:val="20"/>
          <w:szCs w:val="20"/>
          <w:rtl/>
        </w:rPr>
        <w:t>ולנתב משאבים כלכליים ומשאבים אנושיים איכותיים לאתגר לאומי זה.</w:t>
      </w:r>
      <w:r w:rsidRPr="00F079B8">
        <w:rPr>
          <w:rFonts w:ascii="David" w:hAnsi="David" w:hint="cs"/>
          <w:sz w:val="20"/>
          <w:szCs w:val="20"/>
          <w:rtl/>
        </w:rPr>
        <w:t xml:space="preserve"> ולו הדברים היו נתונים בידי, הייתי גורס כי על רקע הדברים המפורטים במאמר יהיה זה בלתי סביר שלא להקצות משאבים ראויים לתחום משמעותי זה.</w:t>
      </w:r>
    </w:p>
    <w:p w14:paraId="3A094463" w14:textId="001F3EE0" w:rsidR="00F079B8" w:rsidRPr="006D739C" w:rsidRDefault="00F079B8" w:rsidP="00F079B8">
      <w:pPr>
        <w:spacing w:after="180" w:line="280" w:lineRule="exact"/>
        <w:jc w:val="both"/>
        <w:rPr>
          <w:rFonts w:ascii="David" w:hAnsi="David"/>
          <w:spacing w:val="-2"/>
          <w:sz w:val="20"/>
          <w:szCs w:val="20"/>
          <w:rtl/>
        </w:rPr>
      </w:pPr>
      <w:r w:rsidRPr="00F079B8">
        <w:rPr>
          <w:rFonts w:ascii="David" w:hAnsi="David" w:hint="cs"/>
          <w:sz w:val="20"/>
          <w:szCs w:val="20"/>
          <w:rtl/>
        </w:rPr>
        <w:t xml:space="preserve">אך כתב העת </w:t>
      </w:r>
      <w:r w:rsidRPr="00F079B8">
        <w:rPr>
          <w:rFonts w:ascii="David" w:hAnsi="David" w:hint="cs"/>
          <w:b/>
          <w:bCs/>
          <w:sz w:val="20"/>
          <w:szCs w:val="20"/>
          <w:rtl/>
        </w:rPr>
        <w:t>ביטחון סוציאלי</w:t>
      </w:r>
      <w:r w:rsidRPr="00F079B8">
        <w:rPr>
          <w:rFonts w:ascii="David" w:hAnsi="David" w:hint="cs"/>
          <w:sz w:val="20"/>
          <w:szCs w:val="20"/>
        </w:rPr>
        <w:t xml:space="preserve"> </w:t>
      </w:r>
      <w:r w:rsidRPr="00F079B8">
        <w:rPr>
          <w:rFonts w:ascii="David" w:hAnsi="David" w:hint="cs"/>
          <w:sz w:val="20"/>
          <w:szCs w:val="20"/>
          <w:rtl/>
        </w:rPr>
        <w:t xml:space="preserve">אינו במה רק לדעות או לעמדות, וסבירותו נעוצה במדעיותו. חלק מרכזי מ"סבירותה" של החלטה מנהלית נעוץ במידת היותה מעוגנת בראיות, בעובדות ובנתונים. מאמרם של מתן </w:t>
      </w:r>
      <w:proofErr w:type="spellStart"/>
      <w:r w:rsidRPr="00F079B8">
        <w:rPr>
          <w:rFonts w:ascii="David" w:hAnsi="David" w:hint="cs"/>
          <w:sz w:val="20"/>
          <w:szCs w:val="20"/>
          <w:rtl/>
        </w:rPr>
        <w:t>מרקוביצקי</w:t>
      </w:r>
      <w:proofErr w:type="spellEnd"/>
      <w:r w:rsidRPr="00F079B8">
        <w:rPr>
          <w:rFonts w:ascii="David" w:hAnsi="David" w:hint="cs"/>
          <w:sz w:val="20"/>
          <w:szCs w:val="20"/>
          <w:rtl/>
        </w:rPr>
        <w:t xml:space="preserve"> ויונתן אנסון</w:t>
      </w:r>
      <w:r w:rsidR="00DB2E2A">
        <w:rPr>
          <w:rFonts w:ascii="David" w:hAnsi="David" w:hint="cs"/>
          <w:sz w:val="20"/>
          <w:szCs w:val="20"/>
          <w:rtl/>
        </w:rPr>
        <w:t>,</w:t>
      </w:r>
      <w:r w:rsidRPr="00F079B8">
        <w:rPr>
          <w:rFonts w:ascii="David" w:hAnsi="David" w:hint="cs"/>
          <w:sz w:val="20"/>
          <w:szCs w:val="20"/>
          <w:rtl/>
        </w:rPr>
        <w:t xml:space="preserve"> </w:t>
      </w:r>
      <w:r w:rsidR="00DB2E2A" w:rsidRPr="006D739C">
        <w:rPr>
          <w:rFonts w:ascii="David" w:hAnsi="David"/>
          <w:b/>
          <w:bCs/>
          <w:sz w:val="20"/>
          <w:szCs w:val="20"/>
          <w:rtl/>
        </w:rPr>
        <w:t>ערבים בישראל:</w:t>
      </w:r>
      <w:r w:rsidR="00EB726F">
        <w:rPr>
          <w:rFonts w:ascii="David" w:hAnsi="David"/>
          <w:b/>
          <w:bCs/>
          <w:sz w:val="20"/>
          <w:szCs w:val="20"/>
          <w:rtl/>
        </w:rPr>
        <w:t xml:space="preserve"> </w:t>
      </w:r>
      <w:r w:rsidR="00DB2E2A" w:rsidRPr="006D739C">
        <w:rPr>
          <w:rFonts w:ascii="David" w:hAnsi="David"/>
          <w:b/>
          <w:bCs/>
          <w:sz w:val="20"/>
          <w:szCs w:val="20"/>
          <w:rtl/>
        </w:rPr>
        <w:t>הקשר שבין צורת ההתיישבות</w:t>
      </w:r>
      <w:r w:rsidR="00DB2E2A" w:rsidRPr="006D739C">
        <w:rPr>
          <w:rFonts w:ascii="David" w:hAnsi="David"/>
          <w:sz w:val="20"/>
          <w:szCs w:val="20"/>
          <w:rtl/>
        </w:rPr>
        <w:t>,</w:t>
      </w:r>
      <w:r w:rsidR="00DB2E2A" w:rsidRPr="006D739C">
        <w:rPr>
          <w:rFonts w:ascii="David" w:hAnsi="David"/>
          <w:b/>
          <w:bCs/>
          <w:sz w:val="20"/>
          <w:szCs w:val="20"/>
          <w:rtl/>
        </w:rPr>
        <w:t xml:space="preserve"> סוגי ההון וההדרה לבין</w:t>
      </w:r>
      <w:r w:rsidR="00EB726F">
        <w:rPr>
          <w:rFonts w:ascii="David" w:hAnsi="David" w:hint="cs"/>
          <w:b/>
          <w:bCs/>
          <w:sz w:val="20"/>
          <w:szCs w:val="20"/>
          <w:rtl/>
        </w:rPr>
        <w:t xml:space="preserve"> </w:t>
      </w:r>
      <w:r w:rsidR="00DB2E2A" w:rsidRPr="006D739C">
        <w:rPr>
          <w:rFonts w:ascii="David" w:hAnsi="David"/>
          <w:b/>
          <w:bCs/>
          <w:sz w:val="20"/>
          <w:szCs w:val="20"/>
          <w:rtl/>
        </w:rPr>
        <w:t>הסיכון לתמותה</w:t>
      </w:r>
      <w:r w:rsidR="00DB2E2A" w:rsidRPr="006D739C">
        <w:rPr>
          <w:rFonts w:ascii="David" w:hAnsi="David"/>
          <w:sz w:val="20"/>
          <w:szCs w:val="20"/>
          <w:rtl/>
        </w:rPr>
        <w:t>,</w:t>
      </w:r>
      <w:r w:rsidR="00EB726F">
        <w:rPr>
          <w:rFonts w:ascii="David" w:hAnsi="David" w:hint="cs"/>
          <w:sz w:val="20"/>
          <w:szCs w:val="20"/>
          <w:rtl/>
        </w:rPr>
        <w:t xml:space="preserve"> </w:t>
      </w:r>
      <w:r w:rsidRPr="00F079B8">
        <w:rPr>
          <w:rFonts w:ascii="David" w:hAnsi="David" w:hint="cs"/>
          <w:sz w:val="20"/>
          <w:szCs w:val="20"/>
          <w:rtl/>
        </w:rPr>
        <w:t xml:space="preserve">ממחיש היטב את המשמעות והחשיבות שבאיסוף ובניתוח נתונים ככלי סביר </w:t>
      </w:r>
      <w:r w:rsidRPr="00F079B8">
        <w:rPr>
          <w:rFonts w:ascii="David" w:hAnsi="David"/>
          <w:sz w:val="20"/>
          <w:szCs w:val="20"/>
          <w:rtl/>
        </w:rPr>
        <w:t>–</w:t>
      </w:r>
      <w:r w:rsidRPr="00F079B8">
        <w:rPr>
          <w:rFonts w:ascii="David" w:hAnsi="David" w:hint="cs"/>
          <w:sz w:val="20"/>
          <w:szCs w:val="20"/>
          <w:rtl/>
        </w:rPr>
        <w:t xml:space="preserve"> שלא לומר חיוני </w:t>
      </w:r>
      <w:r w:rsidRPr="00F079B8">
        <w:rPr>
          <w:rFonts w:ascii="David" w:hAnsi="David"/>
          <w:sz w:val="20"/>
          <w:szCs w:val="20"/>
          <w:rtl/>
        </w:rPr>
        <w:t>–</w:t>
      </w:r>
      <w:r w:rsidRPr="00F079B8">
        <w:rPr>
          <w:rFonts w:ascii="David" w:hAnsi="David" w:hint="cs"/>
          <w:sz w:val="20"/>
          <w:szCs w:val="20"/>
          <w:rtl/>
        </w:rPr>
        <w:t xml:space="preserve"> בעיצוב מדיניות חברתית. מחקרם מתחיל בהכרה כי </w:t>
      </w:r>
      <w:r w:rsidRPr="00F079B8">
        <w:rPr>
          <w:rFonts w:ascii="David" w:hAnsi="David"/>
          <w:sz w:val="20"/>
          <w:szCs w:val="20"/>
          <w:rtl/>
        </w:rPr>
        <w:t xml:space="preserve">החברה </w:t>
      </w:r>
      <w:r w:rsidRPr="00F079B8">
        <w:rPr>
          <w:rFonts w:ascii="David" w:hAnsi="David" w:hint="cs"/>
          <w:sz w:val="20"/>
          <w:szCs w:val="20"/>
          <w:rtl/>
        </w:rPr>
        <w:t xml:space="preserve">שאנו חיים </w:t>
      </w:r>
      <w:r w:rsidRPr="00F079B8">
        <w:rPr>
          <w:rFonts w:ascii="David" w:hAnsi="David"/>
          <w:sz w:val="20"/>
          <w:szCs w:val="20"/>
          <w:rtl/>
        </w:rPr>
        <w:t xml:space="preserve">בה בנויה </w:t>
      </w:r>
      <w:r w:rsidRPr="00F079B8">
        <w:rPr>
          <w:rFonts w:ascii="David" w:hAnsi="David" w:hint="cs"/>
          <w:sz w:val="20"/>
          <w:szCs w:val="20"/>
          <w:rtl/>
        </w:rPr>
        <w:t>ב</w:t>
      </w:r>
      <w:r w:rsidRPr="00F079B8">
        <w:rPr>
          <w:rFonts w:ascii="David" w:hAnsi="David"/>
          <w:sz w:val="20"/>
          <w:szCs w:val="20"/>
          <w:rtl/>
        </w:rPr>
        <w:t xml:space="preserve">מדרג חברתי, וככל שעולים במדרג זה כך פוחת הסיכון לתמותה. אולם המדרג החברתי איננו סולם פשוט, </w:t>
      </w:r>
      <w:r w:rsidRPr="006D739C">
        <w:rPr>
          <w:rFonts w:ascii="David" w:hAnsi="David"/>
          <w:spacing w:val="-2"/>
          <w:sz w:val="20"/>
          <w:szCs w:val="20"/>
          <w:rtl/>
        </w:rPr>
        <w:t>וניתן להבחין בשלוש צורות הון הנפרדות</w:t>
      </w:r>
      <w:r w:rsidRPr="006D739C">
        <w:rPr>
          <w:rFonts w:ascii="David" w:hAnsi="David" w:hint="cs"/>
          <w:spacing w:val="-2"/>
          <w:sz w:val="20"/>
          <w:szCs w:val="20"/>
          <w:rtl/>
        </w:rPr>
        <w:t xml:space="preserve"> זו מזו אך גם </w:t>
      </w:r>
      <w:r w:rsidRPr="006D739C">
        <w:rPr>
          <w:rFonts w:ascii="David" w:hAnsi="David"/>
          <w:spacing w:val="-2"/>
          <w:sz w:val="20"/>
          <w:szCs w:val="20"/>
          <w:rtl/>
        </w:rPr>
        <w:t xml:space="preserve">שזורות זו בזו: הון כלכלי, </w:t>
      </w:r>
      <w:r w:rsidRPr="006D739C">
        <w:rPr>
          <w:rFonts w:ascii="David" w:hAnsi="David" w:hint="cs"/>
          <w:spacing w:val="-2"/>
          <w:sz w:val="20"/>
          <w:szCs w:val="20"/>
          <w:rtl/>
        </w:rPr>
        <w:t xml:space="preserve">הון </w:t>
      </w:r>
      <w:r w:rsidRPr="006D739C">
        <w:rPr>
          <w:rFonts w:ascii="David" w:hAnsi="David"/>
          <w:spacing w:val="-2"/>
          <w:sz w:val="20"/>
          <w:szCs w:val="20"/>
          <w:rtl/>
        </w:rPr>
        <w:t>תרבותי ו</w:t>
      </w:r>
      <w:r w:rsidRPr="006D739C">
        <w:rPr>
          <w:rFonts w:ascii="David" w:hAnsi="David" w:hint="cs"/>
          <w:spacing w:val="-2"/>
          <w:sz w:val="20"/>
          <w:szCs w:val="20"/>
          <w:rtl/>
        </w:rPr>
        <w:t xml:space="preserve">הון </w:t>
      </w:r>
      <w:r w:rsidRPr="006D739C">
        <w:rPr>
          <w:rFonts w:ascii="David" w:hAnsi="David"/>
          <w:spacing w:val="-2"/>
          <w:sz w:val="20"/>
          <w:szCs w:val="20"/>
          <w:rtl/>
        </w:rPr>
        <w:t>חברתי. הספרות מציגה שני</w:t>
      </w:r>
      <w:r w:rsidRPr="006D739C">
        <w:rPr>
          <w:rFonts w:ascii="David" w:hAnsi="David" w:hint="cs"/>
          <w:spacing w:val="-2"/>
          <w:sz w:val="20"/>
          <w:szCs w:val="20"/>
          <w:rtl/>
        </w:rPr>
        <w:t xml:space="preserve"> </w:t>
      </w:r>
      <w:r w:rsidRPr="006D739C">
        <w:rPr>
          <w:rFonts w:ascii="David" w:hAnsi="David"/>
          <w:spacing w:val="-2"/>
          <w:sz w:val="20"/>
          <w:szCs w:val="20"/>
          <w:rtl/>
        </w:rPr>
        <w:t>רכיבים נוספים של המבנה החברתי המשפיעים על הסיכון לתמותה: לכידות חברתית</w:t>
      </w:r>
      <w:r w:rsidR="00DB2E2A" w:rsidRPr="006D739C">
        <w:rPr>
          <w:rFonts w:ascii="David" w:hAnsi="David" w:hint="cs"/>
          <w:spacing w:val="-2"/>
          <w:sz w:val="20"/>
          <w:szCs w:val="20"/>
          <w:rtl/>
        </w:rPr>
        <w:t xml:space="preserve"> </w:t>
      </w:r>
      <w:r w:rsidR="00DB2E2A" w:rsidRPr="006D739C">
        <w:rPr>
          <w:rFonts w:ascii="David" w:hAnsi="David"/>
          <w:spacing w:val="-2"/>
          <w:sz w:val="20"/>
          <w:szCs w:val="20"/>
          <w:rtl/>
        </w:rPr>
        <w:t>–</w:t>
      </w:r>
      <w:r w:rsidRPr="006D739C">
        <w:rPr>
          <w:rFonts w:ascii="David" w:hAnsi="David"/>
          <w:spacing w:val="-2"/>
          <w:sz w:val="20"/>
          <w:szCs w:val="20"/>
          <w:rtl/>
        </w:rPr>
        <w:t xml:space="preserve"> המפחיתה תמותה, והדרה חברתית – המגבירה תמותה</w:t>
      </w:r>
      <w:r w:rsidRPr="006D739C">
        <w:rPr>
          <w:rFonts w:ascii="David" w:hAnsi="David" w:hint="cs"/>
          <w:spacing w:val="-2"/>
          <w:sz w:val="20"/>
          <w:szCs w:val="20"/>
          <w:rtl/>
        </w:rPr>
        <w:t>.</w:t>
      </w:r>
    </w:p>
    <w:p w14:paraId="10914D41"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sz w:val="20"/>
          <w:szCs w:val="20"/>
          <w:rtl/>
        </w:rPr>
        <w:t xml:space="preserve">רמות </w:t>
      </w:r>
      <w:r w:rsidRPr="00F079B8">
        <w:rPr>
          <w:rFonts w:ascii="David" w:hAnsi="David" w:hint="cs"/>
          <w:sz w:val="20"/>
          <w:szCs w:val="20"/>
          <w:rtl/>
        </w:rPr>
        <w:t>ה</w:t>
      </w:r>
      <w:r w:rsidRPr="00F079B8">
        <w:rPr>
          <w:rFonts w:ascii="David" w:hAnsi="David"/>
          <w:sz w:val="20"/>
          <w:szCs w:val="20"/>
          <w:rtl/>
        </w:rPr>
        <w:t>הון</w:t>
      </w:r>
      <w:r w:rsidRPr="00F079B8" w:rsidDel="004B1D20">
        <w:rPr>
          <w:rFonts w:ascii="David" w:hAnsi="David" w:hint="cs"/>
          <w:sz w:val="20"/>
          <w:szCs w:val="20"/>
          <w:rtl/>
        </w:rPr>
        <w:t xml:space="preserve"> </w:t>
      </w:r>
      <w:r w:rsidRPr="00F079B8">
        <w:rPr>
          <w:rFonts w:ascii="David" w:hAnsi="David" w:hint="cs"/>
          <w:sz w:val="20"/>
          <w:szCs w:val="20"/>
          <w:rtl/>
        </w:rPr>
        <w:t>בא</w:t>
      </w:r>
      <w:r w:rsidRPr="00F079B8">
        <w:rPr>
          <w:rFonts w:ascii="David" w:hAnsi="David"/>
          <w:sz w:val="20"/>
          <w:szCs w:val="20"/>
          <w:rtl/>
        </w:rPr>
        <w:t xml:space="preserve">וכלוסייה הערבית בישראל נמוכות </w:t>
      </w:r>
      <w:r w:rsidRPr="00F079B8">
        <w:rPr>
          <w:rFonts w:ascii="David" w:hAnsi="David" w:hint="cs"/>
          <w:sz w:val="20"/>
          <w:szCs w:val="20"/>
          <w:rtl/>
        </w:rPr>
        <w:t xml:space="preserve">בהשוואה </w:t>
      </w:r>
      <w:r w:rsidRPr="00F079B8">
        <w:rPr>
          <w:rFonts w:ascii="David" w:hAnsi="David"/>
          <w:sz w:val="20"/>
          <w:szCs w:val="20"/>
          <w:rtl/>
        </w:rPr>
        <w:t>לאוכלוסייה היהודית</w:t>
      </w:r>
      <w:r w:rsidRPr="00F079B8">
        <w:rPr>
          <w:rFonts w:ascii="David" w:hAnsi="David" w:hint="cs"/>
          <w:sz w:val="20"/>
          <w:szCs w:val="20"/>
          <w:rtl/>
        </w:rPr>
        <w:t>,</w:t>
      </w:r>
      <w:r w:rsidRPr="00F079B8">
        <w:rPr>
          <w:rFonts w:ascii="David" w:hAnsi="David"/>
          <w:sz w:val="20"/>
          <w:szCs w:val="20"/>
          <w:rtl/>
        </w:rPr>
        <w:t xml:space="preserve"> והיא פגיעה יותר ממנה להדרה. מנגד, היא נהנית מ</w:t>
      </w:r>
      <w:r w:rsidRPr="00F079B8">
        <w:rPr>
          <w:rFonts w:ascii="David" w:hAnsi="David" w:hint="cs"/>
          <w:sz w:val="20"/>
          <w:szCs w:val="20"/>
          <w:rtl/>
        </w:rPr>
        <w:t>סולידריות רבה יותר, שמקורה ב</w:t>
      </w:r>
      <w:r w:rsidRPr="00F079B8">
        <w:rPr>
          <w:rFonts w:ascii="David" w:hAnsi="David"/>
          <w:sz w:val="20"/>
          <w:szCs w:val="20"/>
          <w:rtl/>
        </w:rPr>
        <w:t xml:space="preserve">מבנה המשפחתי המסורתי והיציב יותר. לאוכלוסייה הערבית ייחוד נוסף, והוא המגורים של רוב האוכלוסייה ביישובים הומוגניים – </w:t>
      </w:r>
      <w:r w:rsidRPr="00F079B8">
        <w:rPr>
          <w:rFonts w:ascii="David" w:hAnsi="David" w:hint="cs"/>
          <w:sz w:val="20"/>
          <w:szCs w:val="20"/>
          <w:rtl/>
        </w:rPr>
        <w:t>ש</w:t>
      </w:r>
      <w:r w:rsidRPr="00F079B8">
        <w:rPr>
          <w:rFonts w:ascii="David" w:hAnsi="David"/>
          <w:sz w:val="20"/>
          <w:szCs w:val="20"/>
          <w:rtl/>
        </w:rPr>
        <w:t>בהם האוכלוסייה כולה היא ערבית</w:t>
      </w:r>
      <w:r w:rsidRPr="00F079B8">
        <w:rPr>
          <w:rFonts w:ascii="David" w:hAnsi="David" w:hint="cs"/>
          <w:sz w:val="20"/>
          <w:szCs w:val="20"/>
          <w:rtl/>
        </w:rPr>
        <w:t>,</w:t>
      </w:r>
      <w:r w:rsidRPr="00F079B8">
        <w:rPr>
          <w:rFonts w:ascii="David" w:hAnsi="David"/>
          <w:sz w:val="20"/>
          <w:szCs w:val="20"/>
          <w:rtl/>
        </w:rPr>
        <w:t xml:space="preserve"> והחיים מתנהלים באופן אוטונומי למדי</w:t>
      </w:r>
      <w:r w:rsidRPr="00F079B8">
        <w:rPr>
          <w:rFonts w:ascii="David" w:hAnsi="David"/>
          <w:sz w:val="20"/>
          <w:szCs w:val="20"/>
        </w:rPr>
        <w:t>.</w:t>
      </w:r>
      <w:r w:rsidRPr="00F079B8">
        <w:rPr>
          <w:rFonts w:ascii="David" w:hAnsi="David"/>
          <w:sz w:val="20"/>
          <w:szCs w:val="20"/>
          <w:rtl/>
        </w:rPr>
        <w:t xml:space="preserve"> גם ביישובים המעורבים, רוב האוכלוסייה הערבית מתגוררת באזורים נבדלים, </w:t>
      </w:r>
      <w:r w:rsidRPr="00F079B8">
        <w:rPr>
          <w:rFonts w:ascii="David" w:hAnsi="David" w:hint="cs"/>
          <w:sz w:val="20"/>
          <w:szCs w:val="20"/>
          <w:rtl/>
        </w:rPr>
        <w:t>אם כי ביישובים הללו ה</w:t>
      </w:r>
      <w:r w:rsidRPr="00F079B8">
        <w:rPr>
          <w:rFonts w:ascii="David" w:hAnsi="David"/>
          <w:sz w:val="20"/>
          <w:szCs w:val="20"/>
          <w:rtl/>
        </w:rPr>
        <w:t xml:space="preserve">חיכוך עם הרוב היהודי מודגש יותר. </w:t>
      </w:r>
    </w:p>
    <w:p w14:paraId="314D6E70"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hint="cs"/>
          <w:sz w:val="20"/>
          <w:szCs w:val="20"/>
          <w:rtl/>
        </w:rPr>
        <w:t xml:space="preserve">על רקע מציאות זו, </w:t>
      </w:r>
      <w:r w:rsidRPr="00F079B8">
        <w:rPr>
          <w:rFonts w:ascii="David" w:hAnsi="David"/>
          <w:sz w:val="20"/>
          <w:szCs w:val="20"/>
          <w:rtl/>
        </w:rPr>
        <w:t xml:space="preserve">המחקר </w:t>
      </w:r>
      <w:r w:rsidRPr="00F079B8">
        <w:rPr>
          <w:rFonts w:ascii="David" w:hAnsi="David" w:hint="cs"/>
          <w:sz w:val="20"/>
          <w:szCs w:val="20"/>
          <w:rtl/>
        </w:rPr>
        <w:t>הנדון</w:t>
      </w:r>
      <w:r w:rsidRPr="00F079B8">
        <w:rPr>
          <w:rFonts w:ascii="David" w:hAnsi="David"/>
          <w:sz w:val="20"/>
          <w:szCs w:val="20"/>
          <w:rtl/>
        </w:rPr>
        <w:t xml:space="preserve"> בחן את </w:t>
      </w:r>
      <w:r w:rsidRPr="00F079B8">
        <w:rPr>
          <w:rFonts w:ascii="David" w:hAnsi="David" w:hint="cs"/>
          <w:sz w:val="20"/>
          <w:szCs w:val="20"/>
          <w:rtl/>
        </w:rPr>
        <w:t>ה</w:t>
      </w:r>
      <w:r w:rsidRPr="00F079B8">
        <w:rPr>
          <w:rFonts w:ascii="David" w:hAnsi="David"/>
          <w:sz w:val="20"/>
          <w:szCs w:val="20"/>
          <w:rtl/>
        </w:rPr>
        <w:t xml:space="preserve">השפעות </w:t>
      </w:r>
      <w:r w:rsidRPr="00F079B8">
        <w:rPr>
          <w:rFonts w:ascii="David" w:hAnsi="David" w:hint="cs"/>
          <w:sz w:val="20"/>
          <w:szCs w:val="20"/>
          <w:rtl/>
        </w:rPr>
        <w:t xml:space="preserve">של </w:t>
      </w:r>
      <w:r w:rsidRPr="00F079B8">
        <w:rPr>
          <w:rFonts w:ascii="David" w:hAnsi="David"/>
          <w:sz w:val="20"/>
          <w:szCs w:val="20"/>
          <w:rtl/>
        </w:rPr>
        <w:t xml:space="preserve">צורת ההתיישבות, ההומוגנית והמעורבת, על הסיכון לתמותה בקרב האוכלוסייה הערבית, והסתמך על נתוני מפקד </w:t>
      </w:r>
      <w:r w:rsidRPr="00F079B8">
        <w:rPr>
          <w:rFonts w:ascii="David" w:hAnsi="David"/>
          <w:sz w:val="20"/>
          <w:szCs w:val="20"/>
        </w:rPr>
        <w:t>1995</w:t>
      </w:r>
      <w:r w:rsidRPr="00F079B8">
        <w:rPr>
          <w:rFonts w:ascii="David" w:hAnsi="David"/>
          <w:sz w:val="20"/>
          <w:szCs w:val="20"/>
          <w:rtl/>
        </w:rPr>
        <w:t xml:space="preserve">. השערת המחקר </w:t>
      </w:r>
      <w:proofErr w:type="spellStart"/>
      <w:r w:rsidRPr="00F079B8">
        <w:rPr>
          <w:rFonts w:ascii="David" w:hAnsi="David"/>
          <w:sz w:val="20"/>
          <w:szCs w:val="20"/>
          <w:rtl/>
        </w:rPr>
        <w:t>היתה</w:t>
      </w:r>
      <w:proofErr w:type="spellEnd"/>
      <w:r w:rsidRPr="00F079B8">
        <w:rPr>
          <w:rFonts w:ascii="David" w:hAnsi="David"/>
          <w:sz w:val="20"/>
          <w:szCs w:val="20"/>
          <w:rtl/>
        </w:rPr>
        <w:t xml:space="preserve"> כי האוכלוסייה הערבית ביישובים המעורבים תימצא בסיכון גבוה יותר לתמותה בהשוואה לאוכלוסייה הערבית ביישובים ההומוגניים. ממצאי המחקר א</w:t>
      </w:r>
      <w:r w:rsidRPr="00F079B8">
        <w:rPr>
          <w:rFonts w:ascii="David" w:hAnsi="David" w:hint="cs"/>
          <w:sz w:val="20"/>
          <w:szCs w:val="20"/>
          <w:rtl/>
        </w:rPr>
        <w:t>י</w:t>
      </w:r>
      <w:r w:rsidRPr="00F079B8">
        <w:rPr>
          <w:rFonts w:ascii="David" w:hAnsi="David"/>
          <w:sz w:val="20"/>
          <w:szCs w:val="20"/>
          <w:rtl/>
        </w:rPr>
        <w:t>ששו השער</w:t>
      </w:r>
      <w:r w:rsidRPr="00F079B8">
        <w:rPr>
          <w:rFonts w:ascii="David" w:hAnsi="David" w:hint="cs"/>
          <w:sz w:val="20"/>
          <w:szCs w:val="20"/>
          <w:rtl/>
        </w:rPr>
        <w:t>ה זו</w:t>
      </w:r>
      <w:r w:rsidRPr="00F079B8">
        <w:rPr>
          <w:rFonts w:ascii="David" w:hAnsi="David"/>
          <w:sz w:val="20"/>
          <w:szCs w:val="20"/>
          <w:rtl/>
        </w:rPr>
        <w:t>. לא זו בלבד שההון לצורותיו, הסולידריות וה</w:t>
      </w:r>
      <w:r w:rsidRPr="00F079B8">
        <w:rPr>
          <w:rFonts w:ascii="David" w:hAnsi="David" w:hint="cs"/>
          <w:sz w:val="20"/>
          <w:szCs w:val="20"/>
          <w:rtl/>
        </w:rPr>
        <w:t>י</w:t>
      </w:r>
      <w:r w:rsidRPr="00F079B8">
        <w:rPr>
          <w:rFonts w:ascii="David" w:hAnsi="David"/>
          <w:sz w:val="20"/>
          <w:szCs w:val="20"/>
          <w:rtl/>
        </w:rPr>
        <w:t xml:space="preserve">עדר ההדרה מפחיתים את הסיכון לתמותה בקרב האוכלוסייה הערבית, </w:t>
      </w:r>
      <w:r w:rsidRPr="00F079B8">
        <w:rPr>
          <w:rFonts w:ascii="David" w:hAnsi="David" w:hint="cs"/>
          <w:sz w:val="20"/>
          <w:szCs w:val="20"/>
          <w:rtl/>
        </w:rPr>
        <w:t>אלא ש</w:t>
      </w:r>
      <w:r w:rsidRPr="00F079B8">
        <w:rPr>
          <w:rFonts w:ascii="David" w:hAnsi="David"/>
          <w:sz w:val="20"/>
          <w:szCs w:val="20"/>
          <w:rtl/>
        </w:rPr>
        <w:t>האוכלוסייה הערבית המתגוררת ביישובים ההומוגניים מצויה בסיכון נמוך יותר לתמותה</w:t>
      </w:r>
      <w:r w:rsidRPr="00F079B8">
        <w:rPr>
          <w:rFonts w:ascii="David" w:hAnsi="David" w:hint="cs"/>
          <w:sz w:val="20"/>
          <w:szCs w:val="20"/>
          <w:rtl/>
        </w:rPr>
        <w:t xml:space="preserve"> בהשוואה </w:t>
      </w:r>
      <w:r w:rsidRPr="00F079B8">
        <w:rPr>
          <w:rFonts w:ascii="David" w:hAnsi="David"/>
          <w:sz w:val="20"/>
          <w:szCs w:val="20"/>
          <w:rtl/>
        </w:rPr>
        <w:t>לאוכלוסייה המתגוררת ביישובים המעורבים.</w:t>
      </w:r>
    </w:p>
    <w:p w14:paraId="02927E88" w14:textId="77777777" w:rsidR="00F079B8" w:rsidRPr="00F079B8" w:rsidRDefault="00F079B8" w:rsidP="007826DA">
      <w:pPr>
        <w:spacing w:after="180" w:line="280" w:lineRule="exact"/>
        <w:jc w:val="both"/>
        <w:rPr>
          <w:rFonts w:ascii="David" w:hAnsi="David"/>
          <w:sz w:val="20"/>
          <w:szCs w:val="20"/>
          <w:rtl/>
        </w:rPr>
      </w:pPr>
      <w:r w:rsidRPr="00F079B8">
        <w:rPr>
          <w:rFonts w:ascii="David" w:hAnsi="David" w:hint="cs"/>
          <w:sz w:val="20"/>
          <w:szCs w:val="20"/>
          <w:rtl/>
        </w:rPr>
        <w:lastRenderedPageBreak/>
        <w:t xml:space="preserve">סבירותה של מדיניות חברתית יכולה להיבחן גם על רקע נסיבות שלעיתים הן סמויות מן העין או בלתי נראות. בהקשר זה, מאמרן של </w:t>
      </w:r>
      <w:r w:rsidR="007826DA" w:rsidRPr="007826DA">
        <w:rPr>
          <w:rFonts w:ascii="David" w:hAnsi="David"/>
          <w:sz w:val="20"/>
          <w:szCs w:val="20"/>
          <w:rtl/>
        </w:rPr>
        <w:t>עינב חיה צרפתי ניניו</w:t>
      </w:r>
      <w:r w:rsidR="007826DA">
        <w:rPr>
          <w:rFonts w:ascii="David" w:hAnsi="David" w:hint="cs"/>
          <w:sz w:val="20"/>
          <w:szCs w:val="20"/>
          <w:rtl/>
        </w:rPr>
        <w:t xml:space="preserve"> </w:t>
      </w:r>
      <w:r w:rsidRPr="00F079B8">
        <w:rPr>
          <w:rFonts w:ascii="David" w:hAnsi="David" w:hint="cs"/>
          <w:sz w:val="20"/>
          <w:szCs w:val="20"/>
          <w:rtl/>
        </w:rPr>
        <w:t xml:space="preserve">ולילך לוריא בנושא </w:t>
      </w:r>
      <w:r w:rsidRPr="00F079B8">
        <w:rPr>
          <w:rFonts w:ascii="David" w:hAnsi="David"/>
          <w:b/>
          <w:bCs/>
          <w:sz w:val="20"/>
          <w:szCs w:val="20"/>
          <w:rtl/>
        </w:rPr>
        <w:t>עובדים עם מוגבלות בלתי נראית: קדחת ים</w:t>
      </w:r>
      <w:r w:rsidRPr="00F079B8">
        <w:rPr>
          <w:rFonts w:ascii="David" w:hAnsi="David" w:hint="cs"/>
          <w:b/>
          <w:bCs/>
          <w:sz w:val="20"/>
          <w:szCs w:val="20"/>
          <w:rtl/>
        </w:rPr>
        <w:t>-</w:t>
      </w:r>
      <w:r w:rsidRPr="00F079B8">
        <w:rPr>
          <w:rFonts w:ascii="David" w:hAnsi="David"/>
          <w:b/>
          <w:bCs/>
          <w:sz w:val="20"/>
          <w:szCs w:val="20"/>
          <w:rtl/>
        </w:rPr>
        <w:t>תיכונית</w:t>
      </w:r>
      <w:r w:rsidRPr="00F079B8">
        <w:rPr>
          <w:rFonts w:ascii="David" w:hAnsi="David" w:hint="cs"/>
          <w:sz w:val="20"/>
          <w:szCs w:val="20"/>
          <w:rtl/>
        </w:rPr>
        <w:t xml:space="preserve"> יכול לשמש דוגמה ראויה. מטרת מחקרן </w:t>
      </w:r>
      <w:proofErr w:type="spellStart"/>
      <w:r w:rsidRPr="00F079B8">
        <w:rPr>
          <w:rFonts w:ascii="David" w:hAnsi="David" w:hint="cs"/>
          <w:sz w:val="20"/>
          <w:szCs w:val="20"/>
          <w:rtl/>
        </w:rPr>
        <w:t>היתה</w:t>
      </w:r>
      <w:proofErr w:type="spellEnd"/>
      <w:r w:rsidRPr="00F079B8">
        <w:rPr>
          <w:rFonts w:ascii="David" w:hAnsi="David" w:hint="cs"/>
          <w:sz w:val="20"/>
          <w:szCs w:val="20"/>
          <w:rtl/>
        </w:rPr>
        <w:t xml:space="preserve"> לברר כיצד אנשים עם מוגבלות בלתי נראית משתלבים בשוק העבודה, והן עשו זאת באמצעות מקרה המבחן של חולים בקדחת ים-תיכונית. מדובר במחלה כרונית ללא נראות חיצונית קבועה, אשר מספר החולים בה נמוך יחסית למספר החולים במחלות כרוניות רבות אחרות. המחלה זכתה עד כה בהכרה חלקית בלבד מצד הממסד, ואיננה מופיעה בספר הליקויים של המוסד לביטוח לאומי. המחקר בוחן את הגורמים המסייעים לאנשים החולים בקדחת ים-תיכונית להשתלב בשוק העבודה, ואת הגורמים המקשים עליהם לעשות זאת, וכן את החלטתם לחשוף את דבר מחלתם או להשאירה סמויה מהעין. </w:t>
      </w:r>
    </w:p>
    <w:p w14:paraId="490CD197" w14:textId="77777777" w:rsidR="00F079B8" w:rsidRPr="005E570F" w:rsidRDefault="00F079B8" w:rsidP="00F079B8">
      <w:pPr>
        <w:spacing w:after="180" w:line="280" w:lineRule="exact"/>
        <w:jc w:val="both"/>
        <w:rPr>
          <w:rFonts w:ascii="David" w:hAnsi="David"/>
          <w:spacing w:val="-2"/>
          <w:sz w:val="20"/>
          <w:szCs w:val="20"/>
          <w:rtl/>
        </w:rPr>
      </w:pPr>
      <w:r w:rsidRPr="00F079B8">
        <w:rPr>
          <w:rFonts w:ascii="David" w:hAnsi="David" w:hint="cs"/>
          <w:sz w:val="20"/>
          <w:szCs w:val="20"/>
          <w:rtl/>
        </w:rPr>
        <w:t>לצורך המחקר נערכו ראיונות מובנים למחצה עם 20 מרואיינים בגילי העבודה המתמודדים עם קדחת ים-תיכונית. מהמחקר ו</w:t>
      </w:r>
      <w:r w:rsidR="00823EF6">
        <w:rPr>
          <w:rFonts w:ascii="David" w:hAnsi="David" w:hint="cs"/>
          <w:sz w:val="20"/>
          <w:szCs w:val="20"/>
          <w:rtl/>
        </w:rPr>
        <w:t>מ</w:t>
      </w:r>
      <w:r w:rsidRPr="00F079B8">
        <w:rPr>
          <w:rFonts w:ascii="David" w:hAnsi="David" w:hint="cs"/>
          <w:sz w:val="20"/>
          <w:szCs w:val="20"/>
          <w:rtl/>
        </w:rPr>
        <w:t xml:space="preserve">הראיונות עלו כמה תובנות. ראשית, הרצון של עובדים כי המדינה תיקח על עצמה אחריות ותשתתף בעלויות הכרוכות בהעסקתם, ובפרט בתשלומים הנוגעים לדמי מחלה לשכירים ולעצמאים. שנית, החשיבות המיוחדת שבהיכרות של המעסיקים עם המחלה. מתברר כי לתפיסתם של העובדים, למעסיקים יש </w:t>
      </w:r>
      <w:r w:rsidRPr="005E570F">
        <w:rPr>
          <w:rFonts w:ascii="David" w:hAnsi="David" w:hint="cs"/>
          <w:spacing w:val="-2"/>
          <w:sz w:val="20"/>
          <w:szCs w:val="20"/>
          <w:rtl/>
        </w:rPr>
        <w:t xml:space="preserve">הכלים הנדרשים להתאמת מקום העבודה לתעסוקת עובדים עם קדחת ים-תיכונית. שלישית, החשיבות שיש בהיכרות של העובדים עצמם עם המחלה. חשיפת תמות אלה במסגרת מערך מחקר מלמדת מחד גיסא על העוצמה שיש בשמיעת הקולות האותנטיים של מי שחולים במחלה שהיא בבחינת "אינה נראית", ומאידך גיסא על החשיבות שיש בהבאה בחשבון של קולות אלה במסגרת עיצוב מדיניות המתיימרת לתת מענה לצרכים של חולים אלה. </w:t>
      </w:r>
    </w:p>
    <w:p w14:paraId="0BD171D1"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hint="cs"/>
          <w:sz w:val="20"/>
          <w:szCs w:val="20"/>
          <w:rtl/>
        </w:rPr>
        <w:t xml:space="preserve">החשיבות שבהבנת המציאות, והיכולת להעריך את "סבירותה" על רקע החוויה הסובייקטיבית של מי שחווים אותה, באות לידי ביטוי גם במחקרן של שירן אלימלך אלון ורוני אלרן-ברק בנושא </w:t>
      </w:r>
      <w:r w:rsidRPr="00F079B8">
        <w:rPr>
          <w:rFonts w:ascii="David" w:hAnsi="David"/>
          <w:b/>
          <w:bCs/>
          <w:sz w:val="20"/>
          <w:szCs w:val="20"/>
          <w:rtl/>
        </w:rPr>
        <w:t>דברים שרואים מכאן לא רואים משם</w:t>
      </w:r>
      <w:r w:rsidRPr="00F079B8">
        <w:rPr>
          <w:rFonts w:ascii="David" w:hAnsi="David" w:hint="cs"/>
          <w:b/>
          <w:bCs/>
          <w:sz w:val="20"/>
          <w:szCs w:val="20"/>
          <w:rtl/>
        </w:rPr>
        <w:t xml:space="preserve">: </w:t>
      </w:r>
      <w:r w:rsidRPr="00F079B8">
        <w:rPr>
          <w:rFonts w:ascii="David" w:hAnsi="David"/>
          <w:b/>
          <w:bCs/>
          <w:sz w:val="20"/>
          <w:szCs w:val="20"/>
          <w:rtl/>
        </w:rPr>
        <w:t>הזדמנויות ואתגרים בחונכות שיקומית להפרעות אכילה</w:t>
      </w:r>
      <w:r w:rsidRPr="00F079B8">
        <w:rPr>
          <w:rFonts w:ascii="David" w:hAnsi="David" w:hint="cs"/>
          <w:sz w:val="20"/>
          <w:szCs w:val="20"/>
          <w:rtl/>
        </w:rPr>
        <w:t>. מחקר זה עוסק בסוגיה חברתית חשובה ואקטואלית:</w:t>
      </w:r>
      <w:r w:rsidR="00DF4AB5">
        <w:rPr>
          <w:rFonts w:ascii="David" w:hAnsi="David" w:hint="cs"/>
          <w:sz w:val="20"/>
          <w:szCs w:val="20"/>
          <w:rtl/>
        </w:rPr>
        <w:t xml:space="preserve"> </w:t>
      </w:r>
      <w:r w:rsidRPr="00F079B8">
        <w:rPr>
          <w:rFonts w:ascii="David" w:hAnsi="David"/>
          <w:sz w:val="20"/>
          <w:szCs w:val="20"/>
          <w:rtl/>
        </w:rPr>
        <w:t>הפרעות אכילה</w:t>
      </w:r>
      <w:r w:rsidRPr="00F079B8">
        <w:rPr>
          <w:rFonts w:ascii="David" w:hAnsi="David" w:hint="cs"/>
          <w:sz w:val="20"/>
          <w:szCs w:val="20"/>
          <w:rtl/>
        </w:rPr>
        <w:t>. מדובר ב</w:t>
      </w:r>
      <w:r w:rsidRPr="00F079B8">
        <w:rPr>
          <w:rFonts w:ascii="David" w:hAnsi="David"/>
          <w:sz w:val="20"/>
          <w:szCs w:val="20"/>
          <w:rtl/>
        </w:rPr>
        <w:t>קבוצה של הפרעות פסיכיאטריות בעלות מופע כרוני ועמיד לטיפול</w:t>
      </w:r>
      <w:r w:rsidRPr="00F079B8">
        <w:rPr>
          <w:rFonts w:ascii="David" w:hAnsi="David" w:hint="cs"/>
          <w:sz w:val="20"/>
          <w:szCs w:val="20"/>
          <w:rtl/>
        </w:rPr>
        <w:t xml:space="preserve">. מופע זה מוביל במקרים מסוימים להכרה בנכות על בסיס נפשי ולזכאות לסל שיקום הכולל, בין היתר, </w:t>
      </w:r>
      <w:r w:rsidRPr="00F079B8">
        <w:rPr>
          <w:rFonts w:ascii="David" w:hAnsi="David"/>
          <w:sz w:val="20"/>
          <w:szCs w:val="20"/>
          <w:rtl/>
        </w:rPr>
        <w:t>שירות</w:t>
      </w:r>
      <w:r w:rsidRPr="00F079B8">
        <w:rPr>
          <w:rFonts w:ascii="David" w:hAnsi="David" w:hint="cs"/>
          <w:sz w:val="20"/>
          <w:szCs w:val="20"/>
          <w:rtl/>
        </w:rPr>
        <w:t xml:space="preserve"> של חונכות</w:t>
      </w:r>
      <w:r w:rsidRPr="00F079B8">
        <w:rPr>
          <w:rFonts w:ascii="David" w:hAnsi="David"/>
          <w:sz w:val="20"/>
          <w:szCs w:val="20"/>
          <w:rtl/>
        </w:rPr>
        <w:t xml:space="preserve"> שיקו</w:t>
      </w:r>
      <w:r w:rsidRPr="00F079B8">
        <w:rPr>
          <w:rFonts w:ascii="David" w:hAnsi="David" w:hint="cs"/>
          <w:sz w:val="20"/>
          <w:szCs w:val="20"/>
          <w:rtl/>
        </w:rPr>
        <w:t>מית</w:t>
      </w:r>
      <w:r w:rsidRPr="00F079B8">
        <w:rPr>
          <w:rFonts w:ascii="David" w:hAnsi="David"/>
          <w:sz w:val="20"/>
          <w:szCs w:val="20"/>
          <w:rtl/>
        </w:rPr>
        <w:t>. החונכת</w:t>
      </w:r>
      <w:r w:rsidRPr="00F079B8">
        <w:rPr>
          <w:rFonts w:ascii="David" w:hAnsi="David" w:hint="cs"/>
          <w:sz w:val="20"/>
          <w:szCs w:val="20"/>
          <w:rtl/>
        </w:rPr>
        <w:t xml:space="preserve"> השיקומית</w:t>
      </w:r>
      <w:r w:rsidRPr="00F079B8">
        <w:rPr>
          <w:rFonts w:ascii="David" w:hAnsi="David"/>
          <w:sz w:val="20"/>
          <w:szCs w:val="20"/>
          <w:rtl/>
        </w:rPr>
        <w:t xml:space="preserve"> פוגשת את החניכה בביתה</w:t>
      </w:r>
      <w:r w:rsidRPr="00F079B8">
        <w:rPr>
          <w:rFonts w:ascii="David" w:hAnsi="David" w:hint="cs"/>
          <w:sz w:val="20"/>
          <w:szCs w:val="20"/>
          <w:rtl/>
        </w:rPr>
        <w:t>,</w:t>
      </w:r>
      <w:r w:rsidRPr="00F079B8">
        <w:rPr>
          <w:rFonts w:ascii="David" w:hAnsi="David"/>
          <w:sz w:val="20"/>
          <w:szCs w:val="20"/>
          <w:rtl/>
        </w:rPr>
        <w:t xml:space="preserve"> בדרך כלל</w:t>
      </w:r>
      <w:r w:rsidRPr="00F079B8">
        <w:rPr>
          <w:rFonts w:ascii="David" w:hAnsi="David" w:hint="cs"/>
          <w:sz w:val="20"/>
          <w:szCs w:val="20"/>
          <w:rtl/>
        </w:rPr>
        <w:t>,</w:t>
      </w:r>
      <w:r w:rsidRPr="00F079B8">
        <w:rPr>
          <w:rFonts w:ascii="David" w:hAnsi="David"/>
          <w:sz w:val="20"/>
          <w:szCs w:val="20"/>
          <w:rtl/>
        </w:rPr>
        <w:t xml:space="preserve"> ומלווה אותה בהתמודדות עם משימות יום</w:t>
      </w:r>
      <w:r w:rsidRPr="00F079B8">
        <w:rPr>
          <w:rFonts w:ascii="David" w:hAnsi="David" w:hint="cs"/>
          <w:sz w:val="20"/>
          <w:szCs w:val="20"/>
          <w:rtl/>
        </w:rPr>
        <w:t>-</w:t>
      </w:r>
      <w:r w:rsidRPr="00F079B8">
        <w:rPr>
          <w:rFonts w:ascii="David" w:hAnsi="David"/>
          <w:sz w:val="20"/>
          <w:szCs w:val="20"/>
          <w:rtl/>
        </w:rPr>
        <w:t xml:space="preserve">יומיות הקשורות באוכל ובתחומי חיים נוספים. אף שהחונכת ממלאת במקרים רבים תפקיד מרכזי וייחודי בתהליך השיקום וההחלמה, </w:t>
      </w:r>
      <w:r w:rsidRPr="00F079B8">
        <w:rPr>
          <w:rFonts w:ascii="David" w:hAnsi="David" w:hint="cs"/>
          <w:sz w:val="20"/>
          <w:szCs w:val="20"/>
          <w:rtl/>
        </w:rPr>
        <w:t>מ</w:t>
      </w:r>
      <w:r w:rsidRPr="00F079B8">
        <w:rPr>
          <w:rFonts w:ascii="David" w:hAnsi="David"/>
          <w:sz w:val="20"/>
          <w:szCs w:val="20"/>
          <w:rtl/>
        </w:rPr>
        <w:t xml:space="preserve">חקרים </w:t>
      </w:r>
      <w:r w:rsidRPr="00F079B8">
        <w:rPr>
          <w:rFonts w:ascii="David" w:hAnsi="David" w:hint="cs"/>
          <w:sz w:val="20"/>
          <w:szCs w:val="20"/>
          <w:rtl/>
        </w:rPr>
        <w:t xml:space="preserve">מעטים בלבד </w:t>
      </w:r>
      <w:r w:rsidRPr="00F079B8">
        <w:rPr>
          <w:rFonts w:ascii="David" w:hAnsi="David"/>
          <w:sz w:val="20"/>
          <w:szCs w:val="20"/>
          <w:rtl/>
        </w:rPr>
        <w:t xml:space="preserve">התייחסו עד כה </w:t>
      </w:r>
      <w:r w:rsidR="00823EF6" w:rsidRPr="00F079B8">
        <w:rPr>
          <w:rFonts w:ascii="David" w:hAnsi="David"/>
          <w:sz w:val="20"/>
          <w:szCs w:val="20"/>
          <w:rtl/>
        </w:rPr>
        <w:t>לתפקיד</w:t>
      </w:r>
      <w:r w:rsidR="00823EF6">
        <w:rPr>
          <w:rFonts w:ascii="David" w:hAnsi="David" w:hint="cs"/>
          <w:sz w:val="20"/>
          <w:szCs w:val="20"/>
          <w:rtl/>
        </w:rPr>
        <w:t>ה</w:t>
      </w:r>
      <w:r w:rsidRPr="00F079B8">
        <w:rPr>
          <w:rFonts w:ascii="David" w:hAnsi="David"/>
          <w:sz w:val="20"/>
          <w:szCs w:val="20"/>
          <w:rtl/>
        </w:rPr>
        <w:t xml:space="preserve">. </w:t>
      </w:r>
    </w:p>
    <w:p w14:paraId="7D080EE0"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hint="cs"/>
          <w:sz w:val="20"/>
          <w:szCs w:val="20"/>
          <w:rtl/>
        </w:rPr>
        <w:t xml:space="preserve">על רקע האמור לעיל, מטרת המחקר הנדון </w:t>
      </w:r>
      <w:proofErr w:type="spellStart"/>
      <w:r w:rsidRPr="00F079B8">
        <w:rPr>
          <w:rFonts w:ascii="David" w:hAnsi="David" w:hint="cs"/>
          <w:sz w:val="20"/>
          <w:szCs w:val="20"/>
          <w:rtl/>
        </w:rPr>
        <w:t>היתה</w:t>
      </w:r>
      <w:proofErr w:type="spellEnd"/>
      <w:r w:rsidRPr="00F079B8">
        <w:rPr>
          <w:rFonts w:ascii="David" w:hAnsi="David" w:hint="cs"/>
          <w:sz w:val="20"/>
          <w:szCs w:val="20"/>
          <w:rtl/>
        </w:rPr>
        <w:t xml:space="preserve"> </w:t>
      </w:r>
      <w:r w:rsidRPr="00F079B8">
        <w:rPr>
          <w:rFonts w:ascii="David" w:hAnsi="David"/>
          <w:sz w:val="20"/>
          <w:szCs w:val="20"/>
          <w:rtl/>
        </w:rPr>
        <w:t>לתאר את מאפייני</w:t>
      </w:r>
      <w:r w:rsidRPr="00F079B8">
        <w:rPr>
          <w:rFonts w:ascii="David" w:hAnsi="David" w:hint="cs"/>
          <w:sz w:val="20"/>
          <w:szCs w:val="20"/>
          <w:rtl/>
        </w:rPr>
        <w:t>ה של חוויית</w:t>
      </w:r>
      <w:r w:rsidRPr="00F079B8">
        <w:rPr>
          <w:rFonts w:ascii="David" w:hAnsi="David"/>
          <w:sz w:val="20"/>
          <w:szCs w:val="20"/>
          <w:rtl/>
        </w:rPr>
        <w:t xml:space="preserve"> הקשר הנוצר בחונכות השיקומית בהפרעות אכילה מתוך נקודת המבט של החונכת ו</w:t>
      </w:r>
      <w:r w:rsidRPr="00F079B8">
        <w:rPr>
          <w:rFonts w:ascii="David" w:hAnsi="David" w:hint="cs"/>
          <w:sz w:val="20"/>
          <w:szCs w:val="20"/>
          <w:rtl/>
        </w:rPr>
        <w:t xml:space="preserve">של </w:t>
      </w:r>
      <w:r w:rsidRPr="00F079B8">
        <w:rPr>
          <w:rFonts w:ascii="David" w:hAnsi="David"/>
          <w:sz w:val="20"/>
          <w:szCs w:val="20"/>
          <w:rtl/>
        </w:rPr>
        <w:t xml:space="preserve">החניכה. </w:t>
      </w:r>
      <w:r w:rsidRPr="00F079B8">
        <w:rPr>
          <w:rFonts w:ascii="David" w:hAnsi="David" w:hint="cs"/>
          <w:sz w:val="20"/>
          <w:szCs w:val="20"/>
          <w:rtl/>
        </w:rPr>
        <w:t>מדובר ב</w:t>
      </w:r>
      <w:r w:rsidRPr="00F079B8">
        <w:rPr>
          <w:rFonts w:ascii="David" w:hAnsi="David"/>
          <w:sz w:val="20"/>
          <w:szCs w:val="20"/>
          <w:rtl/>
        </w:rPr>
        <w:t>מחקר איכותני המבוסס על 15 ראיונות עומק</w:t>
      </w:r>
      <w:r w:rsidRPr="00F079B8">
        <w:rPr>
          <w:rFonts w:ascii="David" w:hAnsi="David" w:hint="cs"/>
          <w:sz w:val="20"/>
          <w:szCs w:val="20"/>
          <w:rtl/>
        </w:rPr>
        <w:t xml:space="preserve">, עשרה עם </w:t>
      </w:r>
      <w:r w:rsidRPr="00F079B8">
        <w:rPr>
          <w:rFonts w:ascii="David" w:hAnsi="David"/>
          <w:sz w:val="20"/>
          <w:szCs w:val="20"/>
          <w:rtl/>
        </w:rPr>
        <w:t xml:space="preserve">חניכות </w:t>
      </w:r>
      <w:r w:rsidRPr="00F079B8">
        <w:rPr>
          <w:rFonts w:ascii="David" w:hAnsi="David" w:hint="cs"/>
          <w:sz w:val="20"/>
          <w:szCs w:val="20"/>
          <w:rtl/>
        </w:rPr>
        <w:t>וחמישה עם חונכות. בניתוח הראיונות עלו ארבע תמות המתארות את חוויית הקשר: ב</w:t>
      </w:r>
      <w:r w:rsidRPr="00F079B8">
        <w:rPr>
          <w:rFonts w:ascii="David" w:hAnsi="David"/>
          <w:sz w:val="20"/>
          <w:szCs w:val="20"/>
          <w:rtl/>
        </w:rPr>
        <w:t xml:space="preserve">תמה הראשונה והשנייה </w:t>
      </w:r>
      <w:r w:rsidRPr="00F079B8">
        <w:rPr>
          <w:rFonts w:ascii="David" w:hAnsi="David" w:hint="cs"/>
          <w:sz w:val="20"/>
          <w:szCs w:val="20"/>
          <w:rtl/>
        </w:rPr>
        <w:t>מתוארים</w:t>
      </w:r>
      <w:r w:rsidRPr="00F079B8">
        <w:rPr>
          <w:rFonts w:ascii="David" w:hAnsi="David"/>
          <w:sz w:val="20"/>
          <w:szCs w:val="20"/>
          <w:rtl/>
        </w:rPr>
        <w:t xml:space="preserve"> היתרונות וההזדמנויות הקיימים בקשר, </w:t>
      </w:r>
      <w:r w:rsidRPr="00F079B8">
        <w:rPr>
          <w:rFonts w:ascii="David" w:hAnsi="David" w:hint="cs"/>
          <w:sz w:val="20"/>
          <w:szCs w:val="20"/>
          <w:rtl/>
        </w:rPr>
        <w:t>ומתאפשרים</w:t>
      </w:r>
      <w:r w:rsidRPr="00F079B8">
        <w:rPr>
          <w:rFonts w:ascii="David" w:hAnsi="David"/>
          <w:sz w:val="20"/>
          <w:szCs w:val="20"/>
          <w:rtl/>
        </w:rPr>
        <w:t xml:space="preserve"> בראש ובראשונה </w:t>
      </w:r>
      <w:r w:rsidRPr="00F079B8">
        <w:rPr>
          <w:rFonts w:ascii="David" w:hAnsi="David" w:hint="cs"/>
          <w:sz w:val="20"/>
          <w:szCs w:val="20"/>
          <w:rtl/>
        </w:rPr>
        <w:t xml:space="preserve">בזכות </w:t>
      </w:r>
      <w:r w:rsidRPr="00F079B8">
        <w:rPr>
          <w:rFonts w:ascii="David" w:hAnsi="David"/>
          <w:sz w:val="20"/>
          <w:szCs w:val="20"/>
          <w:rtl/>
        </w:rPr>
        <w:lastRenderedPageBreak/>
        <w:t xml:space="preserve">פריצת מעגל ההסתרה וכניסת החונכת למרחב הביתי של החניכה. </w:t>
      </w:r>
      <w:r w:rsidRPr="00F079B8">
        <w:rPr>
          <w:rFonts w:ascii="David" w:hAnsi="David" w:hint="cs"/>
          <w:sz w:val="20"/>
          <w:szCs w:val="20"/>
          <w:rtl/>
        </w:rPr>
        <w:t>ב</w:t>
      </w:r>
      <w:r w:rsidRPr="00F079B8">
        <w:rPr>
          <w:rFonts w:ascii="David" w:hAnsi="David"/>
          <w:sz w:val="20"/>
          <w:szCs w:val="20"/>
          <w:rtl/>
        </w:rPr>
        <w:t xml:space="preserve">תמה השלישית והרביעית </w:t>
      </w:r>
      <w:r w:rsidRPr="00F079B8">
        <w:rPr>
          <w:rFonts w:ascii="David" w:hAnsi="David" w:hint="cs"/>
          <w:sz w:val="20"/>
          <w:szCs w:val="20"/>
          <w:rtl/>
        </w:rPr>
        <w:t>מתוארים</w:t>
      </w:r>
      <w:r w:rsidRPr="00F079B8">
        <w:rPr>
          <w:rFonts w:ascii="David" w:hAnsi="David"/>
          <w:sz w:val="20"/>
          <w:szCs w:val="20"/>
          <w:rtl/>
        </w:rPr>
        <w:t xml:space="preserve"> הקשיים שבדרך, </w:t>
      </w:r>
      <w:r w:rsidRPr="00F079B8">
        <w:rPr>
          <w:rFonts w:ascii="David" w:hAnsi="David" w:hint="cs"/>
          <w:sz w:val="20"/>
          <w:szCs w:val="20"/>
          <w:rtl/>
        </w:rPr>
        <w:t>ו</w:t>
      </w:r>
      <w:r w:rsidRPr="00F079B8">
        <w:rPr>
          <w:rFonts w:ascii="David" w:hAnsi="David"/>
          <w:sz w:val="20"/>
          <w:szCs w:val="20"/>
          <w:rtl/>
        </w:rPr>
        <w:t>בכלל זה הקונפליקטים</w:t>
      </w:r>
      <w:r w:rsidRPr="00F079B8">
        <w:rPr>
          <w:rFonts w:ascii="David" w:hAnsi="David" w:hint="cs"/>
          <w:sz w:val="20"/>
          <w:szCs w:val="20"/>
          <w:rtl/>
        </w:rPr>
        <w:t xml:space="preserve">, המתח והבלבול </w:t>
      </w:r>
      <w:r w:rsidRPr="00F079B8">
        <w:rPr>
          <w:rFonts w:ascii="David" w:hAnsi="David"/>
          <w:sz w:val="20"/>
          <w:szCs w:val="20"/>
          <w:rtl/>
        </w:rPr>
        <w:t xml:space="preserve">הנוצרים סביב אי השוויון וחוסר ההדדיות במערכת היחסים. </w:t>
      </w:r>
    </w:p>
    <w:p w14:paraId="392FB12B"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sz w:val="20"/>
          <w:szCs w:val="20"/>
          <w:rtl/>
        </w:rPr>
        <w:t xml:space="preserve">ממצאי המחקר מדגישים </w:t>
      </w:r>
      <w:r w:rsidRPr="00F079B8">
        <w:rPr>
          <w:rFonts w:ascii="David" w:hAnsi="David" w:hint="cs"/>
          <w:sz w:val="20"/>
          <w:szCs w:val="20"/>
          <w:rtl/>
        </w:rPr>
        <w:t xml:space="preserve">את האופן שבו </w:t>
      </w:r>
      <w:r w:rsidRPr="00F079B8">
        <w:rPr>
          <w:rFonts w:ascii="David" w:hAnsi="David"/>
          <w:sz w:val="20"/>
          <w:szCs w:val="20"/>
          <w:rtl/>
        </w:rPr>
        <w:t xml:space="preserve">החניכות משתמשות בקשר האמיץ שנרקם </w:t>
      </w:r>
      <w:r w:rsidRPr="00F079B8">
        <w:rPr>
          <w:rFonts w:ascii="David" w:hAnsi="David" w:hint="cs"/>
          <w:sz w:val="20"/>
          <w:szCs w:val="20"/>
          <w:rtl/>
        </w:rPr>
        <w:t xml:space="preserve">בינן לבין </w:t>
      </w:r>
      <w:r w:rsidRPr="00F079B8">
        <w:rPr>
          <w:rFonts w:ascii="David" w:hAnsi="David"/>
          <w:sz w:val="20"/>
          <w:szCs w:val="20"/>
          <w:rtl/>
        </w:rPr>
        <w:t>החונכות כדי לקדם את תהליך השיקום. כניסת החונכות לבית</w:t>
      </w:r>
      <w:r w:rsidRPr="00F079B8">
        <w:rPr>
          <w:rFonts w:ascii="David" w:hAnsi="David" w:hint="cs"/>
          <w:sz w:val="20"/>
          <w:szCs w:val="20"/>
          <w:rtl/>
        </w:rPr>
        <w:t>ן</w:t>
      </w:r>
      <w:r w:rsidRPr="00F079B8">
        <w:rPr>
          <w:rFonts w:ascii="David" w:hAnsi="David"/>
          <w:sz w:val="20"/>
          <w:szCs w:val="20"/>
          <w:rtl/>
        </w:rPr>
        <w:t xml:space="preserve"> של החניכות מאפשרת ל</w:t>
      </w:r>
      <w:r w:rsidRPr="00F079B8">
        <w:rPr>
          <w:rFonts w:ascii="David" w:hAnsi="David" w:hint="cs"/>
          <w:sz w:val="20"/>
          <w:szCs w:val="20"/>
          <w:rtl/>
        </w:rPr>
        <w:t xml:space="preserve">ראשונות </w:t>
      </w:r>
      <w:r w:rsidRPr="00F079B8">
        <w:rPr>
          <w:rFonts w:ascii="David" w:hAnsi="David"/>
          <w:sz w:val="20"/>
          <w:szCs w:val="20"/>
          <w:rtl/>
        </w:rPr>
        <w:t xml:space="preserve">לראות לעומק דברים </w:t>
      </w:r>
      <w:r w:rsidRPr="00F079B8">
        <w:rPr>
          <w:rFonts w:ascii="David" w:hAnsi="David" w:hint="cs"/>
          <w:sz w:val="20"/>
          <w:szCs w:val="20"/>
          <w:rtl/>
        </w:rPr>
        <w:t xml:space="preserve">שלא </w:t>
      </w:r>
      <w:r w:rsidRPr="00F079B8">
        <w:rPr>
          <w:rFonts w:ascii="David" w:hAnsi="David"/>
          <w:sz w:val="20"/>
          <w:szCs w:val="20"/>
          <w:rtl/>
        </w:rPr>
        <w:t xml:space="preserve">היו יכולות לראות </w:t>
      </w:r>
      <w:r w:rsidRPr="00F079B8">
        <w:rPr>
          <w:rFonts w:ascii="David" w:hAnsi="David" w:hint="cs"/>
          <w:sz w:val="20"/>
          <w:szCs w:val="20"/>
          <w:rtl/>
        </w:rPr>
        <w:t>ב</w:t>
      </w:r>
      <w:r w:rsidRPr="00F079B8">
        <w:rPr>
          <w:rFonts w:ascii="David" w:hAnsi="David"/>
          <w:sz w:val="20"/>
          <w:szCs w:val="20"/>
          <w:rtl/>
        </w:rPr>
        <w:t>דרך אחרת.</w:t>
      </w:r>
      <w:r w:rsidRPr="00F079B8">
        <w:rPr>
          <w:rFonts w:ascii="David" w:hAnsi="David" w:hint="cs"/>
          <w:sz w:val="20"/>
          <w:szCs w:val="20"/>
          <w:rtl/>
        </w:rPr>
        <w:t xml:space="preserve"> ובניסיון לעגן תובנות אלה בתמה הכוללת של הגיליון אפשר אפוא לטעון כי יהיה זה בלתי סביר להתעלם מהקשר הייחודי הנוצר במסגרת החונכות, כפי שהוא מתואר במאמר.</w:t>
      </w:r>
    </w:p>
    <w:p w14:paraId="75AC99F5" w14:textId="77777777" w:rsidR="00F079B8" w:rsidRPr="00F079B8" w:rsidRDefault="00F079B8" w:rsidP="00F079B8">
      <w:pPr>
        <w:spacing w:after="180" w:line="280" w:lineRule="exact"/>
        <w:jc w:val="both"/>
        <w:rPr>
          <w:rFonts w:ascii="David" w:hAnsi="David"/>
          <w:sz w:val="20"/>
          <w:szCs w:val="20"/>
          <w:rtl/>
        </w:rPr>
      </w:pPr>
      <w:r w:rsidRPr="00F079B8">
        <w:rPr>
          <w:rFonts w:ascii="David" w:hAnsi="David" w:hint="cs"/>
          <w:sz w:val="20"/>
          <w:szCs w:val="20"/>
          <w:rtl/>
        </w:rPr>
        <w:t xml:space="preserve">את הגיליון חותם מאמרה של מיכל </w:t>
      </w:r>
      <w:proofErr w:type="spellStart"/>
      <w:r w:rsidRPr="00F079B8">
        <w:rPr>
          <w:rFonts w:ascii="David" w:hAnsi="David" w:hint="cs"/>
          <w:sz w:val="20"/>
          <w:szCs w:val="20"/>
          <w:rtl/>
        </w:rPr>
        <w:t>קרומר</w:t>
      </w:r>
      <w:proofErr w:type="spellEnd"/>
      <w:r w:rsidRPr="00F079B8">
        <w:rPr>
          <w:rFonts w:ascii="David" w:hAnsi="David" w:hint="cs"/>
          <w:sz w:val="20"/>
          <w:szCs w:val="20"/>
          <w:rtl/>
        </w:rPr>
        <w:t xml:space="preserve">-נבו, </w:t>
      </w:r>
      <w:r w:rsidRPr="00F079B8">
        <w:rPr>
          <w:rFonts w:ascii="David" w:hAnsi="David" w:hint="cs"/>
          <w:b/>
          <w:bCs/>
          <w:sz w:val="20"/>
          <w:szCs w:val="20"/>
          <w:rtl/>
        </w:rPr>
        <w:t>צילום עוני כמעשה פוליטי</w:t>
      </w:r>
      <w:r w:rsidRPr="00F079B8">
        <w:rPr>
          <w:rFonts w:ascii="David" w:hAnsi="David" w:hint="cs"/>
          <w:sz w:val="20"/>
          <w:szCs w:val="20"/>
          <w:rtl/>
        </w:rPr>
        <w:t>. זהו מאמר שונה ויוצא דופן, המזמין את הקוראים לבחון את הבנתם באשר לגבולות הסבירות המדעיים. ה</w:t>
      </w:r>
      <w:r w:rsidRPr="00F079B8">
        <w:rPr>
          <w:rFonts w:ascii="David" w:hAnsi="David"/>
          <w:sz w:val="20"/>
          <w:szCs w:val="20"/>
          <w:rtl/>
        </w:rPr>
        <w:t>מאמר מבקש לקדם</w:t>
      </w:r>
      <w:r w:rsidRPr="00F079B8">
        <w:rPr>
          <w:rFonts w:ascii="David" w:hAnsi="David"/>
          <w:sz w:val="20"/>
          <w:szCs w:val="20"/>
        </w:rPr>
        <w:t xml:space="preserve"> </w:t>
      </w:r>
      <w:r w:rsidRPr="00F079B8">
        <w:rPr>
          <w:rFonts w:ascii="David" w:hAnsi="David"/>
          <w:sz w:val="20"/>
          <w:szCs w:val="20"/>
          <w:rtl/>
        </w:rPr>
        <w:t>מחשבה</w:t>
      </w:r>
      <w:r w:rsidRPr="00F079B8">
        <w:rPr>
          <w:rFonts w:ascii="David" w:hAnsi="David"/>
          <w:sz w:val="20"/>
          <w:szCs w:val="20"/>
        </w:rPr>
        <w:t xml:space="preserve"> </w:t>
      </w:r>
      <w:r w:rsidRPr="00F079B8">
        <w:rPr>
          <w:rFonts w:ascii="David" w:hAnsi="David"/>
          <w:sz w:val="20"/>
          <w:szCs w:val="20"/>
          <w:rtl/>
        </w:rPr>
        <w:t>ודיון בעבודה סוציאלית ב</w:t>
      </w:r>
      <w:r w:rsidRPr="00F079B8">
        <w:rPr>
          <w:rFonts w:ascii="David" w:hAnsi="David" w:hint="cs"/>
          <w:sz w:val="20"/>
          <w:szCs w:val="20"/>
          <w:rtl/>
        </w:rPr>
        <w:t>נוגע ל</w:t>
      </w:r>
      <w:r w:rsidRPr="00F079B8">
        <w:rPr>
          <w:rFonts w:ascii="David" w:hAnsi="David"/>
          <w:sz w:val="20"/>
          <w:szCs w:val="20"/>
          <w:rtl/>
        </w:rPr>
        <w:t>תרומתם של דימויים ויזואליים לכינון ההבניה החברתית של אנשים בעוני כ"אחרים"</w:t>
      </w:r>
      <w:r w:rsidRPr="00F079B8">
        <w:rPr>
          <w:rFonts w:ascii="David" w:hAnsi="David" w:hint="cs"/>
          <w:sz w:val="20"/>
          <w:szCs w:val="20"/>
          <w:rtl/>
        </w:rPr>
        <w:t>,</w:t>
      </w:r>
      <w:r w:rsidRPr="00F079B8">
        <w:rPr>
          <w:rFonts w:ascii="David" w:hAnsi="David"/>
          <w:sz w:val="20"/>
          <w:szCs w:val="20"/>
          <w:rtl/>
        </w:rPr>
        <w:t xml:space="preserve"> ו</w:t>
      </w:r>
      <w:r w:rsidRPr="00F079B8">
        <w:rPr>
          <w:rFonts w:ascii="David" w:hAnsi="David" w:hint="cs"/>
          <w:sz w:val="20"/>
          <w:szCs w:val="20"/>
          <w:rtl/>
        </w:rPr>
        <w:t xml:space="preserve">כן </w:t>
      </w:r>
      <w:r w:rsidRPr="00F079B8">
        <w:rPr>
          <w:rFonts w:ascii="David" w:hAnsi="David"/>
          <w:sz w:val="20"/>
          <w:szCs w:val="20"/>
          <w:rtl/>
        </w:rPr>
        <w:t>להציע דרכים להבניה אלט</w:t>
      </w:r>
      <w:r w:rsidRPr="00F079B8">
        <w:rPr>
          <w:rFonts w:ascii="David" w:hAnsi="David" w:hint="cs"/>
          <w:sz w:val="20"/>
          <w:szCs w:val="20"/>
          <w:rtl/>
        </w:rPr>
        <w:t>ר</w:t>
      </w:r>
      <w:r w:rsidRPr="00F079B8">
        <w:rPr>
          <w:rFonts w:ascii="David" w:hAnsi="David"/>
          <w:sz w:val="20"/>
          <w:szCs w:val="20"/>
          <w:rtl/>
        </w:rPr>
        <w:t>נטיבית</w:t>
      </w:r>
      <w:r w:rsidRPr="00F079B8">
        <w:rPr>
          <w:rFonts w:ascii="David" w:hAnsi="David" w:hint="cs"/>
          <w:sz w:val="20"/>
          <w:szCs w:val="20"/>
          <w:rtl/>
        </w:rPr>
        <w:t>,</w:t>
      </w:r>
      <w:r w:rsidRPr="00F079B8">
        <w:rPr>
          <w:rFonts w:ascii="David" w:hAnsi="David"/>
          <w:sz w:val="20"/>
          <w:szCs w:val="20"/>
          <w:rtl/>
        </w:rPr>
        <w:t xml:space="preserve"> </w:t>
      </w:r>
      <w:r w:rsidRPr="00F079B8">
        <w:rPr>
          <w:rFonts w:ascii="David" w:hAnsi="David" w:hint="cs"/>
          <w:sz w:val="20"/>
          <w:szCs w:val="20"/>
          <w:rtl/>
        </w:rPr>
        <w:t>פוליטית וביקורתית</w:t>
      </w:r>
      <w:r w:rsidRPr="00F079B8">
        <w:rPr>
          <w:rFonts w:ascii="David" w:hAnsi="David"/>
          <w:sz w:val="20"/>
          <w:szCs w:val="20"/>
          <w:rtl/>
        </w:rPr>
        <w:t>. המאמר נפתח בהצגת המורכבות האתית הכרוכה בצילום דוקומנטרי, וממשיך בסקירה של סוגים שונים של צילומי עוני</w:t>
      </w:r>
      <w:r w:rsidRPr="00F079B8">
        <w:rPr>
          <w:rFonts w:ascii="David" w:hAnsi="David" w:hint="cs"/>
          <w:sz w:val="20"/>
          <w:szCs w:val="20"/>
          <w:rtl/>
        </w:rPr>
        <w:t xml:space="preserve">. בתוך כך הוא מבחין </w:t>
      </w:r>
      <w:r w:rsidRPr="00F079B8">
        <w:rPr>
          <w:rFonts w:ascii="David" w:hAnsi="David"/>
          <w:sz w:val="20"/>
          <w:szCs w:val="20"/>
          <w:rtl/>
        </w:rPr>
        <w:t xml:space="preserve">בין צילומים היוצרים האחרה של אנשים בעוני לבין צילומים המבקשים להתנגד להאחרה ומציעים </w:t>
      </w:r>
      <w:proofErr w:type="spellStart"/>
      <w:r w:rsidRPr="00F079B8">
        <w:rPr>
          <w:rFonts w:ascii="David" w:hAnsi="David"/>
          <w:sz w:val="20"/>
          <w:szCs w:val="20"/>
        </w:rPr>
        <w:t>countervisuality</w:t>
      </w:r>
      <w:proofErr w:type="spellEnd"/>
      <w:r w:rsidRPr="00F079B8">
        <w:rPr>
          <w:rFonts w:ascii="David" w:hAnsi="David"/>
          <w:sz w:val="20"/>
          <w:szCs w:val="20"/>
          <w:rtl/>
        </w:rPr>
        <w:t xml:space="preserve">. באמצעות מהלך זה מבקש המאמר לעמוד על הפוטנציאל </w:t>
      </w:r>
      <w:proofErr w:type="spellStart"/>
      <w:r w:rsidRPr="00F079B8">
        <w:rPr>
          <w:rFonts w:ascii="David" w:hAnsi="David"/>
          <w:sz w:val="20"/>
          <w:szCs w:val="20"/>
          <w:rtl/>
        </w:rPr>
        <w:t>המאחיר</w:t>
      </w:r>
      <w:proofErr w:type="spellEnd"/>
      <w:r w:rsidRPr="00F079B8">
        <w:rPr>
          <w:rFonts w:ascii="David" w:hAnsi="David"/>
          <w:sz w:val="20"/>
          <w:szCs w:val="20"/>
          <w:rtl/>
        </w:rPr>
        <w:t xml:space="preserve"> ו</w:t>
      </w:r>
      <w:r w:rsidRPr="00F079B8">
        <w:rPr>
          <w:rFonts w:ascii="David" w:hAnsi="David" w:hint="cs"/>
          <w:sz w:val="20"/>
          <w:szCs w:val="20"/>
          <w:rtl/>
        </w:rPr>
        <w:t>ה</w:t>
      </w:r>
      <w:r w:rsidRPr="00F079B8">
        <w:rPr>
          <w:rFonts w:ascii="David" w:hAnsi="David"/>
          <w:sz w:val="20"/>
          <w:szCs w:val="20"/>
          <w:rtl/>
        </w:rPr>
        <w:t>מרחיק של דימויים ויזואליים פופולריים, להפוך את תהליך הצפי</w:t>
      </w:r>
      <w:r w:rsidRPr="00F079B8">
        <w:rPr>
          <w:rFonts w:ascii="David" w:hAnsi="David" w:hint="cs"/>
          <w:sz w:val="20"/>
          <w:szCs w:val="20"/>
          <w:rtl/>
        </w:rPr>
        <w:t>י</w:t>
      </w:r>
      <w:r w:rsidRPr="00F079B8">
        <w:rPr>
          <w:rFonts w:ascii="David" w:hAnsi="David"/>
          <w:sz w:val="20"/>
          <w:szCs w:val="20"/>
          <w:rtl/>
        </w:rPr>
        <w:t xml:space="preserve">ה בדימויים כאלה למודע יותר ולפוליטי, ולהציע אפשרויות לצילום מתנגד האחרה. </w:t>
      </w:r>
      <w:r w:rsidRPr="00F079B8">
        <w:rPr>
          <w:rFonts w:ascii="David" w:hAnsi="David" w:hint="cs"/>
          <w:sz w:val="20"/>
          <w:szCs w:val="20"/>
          <w:rtl/>
        </w:rPr>
        <w:t>ובהתייחס לתמה של גיליון זה, המאמר מאתגר את הגבולות של מה סביר ומה אינו סביר בהקשר של יכולתנו להעריך ולמדוד את הבנתנו את תופעת העוני.</w:t>
      </w:r>
    </w:p>
    <w:p w14:paraId="799B35F3" w14:textId="77777777" w:rsidR="00F079B8" w:rsidRPr="00F079B8" w:rsidRDefault="00F079B8" w:rsidP="00F079B8">
      <w:pPr>
        <w:spacing w:after="180" w:line="280" w:lineRule="exact"/>
        <w:jc w:val="both"/>
        <w:rPr>
          <w:rFonts w:ascii="David" w:hAnsi="David"/>
          <w:sz w:val="20"/>
          <w:szCs w:val="20"/>
          <w:rtl/>
          <w:lang w:bidi="he"/>
        </w:rPr>
      </w:pPr>
      <w:bookmarkStart w:id="0" w:name="_Hlk80601647"/>
      <w:r w:rsidRPr="00F079B8">
        <w:rPr>
          <w:rFonts w:ascii="David" w:hAnsi="David" w:hint="cs"/>
          <w:sz w:val="20"/>
          <w:szCs w:val="20"/>
          <w:rtl/>
        </w:rPr>
        <w:t>בסוף הדברים ברצוני להודות לכל העושים המלאכה</w:t>
      </w:r>
      <w:r w:rsidRPr="00F079B8">
        <w:rPr>
          <w:rFonts w:ascii="David" w:hAnsi="David" w:hint="cs"/>
          <w:sz w:val="20"/>
          <w:szCs w:val="20"/>
          <w:rtl/>
          <w:lang w:bidi="he"/>
        </w:rPr>
        <w:t xml:space="preserve">, </w:t>
      </w:r>
      <w:r w:rsidRPr="00F079B8">
        <w:rPr>
          <w:rFonts w:ascii="David" w:hAnsi="David" w:hint="cs"/>
          <w:sz w:val="20"/>
          <w:szCs w:val="20"/>
          <w:rtl/>
        </w:rPr>
        <w:t>אשר ללא קשר לזמנים המורכבים</w:t>
      </w:r>
      <w:r w:rsidRPr="00F079B8">
        <w:rPr>
          <w:rFonts w:ascii="David" w:hAnsi="David" w:hint="cs"/>
          <w:sz w:val="20"/>
          <w:szCs w:val="20"/>
          <w:rtl/>
          <w:lang w:bidi="he"/>
        </w:rPr>
        <w:t xml:space="preserve"> </w:t>
      </w:r>
      <w:r w:rsidRPr="00F079B8">
        <w:rPr>
          <w:rFonts w:ascii="David" w:hAnsi="David" w:hint="cs"/>
          <w:sz w:val="20"/>
          <w:szCs w:val="20"/>
          <w:rtl/>
        </w:rPr>
        <w:t>עבדו קשה ובחריצות, ולא נתנו לרעשי הרקע החברתי שמסביב להסית אותם ממסלולם</w:t>
      </w:r>
      <w:r w:rsidRPr="00F079B8">
        <w:rPr>
          <w:rFonts w:ascii="David" w:hAnsi="David" w:hint="cs"/>
          <w:sz w:val="20"/>
          <w:szCs w:val="20"/>
          <w:rtl/>
          <w:lang w:bidi="he"/>
        </w:rPr>
        <w:t xml:space="preserve">. </w:t>
      </w:r>
      <w:r w:rsidRPr="00F079B8">
        <w:rPr>
          <w:rFonts w:ascii="David" w:hAnsi="David" w:hint="cs"/>
          <w:sz w:val="20"/>
          <w:szCs w:val="20"/>
          <w:rtl/>
        </w:rPr>
        <w:t>ברצוני לשוב ולהודות</w:t>
      </w:r>
      <w:r w:rsidRPr="00F079B8">
        <w:rPr>
          <w:rFonts w:ascii="David" w:hAnsi="David"/>
          <w:sz w:val="20"/>
          <w:szCs w:val="20"/>
          <w:rtl/>
        </w:rPr>
        <w:t xml:space="preserve"> לכל המחברות והמחברים שתרמו לגיליון זה</w:t>
      </w:r>
      <w:r w:rsidRPr="00F079B8">
        <w:rPr>
          <w:rFonts w:ascii="David" w:hAnsi="David"/>
          <w:sz w:val="20"/>
          <w:szCs w:val="20"/>
          <w:rtl/>
          <w:lang w:bidi="he"/>
        </w:rPr>
        <w:t xml:space="preserve">, </w:t>
      </w:r>
      <w:r w:rsidRPr="00F079B8">
        <w:rPr>
          <w:rFonts w:ascii="David" w:hAnsi="David"/>
          <w:sz w:val="20"/>
          <w:szCs w:val="20"/>
          <w:rtl/>
        </w:rPr>
        <w:t>לכל השופטות והשופטים שהקדישו מזמנם וקראו בעיון את המאמרים</w:t>
      </w:r>
      <w:r w:rsidRPr="00F079B8">
        <w:rPr>
          <w:rFonts w:ascii="David" w:hAnsi="David"/>
          <w:sz w:val="20"/>
          <w:szCs w:val="20"/>
          <w:rtl/>
          <w:lang w:bidi="he"/>
        </w:rPr>
        <w:t xml:space="preserve">, </w:t>
      </w:r>
      <w:r w:rsidRPr="00F079B8">
        <w:rPr>
          <w:rFonts w:ascii="David" w:hAnsi="David"/>
          <w:sz w:val="20"/>
          <w:szCs w:val="20"/>
          <w:rtl/>
        </w:rPr>
        <w:t>לכל חברות וחברי מערכת כתב העת</w:t>
      </w:r>
      <w:r w:rsidRPr="00F079B8">
        <w:rPr>
          <w:rFonts w:ascii="David" w:hAnsi="David"/>
          <w:sz w:val="20"/>
          <w:szCs w:val="20"/>
          <w:rtl/>
          <w:lang w:bidi="he"/>
        </w:rPr>
        <w:t xml:space="preserve">, </w:t>
      </w:r>
      <w:r w:rsidRPr="00F079B8">
        <w:rPr>
          <w:rFonts w:ascii="David" w:hAnsi="David"/>
          <w:sz w:val="20"/>
          <w:szCs w:val="20"/>
          <w:rtl/>
        </w:rPr>
        <w:t>לרכזת המערכת מיה עורב</w:t>
      </w:r>
      <w:r w:rsidRPr="00F079B8">
        <w:rPr>
          <w:rFonts w:ascii="David" w:hAnsi="David"/>
          <w:sz w:val="20"/>
          <w:szCs w:val="20"/>
          <w:rtl/>
          <w:lang w:bidi="he"/>
        </w:rPr>
        <w:t>-</w:t>
      </w:r>
      <w:r w:rsidRPr="00F079B8">
        <w:rPr>
          <w:rFonts w:ascii="David" w:hAnsi="David"/>
          <w:sz w:val="20"/>
          <w:szCs w:val="20"/>
          <w:rtl/>
        </w:rPr>
        <w:t>הטל</w:t>
      </w:r>
      <w:r w:rsidRPr="00F079B8">
        <w:rPr>
          <w:rFonts w:ascii="David" w:hAnsi="David"/>
          <w:sz w:val="20"/>
          <w:szCs w:val="20"/>
          <w:rtl/>
          <w:lang w:bidi="he"/>
        </w:rPr>
        <w:t xml:space="preserve">, </w:t>
      </w:r>
      <w:r w:rsidRPr="00F079B8">
        <w:rPr>
          <w:rFonts w:ascii="David" w:hAnsi="David"/>
          <w:sz w:val="20"/>
          <w:szCs w:val="20"/>
          <w:rtl/>
        </w:rPr>
        <w:t xml:space="preserve">לעורכת הלשון </w:t>
      </w:r>
      <w:r w:rsidRPr="00F079B8">
        <w:rPr>
          <w:rFonts w:ascii="David" w:hAnsi="David" w:hint="cs"/>
          <w:sz w:val="20"/>
          <w:szCs w:val="20"/>
          <w:rtl/>
        </w:rPr>
        <w:t xml:space="preserve">נירית </w:t>
      </w:r>
      <w:proofErr w:type="spellStart"/>
      <w:r w:rsidRPr="00F079B8">
        <w:rPr>
          <w:rFonts w:ascii="David" w:hAnsi="David" w:hint="cs"/>
          <w:sz w:val="20"/>
          <w:szCs w:val="20"/>
          <w:rtl/>
        </w:rPr>
        <w:t>איטינגון</w:t>
      </w:r>
      <w:proofErr w:type="spellEnd"/>
      <w:r w:rsidRPr="00F079B8">
        <w:rPr>
          <w:rFonts w:ascii="David" w:hAnsi="David"/>
          <w:sz w:val="20"/>
          <w:szCs w:val="20"/>
          <w:rtl/>
          <w:lang w:bidi="he"/>
        </w:rPr>
        <w:t xml:space="preserve"> </w:t>
      </w:r>
      <w:r w:rsidRPr="00F079B8">
        <w:rPr>
          <w:rFonts w:ascii="David" w:hAnsi="David"/>
          <w:sz w:val="20"/>
          <w:szCs w:val="20"/>
          <w:rtl/>
        </w:rPr>
        <w:t>ולעורך הגרפי מרדכי פרנקל</w:t>
      </w:r>
      <w:r w:rsidRPr="00F079B8">
        <w:rPr>
          <w:rFonts w:ascii="David" w:hAnsi="David"/>
          <w:sz w:val="20"/>
          <w:szCs w:val="20"/>
          <w:rtl/>
          <w:lang w:bidi="he"/>
        </w:rPr>
        <w:t xml:space="preserve"> </w:t>
      </w:r>
      <w:r w:rsidRPr="00F079B8">
        <w:rPr>
          <w:rFonts w:ascii="David" w:hAnsi="David"/>
          <w:sz w:val="20"/>
          <w:szCs w:val="20"/>
          <w:rtl/>
        </w:rPr>
        <w:t xml:space="preserve">על עבודתם המסורה </w:t>
      </w:r>
      <w:r w:rsidRPr="00F079B8">
        <w:rPr>
          <w:rFonts w:ascii="David" w:hAnsi="David" w:hint="cs"/>
          <w:sz w:val="20"/>
          <w:szCs w:val="20"/>
          <w:rtl/>
        </w:rPr>
        <w:t>והנאמנה</w:t>
      </w:r>
      <w:r w:rsidRPr="00F079B8">
        <w:rPr>
          <w:rFonts w:ascii="David" w:hAnsi="David" w:hint="cs"/>
          <w:sz w:val="20"/>
          <w:szCs w:val="20"/>
          <w:rtl/>
          <w:lang w:bidi="he"/>
        </w:rPr>
        <w:t xml:space="preserve">, </w:t>
      </w:r>
      <w:r w:rsidRPr="00F079B8">
        <w:rPr>
          <w:rFonts w:ascii="David" w:hAnsi="David" w:hint="cs"/>
          <w:sz w:val="20"/>
          <w:szCs w:val="20"/>
          <w:rtl/>
        </w:rPr>
        <w:t>ולשוב ולקוות כי תהליכי השיח וההקשבה יצלחו, וכי ערכי הדמוקרטיה והיהדות ישובו לדור זה לצד זה בשלום במחוזותינו.</w:t>
      </w:r>
      <w:r w:rsidRPr="00F079B8">
        <w:rPr>
          <w:rFonts w:ascii="David" w:hAnsi="David" w:hint="cs"/>
          <w:sz w:val="20"/>
          <w:szCs w:val="20"/>
          <w:rtl/>
          <w:lang w:bidi="he"/>
        </w:rPr>
        <w:t xml:space="preserve"> </w:t>
      </w:r>
    </w:p>
    <w:p w14:paraId="5271A57C" w14:textId="77777777" w:rsidR="00F079B8" w:rsidRPr="00851E24" w:rsidRDefault="00F079B8" w:rsidP="00F079B8">
      <w:pPr>
        <w:spacing w:after="180" w:line="280" w:lineRule="exact"/>
        <w:jc w:val="both"/>
        <w:rPr>
          <w:rFonts w:ascii="Georgia" w:hAnsi="Georgia"/>
          <w:sz w:val="14"/>
          <w:szCs w:val="16"/>
          <w:rtl/>
          <w:lang w:bidi="he"/>
        </w:rPr>
      </w:pPr>
    </w:p>
    <w:p w14:paraId="6CE669C6" w14:textId="77777777" w:rsidR="00F079B8" w:rsidRPr="000D5C81" w:rsidRDefault="00F079B8" w:rsidP="00F079B8">
      <w:pPr>
        <w:spacing w:line="280" w:lineRule="exact"/>
        <w:jc w:val="right"/>
        <w:rPr>
          <w:sz w:val="20"/>
          <w:szCs w:val="20"/>
          <w:rtl/>
        </w:rPr>
      </w:pPr>
      <w:r w:rsidRPr="000D5C81">
        <w:rPr>
          <w:sz w:val="20"/>
          <w:szCs w:val="20"/>
          <w:rtl/>
        </w:rPr>
        <w:t xml:space="preserve">פרופ' ישראל </w:t>
      </w:r>
      <w:r w:rsidRPr="000D5C81">
        <w:rPr>
          <w:rFonts w:hint="cs"/>
          <w:sz w:val="20"/>
          <w:szCs w:val="20"/>
          <w:rtl/>
        </w:rPr>
        <w:t>(</w:t>
      </w:r>
      <w:r w:rsidRPr="000D5C81">
        <w:rPr>
          <w:sz w:val="20"/>
          <w:szCs w:val="20"/>
          <w:rtl/>
        </w:rPr>
        <w:t>איסי</w:t>
      </w:r>
      <w:r w:rsidRPr="000D5C81">
        <w:rPr>
          <w:rFonts w:hint="cs"/>
          <w:sz w:val="20"/>
          <w:szCs w:val="20"/>
          <w:rtl/>
        </w:rPr>
        <w:t>)</w:t>
      </w:r>
      <w:r w:rsidRPr="000D5C81">
        <w:rPr>
          <w:sz w:val="20"/>
          <w:szCs w:val="20"/>
          <w:rtl/>
        </w:rPr>
        <w:t xml:space="preserve"> דורון</w:t>
      </w:r>
    </w:p>
    <w:p w14:paraId="5E74C810" w14:textId="77777777" w:rsidR="00F079B8" w:rsidRDefault="00F079B8" w:rsidP="00F079B8">
      <w:pPr>
        <w:spacing w:after="120" w:line="280" w:lineRule="exact"/>
        <w:jc w:val="right"/>
        <w:rPr>
          <w:sz w:val="20"/>
          <w:szCs w:val="20"/>
          <w:rtl/>
        </w:rPr>
      </w:pPr>
      <w:r w:rsidRPr="000D5C81">
        <w:rPr>
          <w:sz w:val="20"/>
          <w:szCs w:val="20"/>
          <w:rtl/>
        </w:rPr>
        <w:t>עורך ראשי</w:t>
      </w:r>
    </w:p>
    <w:p w14:paraId="412C06D2" w14:textId="77777777" w:rsidR="00F079B8" w:rsidRPr="00F079B8" w:rsidRDefault="00F079B8" w:rsidP="00F079B8">
      <w:pPr>
        <w:spacing w:line="280" w:lineRule="exact"/>
        <w:rPr>
          <w:sz w:val="20"/>
          <w:szCs w:val="20"/>
          <w:rtl/>
        </w:rPr>
      </w:pPr>
      <w:r w:rsidRPr="00F079B8">
        <w:rPr>
          <w:rFonts w:hint="cs"/>
          <w:sz w:val="20"/>
          <w:szCs w:val="20"/>
          <w:rtl/>
        </w:rPr>
        <w:t>ספטמבר 2023</w:t>
      </w:r>
    </w:p>
    <w:bookmarkEnd w:id="0"/>
    <w:p w14:paraId="510E8D8A" w14:textId="77777777" w:rsidR="00F079B8" w:rsidRPr="00F079B8" w:rsidRDefault="00F079B8" w:rsidP="00F079B8">
      <w:pPr>
        <w:rPr>
          <w:rtl/>
        </w:rPr>
      </w:pPr>
    </w:p>
    <w:sectPr w:rsidR="00F079B8" w:rsidRPr="00F079B8" w:rsidSect="00F079B8">
      <w:headerReference w:type="even" r:id="rId8"/>
      <w:headerReference w:type="default" r:id="rId9"/>
      <w:headerReference w:type="first" r:id="rId10"/>
      <w:pgSz w:w="11906" w:h="16838" w:code="9"/>
      <w:pgMar w:top="3515" w:right="2722" w:bottom="2948" w:left="2722" w:header="2665" w:footer="2665"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F0624" w14:textId="77777777" w:rsidR="00A650F3" w:rsidRDefault="00A650F3">
      <w:pPr>
        <w:spacing w:line="240" w:lineRule="auto"/>
      </w:pPr>
      <w:r>
        <w:separator/>
      </w:r>
    </w:p>
  </w:endnote>
  <w:endnote w:type="continuationSeparator" w:id="0">
    <w:p w14:paraId="1EA1DD5C" w14:textId="77777777" w:rsidR="00A650F3" w:rsidRDefault="00A650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E9FD" w14:textId="77777777" w:rsidR="00A650F3" w:rsidRDefault="00A650F3" w:rsidP="00A04D35">
      <w:pPr>
        <w:spacing w:before="120" w:after="80"/>
        <w:rPr>
          <w:rFonts w:cs="FrankRuehl"/>
          <w:sz w:val="18"/>
          <w:szCs w:val="18"/>
        </w:rPr>
      </w:pPr>
      <w:r>
        <w:rPr>
          <w:rFonts w:cs="FrankRuehl" w:hint="cs"/>
          <w:sz w:val="18"/>
          <w:szCs w:val="18"/>
          <w:rtl/>
        </w:rPr>
        <w:t>_____________</w:t>
      </w:r>
    </w:p>
  </w:footnote>
  <w:footnote w:type="continuationSeparator" w:id="0">
    <w:p w14:paraId="19B5CB31" w14:textId="77777777" w:rsidR="00A650F3" w:rsidRDefault="00A650F3">
      <w:r>
        <w:continuationSeparator/>
      </w:r>
    </w:p>
  </w:footnote>
  <w:footnote w:type="continuationNotice" w:id="1">
    <w:p w14:paraId="4B00C4E6" w14:textId="77777777" w:rsidR="00A650F3" w:rsidRDefault="00A650F3">
      <w:pPr>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CD5B" w14:textId="77777777"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2F2CC7" w:rsidRPr="002F2CC7">
      <w:rPr>
        <w:rFonts w:ascii="Georgia" w:hAnsi="Georgia" w:cs="Georgia"/>
        <w:noProof/>
        <w:sz w:val="24"/>
        <w:szCs w:val="24"/>
        <w:rtl/>
      </w:rPr>
      <w:t>8</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905F54">
      <w:rPr>
        <w:rFonts w:ascii="David" w:hAnsi="David" w:cs="David" w:hint="cs"/>
        <w:b w:val="0"/>
        <w:bCs w:val="0"/>
        <w:sz w:val="18"/>
        <w:szCs w:val="18"/>
        <w:rtl/>
      </w:rPr>
      <w:t>12</w:t>
    </w:r>
    <w:r w:rsidR="00590289">
      <w:rPr>
        <w:rFonts w:ascii="David" w:hAnsi="David" w:cs="David" w:hint="cs"/>
        <w:b w:val="0"/>
        <w:bCs w:val="0"/>
        <w:sz w:val="18"/>
        <w:szCs w:val="18"/>
        <w:rt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71866" w14:textId="77777777" w:rsidR="007667D8" w:rsidRPr="00CA633F" w:rsidRDefault="006D739C" w:rsidP="00446E1E">
    <w:pPr>
      <w:pStyle w:val="Heading1"/>
      <w:tabs>
        <w:tab w:val="center" w:pos="4536"/>
        <w:tab w:val="right" w:pos="9072"/>
      </w:tabs>
      <w:jc w:val="right"/>
      <w:rPr>
        <w:rFonts w:ascii="David" w:hAnsi="David" w:cs="David"/>
        <w:b w:val="0"/>
        <w:bCs w:val="0"/>
        <w:noProof/>
        <w:color w:val="A6A6A6"/>
        <w:sz w:val="20"/>
        <w:szCs w:val="20"/>
      </w:rPr>
    </w:pPr>
    <w:r w:rsidRPr="006D739C">
      <w:rPr>
        <w:rFonts w:ascii="David" w:hAnsi="David" w:cs="David"/>
        <w:b w:val="0"/>
        <w:bCs w:val="0"/>
        <w:noProof/>
        <w:sz w:val="18"/>
        <w:szCs w:val="18"/>
        <w:rtl/>
        <w:lang w:val="he-IL"/>
      </w:rPr>
      <w:t xml:space="preserve">דבר העורך </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2F2CC7" w:rsidRPr="002F2CC7">
      <w:rPr>
        <w:rFonts w:ascii="Georgia" w:hAnsi="Georgia" w:cs="Georgia"/>
        <w:noProof/>
        <w:sz w:val="24"/>
        <w:szCs w:val="24"/>
        <w:rtl/>
      </w:rPr>
      <w:t>9</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E0B5" w14:textId="77777777"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235790">
    <w:abstractNumId w:val="14"/>
  </w:num>
  <w:num w:numId="2" w16cid:durableId="1138524086">
    <w:abstractNumId w:val="18"/>
  </w:num>
  <w:num w:numId="3" w16cid:durableId="574631150">
    <w:abstractNumId w:val="26"/>
  </w:num>
  <w:num w:numId="4" w16cid:durableId="1951662644">
    <w:abstractNumId w:val="23"/>
  </w:num>
  <w:num w:numId="5" w16cid:durableId="735779197">
    <w:abstractNumId w:val="8"/>
  </w:num>
  <w:num w:numId="6" w16cid:durableId="554509423">
    <w:abstractNumId w:val="22"/>
  </w:num>
  <w:num w:numId="7" w16cid:durableId="1161778275">
    <w:abstractNumId w:val="15"/>
  </w:num>
  <w:num w:numId="8" w16cid:durableId="1660310911">
    <w:abstractNumId w:val="0"/>
  </w:num>
  <w:num w:numId="9" w16cid:durableId="1025447923">
    <w:abstractNumId w:val="7"/>
  </w:num>
  <w:num w:numId="10" w16cid:durableId="1540585126">
    <w:abstractNumId w:val="25"/>
  </w:num>
  <w:num w:numId="11" w16cid:durableId="1241450301">
    <w:abstractNumId w:val="24"/>
  </w:num>
  <w:num w:numId="12" w16cid:durableId="347946995">
    <w:abstractNumId w:val="19"/>
  </w:num>
  <w:num w:numId="13" w16cid:durableId="1707754601">
    <w:abstractNumId w:val="11"/>
  </w:num>
  <w:num w:numId="14" w16cid:durableId="958292198">
    <w:abstractNumId w:val="6"/>
  </w:num>
  <w:num w:numId="15" w16cid:durableId="1492286823">
    <w:abstractNumId w:val="10"/>
  </w:num>
  <w:num w:numId="16" w16cid:durableId="168762826">
    <w:abstractNumId w:val="3"/>
  </w:num>
  <w:num w:numId="17" w16cid:durableId="2106151567">
    <w:abstractNumId w:val="27"/>
  </w:num>
  <w:num w:numId="18" w16cid:durableId="1015157361">
    <w:abstractNumId w:val="21"/>
  </w:num>
  <w:num w:numId="19" w16cid:durableId="1288051605">
    <w:abstractNumId w:val="9"/>
  </w:num>
  <w:num w:numId="20" w16cid:durableId="690300842">
    <w:abstractNumId w:val="2"/>
  </w:num>
  <w:num w:numId="21" w16cid:durableId="388116021">
    <w:abstractNumId w:val="1"/>
  </w:num>
  <w:num w:numId="22" w16cid:durableId="543560835">
    <w:abstractNumId w:val="5"/>
  </w:num>
  <w:num w:numId="23" w16cid:durableId="712660782">
    <w:abstractNumId w:val="17"/>
  </w:num>
  <w:num w:numId="24" w16cid:durableId="11302191">
    <w:abstractNumId w:val="13"/>
  </w:num>
  <w:num w:numId="25" w16cid:durableId="1726366404">
    <w:abstractNumId w:val="16"/>
  </w:num>
  <w:num w:numId="26" w16cid:durableId="604119090">
    <w:abstractNumId w:val="4"/>
  </w:num>
  <w:num w:numId="27" w16cid:durableId="1341078781">
    <w:abstractNumId w:val="12"/>
  </w:num>
  <w:num w:numId="28" w16cid:durableId="20189250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878B3"/>
    <w:rsid w:val="000879EC"/>
    <w:rsid w:val="0009099F"/>
    <w:rsid w:val="000A3731"/>
    <w:rsid w:val="000A7BCF"/>
    <w:rsid w:val="000C13C4"/>
    <w:rsid w:val="000C236E"/>
    <w:rsid w:val="000C3082"/>
    <w:rsid w:val="000C32F6"/>
    <w:rsid w:val="000E38FA"/>
    <w:rsid w:val="000E730A"/>
    <w:rsid w:val="000F1382"/>
    <w:rsid w:val="000F7FCC"/>
    <w:rsid w:val="00110404"/>
    <w:rsid w:val="00111FEC"/>
    <w:rsid w:val="00126BBB"/>
    <w:rsid w:val="001403E5"/>
    <w:rsid w:val="001511E9"/>
    <w:rsid w:val="00152DDF"/>
    <w:rsid w:val="00160BCD"/>
    <w:rsid w:val="00164AB3"/>
    <w:rsid w:val="00167C83"/>
    <w:rsid w:val="00182BC2"/>
    <w:rsid w:val="0018721E"/>
    <w:rsid w:val="00192386"/>
    <w:rsid w:val="001A0002"/>
    <w:rsid w:val="001B018D"/>
    <w:rsid w:val="001C3F08"/>
    <w:rsid w:val="001C56DC"/>
    <w:rsid w:val="001D2C96"/>
    <w:rsid w:val="001D3FFE"/>
    <w:rsid w:val="001F2763"/>
    <w:rsid w:val="001F59EA"/>
    <w:rsid w:val="001F60C4"/>
    <w:rsid w:val="002044C6"/>
    <w:rsid w:val="00204A09"/>
    <w:rsid w:val="00215E46"/>
    <w:rsid w:val="00224C6A"/>
    <w:rsid w:val="00227591"/>
    <w:rsid w:val="00233CB2"/>
    <w:rsid w:val="00234C6B"/>
    <w:rsid w:val="00243FD7"/>
    <w:rsid w:val="002519BC"/>
    <w:rsid w:val="002574BB"/>
    <w:rsid w:val="00272B00"/>
    <w:rsid w:val="00297BAD"/>
    <w:rsid w:val="002B00EC"/>
    <w:rsid w:val="002B401D"/>
    <w:rsid w:val="002C45DF"/>
    <w:rsid w:val="002C4FB7"/>
    <w:rsid w:val="002D1E69"/>
    <w:rsid w:val="002E7282"/>
    <w:rsid w:val="002F0EE3"/>
    <w:rsid w:val="002F2CC7"/>
    <w:rsid w:val="00303665"/>
    <w:rsid w:val="003151B1"/>
    <w:rsid w:val="00317DCD"/>
    <w:rsid w:val="0032119F"/>
    <w:rsid w:val="003337CA"/>
    <w:rsid w:val="00336EF9"/>
    <w:rsid w:val="00360F01"/>
    <w:rsid w:val="00374196"/>
    <w:rsid w:val="00394598"/>
    <w:rsid w:val="00395EC5"/>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16E4"/>
    <w:rsid w:val="00424C06"/>
    <w:rsid w:val="00433DFB"/>
    <w:rsid w:val="00433FDE"/>
    <w:rsid w:val="00446E1E"/>
    <w:rsid w:val="00447AA7"/>
    <w:rsid w:val="004543DB"/>
    <w:rsid w:val="0045651F"/>
    <w:rsid w:val="00460742"/>
    <w:rsid w:val="004607FE"/>
    <w:rsid w:val="00463E35"/>
    <w:rsid w:val="0046547D"/>
    <w:rsid w:val="00466666"/>
    <w:rsid w:val="004675BD"/>
    <w:rsid w:val="00471658"/>
    <w:rsid w:val="004735F5"/>
    <w:rsid w:val="00480261"/>
    <w:rsid w:val="004A6AA8"/>
    <w:rsid w:val="004A71EC"/>
    <w:rsid w:val="004A7955"/>
    <w:rsid w:val="004B1A9A"/>
    <w:rsid w:val="004B1C8B"/>
    <w:rsid w:val="004C47F0"/>
    <w:rsid w:val="00512B59"/>
    <w:rsid w:val="00514F6D"/>
    <w:rsid w:val="00514FD7"/>
    <w:rsid w:val="00527001"/>
    <w:rsid w:val="005368B8"/>
    <w:rsid w:val="00537276"/>
    <w:rsid w:val="005416E9"/>
    <w:rsid w:val="00550BEE"/>
    <w:rsid w:val="00555EA0"/>
    <w:rsid w:val="005579CB"/>
    <w:rsid w:val="005619D8"/>
    <w:rsid w:val="00573FBB"/>
    <w:rsid w:val="00576127"/>
    <w:rsid w:val="00590289"/>
    <w:rsid w:val="00590AF2"/>
    <w:rsid w:val="005918B3"/>
    <w:rsid w:val="0059386B"/>
    <w:rsid w:val="005B2E85"/>
    <w:rsid w:val="005B6002"/>
    <w:rsid w:val="005C02D4"/>
    <w:rsid w:val="005C09E1"/>
    <w:rsid w:val="005C28F7"/>
    <w:rsid w:val="005C6982"/>
    <w:rsid w:val="005D5F14"/>
    <w:rsid w:val="005D66AF"/>
    <w:rsid w:val="005E570F"/>
    <w:rsid w:val="005F385C"/>
    <w:rsid w:val="005F635C"/>
    <w:rsid w:val="00602FED"/>
    <w:rsid w:val="00606992"/>
    <w:rsid w:val="006131D1"/>
    <w:rsid w:val="00614910"/>
    <w:rsid w:val="006154FA"/>
    <w:rsid w:val="0062321C"/>
    <w:rsid w:val="00625C22"/>
    <w:rsid w:val="006358E3"/>
    <w:rsid w:val="00647292"/>
    <w:rsid w:val="006515FA"/>
    <w:rsid w:val="0065160D"/>
    <w:rsid w:val="00652D7C"/>
    <w:rsid w:val="0065797B"/>
    <w:rsid w:val="00657997"/>
    <w:rsid w:val="00671EDF"/>
    <w:rsid w:val="006824DB"/>
    <w:rsid w:val="00683B19"/>
    <w:rsid w:val="006A01DD"/>
    <w:rsid w:val="006A07E8"/>
    <w:rsid w:val="006A5C0E"/>
    <w:rsid w:val="006B39AB"/>
    <w:rsid w:val="006B63C3"/>
    <w:rsid w:val="006C5BE6"/>
    <w:rsid w:val="006D04E1"/>
    <w:rsid w:val="006D0F89"/>
    <w:rsid w:val="006D270A"/>
    <w:rsid w:val="006D739C"/>
    <w:rsid w:val="006E0F3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6DA"/>
    <w:rsid w:val="00782E0D"/>
    <w:rsid w:val="007924C2"/>
    <w:rsid w:val="00796021"/>
    <w:rsid w:val="007A6CDA"/>
    <w:rsid w:val="007B5724"/>
    <w:rsid w:val="007B7399"/>
    <w:rsid w:val="007C7168"/>
    <w:rsid w:val="007C726C"/>
    <w:rsid w:val="007D59DF"/>
    <w:rsid w:val="007E4FB7"/>
    <w:rsid w:val="007F29C9"/>
    <w:rsid w:val="007F47F6"/>
    <w:rsid w:val="00807C94"/>
    <w:rsid w:val="00823EF6"/>
    <w:rsid w:val="008243A6"/>
    <w:rsid w:val="00827A5F"/>
    <w:rsid w:val="00831730"/>
    <w:rsid w:val="00837F2F"/>
    <w:rsid w:val="00840D01"/>
    <w:rsid w:val="0084161C"/>
    <w:rsid w:val="00867031"/>
    <w:rsid w:val="00890FD7"/>
    <w:rsid w:val="008A0AD8"/>
    <w:rsid w:val="008A4FAD"/>
    <w:rsid w:val="008A725B"/>
    <w:rsid w:val="008C1E74"/>
    <w:rsid w:val="008D141E"/>
    <w:rsid w:val="008D3F13"/>
    <w:rsid w:val="008D401A"/>
    <w:rsid w:val="008D56CE"/>
    <w:rsid w:val="008F7821"/>
    <w:rsid w:val="009023FC"/>
    <w:rsid w:val="009041F4"/>
    <w:rsid w:val="0090527F"/>
    <w:rsid w:val="00905F54"/>
    <w:rsid w:val="0090645A"/>
    <w:rsid w:val="00913099"/>
    <w:rsid w:val="00916371"/>
    <w:rsid w:val="00921795"/>
    <w:rsid w:val="009465AD"/>
    <w:rsid w:val="009522CA"/>
    <w:rsid w:val="009533A1"/>
    <w:rsid w:val="00956C10"/>
    <w:rsid w:val="00956ED3"/>
    <w:rsid w:val="009951D5"/>
    <w:rsid w:val="009A6237"/>
    <w:rsid w:val="009B0512"/>
    <w:rsid w:val="009B53E8"/>
    <w:rsid w:val="009C3656"/>
    <w:rsid w:val="009C42E2"/>
    <w:rsid w:val="009C4800"/>
    <w:rsid w:val="009C5E89"/>
    <w:rsid w:val="009D7325"/>
    <w:rsid w:val="009E30A1"/>
    <w:rsid w:val="009E3930"/>
    <w:rsid w:val="00A04D35"/>
    <w:rsid w:val="00A06C46"/>
    <w:rsid w:val="00A17DA2"/>
    <w:rsid w:val="00A20B01"/>
    <w:rsid w:val="00A27C04"/>
    <w:rsid w:val="00A36D7F"/>
    <w:rsid w:val="00A41FB6"/>
    <w:rsid w:val="00A54061"/>
    <w:rsid w:val="00A63C08"/>
    <w:rsid w:val="00A6479A"/>
    <w:rsid w:val="00A650F3"/>
    <w:rsid w:val="00A73CF4"/>
    <w:rsid w:val="00A910EE"/>
    <w:rsid w:val="00A953FC"/>
    <w:rsid w:val="00A95F73"/>
    <w:rsid w:val="00AB0E31"/>
    <w:rsid w:val="00AC3F0C"/>
    <w:rsid w:val="00AE03A0"/>
    <w:rsid w:val="00AE0A3D"/>
    <w:rsid w:val="00AE31E1"/>
    <w:rsid w:val="00AF7379"/>
    <w:rsid w:val="00B045C9"/>
    <w:rsid w:val="00B12B20"/>
    <w:rsid w:val="00B23956"/>
    <w:rsid w:val="00B468E5"/>
    <w:rsid w:val="00B51168"/>
    <w:rsid w:val="00B56F6D"/>
    <w:rsid w:val="00B65652"/>
    <w:rsid w:val="00B814A6"/>
    <w:rsid w:val="00B81818"/>
    <w:rsid w:val="00B86148"/>
    <w:rsid w:val="00BC1FB3"/>
    <w:rsid w:val="00BE0BCA"/>
    <w:rsid w:val="00BF5C14"/>
    <w:rsid w:val="00C13406"/>
    <w:rsid w:val="00C1497E"/>
    <w:rsid w:val="00C2342E"/>
    <w:rsid w:val="00C36CE5"/>
    <w:rsid w:val="00C44CE1"/>
    <w:rsid w:val="00C456EB"/>
    <w:rsid w:val="00C517A2"/>
    <w:rsid w:val="00C65584"/>
    <w:rsid w:val="00C7501F"/>
    <w:rsid w:val="00C80617"/>
    <w:rsid w:val="00C838F3"/>
    <w:rsid w:val="00C93533"/>
    <w:rsid w:val="00CA56D2"/>
    <w:rsid w:val="00CA5B5A"/>
    <w:rsid w:val="00CA633F"/>
    <w:rsid w:val="00CA7399"/>
    <w:rsid w:val="00CA7495"/>
    <w:rsid w:val="00CD593B"/>
    <w:rsid w:val="00CF5FCA"/>
    <w:rsid w:val="00CF7A4A"/>
    <w:rsid w:val="00D0368A"/>
    <w:rsid w:val="00D07128"/>
    <w:rsid w:val="00D20154"/>
    <w:rsid w:val="00D20DE5"/>
    <w:rsid w:val="00D21D40"/>
    <w:rsid w:val="00D614D3"/>
    <w:rsid w:val="00D73C8D"/>
    <w:rsid w:val="00D92080"/>
    <w:rsid w:val="00D9338F"/>
    <w:rsid w:val="00D94E6C"/>
    <w:rsid w:val="00DA1730"/>
    <w:rsid w:val="00DA26AC"/>
    <w:rsid w:val="00DB2E2A"/>
    <w:rsid w:val="00DB2F51"/>
    <w:rsid w:val="00DB3EF0"/>
    <w:rsid w:val="00DD08CB"/>
    <w:rsid w:val="00DF1DCF"/>
    <w:rsid w:val="00DF30C9"/>
    <w:rsid w:val="00DF330D"/>
    <w:rsid w:val="00DF34C9"/>
    <w:rsid w:val="00DF4AB5"/>
    <w:rsid w:val="00E14513"/>
    <w:rsid w:val="00E1683B"/>
    <w:rsid w:val="00E2538D"/>
    <w:rsid w:val="00E464CA"/>
    <w:rsid w:val="00E61D38"/>
    <w:rsid w:val="00E63B78"/>
    <w:rsid w:val="00E94167"/>
    <w:rsid w:val="00E95DB4"/>
    <w:rsid w:val="00E97344"/>
    <w:rsid w:val="00EB524C"/>
    <w:rsid w:val="00EB726F"/>
    <w:rsid w:val="00ED3C01"/>
    <w:rsid w:val="00ED6F02"/>
    <w:rsid w:val="00EF07B4"/>
    <w:rsid w:val="00F0418C"/>
    <w:rsid w:val="00F079B8"/>
    <w:rsid w:val="00F20863"/>
    <w:rsid w:val="00F20E96"/>
    <w:rsid w:val="00F216E0"/>
    <w:rsid w:val="00F22E88"/>
    <w:rsid w:val="00F243ED"/>
    <w:rsid w:val="00F3107D"/>
    <w:rsid w:val="00F32B2F"/>
    <w:rsid w:val="00F70364"/>
    <w:rsid w:val="00F71F5C"/>
    <w:rsid w:val="00F76E57"/>
    <w:rsid w:val="00F84B24"/>
    <w:rsid w:val="00F966A8"/>
    <w:rsid w:val="00FA0917"/>
    <w:rsid w:val="00FA3AF5"/>
    <w:rsid w:val="00FB439C"/>
    <w:rsid w:val="00FB4B8A"/>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F52DB9"/>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Revision">
    <w:name w:val="Revision"/>
    <w:hidden/>
    <w:uiPriority w:val="99"/>
    <w:semiHidden/>
    <w:rsid w:val="00182BC2"/>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6FDD74E56D8374FA5BE663B109F53CB" ma:contentTypeVersion="1" ma:contentTypeDescription="צור מסמך חדש." ma:contentTypeScope="" ma:versionID="af0fbae569177220f1f30e07d566e39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CBA7F7A-389E-4302-93EF-A70FE612C75D}"/>
</file>

<file path=customXml/itemProps2.xml><?xml version="1.0" encoding="utf-8"?>
<ds:datastoreItem xmlns:ds="http://schemas.openxmlformats.org/officeDocument/2006/customXml" ds:itemID="{46956BAB-D65A-432B-8D20-851B08B40491}"/>
</file>

<file path=customXml/itemProps3.xml><?xml version="1.0" encoding="utf-8"?>
<ds:datastoreItem xmlns:ds="http://schemas.openxmlformats.org/officeDocument/2006/customXml" ds:itemID="{308BCB20-9ABD-4587-8809-074CA61B13CB}"/>
</file>

<file path=docProps/app.xml><?xml version="1.0" encoding="utf-8"?>
<Properties xmlns="http://schemas.openxmlformats.org/officeDocument/2006/extended-properties" xmlns:vt="http://schemas.openxmlformats.org/officeDocument/2006/docPropsVTypes">
  <Template>Normal.dotm</Template>
  <TotalTime>9</TotalTime>
  <Pages>6</Pages>
  <Words>2102</Words>
  <Characters>11982</Characters>
  <Application>Microsoft Office Word</Application>
  <DocSecurity>0</DocSecurity>
  <Lines>99</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הורים שעבדו מהבית בעת מגפת הקורונה</vt:lpstr>
      <vt:lpstr>הורים שעבדו מהבית בעת מגפת הקורונה</vt:lpstr>
    </vt:vector>
  </TitlesOfParts>
  <Company>Onit Computer Services Ltd</Company>
  <LinksUpToDate>false</LinksUpToDate>
  <CharactersWithSpaces>14056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הורים שעבדו מהבית בעת מגפת הקורונה</dc:title>
  <dc:creator>Mordechai Frankel</dc:creator>
  <cp:lastModifiedBy>Mordechai Frankel</cp:lastModifiedBy>
  <cp:revision>5</cp:revision>
  <cp:lastPrinted>2022-07-03T18:20:00Z</cp:lastPrinted>
  <dcterms:created xsi:type="dcterms:W3CDTF">2023-11-16T08:54:00Z</dcterms:created>
  <dcterms:modified xsi:type="dcterms:W3CDTF">2023-11-16T16:07:00Z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0x010100C6FDD74E56D8374FA5BE663B109F53CB</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