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A890E" w14:textId="77777777" w:rsidR="00263722" w:rsidRPr="009B3DC4" w:rsidRDefault="00263722" w:rsidP="009B3DC4">
      <w:pPr>
        <w:pStyle w:val="NAME"/>
        <w:pBdr>
          <w:bottom w:val="none" w:sz="0" w:space="0" w:color="auto"/>
        </w:pBdr>
        <w:spacing w:before="360" w:after="0" w:line="480" w:lineRule="exact"/>
        <w:rPr>
          <w:rFonts w:ascii="Tahoma" w:hAnsi="Tahoma" w:cs="Guttman Aharoni"/>
          <w:b/>
          <w:bCs/>
          <w:color w:val="2A8E8C"/>
          <w:sz w:val="32"/>
          <w:szCs w:val="32"/>
          <w:rtl/>
        </w:rPr>
      </w:pPr>
      <w:r w:rsidRPr="009B3DC4">
        <w:rPr>
          <w:rFonts w:ascii="Tahoma" w:hAnsi="Tahoma" w:cs="Guttman Aharoni"/>
          <w:b/>
          <w:bCs/>
          <w:color w:val="2A8E8C"/>
          <w:sz w:val="32"/>
          <w:szCs w:val="32"/>
          <w:rtl/>
        </w:rPr>
        <w:t>חקיקה ופסיקה חברתית</w:t>
      </w:r>
    </w:p>
    <w:p w14:paraId="76E9FD2C" w14:textId="77777777" w:rsidR="00DE368F" w:rsidRPr="009B3DC4" w:rsidRDefault="00DE368F" w:rsidP="00DE368F">
      <w:pPr>
        <w:pStyle w:val="KOT5T"/>
        <w:spacing w:after="960" w:line="360" w:lineRule="exact"/>
        <w:jc w:val="right"/>
        <w:rPr>
          <w:color w:val="2A8E8C"/>
          <w:sz w:val="22"/>
          <w:szCs w:val="22"/>
          <w:rtl/>
        </w:rPr>
      </w:pPr>
      <w:r w:rsidRPr="009B3DC4">
        <w:rPr>
          <w:color w:val="2A8E8C"/>
          <w:sz w:val="22"/>
          <w:szCs w:val="22"/>
          <w:rtl/>
        </w:rPr>
        <w:t>מיכל סגל</w:t>
      </w:r>
      <w:r w:rsidRPr="009B3DC4">
        <w:rPr>
          <w:color w:val="2A8E8C"/>
          <w:sz w:val="22"/>
          <w:szCs w:val="22"/>
          <w:vertAlign w:val="superscript"/>
          <w:rtl/>
        </w:rPr>
        <w:footnoteReference w:id="2"/>
      </w:r>
    </w:p>
    <w:p w14:paraId="3DAACA12" w14:textId="77777777" w:rsidR="009624B0" w:rsidRPr="009624B0" w:rsidRDefault="009624B0" w:rsidP="009624B0">
      <w:pPr>
        <w:pStyle w:val="KOT4"/>
        <w:spacing w:after="0"/>
        <w:ind w:right="0"/>
        <w:rPr>
          <w:rFonts w:cs="Guttman Aharoni"/>
          <w:color w:val="2A8E8C"/>
          <w:sz w:val="32"/>
          <w:szCs w:val="32"/>
          <w:rtl/>
        </w:rPr>
      </w:pPr>
      <w:r w:rsidRPr="009624B0">
        <w:rPr>
          <w:rFonts w:cs="Guttman Aharoni"/>
          <w:color w:val="2A8E8C"/>
          <w:sz w:val="32"/>
          <w:szCs w:val="32"/>
          <w:rtl/>
        </w:rPr>
        <w:t>חידושי פסיקה</w:t>
      </w:r>
    </w:p>
    <w:p w14:paraId="33A8B8E6" w14:textId="77777777" w:rsidR="009624B0" w:rsidRPr="00863FB9" w:rsidRDefault="009624B0" w:rsidP="009624B0">
      <w:pPr>
        <w:spacing w:after="120" w:line="300" w:lineRule="exact"/>
        <w:jc w:val="both"/>
        <w:rPr>
          <w:color w:val="2A8E8C"/>
          <w:sz w:val="20"/>
          <w:szCs w:val="20"/>
        </w:rPr>
      </w:pPr>
    </w:p>
    <w:p w14:paraId="5C16DAD2" w14:textId="77777777" w:rsidR="009624B0" w:rsidRPr="009624B0" w:rsidRDefault="009624B0" w:rsidP="009624B0">
      <w:pPr>
        <w:pStyle w:val="KOT5"/>
        <w:jc w:val="both"/>
        <w:rPr>
          <w:b/>
          <w:bCs/>
          <w:color w:val="2A8E8C"/>
          <w:rtl/>
        </w:rPr>
      </w:pPr>
      <w:r w:rsidRPr="009624B0">
        <w:rPr>
          <w:rFonts w:hint="cs"/>
          <w:b/>
          <w:bCs/>
          <w:color w:val="2A8E8C"/>
          <w:rtl/>
        </w:rPr>
        <w:t>ביצוע פעולה רפואית בניגוד לעמדת בני משפחה של חסויה</w:t>
      </w:r>
    </w:p>
    <w:p w14:paraId="73D592A9" w14:textId="77777777" w:rsidR="009624B0" w:rsidRPr="009624B0" w:rsidRDefault="009624B0" w:rsidP="009624B0">
      <w:pPr>
        <w:pStyle w:val="Bauther"/>
        <w:keepNext/>
        <w:spacing w:before="0" w:after="240" w:line="280" w:lineRule="exact"/>
        <w:jc w:val="both"/>
        <w:rPr>
          <w:rFonts w:ascii="Times New Roman" w:hAnsi="Times New Roman" w:cs="Guttman Aharoni"/>
          <w:szCs w:val="20"/>
          <w:rtl/>
        </w:rPr>
      </w:pPr>
      <w:r w:rsidRPr="009624B0">
        <w:rPr>
          <w:rFonts w:ascii="Times New Roman" w:hAnsi="Times New Roman" w:cs="Guttman Aharoni"/>
          <w:szCs w:val="20"/>
          <w:rtl/>
        </w:rPr>
        <w:t>צפת</w:t>
      </w:r>
      <w:r w:rsidRPr="009624B0">
        <w:rPr>
          <w:rFonts w:ascii="Times New Roman" w:hAnsi="Times New Roman" w:cs="Guttman Aharoni" w:hint="cs"/>
          <w:szCs w:val="20"/>
          <w:rtl/>
        </w:rPr>
        <w:t xml:space="preserve"> </w:t>
      </w:r>
      <w:r w:rsidRPr="009624B0">
        <w:rPr>
          <w:rFonts w:ascii="Times New Roman" w:hAnsi="Times New Roman" w:cs="Guttman Aharoni"/>
          <w:szCs w:val="20"/>
          <w:rtl/>
        </w:rPr>
        <w:t>(</w:t>
      </w:r>
      <w:r w:rsidRPr="009624B0">
        <w:rPr>
          <w:rFonts w:ascii="Times New Roman" w:hAnsi="Times New Roman" w:cs="Guttman Aharoni" w:hint="cs"/>
          <w:szCs w:val="20"/>
          <w:rtl/>
        </w:rPr>
        <w:t>אפ)</w:t>
      </w:r>
      <w:r w:rsidRPr="009624B0">
        <w:rPr>
          <w:rFonts w:ascii="Times New Roman" w:hAnsi="Times New Roman" w:cs="Guttman Aharoni"/>
          <w:szCs w:val="20"/>
          <w:rtl/>
        </w:rPr>
        <w:t xml:space="preserve"> 9775-08-23 </w:t>
      </w:r>
      <w:r w:rsidRPr="009624B0">
        <w:rPr>
          <w:rFonts w:ascii="Times New Roman" w:hAnsi="Times New Roman" w:cs="Guttman Aharoni"/>
          <w:b/>
          <w:bCs/>
          <w:szCs w:val="20"/>
          <w:rtl/>
        </w:rPr>
        <w:t>מדינת ישראל משרד הבריאות – בית חולים זיו נ' ש</w:t>
      </w:r>
      <w:r w:rsidRPr="009624B0">
        <w:rPr>
          <w:rFonts w:ascii="Times New Roman" w:hAnsi="Times New Roman" w:cs="Guttman Aharoni" w:hint="cs"/>
          <w:b/>
          <w:bCs/>
          <w:szCs w:val="20"/>
          <w:rtl/>
        </w:rPr>
        <w:t>"</w:t>
      </w:r>
      <w:r w:rsidRPr="009624B0">
        <w:rPr>
          <w:rFonts w:ascii="Times New Roman" w:hAnsi="Times New Roman" w:cs="Guttman Aharoni"/>
          <w:b/>
          <w:bCs/>
          <w:szCs w:val="20"/>
          <w:rtl/>
        </w:rPr>
        <w:t xml:space="preserve">א </w:t>
      </w:r>
      <w:r w:rsidRPr="009624B0">
        <w:rPr>
          <w:rFonts w:ascii="Times New Roman" w:hAnsi="Times New Roman" w:cs="Guttman Aharoni" w:hint="cs"/>
          <w:b/>
          <w:bCs/>
          <w:szCs w:val="20"/>
          <w:rtl/>
        </w:rPr>
        <w:t>(</w:t>
      </w:r>
      <w:r w:rsidRPr="009624B0">
        <w:rPr>
          <w:rFonts w:ascii="Times New Roman" w:hAnsi="Times New Roman" w:cs="Guttman Aharoni"/>
          <w:b/>
          <w:bCs/>
          <w:szCs w:val="20"/>
          <w:rtl/>
        </w:rPr>
        <w:t>אדם שמונה לו אפוטרופוס</w:t>
      </w:r>
      <w:r w:rsidRPr="009624B0">
        <w:rPr>
          <w:rFonts w:ascii="Times New Roman" w:hAnsi="Times New Roman" w:cs="Guttman Aharoni" w:hint="cs"/>
          <w:b/>
          <w:bCs/>
          <w:szCs w:val="20"/>
          <w:rtl/>
        </w:rPr>
        <w:t>)</w:t>
      </w:r>
      <w:r w:rsidRPr="009624B0">
        <w:rPr>
          <w:rFonts w:ascii="Times New Roman" w:hAnsi="Times New Roman" w:cs="Guttman Aharoni"/>
          <w:szCs w:val="20"/>
          <w:rtl/>
        </w:rPr>
        <w:t xml:space="preserve"> </w:t>
      </w:r>
      <w:r w:rsidRPr="009624B0">
        <w:rPr>
          <w:rFonts w:ascii="Times New Roman" w:hAnsi="Times New Roman" w:cs="Guttman Aharoni" w:hint="cs"/>
          <w:szCs w:val="20"/>
          <w:rtl/>
        </w:rPr>
        <w:t>(ניתן בבית המשפט למשפחה בצפת ב</w:t>
      </w:r>
      <w:r w:rsidRPr="009624B0">
        <w:rPr>
          <w:rFonts w:ascii="David" w:hAnsi="David" w:cs="David"/>
          <w:szCs w:val="20"/>
          <w:rtl/>
        </w:rPr>
        <w:t>-</w:t>
      </w:r>
      <w:r w:rsidRPr="009624B0">
        <w:rPr>
          <w:rFonts w:ascii="Times New Roman" w:hAnsi="Times New Roman" w:cs="Guttman Aharoni" w:hint="cs"/>
          <w:szCs w:val="20"/>
          <w:rtl/>
        </w:rPr>
        <w:t>9 באוגוסט 2023)</w:t>
      </w:r>
    </w:p>
    <w:p w14:paraId="63685E92" w14:textId="77777777" w:rsidR="009624B0" w:rsidRPr="009624B0" w:rsidRDefault="009624B0" w:rsidP="009624B0">
      <w:pPr>
        <w:spacing w:after="180" w:line="260" w:lineRule="exact"/>
        <w:jc w:val="both"/>
        <w:rPr>
          <w:rFonts w:ascii="Georgia" w:hAnsi="Georgia"/>
          <w:sz w:val="18"/>
          <w:szCs w:val="20"/>
          <w:rtl/>
        </w:rPr>
      </w:pPr>
      <w:r w:rsidRPr="009624B0">
        <w:rPr>
          <w:rFonts w:ascii="Georgia" w:hAnsi="Georgia"/>
          <w:sz w:val="18"/>
          <w:szCs w:val="20"/>
          <w:rtl/>
        </w:rPr>
        <w:t>פסק הדין מתייחס למקרה של אישה בת 55 הסובלת מניוון שרירים</w:t>
      </w:r>
      <w:r w:rsidRPr="009624B0">
        <w:rPr>
          <w:rFonts w:ascii="Georgia" w:hAnsi="Georgia" w:hint="cs"/>
          <w:sz w:val="18"/>
          <w:szCs w:val="20"/>
          <w:rtl/>
        </w:rPr>
        <w:t xml:space="preserve">, </w:t>
      </w:r>
      <w:r w:rsidRPr="009624B0">
        <w:rPr>
          <w:rFonts w:ascii="Georgia" w:hAnsi="Georgia"/>
          <w:sz w:val="18"/>
          <w:szCs w:val="20"/>
          <w:rtl/>
        </w:rPr>
        <w:t xml:space="preserve">ומאושפזת </w:t>
      </w:r>
      <w:r w:rsidRPr="009624B0">
        <w:rPr>
          <w:rFonts w:ascii="Georgia" w:hAnsi="Georgia" w:hint="cs"/>
          <w:sz w:val="18"/>
          <w:szCs w:val="20"/>
          <w:rtl/>
        </w:rPr>
        <w:t>בבית החולים</w:t>
      </w:r>
      <w:r w:rsidRPr="009624B0">
        <w:rPr>
          <w:rFonts w:ascii="Georgia" w:hAnsi="Georgia"/>
          <w:sz w:val="18"/>
          <w:szCs w:val="20"/>
          <w:rtl/>
        </w:rPr>
        <w:t xml:space="preserve"> לאחר שעברה ניתוח ונותרה מורדמת ומונשמת. הרופאים המליצו</w:t>
      </w:r>
      <w:r w:rsidRPr="009624B0">
        <w:rPr>
          <w:rFonts w:ascii="Georgia" w:hAnsi="Georgia" w:hint="cs"/>
          <w:sz w:val="18"/>
          <w:szCs w:val="20"/>
          <w:rtl/>
        </w:rPr>
        <w:t xml:space="preserve"> על ביצוע</w:t>
      </w:r>
      <w:r w:rsidRPr="009624B0">
        <w:rPr>
          <w:rFonts w:ascii="Georgia" w:hAnsi="Georgia"/>
          <w:sz w:val="18"/>
          <w:szCs w:val="20"/>
          <w:rtl/>
        </w:rPr>
        <w:t xml:space="preserve"> </w:t>
      </w:r>
      <w:proofErr w:type="spellStart"/>
      <w:r w:rsidRPr="009624B0">
        <w:rPr>
          <w:rFonts w:ascii="Georgia" w:hAnsi="Georgia"/>
          <w:sz w:val="18"/>
          <w:szCs w:val="20"/>
          <w:rtl/>
        </w:rPr>
        <w:t>טרכאוסטומיה</w:t>
      </w:r>
      <w:proofErr w:type="spellEnd"/>
      <w:r w:rsidRPr="009624B0">
        <w:rPr>
          <w:rFonts w:ascii="Georgia" w:hAnsi="Georgia"/>
          <w:sz w:val="18"/>
          <w:szCs w:val="20"/>
          <w:rtl/>
        </w:rPr>
        <w:t xml:space="preserve"> (פיום קנה) </w:t>
      </w:r>
      <w:r w:rsidRPr="009624B0">
        <w:rPr>
          <w:rFonts w:ascii="Georgia" w:hAnsi="Georgia" w:hint="cs"/>
          <w:sz w:val="18"/>
          <w:szCs w:val="20"/>
          <w:rtl/>
        </w:rPr>
        <w:t xml:space="preserve">כדי </w:t>
      </w:r>
      <w:r w:rsidRPr="009624B0">
        <w:rPr>
          <w:rFonts w:ascii="Georgia" w:hAnsi="Georgia"/>
          <w:sz w:val="18"/>
          <w:szCs w:val="20"/>
          <w:rtl/>
        </w:rPr>
        <w:t xml:space="preserve">לאפשר לה לנשום באופן עצמאי, אך </w:t>
      </w:r>
      <w:r w:rsidRPr="009624B0">
        <w:rPr>
          <w:rFonts w:ascii="Georgia" w:hAnsi="Georgia" w:hint="cs"/>
          <w:sz w:val="18"/>
          <w:szCs w:val="20"/>
          <w:rtl/>
        </w:rPr>
        <w:t xml:space="preserve">בן זוגה </w:t>
      </w:r>
      <w:r w:rsidRPr="009624B0">
        <w:rPr>
          <w:rFonts w:ascii="Georgia" w:hAnsi="Georgia"/>
          <w:sz w:val="18"/>
          <w:szCs w:val="20"/>
          <w:rtl/>
        </w:rPr>
        <w:t xml:space="preserve">המשמש כאפוטרופוס </w:t>
      </w:r>
      <w:r w:rsidRPr="009624B0">
        <w:rPr>
          <w:rFonts w:ascii="Georgia" w:hAnsi="Georgia" w:hint="cs"/>
          <w:sz w:val="18"/>
          <w:szCs w:val="20"/>
          <w:rtl/>
        </w:rPr>
        <w:t>ובתה הביעו</w:t>
      </w:r>
      <w:r w:rsidRPr="009624B0">
        <w:rPr>
          <w:rFonts w:ascii="Georgia" w:hAnsi="Georgia"/>
          <w:sz w:val="18"/>
          <w:szCs w:val="20"/>
          <w:rtl/>
        </w:rPr>
        <w:t xml:space="preserve"> התנגדות לביצוע הפעולה</w:t>
      </w:r>
      <w:r w:rsidRPr="009624B0">
        <w:rPr>
          <w:rFonts w:ascii="Georgia" w:hAnsi="Georgia" w:hint="cs"/>
          <w:sz w:val="18"/>
          <w:szCs w:val="20"/>
          <w:rtl/>
        </w:rPr>
        <w:t>, בטענה כי ה</w:t>
      </w:r>
      <w:r w:rsidRPr="009624B0">
        <w:rPr>
          <w:rFonts w:ascii="Georgia" w:hAnsi="Georgia"/>
          <w:sz w:val="18"/>
          <w:szCs w:val="20"/>
          <w:rtl/>
        </w:rPr>
        <w:t>א</w:t>
      </w:r>
      <w:r w:rsidRPr="009624B0">
        <w:rPr>
          <w:rFonts w:ascii="Georgia" w:hAnsi="Georgia" w:hint="cs"/>
          <w:sz w:val="18"/>
          <w:szCs w:val="20"/>
          <w:rtl/>
        </w:rPr>
        <w:t>י</w:t>
      </w:r>
      <w:r w:rsidRPr="009624B0">
        <w:rPr>
          <w:rFonts w:ascii="Georgia" w:hAnsi="Georgia"/>
          <w:sz w:val="18"/>
          <w:szCs w:val="20"/>
          <w:rtl/>
        </w:rPr>
        <w:t>ש</w:t>
      </w:r>
      <w:r w:rsidRPr="009624B0">
        <w:rPr>
          <w:rFonts w:ascii="Georgia" w:hAnsi="Georgia" w:hint="cs"/>
          <w:sz w:val="18"/>
          <w:szCs w:val="20"/>
          <w:rtl/>
        </w:rPr>
        <w:t>ה</w:t>
      </w:r>
      <w:r w:rsidRPr="009624B0">
        <w:rPr>
          <w:rFonts w:ascii="Georgia" w:hAnsi="Georgia"/>
          <w:sz w:val="18"/>
          <w:szCs w:val="20"/>
          <w:rtl/>
        </w:rPr>
        <w:t xml:space="preserve"> אינה מעוניינת להאריך את חייה ב</w:t>
      </w:r>
      <w:r w:rsidRPr="009624B0">
        <w:rPr>
          <w:rFonts w:ascii="Georgia" w:hAnsi="Georgia" w:hint="cs"/>
          <w:sz w:val="18"/>
          <w:szCs w:val="20"/>
          <w:rtl/>
        </w:rPr>
        <w:t>אופן מלאכותי, וכי הביעה בבירור את התנגדותה לכך בעל פה ובכתב:</w:t>
      </w:r>
    </w:p>
    <w:p w14:paraId="3600E693" w14:textId="77777777" w:rsidR="009624B0" w:rsidRPr="009624B0" w:rsidRDefault="009624B0" w:rsidP="009624B0">
      <w:pPr>
        <w:spacing w:after="180" w:line="260" w:lineRule="exact"/>
        <w:ind w:left="567"/>
        <w:jc w:val="both"/>
        <w:rPr>
          <w:rFonts w:ascii="Georgia" w:hAnsi="Georgia"/>
          <w:sz w:val="18"/>
          <w:szCs w:val="20"/>
          <w:rtl/>
        </w:rPr>
      </w:pPr>
      <w:r w:rsidRPr="009624B0">
        <w:rPr>
          <w:rFonts w:ascii="Georgia" w:hAnsi="Georgia"/>
          <w:sz w:val="18"/>
          <w:szCs w:val="20"/>
          <w:rtl/>
        </w:rPr>
        <w:t>רצונה הברור היה לשמור על כבודה ופרטיותה והקו</w:t>
      </w:r>
      <w:r w:rsidRPr="009624B0">
        <w:rPr>
          <w:rFonts w:ascii="Georgia" w:hAnsi="Georgia" w:hint="cs"/>
          <w:sz w:val="18"/>
          <w:szCs w:val="20"/>
          <w:rtl/>
        </w:rPr>
        <w:t xml:space="preserve"> </w:t>
      </w:r>
      <w:r w:rsidRPr="009624B0">
        <w:rPr>
          <w:rFonts w:ascii="Georgia" w:hAnsi="Georgia"/>
          <w:sz w:val="18"/>
          <w:szCs w:val="20"/>
          <w:rtl/>
        </w:rPr>
        <w:t>האדום היה היכולת ללכת לשירותים בכוחות עצמה. הבת ציינה כי מבחינתה של המשיבה</w:t>
      </w:r>
      <w:r w:rsidRPr="009624B0">
        <w:rPr>
          <w:rFonts w:ascii="Georgia" w:hAnsi="Georgia" w:hint="cs"/>
          <w:sz w:val="18"/>
          <w:szCs w:val="20"/>
          <w:rtl/>
        </w:rPr>
        <w:t xml:space="preserve"> </w:t>
      </w:r>
      <w:r w:rsidRPr="009624B0">
        <w:rPr>
          <w:rFonts w:ascii="Georgia" w:hAnsi="Georgia"/>
          <w:sz w:val="18"/>
          <w:szCs w:val="20"/>
          <w:rtl/>
        </w:rPr>
        <w:t>להיות במצב סיעודי זה לשכב, להיות מחוברת למכונת הנשמה ולהיות עם טיפול. עוד ציינה</w:t>
      </w:r>
      <w:r w:rsidRPr="009624B0">
        <w:rPr>
          <w:rFonts w:ascii="Georgia" w:hAnsi="Georgia" w:hint="cs"/>
          <w:sz w:val="18"/>
          <w:szCs w:val="20"/>
          <w:rtl/>
        </w:rPr>
        <w:t xml:space="preserve"> </w:t>
      </w:r>
      <w:r w:rsidRPr="009624B0">
        <w:rPr>
          <w:rFonts w:ascii="Georgia" w:hAnsi="Georgia"/>
          <w:sz w:val="18"/>
          <w:szCs w:val="20"/>
          <w:rtl/>
        </w:rPr>
        <w:t>כי מצב סיעודי שכזה הינו התעללות של ממש בא</w:t>
      </w:r>
      <w:r w:rsidRPr="009624B0">
        <w:rPr>
          <w:rFonts w:ascii="Georgia" w:hAnsi="Georgia" w:hint="cs"/>
          <w:sz w:val="18"/>
          <w:szCs w:val="20"/>
          <w:rtl/>
        </w:rPr>
        <w:t>י</w:t>
      </w:r>
      <w:r w:rsidRPr="009624B0">
        <w:rPr>
          <w:rFonts w:ascii="Georgia" w:hAnsi="Georgia"/>
          <w:sz w:val="18"/>
          <w:szCs w:val="20"/>
          <w:rtl/>
        </w:rPr>
        <w:t>מה, כאשר הדבר היחיד שמנחם אותה</w:t>
      </w:r>
      <w:r w:rsidRPr="009624B0">
        <w:rPr>
          <w:rFonts w:ascii="Georgia" w:hAnsi="Georgia" w:hint="cs"/>
          <w:sz w:val="18"/>
          <w:szCs w:val="20"/>
          <w:rtl/>
        </w:rPr>
        <w:t xml:space="preserve"> </w:t>
      </w:r>
      <w:r w:rsidRPr="009624B0">
        <w:rPr>
          <w:rFonts w:ascii="Georgia" w:hAnsi="Georgia"/>
          <w:sz w:val="18"/>
          <w:szCs w:val="20"/>
          <w:rtl/>
        </w:rPr>
        <w:t>שהיא כעת מורדמת ואילו יבוצע פיום הקנה היא תהיה בהכרה ומודעת למצבה</w:t>
      </w:r>
      <w:r w:rsidRPr="009624B0">
        <w:rPr>
          <w:rFonts w:ascii="Georgia" w:hAnsi="Georgia" w:hint="cs"/>
          <w:sz w:val="18"/>
          <w:szCs w:val="20"/>
          <w:rtl/>
        </w:rPr>
        <w:t>.</w:t>
      </w:r>
    </w:p>
    <w:p w14:paraId="5B9A5F94" w14:textId="77777777" w:rsidR="009624B0" w:rsidRPr="009624B0" w:rsidRDefault="009624B0" w:rsidP="009624B0">
      <w:pPr>
        <w:spacing w:after="180" w:line="260" w:lineRule="exact"/>
        <w:ind w:left="85"/>
        <w:jc w:val="both"/>
        <w:rPr>
          <w:rFonts w:ascii="Georgia" w:hAnsi="Georgia"/>
          <w:sz w:val="18"/>
          <w:szCs w:val="20"/>
          <w:rtl/>
        </w:rPr>
      </w:pPr>
      <w:r w:rsidRPr="009624B0">
        <w:rPr>
          <w:rFonts w:ascii="Georgia" w:hAnsi="Georgia"/>
          <w:sz w:val="18"/>
          <w:szCs w:val="20"/>
          <w:rtl/>
        </w:rPr>
        <w:t xml:space="preserve">משרד הבריאות </w:t>
      </w:r>
      <w:r w:rsidRPr="009624B0">
        <w:rPr>
          <w:rFonts w:ascii="Georgia" w:hAnsi="Georgia" w:hint="cs"/>
          <w:sz w:val="18"/>
          <w:szCs w:val="20"/>
          <w:rtl/>
        </w:rPr>
        <w:t xml:space="preserve">הגיש </w:t>
      </w:r>
      <w:r w:rsidRPr="009624B0">
        <w:rPr>
          <w:rFonts w:ascii="Georgia" w:hAnsi="Georgia"/>
          <w:sz w:val="18"/>
          <w:szCs w:val="20"/>
          <w:rtl/>
        </w:rPr>
        <w:t xml:space="preserve">לבית המשפט בקשה לאישור הפעולה </w:t>
      </w:r>
      <w:r w:rsidRPr="009624B0">
        <w:rPr>
          <w:rFonts w:ascii="Georgia" w:hAnsi="Georgia" w:hint="cs"/>
          <w:sz w:val="18"/>
          <w:szCs w:val="20"/>
          <w:rtl/>
        </w:rPr>
        <w:t>הרפואית (</w:t>
      </w:r>
      <w:r w:rsidRPr="009624B0">
        <w:rPr>
          <w:rFonts w:ascii="Georgia" w:hAnsi="Georgia"/>
          <w:sz w:val="18"/>
          <w:szCs w:val="20"/>
          <w:rtl/>
        </w:rPr>
        <w:t xml:space="preserve">פיום </w:t>
      </w:r>
      <w:r w:rsidRPr="009624B0">
        <w:rPr>
          <w:rFonts w:ascii="Georgia" w:hAnsi="Georgia" w:hint="cs"/>
          <w:sz w:val="18"/>
          <w:szCs w:val="20"/>
          <w:rtl/>
        </w:rPr>
        <w:t>ה</w:t>
      </w:r>
      <w:r w:rsidRPr="009624B0">
        <w:rPr>
          <w:rFonts w:ascii="Georgia" w:hAnsi="Georgia"/>
          <w:sz w:val="18"/>
          <w:szCs w:val="20"/>
          <w:rtl/>
        </w:rPr>
        <w:t>קנה</w:t>
      </w:r>
      <w:r w:rsidRPr="009624B0">
        <w:rPr>
          <w:rFonts w:ascii="Georgia" w:hAnsi="Georgia" w:hint="cs"/>
          <w:sz w:val="18"/>
          <w:szCs w:val="20"/>
          <w:rtl/>
        </w:rPr>
        <w:t>).</w:t>
      </w:r>
      <w:r w:rsidRPr="009624B0">
        <w:rPr>
          <w:rFonts w:ascii="Georgia" w:hAnsi="Georgia"/>
          <w:sz w:val="18"/>
          <w:szCs w:val="20"/>
          <w:rtl/>
        </w:rPr>
        <w:t xml:space="preserve"> </w:t>
      </w:r>
      <w:r w:rsidRPr="009624B0">
        <w:rPr>
          <w:rFonts w:ascii="Georgia" w:hAnsi="Georgia" w:hint="cs"/>
          <w:sz w:val="18"/>
          <w:szCs w:val="20"/>
          <w:rtl/>
        </w:rPr>
        <w:t>השופטת אביבית נחמיאס בחנה את זכות האוטונומי</w:t>
      </w:r>
      <w:r w:rsidRPr="009624B0">
        <w:rPr>
          <w:rFonts w:ascii="Georgia" w:hAnsi="Georgia" w:hint="eastAsia"/>
          <w:sz w:val="18"/>
          <w:szCs w:val="20"/>
          <w:rtl/>
        </w:rPr>
        <w:t>ה</w:t>
      </w:r>
      <w:r w:rsidRPr="009624B0">
        <w:rPr>
          <w:rFonts w:ascii="Georgia" w:hAnsi="Georgia" w:hint="cs"/>
          <w:sz w:val="18"/>
          <w:szCs w:val="20"/>
          <w:rtl/>
        </w:rPr>
        <w:t xml:space="preserve"> של אדם להחליט החלטות הקשורות להתערבות בשלמות גופו וחייו: </w:t>
      </w:r>
    </w:p>
    <w:p w14:paraId="4C51AA39" w14:textId="77777777" w:rsidR="009624B0" w:rsidRPr="009624B0" w:rsidRDefault="009624B0" w:rsidP="009624B0">
      <w:pPr>
        <w:spacing w:after="180" w:line="260" w:lineRule="exact"/>
        <w:ind w:left="567"/>
        <w:jc w:val="both"/>
        <w:rPr>
          <w:rFonts w:ascii="Georgia" w:hAnsi="Georgia"/>
          <w:sz w:val="18"/>
          <w:szCs w:val="20"/>
          <w:rtl/>
        </w:rPr>
      </w:pPr>
      <w:r w:rsidRPr="009624B0">
        <w:rPr>
          <w:rFonts w:ascii="Georgia" w:hAnsi="Georgia"/>
          <w:sz w:val="18"/>
          <w:szCs w:val="20"/>
          <w:rtl/>
        </w:rPr>
        <w:t>זכות לאוטונומיה של הפרט אינה מתמצה במובן צר זה, של אפשרות בחירה. היא כוללת</w:t>
      </w:r>
      <w:r w:rsidRPr="009624B0">
        <w:rPr>
          <w:rFonts w:ascii="Georgia" w:hAnsi="Georgia" w:hint="cs"/>
          <w:sz w:val="18"/>
          <w:szCs w:val="20"/>
          <w:rtl/>
        </w:rPr>
        <w:t xml:space="preserve"> </w:t>
      </w:r>
      <w:r w:rsidRPr="009624B0">
        <w:rPr>
          <w:rFonts w:ascii="Georgia" w:hAnsi="Georgia"/>
          <w:sz w:val="18"/>
          <w:szCs w:val="20"/>
          <w:rtl/>
        </w:rPr>
        <w:t xml:space="preserve">גם רובד נוסף פיזי של הזכות לאוטונומיה, הנוגע לזכותו של אדם כי יעזבוהו לנפשו </w:t>
      </w:r>
      <w:r w:rsidRPr="009624B0">
        <w:rPr>
          <w:rFonts w:ascii="Georgia" w:hAnsi="Georgia" w:hint="cs"/>
          <w:sz w:val="18"/>
          <w:szCs w:val="20"/>
          <w:rtl/>
        </w:rPr>
        <w:t>[</w:t>
      </w:r>
      <w:r w:rsidRPr="009624B0">
        <w:rPr>
          <w:rFonts w:ascii="Georgia" w:hAnsi="Georgia"/>
          <w:sz w:val="18"/>
          <w:szCs w:val="20"/>
          <w:rtl/>
        </w:rPr>
        <w:t>...</w:t>
      </w:r>
      <w:r w:rsidRPr="009624B0">
        <w:rPr>
          <w:rFonts w:ascii="Georgia" w:hAnsi="Georgia" w:hint="cs"/>
          <w:sz w:val="18"/>
          <w:szCs w:val="20"/>
          <w:rtl/>
        </w:rPr>
        <w:t>]</w:t>
      </w:r>
      <w:r w:rsidRPr="009624B0">
        <w:rPr>
          <w:rFonts w:ascii="Georgia" w:hAnsi="Georgia"/>
          <w:sz w:val="18"/>
          <w:szCs w:val="20"/>
          <w:rtl/>
        </w:rPr>
        <w:t xml:space="preserve"> מזכות זו משתמע, בין השאר, כי לכל אדם חירות מפני התערבות בגופו ללא הסכמתו</w:t>
      </w:r>
      <w:r w:rsidRPr="009624B0">
        <w:rPr>
          <w:rFonts w:ascii="Georgia" w:hAnsi="Georgia" w:hint="cs"/>
          <w:sz w:val="18"/>
          <w:szCs w:val="20"/>
          <w:rtl/>
        </w:rPr>
        <w:t>.</w:t>
      </w:r>
    </w:p>
    <w:p w14:paraId="73FC3767" w14:textId="77777777" w:rsidR="009624B0" w:rsidRPr="009624B0" w:rsidRDefault="009624B0" w:rsidP="009624B0">
      <w:pPr>
        <w:spacing w:after="180" w:line="260" w:lineRule="exact"/>
        <w:ind w:left="85"/>
        <w:jc w:val="both"/>
        <w:rPr>
          <w:rFonts w:ascii="Georgia" w:hAnsi="Georgia"/>
          <w:sz w:val="18"/>
          <w:szCs w:val="20"/>
          <w:rtl/>
        </w:rPr>
      </w:pPr>
      <w:r w:rsidRPr="009624B0">
        <w:rPr>
          <w:rFonts w:ascii="Georgia" w:hAnsi="Georgia" w:hint="cs"/>
          <w:sz w:val="18"/>
          <w:szCs w:val="20"/>
          <w:rtl/>
        </w:rPr>
        <w:t>לאחר שמיעת עדים שהעידו על רצונה על האישה, השופטת קיבלה את טענותיהם של בן זוגה של האישה ובתה כי יש לכבד את זכותה של האישה שלא להאריך את חייב באופן מלאכותי:</w:t>
      </w:r>
    </w:p>
    <w:p w14:paraId="2DE65D6F" w14:textId="77777777" w:rsidR="009624B0" w:rsidRPr="009624B0" w:rsidRDefault="009624B0" w:rsidP="009624B0">
      <w:pPr>
        <w:spacing w:after="180" w:line="260" w:lineRule="exact"/>
        <w:ind w:left="567"/>
        <w:jc w:val="both"/>
        <w:rPr>
          <w:rFonts w:ascii="Georgia" w:hAnsi="Georgia"/>
          <w:sz w:val="18"/>
          <w:szCs w:val="20"/>
          <w:rtl/>
        </w:rPr>
      </w:pPr>
      <w:r w:rsidRPr="009624B0">
        <w:rPr>
          <w:rFonts w:ascii="Georgia" w:hAnsi="Georgia"/>
          <w:sz w:val="18"/>
          <w:szCs w:val="20"/>
          <w:rtl/>
        </w:rPr>
        <w:lastRenderedPageBreak/>
        <w:t xml:space="preserve">ברור שהמשיבה לא הסכימה להיות מחוברת למכונת הנשמה, ולא </w:t>
      </w:r>
      <w:proofErr w:type="spellStart"/>
      <w:r w:rsidRPr="009624B0">
        <w:rPr>
          <w:rFonts w:ascii="Georgia" w:hAnsi="Georgia"/>
          <w:sz w:val="18"/>
          <w:szCs w:val="20"/>
          <w:rtl/>
        </w:rPr>
        <w:t>היתה</w:t>
      </w:r>
      <w:proofErr w:type="spellEnd"/>
      <w:r w:rsidRPr="009624B0">
        <w:rPr>
          <w:rFonts w:ascii="Georgia" w:hAnsi="Georgia"/>
          <w:sz w:val="18"/>
          <w:szCs w:val="20"/>
          <w:rtl/>
        </w:rPr>
        <w:t xml:space="preserve"> מעוניינת להפוך לסיעודית ולהאריך את חייה באופן מלאכותי. בית המשפט התרשם מדברי בני המשפחה של המשיבה והמטפלים בה, שהביעו את כבודם לרצונה של המשיבה, וכן מההסכמה לניתוח הגידול אך לא לטיפול סיעודי.</w:t>
      </w:r>
    </w:p>
    <w:p w14:paraId="799B3E44" w14:textId="77777777" w:rsidR="009624B0" w:rsidRPr="00DE368F" w:rsidRDefault="009624B0" w:rsidP="00DE368F">
      <w:pPr>
        <w:spacing w:after="180" w:line="260" w:lineRule="exact"/>
        <w:jc w:val="both"/>
        <w:rPr>
          <w:rFonts w:ascii="Georgia" w:hAnsi="Georgia"/>
          <w:sz w:val="18"/>
          <w:szCs w:val="20"/>
          <w:rtl/>
        </w:rPr>
      </w:pPr>
    </w:p>
    <w:p w14:paraId="53B0B9D4" w14:textId="77777777" w:rsidR="009624B0" w:rsidRPr="009624B0" w:rsidRDefault="009624B0" w:rsidP="009624B0">
      <w:pPr>
        <w:pStyle w:val="KOT5"/>
        <w:jc w:val="both"/>
        <w:rPr>
          <w:b/>
          <w:bCs/>
          <w:color w:val="2A8E8C"/>
          <w:rtl/>
        </w:rPr>
      </w:pPr>
      <w:r w:rsidRPr="009624B0">
        <w:rPr>
          <w:rFonts w:hint="cs"/>
          <w:b/>
          <w:bCs/>
          <w:color w:val="2A8E8C"/>
          <w:rtl/>
        </w:rPr>
        <w:t>צו הורות פסיקתי לקטינה שנולדה מתרומת זרע</w:t>
      </w:r>
    </w:p>
    <w:p w14:paraId="3DD5CF0F" w14:textId="77777777" w:rsidR="009624B0" w:rsidRPr="009624B0" w:rsidRDefault="009624B0" w:rsidP="009624B0">
      <w:pPr>
        <w:pStyle w:val="Bauther"/>
        <w:keepNext/>
        <w:spacing w:before="0" w:after="240" w:line="280" w:lineRule="exact"/>
        <w:jc w:val="both"/>
        <w:rPr>
          <w:rFonts w:cs="Guttman Aharoni"/>
          <w:szCs w:val="20"/>
          <w:rtl/>
        </w:rPr>
      </w:pPr>
      <w:proofErr w:type="spellStart"/>
      <w:r w:rsidRPr="009624B0">
        <w:rPr>
          <w:rFonts w:cs="Guttman Aharoni"/>
          <w:szCs w:val="20"/>
          <w:rtl/>
        </w:rPr>
        <w:t>תמ"ש</w:t>
      </w:r>
      <w:proofErr w:type="spellEnd"/>
      <w:r w:rsidRPr="009624B0">
        <w:rPr>
          <w:rFonts w:cs="Guttman Aharoni"/>
          <w:szCs w:val="20"/>
          <w:rtl/>
        </w:rPr>
        <w:t xml:space="preserve"> 70429-03-23 </w:t>
      </w:r>
      <w:r w:rsidRPr="009624B0">
        <w:rPr>
          <w:rFonts w:cs="Guttman Aharoni"/>
          <w:b/>
          <w:bCs/>
          <w:szCs w:val="20"/>
          <w:rtl/>
        </w:rPr>
        <w:t>פלונית ואח' נ' היועץ המשפטי לממשלה</w:t>
      </w:r>
      <w:r w:rsidRPr="009624B0">
        <w:rPr>
          <w:rFonts w:cs="Guttman Aharoni"/>
          <w:szCs w:val="20"/>
          <w:rtl/>
        </w:rPr>
        <w:t xml:space="preserve"> </w:t>
      </w:r>
      <w:r w:rsidRPr="009624B0">
        <w:rPr>
          <w:rFonts w:cs="Guttman Aharoni" w:hint="cs"/>
          <w:szCs w:val="20"/>
          <w:rtl/>
        </w:rPr>
        <w:t>(</w:t>
      </w:r>
      <w:r w:rsidRPr="009624B0">
        <w:rPr>
          <w:rFonts w:cs="Guttman Aharoni"/>
          <w:szCs w:val="20"/>
          <w:rtl/>
        </w:rPr>
        <w:t xml:space="preserve">ניתן בבית משפט </w:t>
      </w:r>
      <w:r w:rsidRPr="009624B0">
        <w:rPr>
          <w:rFonts w:cs="Guttman Aharoni" w:hint="cs"/>
          <w:szCs w:val="20"/>
          <w:rtl/>
        </w:rPr>
        <w:t>לענייני משפחה</w:t>
      </w:r>
      <w:r w:rsidRPr="009624B0">
        <w:rPr>
          <w:rFonts w:cs="Guttman Aharoni"/>
          <w:szCs w:val="20"/>
          <w:rtl/>
        </w:rPr>
        <w:t xml:space="preserve"> ב</w:t>
      </w:r>
      <w:r w:rsidRPr="009624B0">
        <w:rPr>
          <w:rFonts w:ascii="David" w:hAnsi="David" w:cs="David"/>
          <w:szCs w:val="20"/>
          <w:rtl/>
        </w:rPr>
        <w:t>-</w:t>
      </w:r>
      <w:r w:rsidRPr="009624B0">
        <w:rPr>
          <w:rFonts w:cs="Guttman Aharoni" w:hint="cs"/>
          <w:szCs w:val="20"/>
          <w:rtl/>
        </w:rPr>
        <w:t xml:space="preserve">30 </w:t>
      </w:r>
      <w:r w:rsidRPr="009624B0">
        <w:rPr>
          <w:rFonts w:cs="Guttman Aharoni"/>
          <w:szCs w:val="20"/>
          <w:rtl/>
        </w:rPr>
        <w:t>ב</w:t>
      </w:r>
      <w:r w:rsidRPr="009624B0">
        <w:rPr>
          <w:rFonts w:cs="Guttman Aharoni" w:hint="cs"/>
          <w:szCs w:val="20"/>
          <w:rtl/>
        </w:rPr>
        <w:t>אוגוסט</w:t>
      </w:r>
      <w:r w:rsidRPr="009624B0">
        <w:rPr>
          <w:rFonts w:cs="Guttman Aharoni"/>
          <w:szCs w:val="20"/>
          <w:rtl/>
        </w:rPr>
        <w:t xml:space="preserve"> 2023)</w:t>
      </w:r>
    </w:p>
    <w:p w14:paraId="4E755282" w14:textId="77777777" w:rsidR="009624B0" w:rsidRPr="009624B0" w:rsidRDefault="009624B0" w:rsidP="009624B0">
      <w:pPr>
        <w:spacing w:after="180" w:line="260" w:lineRule="exact"/>
        <w:jc w:val="both"/>
        <w:rPr>
          <w:rFonts w:ascii="Georgia" w:hAnsi="Georgia"/>
          <w:sz w:val="18"/>
          <w:szCs w:val="20"/>
          <w:rtl/>
        </w:rPr>
      </w:pPr>
      <w:r w:rsidRPr="009624B0">
        <w:rPr>
          <w:rFonts w:ascii="Georgia" w:hAnsi="Georgia" w:hint="cs"/>
          <w:sz w:val="18"/>
          <w:szCs w:val="20"/>
          <w:rtl/>
        </w:rPr>
        <w:t>בנות זוג</w:t>
      </w:r>
      <w:r w:rsidRPr="009624B0">
        <w:rPr>
          <w:rFonts w:ascii="Georgia" w:hAnsi="Georgia"/>
          <w:sz w:val="18"/>
          <w:szCs w:val="20"/>
          <w:rtl/>
        </w:rPr>
        <w:t xml:space="preserve"> ישראליות המתגוררות בספרד הגישו בקשה לצו הורות פסיקתי עבור ילדה שנולדה לאחת מהן מתרומת זרע, כך שגם בת זוגה תוכר כא</w:t>
      </w:r>
      <w:r w:rsidRPr="009624B0">
        <w:rPr>
          <w:rFonts w:ascii="Georgia" w:hAnsi="Georgia" w:hint="cs"/>
          <w:sz w:val="18"/>
          <w:szCs w:val="20"/>
          <w:rtl/>
        </w:rPr>
        <w:t>י</w:t>
      </w:r>
      <w:r w:rsidRPr="009624B0">
        <w:rPr>
          <w:rFonts w:ascii="Georgia" w:hAnsi="Georgia"/>
          <w:sz w:val="18"/>
          <w:szCs w:val="20"/>
          <w:rtl/>
        </w:rPr>
        <w:t>מה.</w:t>
      </w:r>
      <w:r w:rsidRPr="009624B0">
        <w:rPr>
          <w:rFonts w:ascii="Georgia" w:hAnsi="Georgia" w:hint="cs"/>
          <w:sz w:val="18"/>
          <w:szCs w:val="20"/>
          <w:rtl/>
        </w:rPr>
        <w:t xml:space="preserve"> בנות הזוג</w:t>
      </w:r>
      <w:r w:rsidRPr="009624B0">
        <w:rPr>
          <w:rFonts w:ascii="Georgia" w:hAnsi="Georgia"/>
          <w:sz w:val="18"/>
          <w:szCs w:val="20"/>
          <w:rtl/>
        </w:rPr>
        <w:t xml:space="preserve"> רכש</w:t>
      </w:r>
      <w:r w:rsidRPr="009624B0">
        <w:rPr>
          <w:rFonts w:ascii="Georgia" w:hAnsi="Georgia" w:hint="cs"/>
          <w:sz w:val="18"/>
          <w:szCs w:val="20"/>
          <w:rtl/>
        </w:rPr>
        <w:t>ו</w:t>
      </w:r>
      <w:r w:rsidRPr="009624B0">
        <w:rPr>
          <w:rFonts w:ascii="Georgia" w:hAnsi="Georgia"/>
          <w:sz w:val="18"/>
          <w:szCs w:val="20"/>
          <w:rtl/>
        </w:rPr>
        <w:t xml:space="preserve"> את תרומת הזרע </w:t>
      </w:r>
      <w:r w:rsidRPr="009624B0">
        <w:rPr>
          <w:rFonts w:ascii="Georgia" w:hAnsi="Georgia" w:hint="cs"/>
          <w:sz w:val="18"/>
          <w:szCs w:val="20"/>
          <w:rtl/>
        </w:rPr>
        <w:t xml:space="preserve">מבנק הזרע בישראל. </w:t>
      </w:r>
      <w:r w:rsidRPr="009624B0">
        <w:rPr>
          <w:rFonts w:ascii="Georgia" w:hAnsi="Georgia"/>
          <w:sz w:val="18"/>
          <w:szCs w:val="20"/>
          <w:rtl/>
        </w:rPr>
        <w:t xml:space="preserve">בעבר </w:t>
      </w:r>
      <w:r w:rsidRPr="009624B0">
        <w:rPr>
          <w:rFonts w:ascii="Georgia" w:hAnsi="Georgia" w:hint="cs"/>
          <w:sz w:val="18"/>
          <w:szCs w:val="20"/>
          <w:rtl/>
        </w:rPr>
        <w:t xml:space="preserve">ניתן </w:t>
      </w:r>
      <w:r w:rsidRPr="009624B0">
        <w:rPr>
          <w:rFonts w:ascii="Georgia" w:hAnsi="Georgia"/>
          <w:sz w:val="18"/>
          <w:szCs w:val="20"/>
          <w:rtl/>
        </w:rPr>
        <w:t>לבת הזוג הלא יולדת צו הורות לגבי ילד אחר שנולד להן.</w:t>
      </w:r>
    </w:p>
    <w:p w14:paraId="05EB19D3" w14:textId="77777777" w:rsidR="009624B0" w:rsidRPr="009624B0" w:rsidRDefault="009624B0" w:rsidP="009624B0">
      <w:pPr>
        <w:spacing w:after="180" w:line="260" w:lineRule="exact"/>
        <w:jc w:val="both"/>
        <w:rPr>
          <w:rFonts w:ascii="Georgia" w:hAnsi="Georgia"/>
          <w:sz w:val="18"/>
          <w:szCs w:val="20"/>
          <w:rtl/>
        </w:rPr>
      </w:pPr>
      <w:r w:rsidRPr="009624B0">
        <w:rPr>
          <w:rFonts w:ascii="Georgia" w:hAnsi="Georgia" w:hint="cs"/>
          <w:sz w:val="18"/>
          <w:szCs w:val="20"/>
          <w:rtl/>
        </w:rPr>
        <w:t xml:space="preserve">בנות הזוג </w:t>
      </w:r>
      <w:r w:rsidRPr="009624B0">
        <w:rPr>
          <w:rFonts w:ascii="Georgia" w:hAnsi="Georgia"/>
          <w:sz w:val="18"/>
          <w:szCs w:val="20"/>
          <w:rtl/>
        </w:rPr>
        <w:t xml:space="preserve">טענו שהן תושבות ישראל </w:t>
      </w:r>
      <w:r w:rsidRPr="009624B0">
        <w:rPr>
          <w:rFonts w:ascii="Georgia" w:hAnsi="Georgia" w:hint="cs"/>
          <w:sz w:val="18"/>
          <w:szCs w:val="20"/>
          <w:rtl/>
        </w:rPr>
        <w:t xml:space="preserve">ולכן יש להיענות לבקשתן. היועץ המשפטי לממשלה </w:t>
      </w:r>
      <w:r w:rsidRPr="009624B0">
        <w:rPr>
          <w:rFonts w:ascii="Georgia" w:hAnsi="Georgia"/>
          <w:sz w:val="18"/>
          <w:szCs w:val="20"/>
          <w:rtl/>
        </w:rPr>
        <w:t>התנגד לבקשה בשל ה</w:t>
      </w:r>
      <w:r w:rsidRPr="009624B0">
        <w:rPr>
          <w:rFonts w:ascii="Georgia" w:hAnsi="Georgia" w:hint="cs"/>
          <w:sz w:val="18"/>
          <w:szCs w:val="20"/>
          <w:rtl/>
        </w:rPr>
        <w:t>י</w:t>
      </w:r>
      <w:r w:rsidRPr="009624B0">
        <w:rPr>
          <w:rFonts w:ascii="Georgia" w:hAnsi="Georgia"/>
          <w:sz w:val="18"/>
          <w:szCs w:val="20"/>
          <w:rtl/>
        </w:rPr>
        <w:t>עדר תושבות מעשית.</w:t>
      </w:r>
      <w:r w:rsidRPr="009624B0">
        <w:rPr>
          <w:rFonts w:ascii="Georgia" w:hAnsi="Georgia" w:hint="cs"/>
          <w:sz w:val="18"/>
          <w:szCs w:val="20"/>
          <w:rtl/>
        </w:rPr>
        <w:t xml:space="preserve"> כלומר, השתיים לא הוכיחו </w:t>
      </w:r>
      <w:r w:rsidRPr="009624B0">
        <w:rPr>
          <w:rFonts w:ascii="Georgia" w:hAnsi="Georgia"/>
          <w:sz w:val="18"/>
          <w:szCs w:val="20"/>
          <w:rtl/>
        </w:rPr>
        <w:t xml:space="preserve">שהן מתגוררות בפועל בישראל במשך תקופת זמן מסוימת, </w:t>
      </w:r>
      <w:r w:rsidRPr="009624B0">
        <w:rPr>
          <w:rFonts w:ascii="Georgia" w:hAnsi="Georgia" w:hint="cs"/>
          <w:sz w:val="18"/>
          <w:szCs w:val="20"/>
          <w:rtl/>
        </w:rPr>
        <w:t>תקופה שהיא תנאי</w:t>
      </w:r>
      <w:r w:rsidRPr="009624B0">
        <w:rPr>
          <w:rFonts w:ascii="Georgia" w:hAnsi="Georgia"/>
          <w:sz w:val="18"/>
          <w:szCs w:val="20"/>
          <w:rtl/>
        </w:rPr>
        <w:t xml:space="preserve"> סף גורף לקבלת צו הורות פסיקתי.</w:t>
      </w:r>
    </w:p>
    <w:p w14:paraId="274A69E7" w14:textId="77777777" w:rsidR="009624B0" w:rsidRPr="009624B0" w:rsidRDefault="009624B0" w:rsidP="009624B0">
      <w:pPr>
        <w:spacing w:after="180" w:line="260" w:lineRule="exact"/>
        <w:jc w:val="both"/>
        <w:rPr>
          <w:rFonts w:ascii="Georgia" w:hAnsi="Georgia"/>
          <w:sz w:val="18"/>
          <w:szCs w:val="20"/>
          <w:rtl/>
        </w:rPr>
      </w:pPr>
      <w:r w:rsidRPr="009624B0">
        <w:rPr>
          <w:rFonts w:ascii="Georgia" w:hAnsi="Georgia" w:hint="cs"/>
          <w:sz w:val="18"/>
          <w:szCs w:val="20"/>
          <w:rtl/>
        </w:rPr>
        <w:t>בפסק הדין שכתב השופט יהורם שקד נקבע כי אף ש</w:t>
      </w:r>
      <w:r w:rsidRPr="009624B0">
        <w:rPr>
          <w:rFonts w:ascii="Georgia" w:hAnsi="Georgia"/>
          <w:sz w:val="18"/>
          <w:szCs w:val="20"/>
          <w:rtl/>
        </w:rPr>
        <w:t xml:space="preserve">הנשים לא עמדו בדרישת </w:t>
      </w:r>
      <w:r w:rsidRPr="009624B0">
        <w:rPr>
          <w:rFonts w:ascii="Georgia" w:hAnsi="Georgia" w:hint="cs"/>
          <w:sz w:val="18"/>
          <w:szCs w:val="20"/>
          <w:rtl/>
        </w:rPr>
        <w:t>ה</w:t>
      </w:r>
      <w:r w:rsidRPr="009624B0">
        <w:rPr>
          <w:rFonts w:ascii="Georgia" w:hAnsi="Georgia"/>
          <w:sz w:val="18"/>
          <w:szCs w:val="20"/>
          <w:rtl/>
        </w:rPr>
        <w:t xml:space="preserve">תושבות </w:t>
      </w:r>
      <w:r w:rsidRPr="009624B0">
        <w:rPr>
          <w:rFonts w:ascii="Georgia" w:hAnsi="Georgia" w:hint="cs"/>
          <w:sz w:val="18"/>
          <w:szCs w:val="20"/>
          <w:rtl/>
        </w:rPr>
        <w:t>ה</w:t>
      </w:r>
      <w:r w:rsidRPr="009624B0">
        <w:rPr>
          <w:rFonts w:ascii="Georgia" w:hAnsi="Georgia"/>
          <w:sz w:val="18"/>
          <w:szCs w:val="20"/>
          <w:rtl/>
        </w:rPr>
        <w:t>מעשית לפי הגדרתה הצרה, הרי יש לאפשר להן לקבל צו הורות נוכח הנסיבות המיוחדות של המקרה</w:t>
      </w:r>
      <w:r w:rsidRPr="009624B0">
        <w:rPr>
          <w:rFonts w:ascii="Georgia" w:hAnsi="Georgia" w:hint="cs"/>
          <w:sz w:val="18"/>
          <w:szCs w:val="20"/>
          <w:rtl/>
        </w:rPr>
        <w:t>.</w:t>
      </w:r>
      <w:r w:rsidRPr="009624B0">
        <w:rPr>
          <w:rFonts w:ascii="Georgia" w:hAnsi="Georgia"/>
          <w:sz w:val="18"/>
          <w:szCs w:val="20"/>
          <w:rtl/>
        </w:rPr>
        <w:t xml:space="preserve"> </w:t>
      </w:r>
      <w:r w:rsidRPr="009624B0">
        <w:rPr>
          <w:rFonts w:ascii="Georgia" w:hAnsi="Georgia" w:hint="cs"/>
          <w:sz w:val="18"/>
          <w:szCs w:val="20"/>
          <w:rtl/>
        </w:rPr>
        <w:t xml:space="preserve">השופט קבע כי </w:t>
      </w:r>
      <w:r w:rsidRPr="009624B0">
        <w:rPr>
          <w:rFonts w:ascii="Georgia" w:hAnsi="Georgia"/>
          <w:sz w:val="18"/>
          <w:szCs w:val="20"/>
          <w:rtl/>
        </w:rPr>
        <w:t xml:space="preserve">דחיית הבקשה </w:t>
      </w:r>
      <w:r w:rsidRPr="009624B0">
        <w:rPr>
          <w:rFonts w:ascii="Georgia" w:hAnsi="Georgia" w:hint="cs"/>
          <w:sz w:val="18"/>
          <w:szCs w:val="20"/>
          <w:rtl/>
        </w:rPr>
        <w:t xml:space="preserve">של הנשים לצו הורות פסיקתי </w:t>
      </w:r>
      <w:r w:rsidRPr="009624B0">
        <w:rPr>
          <w:rFonts w:ascii="Georgia" w:hAnsi="Georgia"/>
          <w:sz w:val="18"/>
          <w:szCs w:val="20"/>
          <w:rtl/>
        </w:rPr>
        <w:t xml:space="preserve">היא בלתי סבירה וחסרת היגיון, שכן </w:t>
      </w:r>
      <w:r w:rsidRPr="009624B0">
        <w:rPr>
          <w:rFonts w:ascii="Georgia" w:hAnsi="Georgia" w:hint="cs"/>
          <w:sz w:val="18"/>
          <w:szCs w:val="20"/>
          <w:rtl/>
        </w:rPr>
        <w:t xml:space="preserve">היא </w:t>
      </w:r>
      <w:r w:rsidRPr="009624B0">
        <w:rPr>
          <w:rFonts w:ascii="Georgia" w:hAnsi="Georgia"/>
          <w:sz w:val="18"/>
          <w:szCs w:val="20"/>
          <w:rtl/>
        </w:rPr>
        <w:t>מנוגדת לטובת הילדה</w:t>
      </w:r>
      <w:r w:rsidRPr="009624B0">
        <w:rPr>
          <w:rFonts w:ascii="Georgia" w:hAnsi="Georgia" w:hint="cs"/>
          <w:sz w:val="18"/>
          <w:szCs w:val="20"/>
          <w:rtl/>
        </w:rPr>
        <w:t xml:space="preserve"> </w:t>
      </w:r>
      <w:r w:rsidRPr="009624B0">
        <w:rPr>
          <w:rFonts w:ascii="Georgia" w:hAnsi="Georgia"/>
          <w:sz w:val="18"/>
          <w:szCs w:val="20"/>
          <w:rtl/>
        </w:rPr>
        <w:t>–</w:t>
      </w:r>
      <w:r w:rsidRPr="009624B0">
        <w:rPr>
          <w:rFonts w:ascii="Georgia" w:hAnsi="Georgia" w:hint="cs"/>
          <w:sz w:val="18"/>
          <w:szCs w:val="20"/>
          <w:rtl/>
        </w:rPr>
        <w:t xml:space="preserve"> </w:t>
      </w:r>
      <w:r w:rsidRPr="009624B0">
        <w:rPr>
          <w:rFonts w:ascii="Georgia" w:hAnsi="Georgia"/>
          <w:sz w:val="18"/>
          <w:szCs w:val="20"/>
          <w:rtl/>
        </w:rPr>
        <w:t xml:space="preserve">להיות חלק ממשפחה </w:t>
      </w:r>
      <w:r w:rsidRPr="009624B0">
        <w:rPr>
          <w:rFonts w:ascii="Georgia" w:hAnsi="Georgia" w:hint="cs"/>
          <w:sz w:val="18"/>
          <w:szCs w:val="20"/>
          <w:rtl/>
        </w:rPr>
        <w:t xml:space="preserve">שבה </w:t>
      </w:r>
      <w:r w:rsidRPr="009624B0">
        <w:rPr>
          <w:rFonts w:ascii="Georgia" w:hAnsi="Georgia"/>
          <w:sz w:val="18"/>
          <w:szCs w:val="20"/>
          <w:rtl/>
        </w:rPr>
        <w:t>שתי א</w:t>
      </w:r>
      <w:r w:rsidRPr="009624B0">
        <w:rPr>
          <w:rFonts w:ascii="Georgia" w:hAnsi="Georgia" w:hint="cs"/>
          <w:sz w:val="18"/>
          <w:szCs w:val="20"/>
          <w:rtl/>
        </w:rPr>
        <w:t>י</w:t>
      </w:r>
      <w:r w:rsidRPr="009624B0">
        <w:rPr>
          <w:rFonts w:ascii="Georgia" w:hAnsi="Georgia"/>
          <w:sz w:val="18"/>
          <w:szCs w:val="20"/>
          <w:rtl/>
        </w:rPr>
        <w:t>מהות מוכרות</w:t>
      </w:r>
      <w:r w:rsidRPr="009624B0">
        <w:rPr>
          <w:rFonts w:ascii="Georgia" w:hAnsi="Georgia" w:hint="cs"/>
          <w:sz w:val="18"/>
          <w:szCs w:val="20"/>
          <w:rtl/>
        </w:rPr>
        <w:t>. נוסף על כך, השופט</w:t>
      </w:r>
      <w:r w:rsidRPr="009624B0">
        <w:rPr>
          <w:rFonts w:ascii="Georgia" w:hAnsi="Georgia"/>
          <w:sz w:val="18"/>
          <w:szCs w:val="20"/>
          <w:rtl/>
        </w:rPr>
        <w:t xml:space="preserve"> חלק על החלת </w:t>
      </w:r>
      <w:r w:rsidRPr="009624B0">
        <w:rPr>
          <w:rFonts w:ascii="Georgia" w:hAnsi="Georgia" w:hint="cs"/>
          <w:sz w:val="18"/>
          <w:szCs w:val="20"/>
          <w:rtl/>
        </w:rPr>
        <w:t>דרישת התושבות</w:t>
      </w:r>
      <w:r w:rsidRPr="009624B0">
        <w:rPr>
          <w:rFonts w:ascii="Georgia" w:hAnsi="Georgia"/>
          <w:sz w:val="18"/>
          <w:szCs w:val="20"/>
          <w:rtl/>
        </w:rPr>
        <w:t xml:space="preserve"> </w:t>
      </w:r>
      <w:r w:rsidRPr="009624B0">
        <w:rPr>
          <w:rFonts w:ascii="Georgia" w:hAnsi="Georgia" w:hint="cs"/>
          <w:sz w:val="18"/>
          <w:szCs w:val="20"/>
          <w:rtl/>
        </w:rPr>
        <w:t xml:space="preserve">הזאת </w:t>
      </w:r>
      <w:r w:rsidRPr="009624B0">
        <w:rPr>
          <w:rFonts w:ascii="Georgia" w:hAnsi="Georgia"/>
          <w:sz w:val="18"/>
          <w:szCs w:val="20"/>
          <w:rtl/>
        </w:rPr>
        <w:t>באופן גורף</w:t>
      </w:r>
      <w:r w:rsidRPr="009624B0">
        <w:rPr>
          <w:rFonts w:ascii="Georgia" w:hAnsi="Georgia" w:hint="cs"/>
          <w:sz w:val="18"/>
          <w:szCs w:val="20"/>
          <w:rtl/>
        </w:rPr>
        <w:t>,</w:t>
      </w:r>
      <w:r w:rsidRPr="009624B0">
        <w:rPr>
          <w:rFonts w:ascii="Georgia" w:hAnsi="Georgia"/>
          <w:sz w:val="18"/>
          <w:szCs w:val="20"/>
          <w:rtl/>
        </w:rPr>
        <w:t xml:space="preserve"> וקבע שיש לבחון כל מקרה לגופו ולא לפסול באופן אוטומטי בקשות של מי שאינן עומדות ב</w:t>
      </w:r>
      <w:r w:rsidRPr="009624B0">
        <w:rPr>
          <w:rFonts w:ascii="Georgia" w:hAnsi="Georgia" w:hint="cs"/>
          <w:sz w:val="18"/>
          <w:szCs w:val="20"/>
          <w:rtl/>
        </w:rPr>
        <w:t>ה</w:t>
      </w:r>
      <w:r w:rsidRPr="009624B0">
        <w:rPr>
          <w:rFonts w:ascii="Georgia" w:hAnsi="Georgia"/>
          <w:sz w:val="18"/>
          <w:szCs w:val="20"/>
          <w:rtl/>
        </w:rPr>
        <w:t>.</w:t>
      </w:r>
    </w:p>
    <w:p w14:paraId="6CCD89DF" w14:textId="77777777" w:rsidR="009624B0" w:rsidRPr="00DE368F" w:rsidRDefault="009624B0" w:rsidP="00DE368F">
      <w:pPr>
        <w:spacing w:after="180" w:line="260" w:lineRule="exact"/>
        <w:jc w:val="both"/>
        <w:rPr>
          <w:rFonts w:ascii="Georgia" w:hAnsi="Georgia"/>
          <w:sz w:val="18"/>
          <w:szCs w:val="20"/>
          <w:rtl/>
        </w:rPr>
      </w:pPr>
    </w:p>
    <w:p w14:paraId="242F30BE" w14:textId="77777777" w:rsidR="009624B0" w:rsidRPr="009624B0" w:rsidRDefault="009624B0" w:rsidP="009624B0">
      <w:pPr>
        <w:pStyle w:val="KOT5"/>
        <w:jc w:val="both"/>
        <w:rPr>
          <w:b/>
          <w:bCs/>
          <w:color w:val="2A8E8C"/>
          <w:rtl/>
        </w:rPr>
      </w:pPr>
      <w:r w:rsidRPr="009624B0">
        <w:rPr>
          <w:rFonts w:hint="cs"/>
          <w:b/>
          <w:bCs/>
          <w:color w:val="2A8E8C"/>
          <w:rtl/>
        </w:rPr>
        <w:t>אישור לאדם שאושפז באשפוז כפוי לצאת לחופשות קצרות</w:t>
      </w:r>
    </w:p>
    <w:p w14:paraId="416D9EE6" w14:textId="77777777" w:rsidR="009624B0" w:rsidRPr="009624B0" w:rsidRDefault="009624B0" w:rsidP="009624B0">
      <w:pPr>
        <w:pStyle w:val="Bauther"/>
        <w:keepNext/>
        <w:spacing w:before="0" w:after="240" w:line="280" w:lineRule="exact"/>
        <w:jc w:val="both"/>
        <w:rPr>
          <w:rFonts w:cs="Guttman Aharoni"/>
          <w:szCs w:val="20"/>
          <w:rtl/>
        </w:rPr>
      </w:pPr>
      <w:r w:rsidRPr="009624B0">
        <w:rPr>
          <w:rFonts w:cs="Guttman Aharoni"/>
          <w:szCs w:val="20"/>
          <w:rtl/>
        </w:rPr>
        <w:t xml:space="preserve">ע"ו 798-09-23 </w:t>
      </w:r>
      <w:r w:rsidRPr="009624B0">
        <w:rPr>
          <w:rFonts w:cs="Guttman Aharoni"/>
          <w:b/>
          <w:bCs/>
          <w:szCs w:val="20"/>
          <w:rtl/>
        </w:rPr>
        <w:t>ל' נ' המרכז לבריאות הנפש שער מנשה</w:t>
      </w:r>
      <w:r w:rsidRPr="009624B0">
        <w:rPr>
          <w:rFonts w:cs="Guttman Aharoni"/>
          <w:szCs w:val="20"/>
          <w:rtl/>
        </w:rPr>
        <w:t xml:space="preserve"> </w:t>
      </w:r>
      <w:r w:rsidRPr="009624B0">
        <w:rPr>
          <w:rFonts w:cs="Guttman Aharoni" w:hint="cs"/>
          <w:szCs w:val="20"/>
          <w:rtl/>
        </w:rPr>
        <w:t>(</w:t>
      </w:r>
      <w:r w:rsidRPr="009624B0">
        <w:rPr>
          <w:rFonts w:cs="Guttman Aharoni"/>
          <w:szCs w:val="20"/>
          <w:rtl/>
        </w:rPr>
        <w:t xml:space="preserve">ניתן בבית משפט </w:t>
      </w:r>
      <w:r w:rsidRPr="009624B0">
        <w:rPr>
          <w:rFonts w:cs="Guttman Aharoni" w:hint="cs"/>
          <w:szCs w:val="20"/>
          <w:rtl/>
        </w:rPr>
        <w:t>המחוזי</w:t>
      </w:r>
      <w:r w:rsidRPr="009624B0">
        <w:rPr>
          <w:rFonts w:cs="Guttman Aharoni"/>
          <w:szCs w:val="20"/>
          <w:rtl/>
        </w:rPr>
        <w:t xml:space="preserve"> ב</w:t>
      </w:r>
      <w:r w:rsidRPr="009624B0">
        <w:rPr>
          <w:rFonts w:ascii="David" w:hAnsi="David" w:cs="David"/>
          <w:szCs w:val="20"/>
          <w:rtl/>
        </w:rPr>
        <w:t>-</w:t>
      </w:r>
      <w:r w:rsidRPr="009624B0">
        <w:rPr>
          <w:rFonts w:cs="Guttman Aharoni" w:hint="cs"/>
          <w:szCs w:val="20"/>
          <w:rtl/>
        </w:rPr>
        <w:t>14 בנובמב</w:t>
      </w:r>
      <w:r w:rsidRPr="009624B0">
        <w:rPr>
          <w:rFonts w:cs="Guttman Aharoni" w:hint="eastAsia"/>
          <w:szCs w:val="20"/>
          <w:rtl/>
        </w:rPr>
        <w:t>ר</w:t>
      </w:r>
      <w:r w:rsidRPr="009624B0">
        <w:rPr>
          <w:rFonts w:cs="Guttman Aharoni" w:hint="cs"/>
          <w:szCs w:val="20"/>
          <w:rtl/>
        </w:rPr>
        <w:t xml:space="preserve"> </w:t>
      </w:r>
      <w:r w:rsidRPr="009624B0">
        <w:rPr>
          <w:rFonts w:cs="Guttman Aharoni"/>
          <w:szCs w:val="20"/>
          <w:rtl/>
        </w:rPr>
        <w:t>2023)</w:t>
      </w:r>
    </w:p>
    <w:p w14:paraId="2575A809" w14:textId="77777777" w:rsidR="009624B0" w:rsidRPr="009624B0" w:rsidRDefault="009624B0" w:rsidP="009624B0">
      <w:pPr>
        <w:spacing w:after="180" w:line="260" w:lineRule="exact"/>
        <w:jc w:val="both"/>
        <w:rPr>
          <w:rFonts w:ascii="Georgia" w:hAnsi="Georgia"/>
          <w:sz w:val="18"/>
          <w:szCs w:val="20"/>
          <w:rtl/>
        </w:rPr>
      </w:pPr>
      <w:r w:rsidRPr="009624B0">
        <w:rPr>
          <w:rFonts w:ascii="Georgia" w:hAnsi="Georgia"/>
          <w:sz w:val="18"/>
          <w:szCs w:val="20"/>
          <w:rtl/>
        </w:rPr>
        <w:t xml:space="preserve">פסק הדין עוסק </w:t>
      </w:r>
      <w:r w:rsidRPr="009624B0">
        <w:rPr>
          <w:rFonts w:ascii="Georgia" w:hAnsi="Georgia" w:hint="cs"/>
          <w:sz w:val="18"/>
          <w:szCs w:val="20"/>
          <w:rtl/>
        </w:rPr>
        <w:t>באדם</w:t>
      </w:r>
      <w:r w:rsidRPr="009624B0">
        <w:rPr>
          <w:rFonts w:ascii="Georgia" w:hAnsi="Georgia"/>
          <w:sz w:val="18"/>
          <w:szCs w:val="20"/>
          <w:rtl/>
        </w:rPr>
        <w:t xml:space="preserve"> </w:t>
      </w:r>
      <w:r w:rsidRPr="009624B0">
        <w:rPr>
          <w:rFonts w:ascii="Georgia" w:hAnsi="Georgia" w:hint="cs"/>
          <w:sz w:val="18"/>
          <w:szCs w:val="20"/>
          <w:rtl/>
        </w:rPr>
        <w:t xml:space="preserve">(המערער) </w:t>
      </w:r>
      <w:r w:rsidRPr="009624B0">
        <w:rPr>
          <w:rFonts w:ascii="Georgia" w:hAnsi="Georgia"/>
          <w:sz w:val="18"/>
          <w:szCs w:val="20"/>
          <w:rtl/>
        </w:rPr>
        <w:t xml:space="preserve">המאושפז בבית חולים פסיכיאטרי בצו אשפוז </w:t>
      </w:r>
      <w:r w:rsidRPr="009624B0">
        <w:rPr>
          <w:rFonts w:ascii="Georgia" w:hAnsi="Georgia" w:hint="cs"/>
          <w:sz w:val="18"/>
          <w:szCs w:val="20"/>
          <w:rtl/>
        </w:rPr>
        <w:t>יותר מ-</w:t>
      </w:r>
      <w:r w:rsidRPr="009624B0">
        <w:rPr>
          <w:rFonts w:ascii="Georgia" w:hAnsi="Georgia"/>
          <w:sz w:val="18"/>
          <w:szCs w:val="20"/>
          <w:rtl/>
        </w:rPr>
        <w:t>15 שנים.</w:t>
      </w:r>
      <w:r w:rsidRPr="009624B0">
        <w:rPr>
          <w:rFonts w:ascii="Georgia" w:hAnsi="Georgia" w:hint="cs"/>
          <w:sz w:val="18"/>
          <w:szCs w:val="20"/>
          <w:rtl/>
        </w:rPr>
        <w:t xml:space="preserve"> </w:t>
      </w:r>
      <w:r w:rsidRPr="009624B0">
        <w:rPr>
          <w:rFonts w:ascii="Georgia" w:hAnsi="Georgia"/>
          <w:sz w:val="18"/>
          <w:szCs w:val="20"/>
          <w:rtl/>
        </w:rPr>
        <w:t xml:space="preserve">המערער ביצע בעבר רצח כאשר היה במצב פסיכוטי פעיל, והוגש נגדו כתב אישום בגין רצח. בהמשך הוכרז לא כשיר לעמוד לדין ולא אחראי למעשיו, ומאז </w:t>
      </w:r>
      <w:r w:rsidRPr="009624B0">
        <w:rPr>
          <w:rFonts w:ascii="Georgia" w:hAnsi="Georgia" w:hint="cs"/>
          <w:sz w:val="18"/>
          <w:szCs w:val="20"/>
          <w:rtl/>
        </w:rPr>
        <w:t xml:space="preserve">הוא </w:t>
      </w:r>
      <w:r w:rsidRPr="009624B0">
        <w:rPr>
          <w:rFonts w:ascii="Georgia" w:hAnsi="Georgia"/>
          <w:sz w:val="18"/>
          <w:szCs w:val="20"/>
          <w:rtl/>
        </w:rPr>
        <w:t>מאושפז ב</w:t>
      </w:r>
      <w:r w:rsidRPr="009624B0">
        <w:rPr>
          <w:rFonts w:ascii="Georgia" w:hAnsi="Georgia" w:hint="cs"/>
          <w:sz w:val="18"/>
          <w:szCs w:val="20"/>
          <w:rtl/>
        </w:rPr>
        <w:t>רציפות במרכז לבריאות הנפש</w:t>
      </w:r>
      <w:r w:rsidRPr="009624B0">
        <w:rPr>
          <w:rFonts w:ascii="Georgia" w:hAnsi="Georgia"/>
          <w:sz w:val="18"/>
          <w:szCs w:val="20"/>
          <w:rtl/>
        </w:rPr>
        <w:t>.</w:t>
      </w:r>
      <w:r w:rsidRPr="009624B0">
        <w:rPr>
          <w:rFonts w:ascii="Georgia" w:hAnsi="Georgia" w:hint="cs"/>
          <w:sz w:val="18"/>
          <w:szCs w:val="20"/>
          <w:rtl/>
        </w:rPr>
        <w:t xml:space="preserve"> במהלך </w:t>
      </w:r>
      <w:r w:rsidRPr="009624B0">
        <w:rPr>
          <w:rFonts w:ascii="Georgia" w:hAnsi="Georgia"/>
          <w:sz w:val="18"/>
          <w:szCs w:val="20"/>
          <w:rtl/>
        </w:rPr>
        <w:t xml:space="preserve">השנים </w:t>
      </w:r>
      <w:r w:rsidRPr="009624B0">
        <w:rPr>
          <w:rFonts w:ascii="Georgia" w:hAnsi="Georgia" w:hint="cs"/>
          <w:sz w:val="18"/>
          <w:szCs w:val="20"/>
          <w:rtl/>
        </w:rPr>
        <w:t xml:space="preserve">חלו </w:t>
      </w:r>
      <w:r w:rsidRPr="009624B0">
        <w:rPr>
          <w:rFonts w:ascii="Georgia" w:hAnsi="Georgia"/>
          <w:sz w:val="18"/>
          <w:szCs w:val="20"/>
          <w:rtl/>
        </w:rPr>
        <w:t>תנודות במצבו הנפשי של המערער</w:t>
      </w:r>
      <w:r w:rsidRPr="009624B0">
        <w:rPr>
          <w:rFonts w:ascii="Georgia" w:hAnsi="Georgia" w:hint="cs"/>
          <w:sz w:val="18"/>
          <w:szCs w:val="20"/>
          <w:rtl/>
        </w:rPr>
        <w:t xml:space="preserve">. היו </w:t>
      </w:r>
      <w:r w:rsidRPr="009624B0">
        <w:rPr>
          <w:rFonts w:ascii="Georgia" w:hAnsi="Georgia"/>
          <w:sz w:val="18"/>
          <w:szCs w:val="20"/>
          <w:rtl/>
        </w:rPr>
        <w:t xml:space="preserve">תקופות </w:t>
      </w:r>
      <w:r w:rsidRPr="009624B0">
        <w:rPr>
          <w:rFonts w:ascii="Georgia" w:hAnsi="Georgia" w:hint="cs"/>
          <w:sz w:val="18"/>
          <w:szCs w:val="20"/>
          <w:rtl/>
        </w:rPr>
        <w:t>ש</w:t>
      </w:r>
      <w:r w:rsidRPr="009624B0">
        <w:rPr>
          <w:rFonts w:ascii="Georgia" w:hAnsi="Georgia"/>
          <w:sz w:val="18"/>
          <w:szCs w:val="20"/>
          <w:rtl/>
        </w:rPr>
        <w:t xml:space="preserve">בהן אושרו לו חופשות קצרות, </w:t>
      </w:r>
      <w:r w:rsidRPr="009624B0">
        <w:rPr>
          <w:rFonts w:ascii="Georgia" w:hAnsi="Georgia" w:hint="cs"/>
          <w:sz w:val="18"/>
          <w:szCs w:val="20"/>
          <w:rtl/>
        </w:rPr>
        <w:t xml:space="preserve">ולצידן </w:t>
      </w:r>
      <w:r w:rsidRPr="009624B0">
        <w:rPr>
          <w:rFonts w:ascii="Georgia" w:hAnsi="Georgia"/>
          <w:sz w:val="18"/>
          <w:szCs w:val="20"/>
          <w:rtl/>
        </w:rPr>
        <w:t xml:space="preserve">תקופות של החמרה ועלייה ברמת המסוכנות. מנהל בית החולים </w:t>
      </w:r>
      <w:r w:rsidRPr="009624B0">
        <w:rPr>
          <w:rFonts w:ascii="Georgia" w:hAnsi="Georgia" w:hint="cs"/>
          <w:sz w:val="18"/>
          <w:szCs w:val="20"/>
          <w:rtl/>
        </w:rPr>
        <w:t xml:space="preserve">ביקש </w:t>
      </w:r>
      <w:r w:rsidRPr="009624B0">
        <w:rPr>
          <w:rFonts w:ascii="Georgia" w:hAnsi="Georgia"/>
          <w:sz w:val="18"/>
          <w:szCs w:val="20"/>
          <w:rtl/>
        </w:rPr>
        <w:t xml:space="preserve">לאפשר למערער חופשות קצרות </w:t>
      </w:r>
      <w:r w:rsidRPr="009624B0">
        <w:rPr>
          <w:rFonts w:ascii="Georgia" w:hAnsi="Georgia" w:hint="cs"/>
          <w:sz w:val="18"/>
          <w:szCs w:val="20"/>
          <w:rtl/>
        </w:rPr>
        <w:t xml:space="preserve">בנות שעות אחדות </w:t>
      </w:r>
      <w:r w:rsidRPr="009624B0">
        <w:rPr>
          <w:rFonts w:ascii="Georgia" w:hAnsi="Georgia"/>
          <w:sz w:val="18"/>
          <w:szCs w:val="20"/>
          <w:rtl/>
        </w:rPr>
        <w:t xml:space="preserve">בקרבת בית החולים ובליווי בני משפחה, אולם הוועדה הפסיכיאטרית </w:t>
      </w:r>
      <w:r w:rsidRPr="009624B0">
        <w:rPr>
          <w:rFonts w:ascii="Georgia" w:hAnsi="Georgia" w:hint="cs"/>
          <w:sz w:val="18"/>
          <w:szCs w:val="20"/>
          <w:rtl/>
        </w:rPr>
        <w:t>המיוחדת דחתה את הבקשה</w:t>
      </w:r>
      <w:r w:rsidRPr="009624B0">
        <w:rPr>
          <w:rFonts w:ascii="Georgia" w:hAnsi="Georgia"/>
          <w:sz w:val="18"/>
          <w:szCs w:val="20"/>
          <w:rtl/>
        </w:rPr>
        <w:t>, ומכאן הערעור לבית המשפט על החלטת הוועדה.</w:t>
      </w:r>
    </w:p>
    <w:p w14:paraId="2DBC29E0" w14:textId="77777777" w:rsidR="009624B0" w:rsidRPr="009624B0" w:rsidRDefault="009624B0" w:rsidP="009624B0">
      <w:pPr>
        <w:spacing w:after="180" w:line="260" w:lineRule="exact"/>
        <w:jc w:val="both"/>
        <w:rPr>
          <w:rFonts w:ascii="Georgia" w:hAnsi="Georgia"/>
          <w:sz w:val="18"/>
          <w:szCs w:val="20"/>
          <w:rtl/>
        </w:rPr>
      </w:pPr>
      <w:r w:rsidRPr="009624B0">
        <w:rPr>
          <w:rFonts w:ascii="Georgia" w:hAnsi="Georgia" w:hint="cs"/>
          <w:sz w:val="18"/>
          <w:szCs w:val="20"/>
          <w:rtl/>
        </w:rPr>
        <w:lastRenderedPageBreak/>
        <w:t xml:space="preserve">המערער טען כי </w:t>
      </w:r>
      <w:r w:rsidRPr="009624B0">
        <w:rPr>
          <w:rFonts w:ascii="Georgia" w:hAnsi="Georgia"/>
          <w:sz w:val="18"/>
          <w:szCs w:val="20"/>
          <w:rtl/>
        </w:rPr>
        <w:t>היה מקום לאמץ את המלצת בית החולים לחופשות קצרות ומבוקרות</w:t>
      </w:r>
      <w:r w:rsidRPr="009624B0">
        <w:rPr>
          <w:rFonts w:ascii="Georgia" w:hAnsi="Georgia" w:hint="cs"/>
          <w:sz w:val="18"/>
          <w:szCs w:val="20"/>
          <w:rtl/>
        </w:rPr>
        <w:t>, או לחלופין</w:t>
      </w:r>
      <w:r w:rsidRPr="009624B0">
        <w:rPr>
          <w:rFonts w:ascii="Georgia" w:hAnsi="Georgia"/>
          <w:sz w:val="18"/>
          <w:szCs w:val="20"/>
          <w:rtl/>
        </w:rPr>
        <w:t xml:space="preserve"> להחמיר את תנאי הפיקוח והליווי בחופשה.</w:t>
      </w:r>
      <w:r w:rsidRPr="009624B0">
        <w:rPr>
          <w:rFonts w:ascii="Georgia" w:hAnsi="Georgia" w:hint="cs"/>
          <w:sz w:val="18"/>
          <w:szCs w:val="20"/>
          <w:rtl/>
        </w:rPr>
        <w:t xml:space="preserve"> המשיב טען כי </w:t>
      </w:r>
      <w:r w:rsidRPr="009624B0">
        <w:rPr>
          <w:rFonts w:ascii="Georgia" w:hAnsi="Georgia"/>
          <w:sz w:val="18"/>
          <w:szCs w:val="20"/>
          <w:rtl/>
        </w:rPr>
        <w:t>החלטת הוועדה לדחות את בקשת החופשה מנומקת לאור הערכת המסוכנות של המערער כבינונית עד גבוהה</w:t>
      </w:r>
      <w:r w:rsidRPr="009624B0">
        <w:rPr>
          <w:rFonts w:ascii="Georgia" w:hAnsi="Georgia" w:hint="cs"/>
          <w:sz w:val="18"/>
          <w:szCs w:val="20"/>
          <w:rtl/>
        </w:rPr>
        <w:t xml:space="preserve">, וכי </w:t>
      </w:r>
      <w:r w:rsidRPr="009624B0">
        <w:rPr>
          <w:rFonts w:ascii="Georgia" w:hAnsi="Georgia"/>
          <w:sz w:val="18"/>
          <w:szCs w:val="20"/>
          <w:rtl/>
        </w:rPr>
        <w:t>יש לכבד את שיקול הדעת המקצועי של הוועדה בקבלת החלטות מסוג זה.</w:t>
      </w:r>
    </w:p>
    <w:p w14:paraId="269F5097" w14:textId="77777777" w:rsidR="009624B0" w:rsidRPr="009624B0" w:rsidRDefault="009624B0" w:rsidP="009624B0">
      <w:pPr>
        <w:spacing w:after="180" w:line="260" w:lineRule="exact"/>
        <w:jc w:val="both"/>
        <w:rPr>
          <w:rFonts w:ascii="Georgia" w:hAnsi="Georgia"/>
          <w:sz w:val="18"/>
          <w:szCs w:val="20"/>
          <w:rtl/>
        </w:rPr>
      </w:pPr>
      <w:r w:rsidRPr="009624B0">
        <w:rPr>
          <w:rFonts w:ascii="Georgia" w:hAnsi="Georgia" w:hint="cs"/>
          <w:sz w:val="18"/>
          <w:szCs w:val="20"/>
          <w:rtl/>
        </w:rPr>
        <w:t xml:space="preserve">בפסק הדין שכתבה השופטת </w:t>
      </w:r>
      <w:proofErr w:type="spellStart"/>
      <w:r w:rsidRPr="009624B0">
        <w:rPr>
          <w:rFonts w:ascii="Georgia" w:hAnsi="Georgia"/>
          <w:sz w:val="18"/>
          <w:szCs w:val="20"/>
          <w:rtl/>
        </w:rPr>
        <w:t>אספרנצה</w:t>
      </w:r>
      <w:proofErr w:type="spellEnd"/>
      <w:r w:rsidRPr="009624B0">
        <w:rPr>
          <w:rFonts w:ascii="Georgia" w:hAnsi="Georgia"/>
          <w:sz w:val="18"/>
          <w:szCs w:val="20"/>
          <w:rtl/>
        </w:rPr>
        <w:t xml:space="preserve"> אלון</w:t>
      </w:r>
      <w:r w:rsidRPr="009624B0">
        <w:rPr>
          <w:rFonts w:ascii="Georgia" w:hAnsi="Georgia" w:hint="cs"/>
          <w:sz w:val="18"/>
          <w:szCs w:val="20"/>
          <w:rtl/>
        </w:rPr>
        <w:t xml:space="preserve"> </w:t>
      </w:r>
      <w:r w:rsidRPr="009624B0">
        <w:rPr>
          <w:rFonts w:ascii="Georgia" w:hAnsi="Georgia"/>
          <w:sz w:val="18"/>
          <w:szCs w:val="20"/>
          <w:rtl/>
        </w:rPr>
        <w:t xml:space="preserve">נעשה שימוש נרחב בהוראות השונות </w:t>
      </w:r>
      <w:r w:rsidRPr="009624B0">
        <w:rPr>
          <w:rFonts w:ascii="Georgia" w:hAnsi="Georgia" w:hint="cs"/>
          <w:sz w:val="18"/>
          <w:szCs w:val="20"/>
          <w:rtl/>
        </w:rPr>
        <w:t>ב</w:t>
      </w:r>
      <w:r w:rsidRPr="009624B0">
        <w:rPr>
          <w:rFonts w:ascii="Georgia" w:hAnsi="Georgia"/>
          <w:sz w:val="18"/>
          <w:szCs w:val="20"/>
          <w:rtl/>
        </w:rPr>
        <w:t xml:space="preserve">חוק טיפול בחולי נפש </w:t>
      </w:r>
      <w:r w:rsidRPr="009624B0">
        <w:rPr>
          <w:rFonts w:ascii="Georgia" w:hAnsi="Georgia" w:hint="cs"/>
          <w:sz w:val="18"/>
          <w:szCs w:val="20"/>
          <w:rtl/>
        </w:rPr>
        <w:t>כדי</w:t>
      </w:r>
      <w:r w:rsidRPr="009624B0">
        <w:rPr>
          <w:rFonts w:ascii="Georgia" w:hAnsi="Georgia"/>
          <w:sz w:val="18"/>
          <w:szCs w:val="20"/>
          <w:rtl/>
        </w:rPr>
        <w:t xml:space="preserve"> לנתח </w:t>
      </w:r>
      <w:r w:rsidRPr="009624B0">
        <w:rPr>
          <w:rFonts w:ascii="Georgia" w:hAnsi="Georgia" w:hint="cs"/>
          <w:sz w:val="18"/>
          <w:szCs w:val="20"/>
          <w:rtl/>
        </w:rPr>
        <w:t>את ה</w:t>
      </w:r>
      <w:r w:rsidRPr="009624B0">
        <w:rPr>
          <w:rFonts w:ascii="Georgia" w:hAnsi="Georgia"/>
          <w:sz w:val="18"/>
          <w:szCs w:val="20"/>
          <w:rtl/>
        </w:rPr>
        <w:t>מחלוקת שהובאה בפני בית המשפט ולהכריע</w:t>
      </w:r>
      <w:r w:rsidRPr="009624B0">
        <w:rPr>
          <w:rFonts w:ascii="Georgia" w:hAnsi="Georgia" w:hint="cs"/>
          <w:sz w:val="18"/>
          <w:szCs w:val="20"/>
          <w:rtl/>
        </w:rPr>
        <w:t xml:space="preserve"> בה</w:t>
      </w:r>
      <w:r w:rsidRPr="009624B0">
        <w:rPr>
          <w:rFonts w:ascii="Georgia" w:hAnsi="Georgia"/>
          <w:sz w:val="18"/>
          <w:szCs w:val="20"/>
          <w:rtl/>
        </w:rPr>
        <w:t>.</w:t>
      </w:r>
      <w:r w:rsidRPr="009624B0">
        <w:rPr>
          <w:rFonts w:ascii="Georgia" w:hAnsi="Georgia" w:hint="cs"/>
          <w:sz w:val="18"/>
          <w:szCs w:val="20"/>
          <w:rtl/>
        </w:rPr>
        <w:t xml:space="preserve"> לדוגמה, סעיף 28ג(ג) לחוק קובע:</w:t>
      </w:r>
    </w:p>
    <w:p w14:paraId="48E37F01" w14:textId="77777777" w:rsidR="009624B0" w:rsidRPr="009624B0" w:rsidRDefault="009624B0" w:rsidP="009624B0">
      <w:pPr>
        <w:spacing w:after="180" w:line="260" w:lineRule="exact"/>
        <w:ind w:left="567"/>
        <w:jc w:val="both"/>
        <w:rPr>
          <w:rFonts w:ascii="Georgia" w:hAnsi="Georgia"/>
          <w:sz w:val="18"/>
          <w:szCs w:val="20"/>
          <w:rtl/>
        </w:rPr>
      </w:pPr>
      <w:r w:rsidRPr="009624B0">
        <w:rPr>
          <w:rFonts w:ascii="Georgia" w:hAnsi="Georgia"/>
          <w:sz w:val="18"/>
          <w:szCs w:val="20"/>
          <w:rtl/>
        </w:rPr>
        <w:t>ועדה מיוחדת תאשר לחולה חופשה לפי סעיף זה, רק אם סברה כי חל שינוי יסודי, בסיסי ורציף, לאורך זמן, במצבו הנפשי של החולה, וכי יש בו – בשים לב לתנאי השחרור והפיקוח –</w:t>
      </w:r>
      <w:r w:rsidRPr="009624B0">
        <w:rPr>
          <w:rFonts w:ascii="Georgia" w:hAnsi="Georgia" w:hint="cs"/>
          <w:sz w:val="18"/>
          <w:szCs w:val="20"/>
          <w:rtl/>
        </w:rPr>
        <w:t xml:space="preserve"> </w:t>
      </w:r>
      <w:r w:rsidRPr="009624B0">
        <w:rPr>
          <w:rFonts w:ascii="Georgia" w:hAnsi="Georgia"/>
          <w:sz w:val="18"/>
          <w:szCs w:val="20"/>
          <w:rtl/>
        </w:rPr>
        <w:t xml:space="preserve">כדי לשלול ברמת ודאות גבוהה את מסוכנותו של הנאשם לשלום הציבור, לאנשים מסוימים או לעצמו. </w:t>
      </w:r>
    </w:p>
    <w:p w14:paraId="5A8C3482" w14:textId="77777777" w:rsidR="009624B0" w:rsidRPr="009624B0" w:rsidRDefault="009624B0" w:rsidP="009624B0">
      <w:pPr>
        <w:spacing w:after="180" w:line="260" w:lineRule="exact"/>
        <w:jc w:val="both"/>
        <w:rPr>
          <w:rFonts w:ascii="Georgia" w:hAnsi="Georgia"/>
          <w:sz w:val="18"/>
          <w:szCs w:val="20"/>
          <w:rtl/>
        </w:rPr>
      </w:pPr>
      <w:r w:rsidRPr="009624B0">
        <w:rPr>
          <w:rFonts w:ascii="Georgia" w:hAnsi="Georgia"/>
          <w:sz w:val="18"/>
          <w:szCs w:val="20"/>
          <w:rtl/>
        </w:rPr>
        <w:t>בית המשפט מפרש סעיף זה כמציב שני תנאים מצטברים לאישור חופשה לחולה המאושפז בצו</w:t>
      </w:r>
      <w:r w:rsidRPr="009624B0">
        <w:rPr>
          <w:rFonts w:ascii="Georgia" w:hAnsi="Georgia" w:hint="cs"/>
          <w:sz w:val="18"/>
          <w:szCs w:val="20"/>
          <w:rtl/>
        </w:rPr>
        <w:t xml:space="preserve">. התנאי הראשון הוא </w:t>
      </w:r>
      <w:r w:rsidRPr="009624B0">
        <w:rPr>
          <w:rFonts w:ascii="Georgia" w:hAnsi="Georgia"/>
          <w:sz w:val="18"/>
          <w:szCs w:val="20"/>
          <w:rtl/>
        </w:rPr>
        <w:t>שינוי יסודי, בסיסי ויציב במצבו הנפשי של החולה המצמצם את המסוכנות</w:t>
      </w:r>
      <w:r w:rsidRPr="009624B0">
        <w:rPr>
          <w:rFonts w:ascii="Georgia" w:hAnsi="Georgia" w:hint="cs"/>
          <w:sz w:val="18"/>
          <w:szCs w:val="20"/>
          <w:rtl/>
        </w:rPr>
        <w:t xml:space="preserve">. בית המשפט </w:t>
      </w:r>
      <w:r w:rsidRPr="009624B0">
        <w:rPr>
          <w:rFonts w:ascii="Georgia" w:hAnsi="Georgia"/>
          <w:sz w:val="18"/>
          <w:szCs w:val="20"/>
          <w:rtl/>
        </w:rPr>
        <w:t xml:space="preserve">נותן משקל </w:t>
      </w:r>
      <w:r w:rsidRPr="009624B0">
        <w:rPr>
          <w:rFonts w:ascii="Georgia" w:hAnsi="Georgia" w:hint="cs"/>
          <w:sz w:val="18"/>
          <w:szCs w:val="20"/>
          <w:rtl/>
        </w:rPr>
        <w:t>גם</w:t>
      </w:r>
      <w:r w:rsidRPr="009624B0">
        <w:rPr>
          <w:rFonts w:ascii="Georgia" w:hAnsi="Georgia"/>
          <w:sz w:val="18"/>
          <w:szCs w:val="20"/>
          <w:rtl/>
        </w:rPr>
        <w:t xml:space="preserve"> להערכת מידת המסוכנות </w:t>
      </w:r>
      <w:r w:rsidRPr="009624B0">
        <w:rPr>
          <w:rFonts w:ascii="Georgia" w:hAnsi="Georgia" w:hint="cs"/>
          <w:sz w:val="18"/>
          <w:szCs w:val="20"/>
          <w:rtl/>
        </w:rPr>
        <w:t>של האדם המאושפז, וקובע</w:t>
      </w:r>
      <w:r w:rsidRPr="009624B0">
        <w:rPr>
          <w:rFonts w:ascii="Georgia" w:hAnsi="Georgia"/>
          <w:sz w:val="18"/>
          <w:szCs w:val="20"/>
          <w:rtl/>
        </w:rPr>
        <w:t xml:space="preserve"> כי נדרש "שינוי יסודי" המפחית מסוכנות זו ב"רמת ודאות גבוהה"; </w:t>
      </w:r>
      <w:r w:rsidRPr="009624B0">
        <w:rPr>
          <w:rFonts w:ascii="Georgia" w:hAnsi="Georgia" w:hint="cs"/>
          <w:sz w:val="18"/>
          <w:szCs w:val="20"/>
          <w:rtl/>
        </w:rPr>
        <w:t>התנאי השני</w:t>
      </w:r>
      <w:r w:rsidRPr="009624B0">
        <w:rPr>
          <w:rFonts w:ascii="Georgia" w:hAnsi="Georgia"/>
          <w:sz w:val="18"/>
          <w:szCs w:val="20"/>
          <w:rtl/>
        </w:rPr>
        <w:t xml:space="preserve"> </w:t>
      </w:r>
      <w:r w:rsidRPr="009624B0">
        <w:rPr>
          <w:rFonts w:ascii="Georgia" w:hAnsi="Georgia" w:hint="cs"/>
          <w:sz w:val="18"/>
          <w:szCs w:val="20"/>
          <w:rtl/>
        </w:rPr>
        <w:t xml:space="preserve">הוא </w:t>
      </w:r>
      <w:r w:rsidRPr="009624B0">
        <w:rPr>
          <w:rFonts w:ascii="Georgia" w:hAnsi="Georgia"/>
          <w:sz w:val="18"/>
          <w:szCs w:val="20"/>
          <w:rtl/>
        </w:rPr>
        <w:t>קביעת אמצעי זהירות ופיקוח הולמים בזמן החופשה</w:t>
      </w:r>
      <w:r w:rsidRPr="009624B0">
        <w:rPr>
          <w:rFonts w:ascii="Georgia" w:hAnsi="Georgia" w:hint="cs"/>
          <w:sz w:val="18"/>
          <w:szCs w:val="20"/>
          <w:rtl/>
        </w:rPr>
        <w:t xml:space="preserve"> (</w:t>
      </w:r>
      <w:r w:rsidRPr="009624B0">
        <w:rPr>
          <w:rFonts w:ascii="Georgia" w:hAnsi="Georgia"/>
          <w:sz w:val="18"/>
          <w:szCs w:val="20"/>
          <w:rtl/>
        </w:rPr>
        <w:t>סעיף 28ג(ג)</w:t>
      </w:r>
      <w:r w:rsidRPr="009624B0">
        <w:rPr>
          <w:rFonts w:ascii="Georgia" w:hAnsi="Georgia" w:hint="cs"/>
          <w:sz w:val="18"/>
          <w:szCs w:val="20"/>
          <w:rtl/>
        </w:rPr>
        <w:t>).</w:t>
      </w:r>
      <w:r w:rsidRPr="009624B0">
        <w:rPr>
          <w:rFonts w:ascii="Georgia" w:hAnsi="Georgia"/>
          <w:sz w:val="18"/>
          <w:szCs w:val="20"/>
          <w:rtl/>
        </w:rPr>
        <w:t xml:space="preserve"> </w:t>
      </w:r>
    </w:p>
    <w:p w14:paraId="4FC755B0" w14:textId="77777777" w:rsidR="009624B0" w:rsidRPr="00C351D9" w:rsidRDefault="009624B0" w:rsidP="009624B0">
      <w:pPr>
        <w:spacing w:after="180" w:line="260" w:lineRule="exact"/>
        <w:jc w:val="both"/>
        <w:rPr>
          <w:rFonts w:ascii="Georgia" w:hAnsi="Georgia"/>
          <w:spacing w:val="-2"/>
          <w:sz w:val="18"/>
          <w:szCs w:val="20"/>
          <w:rtl/>
        </w:rPr>
      </w:pPr>
      <w:r w:rsidRPr="00C351D9">
        <w:rPr>
          <w:rFonts w:ascii="Georgia" w:hAnsi="Georgia" w:hint="cs"/>
          <w:spacing w:val="-2"/>
          <w:sz w:val="18"/>
          <w:szCs w:val="20"/>
          <w:rtl/>
        </w:rPr>
        <w:t xml:space="preserve">בית המשפט מתייחס גם לכך שהרכבה המקצועי של הוועדה </w:t>
      </w:r>
      <w:r w:rsidRPr="00C351D9">
        <w:rPr>
          <w:rFonts w:ascii="Georgia" w:hAnsi="Georgia"/>
          <w:spacing w:val="-2"/>
          <w:sz w:val="18"/>
          <w:szCs w:val="20"/>
          <w:rtl/>
        </w:rPr>
        <w:t>נועד להבטיח החלטות זהירות</w:t>
      </w:r>
      <w:r w:rsidRPr="00C351D9">
        <w:rPr>
          <w:rFonts w:ascii="Georgia" w:hAnsi="Georgia" w:hint="cs"/>
          <w:spacing w:val="-2"/>
          <w:sz w:val="18"/>
          <w:szCs w:val="20"/>
          <w:rtl/>
        </w:rPr>
        <w:t xml:space="preserve"> ו</w:t>
      </w:r>
      <w:r w:rsidRPr="00C351D9">
        <w:rPr>
          <w:rFonts w:ascii="Georgia" w:hAnsi="Georgia"/>
          <w:spacing w:val="-2"/>
          <w:sz w:val="18"/>
          <w:szCs w:val="20"/>
          <w:rtl/>
        </w:rPr>
        <w:t>מושכלות ב</w:t>
      </w:r>
      <w:r w:rsidRPr="00C351D9">
        <w:rPr>
          <w:rFonts w:ascii="Georgia" w:hAnsi="Georgia" w:hint="cs"/>
          <w:spacing w:val="-2"/>
          <w:sz w:val="18"/>
          <w:szCs w:val="20"/>
          <w:rtl/>
        </w:rPr>
        <w:t xml:space="preserve">דבר </w:t>
      </w:r>
      <w:r w:rsidRPr="00C351D9">
        <w:rPr>
          <w:rFonts w:ascii="Georgia" w:hAnsi="Georgia"/>
          <w:spacing w:val="-2"/>
          <w:sz w:val="18"/>
          <w:szCs w:val="20"/>
          <w:rtl/>
        </w:rPr>
        <w:t>חופשות</w:t>
      </w:r>
      <w:r w:rsidRPr="00C351D9">
        <w:rPr>
          <w:rFonts w:ascii="Georgia" w:hAnsi="Georgia" w:hint="cs"/>
          <w:spacing w:val="-2"/>
          <w:sz w:val="18"/>
          <w:szCs w:val="20"/>
          <w:rtl/>
        </w:rPr>
        <w:t>: "</w:t>
      </w:r>
      <w:r w:rsidRPr="00C351D9">
        <w:rPr>
          <w:rFonts w:ascii="Georgia" w:hAnsi="Georgia"/>
          <w:spacing w:val="-2"/>
          <w:sz w:val="18"/>
          <w:szCs w:val="20"/>
          <w:rtl/>
        </w:rPr>
        <w:t>יו"ר הוועדה המיוחדת הינו שופט מחוזי בדימוס, ולצדו מכהנים פסיכיאטר בעל ניסיון של</w:t>
      </w:r>
      <w:r w:rsidRPr="00C351D9">
        <w:rPr>
          <w:rFonts w:ascii="Georgia" w:hAnsi="Georgia" w:hint="cs"/>
          <w:spacing w:val="-2"/>
          <w:sz w:val="18"/>
          <w:szCs w:val="20"/>
          <w:rtl/>
        </w:rPr>
        <w:t xml:space="preserve"> עשר</w:t>
      </w:r>
      <w:r w:rsidRPr="00C351D9">
        <w:rPr>
          <w:rFonts w:ascii="Georgia" w:hAnsi="Georgia"/>
          <w:spacing w:val="-2"/>
          <w:sz w:val="18"/>
          <w:szCs w:val="20"/>
          <w:rtl/>
        </w:rPr>
        <w:t xml:space="preserve"> שנים לפחות, וקרימינולוג קליני בעל ותק של</w:t>
      </w:r>
      <w:r w:rsidRPr="00C351D9">
        <w:rPr>
          <w:rFonts w:ascii="Georgia" w:hAnsi="Georgia" w:hint="cs"/>
          <w:spacing w:val="-2"/>
          <w:sz w:val="18"/>
          <w:szCs w:val="20"/>
          <w:rtl/>
        </w:rPr>
        <w:t xml:space="preserve"> שלוש</w:t>
      </w:r>
      <w:r w:rsidRPr="00C351D9">
        <w:rPr>
          <w:rFonts w:ascii="Georgia" w:hAnsi="Georgia"/>
          <w:spacing w:val="-2"/>
          <w:sz w:val="18"/>
          <w:szCs w:val="20"/>
          <w:rtl/>
        </w:rPr>
        <w:t xml:space="preserve"> שנים, ובעל ניסיון בהערכת מסוכנות ובעבודה עם נאשמים חולי נפש, כפי שנדרש וקבוע בסעיף 28א(א) לחוק</w:t>
      </w:r>
      <w:r w:rsidRPr="00C351D9">
        <w:rPr>
          <w:rFonts w:ascii="Georgia" w:hAnsi="Georgia" w:hint="cs"/>
          <w:spacing w:val="-2"/>
          <w:sz w:val="18"/>
          <w:szCs w:val="20"/>
          <w:rtl/>
        </w:rPr>
        <w:t>".</w:t>
      </w:r>
    </w:p>
    <w:p w14:paraId="2D2F2172" w14:textId="77777777" w:rsidR="009624B0" w:rsidRPr="003F51A7" w:rsidRDefault="009624B0" w:rsidP="009624B0">
      <w:pPr>
        <w:spacing w:after="180" w:line="260" w:lineRule="exact"/>
        <w:jc w:val="both"/>
        <w:rPr>
          <w:rFonts w:ascii="Georgia" w:hAnsi="Georgia"/>
          <w:spacing w:val="2"/>
          <w:sz w:val="18"/>
          <w:szCs w:val="20"/>
          <w:rtl/>
        </w:rPr>
      </w:pPr>
      <w:r w:rsidRPr="003F51A7">
        <w:rPr>
          <w:rFonts w:ascii="Georgia" w:hAnsi="Georgia" w:hint="cs"/>
          <w:spacing w:val="2"/>
          <w:sz w:val="18"/>
          <w:szCs w:val="20"/>
          <w:rtl/>
        </w:rPr>
        <w:t>בית המשפט דוחה את הערעור וקובע כי החלטת הוועדה הינה סבירה, וכי באופן עקרוני בית המשפט</w:t>
      </w:r>
      <w:r w:rsidRPr="003F51A7">
        <w:rPr>
          <w:rFonts w:ascii="Georgia" w:hAnsi="Georgia"/>
          <w:spacing w:val="2"/>
          <w:sz w:val="18"/>
          <w:szCs w:val="20"/>
          <w:rtl/>
        </w:rPr>
        <w:t xml:space="preserve"> </w:t>
      </w:r>
      <w:r w:rsidRPr="003F51A7">
        <w:rPr>
          <w:rFonts w:ascii="Georgia" w:hAnsi="Georgia" w:hint="cs"/>
          <w:spacing w:val="2"/>
          <w:sz w:val="18"/>
          <w:szCs w:val="20"/>
          <w:rtl/>
        </w:rPr>
        <w:t xml:space="preserve">אינו </w:t>
      </w:r>
      <w:r w:rsidRPr="003F51A7">
        <w:rPr>
          <w:rFonts w:ascii="Georgia" w:hAnsi="Georgia"/>
          <w:spacing w:val="2"/>
          <w:sz w:val="18"/>
          <w:szCs w:val="20"/>
          <w:rtl/>
        </w:rPr>
        <w:t>מתערב בהחלטות מקצועיות של הוועדה אלא במקרים של חריגה קיצונית ממתחם הסבירות.</w:t>
      </w:r>
      <w:r w:rsidRPr="003F51A7">
        <w:rPr>
          <w:rFonts w:ascii="Georgia" w:hAnsi="Georgia" w:hint="cs"/>
          <w:spacing w:val="2"/>
          <w:sz w:val="18"/>
          <w:szCs w:val="20"/>
          <w:rtl/>
        </w:rPr>
        <w:t xml:space="preserve"> </w:t>
      </w:r>
    </w:p>
    <w:p w14:paraId="5017B813" w14:textId="77777777" w:rsidR="009624B0" w:rsidRPr="00DE368F" w:rsidRDefault="009624B0" w:rsidP="00DE368F">
      <w:pPr>
        <w:spacing w:after="180" w:line="260" w:lineRule="exact"/>
        <w:jc w:val="both"/>
        <w:rPr>
          <w:rFonts w:ascii="Georgia" w:hAnsi="Georgia"/>
          <w:sz w:val="18"/>
          <w:szCs w:val="20"/>
          <w:rtl/>
        </w:rPr>
      </w:pPr>
    </w:p>
    <w:p w14:paraId="4A894E63" w14:textId="77777777" w:rsidR="009624B0" w:rsidRPr="009624B0" w:rsidRDefault="009624B0" w:rsidP="009624B0">
      <w:pPr>
        <w:pStyle w:val="KOT5"/>
        <w:jc w:val="both"/>
        <w:rPr>
          <w:b/>
          <w:bCs/>
          <w:color w:val="2A8E8C"/>
          <w:rtl/>
        </w:rPr>
      </w:pPr>
      <w:r w:rsidRPr="009624B0">
        <w:rPr>
          <w:rFonts w:hint="cs"/>
          <w:b/>
          <w:bCs/>
          <w:color w:val="2A8E8C"/>
          <w:rtl/>
        </w:rPr>
        <w:t xml:space="preserve">הוצאת קטינים למרכז חירום </w:t>
      </w:r>
    </w:p>
    <w:p w14:paraId="10911B89" w14:textId="77D2194E" w:rsidR="009624B0" w:rsidRPr="009624B0" w:rsidRDefault="009624B0" w:rsidP="00A72247">
      <w:pPr>
        <w:pStyle w:val="Bauther"/>
        <w:keepNext/>
        <w:spacing w:before="0" w:after="240" w:line="280" w:lineRule="exact"/>
        <w:jc w:val="both"/>
        <w:rPr>
          <w:rFonts w:cs="Guttman Aharoni"/>
          <w:szCs w:val="20"/>
          <w:rtl/>
        </w:rPr>
      </w:pPr>
      <w:proofErr w:type="spellStart"/>
      <w:r w:rsidRPr="009624B0">
        <w:rPr>
          <w:rFonts w:cs="Guttman Aharoni"/>
          <w:szCs w:val="20"/>
          <w:rtl/>
        </w:rPr>
        <w:t>בעמ</w:t>
      </w:r>
      <w:proofErr w:type="spellEnd"/>
      <w:r w:rsidRPr="009624B0">
        <w:rPr>
          <w:rFonts w:cs="Guttman Aharoni"/>
          <w:szCs w:val="20"/>
          <w:rtl/>
        </w:rPr>
        <w:t xml:space="preserve"> 7597/23 </w:t>
      </w:r>
      <w:r w:rsidRPr="009624B0">
        <w:rPr>
          <w:rFonts w:cs="Guttman Aharoni"/>
          <w:b/>
          <w:bCs/>
          <w:szCs w:val="20"/>
          <w:rtl/>
        </w:rPr>
        <w:t>פלונית נ' עו"ס לחוק נוער ביתר</w:t>
      </w:r>
      <w:r w:rsidR="00A72247">
        <w:rPr>
          <w:rFonts w:cs="Guttman Aharoni" w:hint="cs"/>
          <w:b/>
          <w:bCs/>
          <w:szCs w:val="20"/>
          <w:rtl/>
        </w:rPr>
        <w:t xml:space="preserve"> </w:t>
      </w:r>
      <w:r w:rsidRPr="009624B0">
        <w:rPr>
          <w:rFonts w:cs="Guttman Aharoni"/>
          <w:b/>
          <w:bCs/>
          <w:szCs w:val="20"/>
          <w:rtl/>
        </w:rPr>
        <w:t>עילית</w:t>
      </w:r>
      <w:r w:rsidRPr="009624B0">
        <w:rPr>
          <w:rFonts w:cs="Guttman Aharoni" w:hint="cs"/>
          <w:b/>
          <w:bCs/>
          <w:szCs w:val="20"/>
          <w:rtl/>
        </w:rPr>
        <w:t>, פלוני ואחרים</w:t>
      </w:r>
      <w:r w:rsidRPr="009624B0">
        <w:rPr>
          <w:rFonts w:cs="Guttman Aharoni" w:hint="cs"/>
          <w:szCs w:val="20"/>
          <w:rtl/>
        </w:rPr>
        <w:t xml:space="preserve"> (</w:t>
      </w:r>
      <w:r w:rsidRPr="009624B0">
        <w:rPr>
          <w:rFonts w:cs="Guttman Aharoni"/>
          <w:szCs w:val="20"/>
          <w:rtl/>
        </w:rPr>
        <w:t xml:space="preserve">ניתן בבית משפט </w:t>
      </w:r>
      <w:r w:rsidRPr="009624B0">
        <w:rPr>
          <w:rFonts w:cs="Guttman Aharoni" w:hint="cs"/>
          <w:szCs w:val="20"/>
          <w:rtl/>
        </w:rPr>
        <w:t xml:space="preserve">העליון </w:t>
      </w:r>
      <w:r w:rsidRPr="009624B0">
        <w:rPr>
          <w:rFonts w:cs="Guttman Aharoni"/>
          <w:szCs w:val="20"/>
          <w:rtl/>
        </w:rPr>
        <w:t>ב</w:t>
      </w:r>
      <w:r w:rsidRPr="009624B0">
        <w:rPr>
          <w:rFonts w:ascii="David" w:hAnsi="David" w:cs="David"/>
          <w:szCs w:val="20"/>
          <w:rtl/>
        </w:rPr>
        <w:t>-</w:t>
      </w:r>
      <w:r w:rsidRPr="009624B0">
        <w:rPr>
          <w:rFonts w:cs="Guttman Aharoni" w:hint="cs"/>
          <w:szCs w:val="20"/>
          <w:rtl/>
        </w:rPr>
        <w:t>29 בנובמב</w:t>
      </w:r>
      <w:r w:rsidRPr="009624B0">
        <w:rPr>
          <w:rFonts w:cs="Guttman Aharoni" w:hint="eastAsia"/>
          <w:szCs w:val="20"/>
          <w:rtl/>
        </w:rPr>
        <w:t>ר</w:t>
      </w:r>
      <w:r w:rsidRPr="009624B0">
        <w:rPr>
          <w:rFonts w:cs="Guttman Aharoni" w:hint="cs"/>
          <w:szCs w:val="20"/>
          <w:rtl/>
        </w:rPr>
        <w:t xml:space="preserve"> </w:t>
      </w:r>
      <w:r w:rsidRPr="009624B0">
        <w:rPr>
          <w:rFonts w:cs="Guttman Aharoni"/>
          <w:szCs w:val="20"/>
          <w:rtl/>
        </w:rPr>
        <w:t>2023)</w:t>
      </w:r>
    </w:p>
    <w:p w14:paraId="29DA1C01" w14:textId="77777777" w:rsidR="009624B0" w:rsidRPr="009624B0" w:rsidRDefault="009624B0" w:rsidP="009624B0">
      <w:pPr>
        <w:spacing w:after="180" w:line="260" w:lineRule="exact"/>
        <w:jc w:val="both"/>
        <w:rPr>
          <w:rFonts w:ascii="Georgia" w:hAnsi="Georgia"/>
          <w:sz w:val="18"/>
          <w:szCs w:val="20"/>
          <w:rtl/>
        </w:rPr>
      </w:pPr>
      <w:r w:rsidRPr="009624B0">
        <w:rPr>
          <w:rFonts w:ascii="Georgia" w:hAnsi="Georgia" w:hint="cs"/>
          <w:sz w:val="18"/>
          <w:szCs w:val="20"/>
          <w:rtl/>
        </w:rPr>
        <w:t>המבקשת (האם) התגרשה</w:t>
      </w:r>
      <w:r w:rsidRPr="009624B0">
        <w:rPr>
          <w:rFonts w:ascii="Georgia" w:hAnsi="Georgia"/>
          <w:sz w:val="18"/>
          <w:szCs w:val="20"/>
          <w:rtl/>
        </w:rPr>
        <w:t xml:space="preserve"> </w:t>
      </w:r>
      <w:r w:rsidRPr="009624B0">
        <w:rPr>
          <w:rFonts w:ascii="Georgia" w:hAnsi="Georgia" w:hint="cs"/>
          <w:sz w:val="18"/>
          <w:szCs w:val="20"/>
          <w:rtl/>
        </w:rPr>
        <w:t>בשנת 2020 מבן זוגה. במסגרת הליכי קביעת המשמורת בבית המשפט לענייני משפחה נקבעו</w:t>
      </w:r>
      <w:r w:rsidRPr="009624B0">
        <w:rPr>
          <w:rFonts w:ascii="Georgia" w:hAnsi="Georgia"/>
          <w:sz w:val="18"/>
          <w:szCs w:val="20"/>
          <w:rtl/>
        </w:rPr>
        <w:t xml:space="preserve"> הסדרי משמורת וזמני שהות</w:t>
      </w:r>
      <w:r w:rsidRPr="009624B0">
        <w:rPr>
          <w:rFonts w:ascii="Georgia" w:hAnsi="Georgia" w:hint="cs"/>
          <w:sz w:val="18"/>
          <w:szCs w:val="20"/>
          <w:rtl/>
        </w:rPr>
        <w:t xml:space="preserve"> לילדיה</w:t>
      </w:r>
      <w:r w:rsidRPr="009624B0">
        <w:rPr>
          <w:rFonts w:ascii="Georgia" w:hAnsi="Georgia"/>
          <w:sz w:val="18"/>
          <w:szCs w:val="20"/>
          <w:rtl/>
        </w:rPr>
        <w:t>.</w:t>
      </w:r>
    </w:p>
    <w:p w14:paraId="2F7125E9" w14:textId="77777777" w:rsidR="009624B0" w:rsidRPr="009624B0" w:rsidRDefault="009624B0" w:rsidP="009624B0">
      <w:pPr>
        <w:spacing w:after="180" w:line="260" w:lineRule="exact"/>
        <w:jc w:val="both"/>
        <w:rPr>
          <w:rFonts w:ascii="Georgia" w:hAnsi="Georgia"/>
          <w:sz w:val="18"/>
          <w:szCs w:val="20"/>
          <w:rtl/>
        </w:rPr>
      </w:pPr>
      <w:r w:rsidRPr="009624B0">
        <w:rPr>
          <w:rFonts w:ascii="Georgia" w:hAnsi="Georgia"/>
          <w:sz w:val="18"/>
          <w:szCs w:val="20"/>
          <w:rtl/>
        </w:rPr>
        <w:t xml:space="preserve">במהלך ההליכים עלה כי זמני השהות </w:t>
      </w:r>
      <w:r w:rsidRPr="009624B0">
        <w:rPr>
          <w:rFonts w:ascii="Georgia" w:hAnsi="Georgia" w:hint="cs"/>
          <w:sz w:val="18"/>
          <w:szCs w:val="20"/>
          <w:rtl/>
        </w:rPr>
        <w:t>של שלושת ילדיה הקטינים</w:t>
      </w:r>
      <w:r w:rsidRPr="009624B0">
        <w:rPr>
          <w:rFonts w:ascii="Georgia" w:hAnsi="Georgia"/>
          <w:sz w:val="18"/>
          <w:szCs w:val="20"/>
          <w:rtl/>
        </w:rPr>
        <w:t xml:space="preserve"> אינם מתקיימים, ה</w:t>
      </w:r>
      <w:r w:rsidRPr="009624B0">
        <w:rPr>
          <w:rFonts w:ascii="Georgia" w:hAnsi="Georgia" w:hint="cs"/>
          <w:sz w:val="18"/>
          <w:szCs w:val="20"/>
          <w:rtl/>
        </w:rPr>
        <w:t>אם</w:t>
      </w:r>
      <w:r w:rsidRPr="009624B0">
        <w:rPr>
          <w:rFonts w:ascii="Georgia" w:hAnsi="Georgia"/>
          <w:sz w:val="18"/>
          <w:szCs w:val="20"/>
          <w:rtl/>
        </w:rPr>
        <w:t xml:space="preserve"> אינה משתפת פעולה עם התיאום ההורי</w:t>
      </w:r>
      <w:r w:rsidRPr="009624B0">
        <w:rPr>
          <w:rFonts w:ascii="Georgia" w:hAnsi="Georgia" w:hint="cs"/>
          <w:sz w:val="18"/>
          <w:szCs w:val="20"/>
          <w:rtl/>
        </w:rPr>
        <w:t>,</w:t>
      </w:r>
      <w:r w:rsidRPr="009624B0">
        <w:rPr>
          <w:rFonts w:ascii="Georgia" w:hAnsi="Georgia"/>
          <w:sz w:val="18"/>
          <w:szCs w:val="20"/>
          <w:rtl/>
        </w:rPr>
        <w:t xml:space="preserve"> והקטינים </w:t>
      </w:r>
      <w:r w:rsidRPr="009624B0">
        <w:rPr>
          <w:rFonts w:ascii="Georgia" w:hAnsi="Georgia" w:hint="cs"/>
          <w:sz w:val="18"/>
          <w:szCs w:val="20"/>
          <w:rtl/>
        </w:rPr>
        <w:t xml:space="preserve">נתונים </w:t>
      </w:r>
      <w:r w:rsidRPr="009624B0">
        <w:rPr>
          <w:rFonts w:ascii="Georgia" w:hAnsi="Georgia"/>
          <w:sz w:val="18"/>
          <w:szCs w:val="20"/>
          <w:rtl/>
        </w:rPr>
        <w:t>בסיכון התפתחותי.</w:t>
      </w:r>
      <w:r w:rsidRPr="009624B0">
        <w:rPr>
          <w:rFonts w:ascii="Georgia" w:hAnsi="Georgia" w:hint="cs"/>
          <w:sz w:val="18"/>
          <w:szCs w:val="20"/>
          <w:rtl/>
        </w:rPr>
        <w:t xml:space="preserve"> לפיכך, בית המשפט לענייני</w:t>
      </w:r>
      <w:r w:rsidRPr="009624B0">
        <w:rPr>
          <w:rFonts w:ascii="Georgia" w:hAnsi="Georgia"/>
          <w:sz w:val="18"/>
          <w:szCs w:val="20"/>
          <w:rtl/>
        </w:rPr>
        <w:t xml:space="preserve"> למשפחה הורה להוציא את הקטינים למרכז חירום לצורך אבחון. ניסיון לבצע אבחון בקהילה נכשל בשל חוסר שיתוף פעולה של המבקשת.</w:t>
      </w:r>
      <w:r w:rsidRPr="009624B0">
        <w:rPr>
          <w:rFonts w:ascii="Georgia" w:hAnsi="Georgia" w:hint="cs"/>
          <w:sz w:val="18"/>
          <w:szCs w:val="20"/>
          <w:rtl/>
        </w:rPr>
        <w:t xml:space="preserve"> לבסוף, בית המשפט לענייני</w:t>
      </w:r>
      <w:r w:rsidRPr="009624B0">
        <w:rPr>
          <w:rFonts w:ascii="Georgia" w:hAnsi="Georgia"/>
          <w:sz w:val="18"/>
          <w:szCs w:val="20"/>
          <w:rtl/>
        </w:rPr>
        <w:t xml:space="preserve"> למשפחה אימץ </w:t>
      </w:r>
      <w:r w:rsidRPr="009624B0">
        <w:rPr>
          <w:rFonts w:ascii="Georgia" w:hAnsi="Georgia" w:hint="cs"/>
          <w:sz w:val="18"/>
          <w:szCs w:val="20"/>
          <w:rtl/>
        </w:rPr>
        <w:t xml:space="preserve">את </w:t>
      </w:r>
      <w:r w:rsidRPr="009624B0">
        <w:rPr>
          <w:rFonts w:ascii="Georgia" w:hAnsi="Georgia"/>
          <w:sz w:val="18"/>
          <w:szCs w:val="20"/>
          <w:rtl/>
        </w:rPr>
        <w:t xml:space="preserve">המלצת גורמי </w:t>
      </w:r>
      <w:r w:rsidRPr="009624B0">
        <w:rPr>
          <w:rFonts w:ascii="Georgia" w:hAnsi="Georgia" w:hint="cs"/>
          <w:sz w:val="18"/>
          <w:szCs w:val="20"/>
          <w:rtl/>
        </w:rPr>
        <w:t>ה</w:t>
      </w:r>
      <w:r w:rsidRPr="009624B0">
        <w:rPr>
          <w:rFonts w:ascii="Georgia" w:hAnsi="Georgia"/>
          <w:sz w:val="18"/>
          <w:szCs w:val="20"/>
          <w:rtl/>
        </w:rPr>
        <w:t>מקצוע והורה על הוצאת הקטינים למרכז חירום ל</w:t>
      </w:r>
      <w:r w:rsidRPr="009624B0">
        <w:rPr>
          <w:rFonts w:ascii="Georgia" w:hAnsi="Georgia" w:hint="cs"/>
          <w:sz w:val="18"/>
          <w:szCs w:val="20"/>
          <w:rtl/>
        </w:rPr>
        <w:t xml:space="preserve">שלושה </w:t>
      </w:r>
      <w:r w:rsidRPr="009624B0">
        <w:rPr>
          <w:rFonts w:ascii="Georgia" w:hAnsi="Georgia"/>
          <w:sz w:val="18"/>
          <w:szCs w:val="20"/>
          <w:rtl/>
        </w:rPr>
        <w:t>חודשים</w:t>
      </w:r>
      <w:r w:rsidRPr="009624B0">
        <w:rPr>
          <w:rFonts w:ascii="Georgia" w:hAnsi="Georgia" w:hint="cs"/>
          <w:sz w:val="18"/>
          <w:szCs w:val="20"/>
          <w:rtl/>
        </w:rPr>
        <w:t xml:space="preserve"> </w:t>
      </w:r>
      <w:r w:rsidRPr="009624B0">
        <w:rPr>
          <w:rFonts w:ascii="Georgia" w:hAnsi="Georgia"/>
          <w:sz w:val="18"/>
          <w:szCs w:val="20"/>
          <w:rtl/>
        </w:rPr>
        <w:lastRenderedPageBreak/>
        <w:t xml:space="preserve">לשם ביצוע האבחון. המבקשת ערערה </w:t>
      </w:r>
      <w:r w:rsidRPr="009624B0">
        <w:rPr>
          <w:rFonts w:ascii="Georgia" w:hAnsi="Georgia" w:hint="cs"/>
          <w:sz w:val="18"/>
          <w:szCs w:val="20"/>
          <w:rtl/>
        </w:rPr>
        <w:t xml:space="preserve">על החלטת בית המשפט לענייני משפחה בפני בית המשפט המחוזי, </w:t>
      </w:r>
      <w:r w:rsidRPr="009624B0">
        <w:rPr>
          <w:rFonts w:ascii="Georgia" w:hAnsi="Georgia"/>
          <w:sz w:val="18"/>
          <w:szCs w:val="20"/>
          <w:rtl/>
        </w:rPr>
        <w:t>ללא הצלחה</w:t>
      </w:r>
      <w:r w:rsidRPr="009624B0">
        <w:rPr>
          <w:rFonts w:ascii="Georgia" w:hAnsi="Georgia" w:hint="cs"/>
          <w:sz w:val="18"/>
          <w:szCs w:val="20"/>
          <w:rtl/>
        </w:rPr>
        <w:t>, ומכאן הערעור.</w:t>
      </w:r>
    </w:p>
    <w:p w14:paraId="22C8236E" w14:textId="77A860E4" w:rsidR="009624B0" w:rsidRPr="009624B0" w:rsidRDefault="009624B0" w:rsidP="009624B0">
      <w:pPr>
        <w:spacing w:after="180" w:line="260" w:lineRule="exact"/>
        <w:jc w:val="both"/>
        <w:rPr>
          <w:rFonts w:ascii="Georgia" w:hAnsi="Georgia"/>
          <w:sz w:val="18"/>
          <w:szCs w:val="20"/>
          <w:rtl/>
        </w:rPr>
      </w:pPr>
      <w:r w:rsidRPr="009624B0">
        <w:rPr>
          <w:rFonts w:ascii="Georgia" w:hAnsi="Georgia" w:hint="cs"/>
          <w:sz w:val="18"/>
          <w:szCs w:val="20"/>
          <w:rtl/>
        </w:rPr>
        <w:t>האם טענה כי הוצאה ילדיה פוגעת בזכותה ההורית, וכי לא נבדקו החלופות והתנאים למתן צו ביניים בהתאם לסעיף 12 לחוק הנוער (טיפול והשגחה), התש"ך-1960, ולפיו "</w:t>
      </w:r>
      <w:r w:rsidRPr="009624B0">
        <w:rPr>
          <w:rFonts w:ascii="Georgia" w:hAnsi="Georgia"/>
          <w:color w:val="000000"/>
          <w:sz w:val="18"/>
          <w:szCs w:val="20"/>
          <w:shd w:val="clear" w:color="auto" w:fill="FFFFFF"/>
          <w:rtl/>
        </w:rPr>
        <w:t>רשאי בית המשפט בהחלטת ביניים, אף לפני שמיעת הקטין או האחראי עליו ולפני קבלת תסקיר, להורות על נקיטת אמצעים זמניים לגבי הקטין ולאשר אמצעי חירום שננקטו לגביו על ידי עובד סוציאלי לפי חוק הנוער (טיפול והשגח</w:t>
      </w:r>
      <w:r w:rsidRPr="009624B0">
        <w:rPr>
          <w:rFonts w:ascii="Georgia" w:hAnsi="Georgia"/>
          <w:sz w:val="18"/>
          <w:szCs w:val="20"/>
          <w:rtl/>
        </w:rPr>
        <w:t>ה</w:t>
      </w:r>
      <w:r w:rsidRPr="009624B0">
        <w:rPr>
          <w:rFonts w:ascii="Georgia" w:hAnsi="Georgia" w:hint="cs"/>
          <w:sz w:val="18"/>
          <w:szCs w:val="20"/>
          <w:rtl/>
        </w:rPr>
        <w:t>)</w:t>
      </w:r>
      <w:r w:rsidR="00A72247">
        <w:rPr>
          <w:rFonts w:ascii="Georgia" w:hAnsi="Georgia" w:hint="cs"/>
          <w:sz w:val="18"/>
          <w:szCs w:val="20"/>
          <w:rtl/>
        </w:rPr>
        <w:t>"</w:t>
      </w:r>
      <w:r w:rsidRPr="009624B0">
        <w:rPr>
          <w:rFonts w:ascii="Georgia" w:hAnsi="Georgia" w:hint="cs"/>
          <w:sz w:val="18"/>
          <w:szCs w:val="20"/>
          <w:rtl/>
        </w:rPr>
        <w:t>.</w:t>
      </w:r>
    </w:p>
    <w:p w14:paraId="7303E6E2" w14:textId="77777777" w:rsidR="009624B0" w:rsidRPr="009624B0" w:rsidRDefault="009624B0" w:rsidP="009624B0">
      <w:pPr>
        <w:spacing w:after="180" w:line="260" w:lineRule="exact"/>
        <w:jc w:val="both"/>
        <w:rPr>
          <w:rFonts w:ascii="Georgia" w:hAnsi="Georgia"/>
          <w:sz w:val="18"/>
          <w:szCs w:val="20"/>
          <w:rtl/>
        </w:rPr>
      </w:pPr>
      <w:r w:rsidRPr="009624B0">
        <w:rPr>
          <w:rFonts w:ascii="Georgia" w:hAnsi="Georgia" w:hint="cs"/>
          <w:sz w:val="18"/>
          <w:szCs w:val="20"/>
          <w:rtl/>
        </w:rPr>
        <w:t xml:space="preserve">המשיבים טענו כי </w:t>
      </w:r>
      <w:r w:rsidRPr="009624B0">
        <w:rPr>
          <w:rFonts w:ascii="Georgia" w:hAnsi="Georgia"/>
          <w:sz w:val="18"/>
          <w:szCs w:val="20"/>
          <w:rtl/>
        </w:rPr>
        <w:t>גורמי מקצוע המליצו פה אחד על הוצאה למרכז חירום</w:t>
      </w:r>
      <w:r w:rsidRPr="009624B0">
        <w:rPr>
          <w:rFonts w:ascii="Georgia" w:hAnsi="Georgia" w:hint="cs"/>
          <w:sz w:val="18"/>
          <w:szCs w:val="20"/>
          <w:rtl/>
        </w:rPr>
        <w:t>,</w:t>
      </w:r>
      <w:r w:rsidRPr="009624B0">
        <w:rPr>
          <w:rFonts w:ascii="Georgia" w:hAnsi="Georgia"/>
          <w:sz w:val="18"/>
          <w:szCs w:val="20"/>
          <w:rtl/>
        </w:rPr>
        <w:t xml:space="preserve"> </w:t>
      </w:r>
      <w:r w:rsidRPr="009624B0">
        <w:rPr>
          <w:rFonts w:ascii="Georgia" w:hAnsi="Georgia" w:hint="cs"/>
          <w:sz w:val="18"/>
          <w:szCs w:val="20"/>
          <w:rtl/>
        </w:rPr>
        <w:t>וש</w:t>
      </w:r>
      <w:r w:rsidRPr="009624B0">
        <w:rPr>
          <w:rFonts w:ascii="Georgia" w:hAnsi="Georgia"/>
          <w:sz w:val="18"/>
          <w:szCs w:val="20"/>
          <w:rtl/>
        </w:rPr>
        <w:t>ניתנו למבקשת הזדמנויות רבות לשתף פעולה</w:t>
      </w:r>
      <w:r w:rsidRPr="009624B0">
        <w:rPr>
          <w:rFonts w:ascii="Georgia" w:hAnsi="Georgia" w:hint="cs"/>
          <w:sz w:val="18"/>
          <w:szCs w:val="20"/>
          <w:rtl/>
        </w:rPr>
        <w:t xml:space="preserve"> עם אבחון בקהילה, ללא הצלחה.</w:t>
      </w:r>
    </w:p>
    <w:p w14:paraId="77BD6795" w14:textId="77777777" w:rsidR="009624B0" w:rsidRPr="009624B0" w:rsidRDefault="009624B0" w:rsidP="009624B0">
      <w:pPr>
        <w:spacing w:after="180" w:line="260" w:lineRule="exact"/>
        <w:jc w:val="both"/>
        <w:rPr>
          <w:rFonts w:ascii="Georgia" w:hAnsi="Georgia"/>
          <w:sz w:val="18"/>
          <w:szCs w:val="20"/>
          <w:rtl/>
        </w:rPr>
      </w:pPr>
      <w:r w:rsidRPr="009624B0">
        <w:rPr>
          <w:rFonts w:ascii="Georgia" w:hAnsi="Georgia" w:hint="cs"/>
          <w:sz w:val="18"/>
          <w:szCs w:val="20"/>
          <w:rtl/>
        </w:rPr>
        <w:t xml:space="preserve">בפסק הדין שכתבה השופטת יעל </w:t>
      </w:r>
      <w:proofErr w:type="spellStart"/>
      <w:r w:rsidRPr="009624B0">
        <w:rPr>
          <w:rFonts w:ascii="Georgia" w:hAnsi="Georgia" w:hint="cs"/>
          <w:sz w:val="18"/>
          <w:szCs w:val="20"/>
          <w:rtl/>
        </w:rPr>
        <w:t>וילנר</w:t>
      </w:r>
      <w:proofErr w:type="spellEnd"/>
      <w:r w:rsidRPr="009624B0">
        <w:rPr>
          <w:rFonts w:ascii="Georgia" w:hAnsi="Georgia" w:hint="cs"/>
          <w:sz w:val="18"/>
          <w:szCs w:val="20"/>
          <w:rtl/>
        </w:rPr>
        <w:t xml:space="preserve"> נקבע</w:t>
      </w:r>
      <w:r w:rsidRPr="009624B0">
        <w:rPr>
          <w:rFonts w:ascii="Georgia" w:hAnsi="Georgia"/>
          <w:sz w:val="18"/>
          <w:szCs w:val="20"/>
          <w:rtl/>
        </w:rPr>
        <w:t xml:space="preserve"> כי הבקשה אינה עומדת בתנאים המצומצמים למתן רשות ערעור בגלגול שלישי</w:t>
      </w:r>
      <w:r w:rsidRPr="009624B0">
        <w:rPr>
          <w:rFonts w:ascii="Georgia" w:hAnsi="Georgia" w:hint="cs"/>
          <w:sz w:val="18"/>
          <w:szCs w:val="20"/>
          <w:rtl/>
        </w:rPr>
        <w:t>:</w:t>
      </w:r>
      <w:r w:rsidRPr="009624B0">
        <w:rPr>
          <w:rFonts w:ascii="Georgia" w:hAnsi="Georgia"/>
          <w:sz w:val="18"/>
          <w:szCs w:val="20"/>
          <w:rtl/>
        </w:rPr>
        <w:t xml:space="preserve"> היא אינה מעלה שאלה משפטית עקרונית</w:t>
      </w:r>
      <w:r w:rsidRPr="009624B0">
        <w:rPr>
          <w:rFonts w:ascii="Georgia" w:hAnsi="Georgia" w:hint="cs"/>
          <w:sz w:val="18"/>
          <w:szCs w:val="20"/>
          <w:rtl/>
        </w:rPr>
        <w:t>,</w:t>
      </w:r>
      <w:r w:rsidRPr="009624B0">
        <w:rPr>
          <w:rFonts w:ascii="Georgia" w:hAnsi="Georgia"/>
          <w:sz w:val="18"/>
          <w:szCs w:val="20"/>
          <w:rtl/>
        </w:rPr>
        <w:t xml:space="preserve"> ואין חשש לעיוות דין.</w:t>
      </w:r>
      <w:r w:rsidRPr="009624B0">
        <w:rPr>
          <w:rFonts w:ascii="Georgia" w:hAnsi="Georgia" w:hint="cs"/>
          <w:sz w:val="18"/>
          <w:szCs w:val="20"/>
          <w:rtl/>
        </w:rPr>
        <w:t xml:space="preserve"> אומנם השופטת הכירה</w:t>
      </w:r>
      <w:r w:rsidRPr="009624B0">
        <w:rPr>
          <w:rFonts w:ascii="Georgia" w:hAnsi="Georgia"/>
          <w:sz w:val="18"/>
          <w:szCs w:val="20"/>
          <w:rtl/>
        </w:rPr>
        <w:t xml:space="preserve"> בכך שהוצאת ילדים ממשמורת הוריהם היא צעד קיצוני</w:t>
      </w:r>
      <w:r w:rsidRPr="009624B0">
        <w:rPr>
          <w:rFonts w:ascii="Georgia" w:hAnsi="Georgia" w:hint="cs"/>
          <w:sz w:val="18"/>
          <w:szCs w:val="20"/>
          <w:rtl/>
        </w:rPr>
        <w:t>,</w:t>
      </w:r>
      <w:r w:rsidRPr="009624B0">
        <w:rPr>
          <w:rFonts w:ascii="Georgia" w:hAnsi="Georgia"/>
          <w:sz w:val="18"/>
          <w:szCs w:val="20"/>
          <w:rtl/>
        </w:rPr>
        <w:t xml:space="preserve"> אולם במקרה זה ההחלטה התקבלה ל</w:t>
      </w:r>
      <w:r w:rsidRPr="009624B0">
        <w:rPr>
          <w:rFonts w:ascii="Georgia" w:hAnsi="Georgia" w:hint="cs"/>
          <w:sz w:val="18"/>
          <w:szCs w:val="20"/>
          <w:rtl/>
        </w:rPr>
        <w:t>אור</w:t>
      </w:r>
      <w:r w:rsidRPr="009624B0">
        <w:rPr>
          <w:rFonts w:ascii="Georgia" w:hAnsi="Georgia"/>
          <w:sz w:val="18"/>
          <w:szCs w:val="20"/>
          <w:rtl/>
        </w:rPr>
        <w:t xml:space="preserve"> המלצות חד-משמעיות של כל גורמי המקצוע, לאחר שניסיונות קודמים לבצע אבחון בקהילה נכשלו בשל חוסר שיתוף פעולה מצד המבקשת.</w:t>
      </w:r>
      <w:r w:rsidRPr="009624B0">
        <w:rPr>
          <w:rFonts w:ascii="Georgia" w:hAnsi="Georgia" w:hint="cs"/>
          <w:sz w:val="18"/>
          <w:szCs w:val="20"/>
          <w:rtl/>
        </w:rPr>
        <w:t xml:space="preserve"> עוד קבע</w:t>
      </w:r>
      <w:r w:rsidRPr="009624B0">
        <w:rPr>
          <w:rFonts w:ascii="Georgia" w:hAnsi="Georgia"/>
          <w:sz w:val="18"/>
          <w:szCs w:val="20"/>
          <w:rtl/>
        </w:rPr>
        <w:t xml:space="preserve"> בית המשפט שהעיכוב בביצוע האבחון פוגע בקטינים באופן ממשי. לפיכך, ההחלטה להוציא את הקטינים למרכז חירום לשם ביצוע האבחון </w:t>
      </w:r>
      <w:proofErr w:type="spellStart"/>
      <w:r w:rsidRPr="009624B0">
        <w:rPr>
          <w:rFonts w:ascii="Georgia" w:hAnsi="Georgia"/>
          <w:sz w:val="18"/>
          <w:szCs w:val="20"/>
          <w:rtl/>
        </w:rPr>
        <w:t>היתה</w:t>
      </w:r>
      <w:proofErr w:type="spellEnd"/>
      <w:r w:rsidRPr="009624B0">
        <w:rPr>
          <w:rFonts w:ascii="Georgia" w:hAnsi="Georgia"/>
          <w:sz w:val="18"/>
          <w:szCs w:val="20"/>
          <w:rtl/>
        </w:rPr>
        <w:t xml:space="preserve"> מוצדקת.</w:t>
      </w:r>
    </w:p>
    <w:p w14:paraId="383BA628" w14:textId="77777777" w:rsidR="009624B0" w:rsidRPr="00DE368F" w:rsidRDefault="009624B0" w:rsidP="00DE368F">
      <w:pPr>
        <w:spacing w:after="180" w:line="260" w:lineRule="exact"/>
        <w:jc w:val="both"/>
        <w:rPr>
          <w:rFonts w:ascii="Georgia" w:hAnsi="Georgia"/>
          <w:sz w:val="18"/>
          <w:szCs w:val="20"/>
          <w:rtl/>
        </w:rPr>
      </w:pPr>
    </w:p>
    <w:p w14:paraId="63621D14" w14:textId="77777777" w:rsidR="009624B0" w:rsidRPr="009624B0" w:rsidRDefault="009624B0" w:rsidP="009624B0">
      <w:pPr>
        <w:pStyle w:val="KOT4"/>
        <w:spacing w:after="240"/>
        <w:ind w:right="0"/>
        <w:rPr>
          <w:rFonts w:cs="Guttman Aharoni"/>
          <w:color w:val="2A8E8C"/>
          <w:sz w:val="32"/>
          <w:szCs w:val="32"/>
          <w:rtl/>
        </w:rPr>
      </w:pPr>
      <w:r w:rsidRPr="009624B0">
        <w:rPr>
          <w:rFonts w:cs="Guttman Aharoni"/>
          <w:color w:val="2A8E8C"/>
          <w:sz w:val="32"/>
          <w:szCs w:val="32"/>
          <w:rtl/>
        </w:rPr>
        <w:t>חידושי חקיקה</w:t>
      </w:r>
    </w:p>
    <w:p w14:paraId="46026C38" w14:textId="77777777" w:rsidR="009624B0" w:rsidRPr="009624B0" w:rsidRDefault="009624B0" w:rsidP="009624B0">
      <w:pPr>
        <w:pStyle w:val="KOT5"/>
        <w:spacing w:after="240"/>
        <w:jc w:val="both"/>
        <w:rPr>
          <w:b/>
          <w:bCs/>
          <w:color w:val="2A8E8C"/>
          <w:rtl/>
        </w:rPr>
      </w:pPr>
      <w:r w:rsidRPr="009624B0">
        <w:rPr>
          <w:b/>
          <w:bCs/>
          <w:color w:val="2A8E8C"/>
          <w:rtl/>
        </w:rPr>
        <w:t>חוק הגנה על מענקים מיוחדים (חרבות ברזל), תשפ"ד</w:t>
      </w:r>
      <w:r w:rsidRPr="009624B0">
        <w:rPr>
          <w:rFonts w:ascii="David" w:hAnsi="David" w:cs="David"/>
          <w:b/>
          <w:bCs/>
          <w:color w:val="2A8E8C"/>
          <w:rtl/>
        </w:rPr>
        <w:t>-</w:t>
      </w:r>
      <w:r w:rsidRPr="009624B0">
        <w:rPr>
          <w:b/>
          <w:bCs/>
          <w:color w:val="2A8E8C"/>
          <w:rtl/>
        </w:rPr>
        <w:t>2023</w:t>
      </w:r>
    </w:p>
    <w:p w14:paraId="65FE8605" w14:textId="77777777" w:rsidR="009624B0" w:rsidRPr="00C351D9" w:rsidRDefault="009624B0" w:rsidP="009624B0">
      <w:pPr>
        <w:spacing w:after="180" w:line="260" w:lineRule="exact"/>
        <w:jc w:val="both"/>
        <w:rPr>
          <w:rFonts w:ascii="Georgia" w:hAnsi="Georgia"/>
          <w:spacing w:val="-2"/>
          <w:sz w:val="18"/>
          <w:szCs w:val="20"/>
          <w:rtl/>
        </w:rPr>
      </w:pPr>
      <w:r w:rsidRPr="00C351D9">
        <w:rPr>
          <w:rFonts w:ascii="Georgia" w:hAnsi="Georgia"/>
          <w:spacing w:val="-2"/>
          <w:sz w:val="18"/>
          <w:szCs w:val="20"/>
          <w:rtl/>
        </w:rPr>
        <w:t xml:space="preserve">חוק הגנה על מענקים מיוחדים נחקק במטרה להגן על מענקים מיוחדים שמשולמים בעקבות מבצע </w:t>
      </w:r>
      <w:r w:rsidRPr="00C351D9">
        <w:rPr>
          <w:rFonts w:ascii="Georgia" w:hAnsi="Georgia" w:hint="cs"/>
          <w:spacing w:val="-2"/>
          <w:sz w:val="18"/>
          <w:szCs w:val="20"/>
          <w:rtl/>
        </w:rPr>
        <w:t>"</w:t>
      </w:r>
      <w:r w:rsidRPr="00C351D9">
        <w:rPr>
          <w:rFonts w:ascii="Georgia" w:hAnsi="Georgia"/>
          <w:spacing w:val="-2"/>
          <w:sz w:val="18"/>
          <w:szCs w:val="20"/>
          <w:rtl/>
        </w:rPr>
        <w:t>חרבות ברזל</w:t>
      </w:r>
      <w:r w:rsidRPr="00C351D9">
        <w:rPr>
          <w:rFonts w:ascii="Georgia" w:hAnsi="Georgia" w:hint="cs"/>
          <w:spacing w:val="-2"/>
          <w:sz w:val="18"/>
          <w:szCs w:val="20"/>
          <w:rtl/>
        </w:rPr>
        <w:t>"</w:t>
      </w:r>
      <w:r w:rsidRPr="00C351D9">
        <w:rPr>
          <w:rFonts w:ascii="Georgia" w:hAnsi="Georgia"/>
          <w:spacing w:val="-2"/>
          <w:sz w:val="18"/>
          <w:szCs w:val="20"/>
          <w:rtl/>
        </w:rPr>
        <w:t xml:space="preserve">. החוק קובע כי זכות למענקים המפורטים בתוספת לחוק, </w:t>
      </w:r>
      <w:r w:rsidRPr="00C351D9">
        <w:rPr>
          <w:rFonts w:ascii="Georgia" w:hAnsi="Georgia" w:hint="cs"/>
          <w:spacing w:val="-2"/>
          <w:sz w:val="18"/>
          <w:szCs w:val="20"/>
          <w:rtl/>
        </w:rPr>
        <w:t xml:space="preserve">דוגמת </w:t>
      </w:r>
      <w:r w:rsidRPr="00C351D9">
        <w:rPr>
          <w:rFonts w:ascii="Georgia" w:hAnsi="Georgia"/>
          <w:spacing w:val="-2"/>
          <w:sz w:val="18"/>
          <w:szCs w:val="20"/>
          <w:rtl/>
        </w:rPr>
        <w:t>מענק למפונים או לבני משפחה של חטופים ונעדרים, אינה ניתנת להעברה, לשעבוד או לעיקול. ההגנות חלות גם על מענק שכבר שולם ב</w:t>
      </w:r>
      <w:r w:rsidRPr="00C351D9">
        <w:rPr>
          <w:rFonts w:ascii="Georgia" w:hAnsi="Georgia" w:hint="cs"/>
          <w:spacing w:val="-2"/>
          <w:sz w:val="18"/>
          <w:szCs w:val="20"/>
          <w:rtl/>
        </w:rPr>
        <w:t>תשעים</w:t>
      </w:r>
      <w:r w:rsidRPr="00C351D9">
        <w:rPr>
          <w:rFonts w:ascii="Georgia" w:hAnsi="Georgia"/>
          <w:spacing w:val="-2"/>
          <w:sz w:val="18"/>
          <w:szCs w:val="20"/>
          <w:rtl/>
        </w:rPr>
        <w:t xml:space="preserve"> הימים שלאחר התשלום. שר האוצר ושר המשפטים רשאים לשנות את התוספת ולקבוע תנאים ומגבלות.</w:t>
      </w:r>
      <w:r w:rsidRPr="00C351D9">
        <w:rPr>
          <w:rFonts w:ascii="Georgia" w:hAnsi="Georgia" w:hint="cs"/>
          <w:spacing w:val="-2"/>
          <w:sz w:val="18"/>
          <w:szCs w:val="20"/>
          <w:rtl/>
        </w:rPr>
        <w:t xml:space="preserve"> </w:t>
      </w:r>
      <w:r w:rsidRPr="00C351D9">
        <w:rPr>
          <w:rFonts w:ascii="Georgia" w:hAnsi="Georgia"/>
          <w:spacing w:val="-2"/>
          <w:sz w:val="18"/>
          <w:szCs w:val="20"/>
          <w:rtl/>
        </w:rPr>
        <w:t>החוק כולל גם הוראות שעה המרחיבות את ההגנות על גמלאות ותגמולים נוספים המשולמים על ידי המוסד לביטוח לאומי או משרד הביטחון.</w:t>
      </w:r>
    </w:p>
    <w:p w14:paraId="70685A4F" w14:textId="77777777" w:rsidR="009624B0" w:rsidRPr="009624B0" w:rsidRDefault="009624B0" w:rsidP="009624B0">
      <w:pPr>
        <w:spacing w:after="180" w:line="260" w:lineRule="exact"/>
        <w:jc w:val="both"/>
        <w:rPr>
          <w:rFonts w:ascii="Georgia" w:hAnsi="Georgia"/>
          <w:sz w:val="18"/>
          <w:szCs w:val="20"/>
          <w:rtl/>
        </w:rPr>
      </w:pPr>
    </w:p>
    <w:p w14:paraId="6E5D8980" w14:textId="77777777" w:rsidR="009624B0" w:rsidRPr="009624B0" w:rsidRDefault="009624B0" w:rsidP="009624B0">
      <w:pPr>
        <w:pStyle w:val="KOT5"/>
        <w:spacing w:after="240"/>
        <w:jc w:val="both"/>
        <w:rPr>
          <w:b/>
          <w:bCs/>
          <w:color w:val="2A8E8C"/>
          <w:rtl/>
        </w:rPr>
      </w:pPr>
      <w:r w:rsidRPr="009624B0">
        <w:rPr>
          <w:b/>
          <w:bCs/>
          <w:color w:val="2A8E8C"/>
          <w:rtl/>
        </w:rPr>
        <w:t>חוק הארכת תקופות ודחיית מועדים (הוראת שעה</w:t>
      </w:r>
      <w:r w:rsidRPr="009624B0">
        <w:rPr>
          <w:rFonts w:hint="cs"/>
          <w:b/>
          <w:bCs/>
          <w:color w:val="2A8E8C"/>
          <w:rtl/>
        </w:rPr>
        <w:t xml:space="preserve"> </w:t>
      </w:r>
      <w:r w:rsidRPr="009624B0">
        <w:rPr>
          <w:b/>
          <w:bCs/>
          <w:color w:val="2A8E8C"/>
          <w:rtl/>
        </w:rPr>
        <w:t>–</w:t>
      </w:r>
      <w:r w:rsidRPr="009624B0">
        <w:rPr>
          <w:rFonts w:hint="cs"/>
          <w:b/>
          <w:bCs/>
          <w:color w:val="2A8E8C"/>
          <w:rtl/>
        </w:rPr>
        <w:t xml:space="preserve"> </w:t>
      </w:r>
      <w:r w:rsidRPr="009624B0">
        <w:rPr>
          <w:b/>
          <w:bCs/>
          <w:color w:val="2A8E8C"/>
          <w:rtl/>
        </w:rPr>
        <w:t>חרבות ברזל) (אישורים רגולטוריים, עיצומים כספיים ובדיקות מתקני גז), תשפ"ד</w:t>
      </w:r>
      <w:r w:rsidRPr="009624B0">
        <w:rPr>
          <w:rFonts w:ascii="David" w:hAnsi="David" w:cs="David"/>
          <w:b/>
          <w:bCs/>
          <w:color w:val="2A8E8C"/>
          <w:rtl/>
        </w:rPr>
        <w:t>-</w:t>
      </w:r>
      <w:r w:rsidRPr="009624B0">
        <w:rPr>
          <w:b/>
          <w:bCs/>
          <w:color w:val="2A8E8C"/>
          <w:rtl/>
        </w:rPr>
        <w:t>2023</w:t>
      </w:r>
    </w:p>
    <w:p w14:paraId="3BE1954F" w14:textId="075FA2C0" w:rsidR="009624B0" w:rsidRPr="009624B0" w:rsidRDefault="009624B0" w:rsidP="00C351D9">
      <w:pPr>
        <w:spacing w:after="180" w:line="260" w:lineRule="exact"/>
        <w:jc w:val="both"/>
        <w:rPr>
          <w:rFonts w:ascii="Georgia" w:hAnsi="Georgia"/>
          <w:sz w:val="18"/>
          <w:szCs w:val="20"/>
          <w:rtl/>
        </w:rPr>
      </w:pPr>
      <w:r w:rsidRPr="009624B0">
        <w:rPr>
          <w:rFonts w:ascii="Georgia" w:hAnsi="Georgia"/>
          <w:sz w:val="18"/>
          <w:szCs w:val="20"/>
          <w:rtl/>
        </w:rPr>
        <w:t xml:space="preserve">חוק זה נועד להקל על הציבור בעקבות </w:t>
      </w:r>
      <w:r w:rsidRPr="009624B0">
        <w:rPr>
          <w:rFonts w:ascii="Georgia" w:hAnsi="Georgia" w:hint="cs"/>
          <w:sz w:val="18"/>
          <w:szCs w:val="20"/>
          <w:rtl/>
        </w:rPr>
        <w:t>"</w:t>
      </w:r>
      <w:r w:rsidRPr="009624B0">
        <w:rPr>
          <w:rFonts w:ascii="Georgia" w:hAnsi="Georgia"/>
          <w:sz w:val="18"/>
          <w:szCs w:val="20"/>
          <w:rtl/>
        </w:rPr>
        <w:t>מבצע חרבות ברזל</w:t>
      </w:r>
      <w:r w:rsidRPr="009624B0">
        <w:rPr>
          <w:rFonts w:ascii="Georgia" w:hAnsi="Georgia" w:hint="cs"/>
          <w:sz w:val="18"/>
          <w:szCs w:val="20"/>
          <w:rtl/>
        </w:rPr>
        <w:t>"</w:t>
      </w:r>
      <w:r w:rsidRPr="009624B0">
        <w:rPr>
          <w:rFonts w:ascii="Georgia" w:hAnsi="Georgia"/>
          <w:sz w:val="18"/>
          <w:szCs w:val="20"/>
          <w:rtl/>
        </w:rPr>
        <w:t xml:space="preserve"> </w:t>
      </w:r>
      <w:r w:rsidRPr="009624B0">
        <w:rPr>
          <w:rFonts w:ascii="Georgia" w:hAnsi="Georgia" w:hint="cs"/>
          <w:sz w:val="18"/>
          <w:szCs w:val="20"/>
          <w:rtl/>
        </w:rPr>
        <w:t xml:space="preserve">באמצעות </w:t>
      </w:r>
      <w:r w:rsidRPr="009624B0">
        <w:rPr>
          <w:rFonts w:ascii="Georgia" w:hAnsi="Georgia"/>
          <w:sz w:val="18"/>
          <w:szCs w:val="20"/>
          <w:rtl/>
        </w:rPr>
        <w:t>הארכת תוק</w:t>
      </w:r>
      <w:r w:rsidRPr="009624B0">
        <w:rPr>
          <w:rFonts w:ascii="Georgia" w:hAnsi="Georgia" w:hint="cs"/>
          <w:sz w:val="18"/>
          <w:szCs w:val="20"/>
          <w:rtl/>
        </w:rPr>
        <w:t>פם של</w:t>
      </w:r>
      <w:r w:rsidRPr="009624B0">
        <w:rPr>
          <w:rFonts w:ascii="Georgia" w:hAnsi="Georgia"/>
          <w:sz w:val="18"/>
          <w:szCs w:val="20"/>
          <w:rtl/>
        </w:rPr>
        <w:t xml:space="preserve"> אישורים רגולטוריים שפג תוקפם בתקופת המצב המיוחד ב</w:t>
      </w:r>
      <w:r w:rsidRPr="009624B0">
        <w:rPr>
          <w:rFonts w:ascii="Georgia" w:hAnsi="Georgia" w:hint="cs"/>
          <w:sz w:val="18"/>
          <w:szCs w:val="20"/>
          <w:rtl/>
        </w:rPr>
        <w:t>שלושה-ארבעה</w:t>
      </w:r>
      <w:r w:rsidRPr="009624B0">
        <w:rPr>
          <w:rFonts w:ascii="Georgia" w:hAnsi="Georgia"/>
          <w:sz w:val="18"/>
          <w:szCs w:val="20"/>
          <w:rtl/>
        </w:rPr>
        <w:t xml:space="preserve"> חודשים</w:t>
      </w:r>
      <w:r w:rsidRPr="009624B0">
        <w:rPr>
          <w:rFonts w:ascii="Georgia" w:hAnsi="Georgia" w:hint="cs"/>
          <w:sz w:val="18"/>
          <w:szCs w:val="20"/>
          <w:rtl/>
        </w:rPr>
        <w:t>, ו</w:t>
      </w:r>
      <w:r w:rsidRPr="009624B0">
        <w:rPr>
          <w:rFonts w:ascii="Georgia" w:hAnsi="Georgia"/>
          <w:sz w:val="18"/>
          <w:szCs w:val="20"/>
          <w:rtl/>
        </w:rPr>
        <w:t>דחיית מועדים בהליכי אכיפה להטלת עיצומים כספיים ב</w:t>
      </w:r>
      <w:r w:rsidRPr="009624B0">
        <w:rPr>
          <w:rFonts w:ascii="Georgia" w:hAnsi="Georgia" w:hint="cs"/>
          <w:sz w:val="18"/>
          <w:szCs w:val="20"/>
          <w:rtl/>
        </w:rPr>
        <w:t>שלושה</w:t>
      </w:r>
      <w:r w:rsidRPr="009624B0">
        <w:rPr>
          <w:rFonts w:ascii="Georgia" w:hAnsi="Georgia"/>
          <w:sz w:val="18"/>
          <w:szCs w:val="20"/>
          <w:rtl/>
        </w:rPr>
        <w:t xml:space="preserve"> חודשים. החוק דוחה את המועד </w:t>
      </w:r>
      <w:r w:rsidRPr="009624B0">
        <w:rPr>
          <w:rFonts w:ascii="Georgia" w:hAnsi="Georgia"/>
          <w:sz w:val="18"/>
          <w:szCs w:val="20"/>
          <w:rtl/>
        </w:rPr>
        <w:lastRenderedPageBreak/>
        <w:t xml:space="preserve">האחרון למסירת הודעה על כוונה להטיל עיצום כספי, </w:t>
      </w:r>
      <w:r w:rsidRPr="009624B0">
        <w:rPr>
          <w:rFonts w:ascii="Georgia" w:hAnsi="Georgia" w:hint="cs"/>
          <w:sz w:val="18"/>
          <w:szCs w:val="20"/>
          <w:rtl/>
        </w:rPr>
        <w:t xml:space="preserve">את </w:t>
      </w:r>
      <w:r w:rsidRPr="009624B0">
        <w:rPr>
          <w:rFonts w:ascii="Georgia" w:hAnsi="Georgia"/>
          <w:sz w:val="18"/>
          <w:szCs w:val="20"/>
          <w:rtl/>
        </w:rPr>
        <w:t xml:space="preserve">המועד האחרון לטעון טענות ולהגיב להודעה, </w:t>
      </w:r>
      <w:r w:rsidRPr="009624B0">
        <w:rPr>
          <w:rFonts w:ascii="Georgia" w:hAnsi="Georgia" w:hint="cs"/>
          <w:sz w:val="18"/>
          <w:szCs w:val="20"/>
          <w:rtl/>
        </w:rPr>
        <w:t xml:space="preserve">את </w:t>
      </w:r>
      <w:r w:rsidRPr="009624B0">
        <w:rPr>
          <w:rFonts w:ascii="Georgia" w:hAnsi="Georgia"/>
          <w:sz w:val="18"/>
          <w:szCs w:val="20"/>
          <w:rtl/>
        </w:rPr>
        <w:t xml:space="preserve">המועד לקבלת החלטה בדבר הטלת עיצום כספי, </w:t>
      </w:r>
      <w:r w:rsidRPr="009624B0">
        <w:rPr>
          <w:rFonts w:ascii="Georgia" w:hAnsi="Georgia" w:hint="cs"/>
          <w:sz w:val="18"/>
          <w:szCs w:val="20"/>
          <w:rtl/>
        </w:rPr>
        <w:t xml:space="preserve">את </w:t>
      </w:r>
      <w:r w:rsidRPr="009624B0">
        <w:rPr>
          <w:rFonts w:ascii="Georgia" w:hAnsi="Georgia"/>
          <w:sz w:val="18"/>
          <w:szCs w:val="20"/>
          <w:rtl/>
        </w:rPr>
        <w:t>המועד האחרון לבקש ביטול התראה מנהלית או להגיש כתב התחייבות ועירבון, וכן את המועד האחרון לתשלום העיצום הכספי.</w:t>
      </w:r>
      <w:r w:rsidRPr="009624B0">
        <w:rPr>
          <w:rFonts w:ascii="Georgia" w:hAnsi="Georgia" w:hint="cs"/>
          <w:sz w:val="18"/>
          <w:szCs w:val="20"/>
          <w:rtl/>
        </w:rPr>
        <w:t xml:space="preserve"> עוד </w:t>
      </w:r>
      <w:r w:rsidRPr="009624B0">
        <w:rPr>
          <w:rFonts w:ascii="Georgia" w:hAnsi="Georgia"/>
          <w:sz w:val="18"/>
          <w:szCs w:val="20"/>
          <w:rtl/>
        </w:rPr>
        <w:t>ניתנ</w:t>
      </w:r>
      <w:r w:rsidRPr="009624B0">
        <w:rPr>
          <w:rFonts w:ascii="Georgia" w:hAnsi="Georgia" w:hint="cs"/>
          <w:sz w:val="18"/>
          <w:szCs w:val="20"/>
          <w:rtl/>
        </w:rPr>
        <w:t>ת</w:t>
      </w:r>
      <w:r w:rsidRPr="009624B0">
        <w:rPr>
          <w:rFonts w:ascii="Georgia" w:hAnsi="Georgia"/>
          <w:sz w:val="18"/>
          <w:szCs w:val="20"/>
          <w:rtl/>
        </w:rPr>
        <w:t xml:space="preserve"> </w:t>
      </w:r>
      <w:r w:rsidRPr="009624B0">
        <w:rPr>
          <w:rFonts w:ascii="Georgia" w:hAnsi="Georgia" w:hint="cs"/>
          <w:sz w:val="18"/>
          <w:szCs w:val="20"/>
          <w:rtl/>
        </w:rPr>
        <w:t xml:space="preserve">לשר המשפטים </w:t>
      </w:r>
      <w:r w:rsidRPr="009624B0">
        <w:rPr>
          <w:rFonts w:ascii="Georgia" w:hAnsi="Georgia"/>
          <w:sz w:val="18"/>
          <w:szCs w:val="20"/>
          <w:rtl/>
        </w:rPr>
        <w:t xml:space="preserve">סמכות להאריך את תקופת המצב המיוחד לעניין דחיית מועדים בהליכי </w:t>
      </w:r>
      <w:r w:rsidRPr="009624B0">
        <w:rPr>
          <w:rFonts w:ascii="Georgia" w:hAnsi="Georgia" w:hint="cs"/>
          <w:sz w:val="18"/>
          <w:szCs w:val="20"/>
          <w:rtl/>
        </w:rPr>
        <w:t>אכיפה.</w:t>
      </w:r>
    </w:p>
    <w:sectPr w:rsidR="009624B0" w:rsidRPr="009624B0" w:rsidSect="002159DD">
      <w:headerReference w:type="even" r:id="rId8"/>
      <w:headerReference w:type="default" r:id="rId9"/>
      <w:footnotePr>
        <w:numRestart w:val="eachPage"/>
      </w:footnotePr>
      <w:pgSz w:w="11906" w:h="16838" w:code="9"/>
      <w:pgMar w:top="3402" w:right="2608" w:bottom="2722" w:left="2608" w:header="2552" w:footer="2438" w:gutter="0"/>
      <w:pgNumType w:start="17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57DCF" w14:textId="77777777" w:rsidR="002159DD" w:rsidRDefault="002159DD">
      <w:pPr>
        <w:spacing w:line="240" w:lineRule="auto"/>
      </w:pPr>
      <w:r>
        <w:separator/>
      </w:r>
    </w:p>
  </w:endnote>
  <w:endnote w:type="continuationSeparator" w:id="0">
    <w:p w14:paraId="0577A3C9" w14:textId="77777777" w:rsidR="002159DD" w:rsidRDefault="002159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Aharoni">
    <w:panose1 w:val="02010401010101010101"/>
    <w:charset w:val="B1"/>
    <w:family w:val="auto"/>
    <w:pitch w:val="variable"/>
    <w:sig w:usb0="00000801" w:usb1="40000000" w:usb2="00000000" w:usb3="00000000" w:csb0="00000020" w:csb1="00000000"/>
  </w:font>
  <w:font w:name="Guttman Hodes">
    <w:altName w:val="Arial"/>
    <w:charset w:val="B1"/>
    <w:family w:val="auto"/>
    <w:pitch w:val="variable"/>
    <w:sig w:usb0="00000801" w:usb1="40000000" w:usb2="00000000" w:usb3="00000000" w:csb0="00000020" w:csb1="00000000"/>
  </w:font>
  <w:font w:name="Code">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TUR">
    <w:altName w:val="Arial"/>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7F12A" w14:textId="77777777" w:rsidR="002159DD" w:rsidRDefault="002159DD" w:rsidP="00A04D35">
      <w:pPr>
        <w:spacing w:before="120" w:after="80"/>
        <w:rPr>
          <w:rFonts w:cs="FrankRuehl"/>
          <w:sz w:val="18"/>
          <w:szCs w:val="18"/>
        </w:rPr>
      </w:pPr>
      <w:r>
        <w:rPr>
          <w:rFonts w:cs="FrankRuehl" w:hint="cs"/>
          <w:sz w:val="18"/>
          <w:szCs w:val="18"/>
          <w:rtl/>
        </w:rPr>
        <w:t>_____________</w:t>
      </w:r>
    </w:p>
  </w:footnote>
  <w:footnote w:type="continuationSeparator" w:id="0">
    <w:p w14:paraId="3838DE81" w14:textId="77777777" w:rsidR="002159DD" w:rsidRDefault="002159DD">
      <w:r>
        <w:continuationSeparator/>
      </w:r>
    </w:p>
  </w:footnote>
  <w:footnote w:type="continuationNotice" w:id="1">
    <w:p w14:paraId="7FD12834" w14:textId="77777777" w:rsidR="002159DD" w:rsidRDefault="002159DD">
      <w:pPr>
        <w:rPr>
          <w:rtl/>
        </w:rPr>
      </w:pPr>
    </w:p>
  </w:footnote>
  <w:footnote w:id="2">
    <w:p w14:paraId="09A27D85" w14:textId="77777777" w:rsidR="00DE368F" w:rsidRPr="009B3DC4" w:rsidRDefault="00DE368F" w:rsidP="00DE368F">
      <w:pPr>
        <w:pStyle w:val="FootnoteText"/>
        <w:keepLines/>
        <w:spacing w:line="200" w:lineRule="exact"/>
        <w:ind w:left="397" w:hanging="397"/>
        <w:jc w:val="both"/>
        <w:rPr>
          <w:rStyle w:val="FootnoteReference"/>
          <w:rFonts w:cs="David"/>
          <w:sz w:val="14"/>
          <w:szCs w:val="16"/>
          <w:vertAlign w:val="baseline"/>
          <w:rtl/>
        </w:rPr>
      </w:pPr>
      <w:r w:rsidRPr="009B3DC4">
        <w:rPr>
          <w:rStyle w:val="FootnoteReference"/>
          <w:rFonts w:cs="David"/>
          <w:sz w:val="14"/>
          <w:szCs w:val="16"/>
          <w:vertAlign w:val="baseline"/>
        </w:rPr>
        <w:footnoteRef/>
      </w:r>
      <w:r w:rsidRPr="009B3DC4">
        <w:rPr>
          <w:rStyle w:val="FootnoteReference"/>
          <w:rFonts w:cs="David"/>
          <w:sz w:val="14"/>
          <w:szCs w:val="16"/>
          <w:vertAlign w:val="baseline"/>
          <w:rtl/>
        </w:rPr>
        <w:t xml:space="preserve"> </w:t>
      </w:r>
      <w:r w:rsidRPr="009B3DC4">
        <w:rPr>
          <w:rStyle w:val="FootnoteReference"/>
          <w:rFonts w:cs="David"/>
          <w:sz w:val="14"/>
          <w:szCs w:val="16"/>
          <w:vertAlign w:val="baseline"/>
          <w:rtl/>
        </w:rPr>
        <w:tab/>
      </w:r>
      <w:r w:rsidRPr="009B3DC4">
        <w:rPr>
          <w:rStyle w:val="FootnoteReference"/>
          <w:rFonts w:cs="David" w:hint="cs"/>
          <w:sz w:val="14"/>
          <w:szCs w:val="16"/>
          <w:vertAlign w:val="baseline"/>
          <w:rtl/>
        </w:rPr>
        <w:t>דוקטור, החוג לעבודה סוציאלית, המכללה האקדמית תל-חי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BF758" w14:textId="3B7BF003" w:rsidR="00D541A6" w:rsidRPr="00AE7DAB" w:rsidRDefault="00D541A6" w:rsidP="00AE7DAB">
    <w:pPr>
      <w:pStyle w:val="Heading1"/>
      <w:tabs>
        <w:tab w:val="center" w:pos="4536"/>
        <w:tab w:val="right" w:pos="9072"/>
      </w:tabs>
      <w:rPr>
        <w:rFonts w:ascii="David" w:hAnsi="David"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57781E">
      <w:rPr>
        <w:rFonts w:ascii="David" w:hAnsi="David" w:cs="David"/>
        <w:noProof/>
        <w:sz w:val="24"/>
        <w:szCs w:val="24"/>
        <w:rtl/>
      </w:rPr>
      <w:t>4</w:t>
    </w:r>
    <w:r w:rsidRPr="00A17DA2">
      <w:rPr>
        <w:rFonts w:ascii="David" w:hAnsi="David" w:cs="David"/>
        <w:noProof/>
        <w:sz w:val="24"/>
        <w:szCs w:val="24"/>
      </w:rPr>
      <w:fldChar w:fldCharType="end"/>
    </w:r>
    <w:r>
      <w:rPr>
        <w:rFonts w:ascii="David" w:hAnsi="David" w:cs="David"/>
        <w:b w:val="0"/>
        <w:bCs w:val="0"/>
        <w:color w:val="A6A6A6"/>
        <w:sz w:val="20"/>
        <w:szCs w:val="20"/>
        <w:rtl/>
      </w:rPr>
      <w:t xml:space="preserve">  |  ביטחון סוציאלי </w:t>
    </w:r>
    <w:r>
      <w:rPr>
        <w:rFonts w:ascii="David" w:hAnsi="David" w:cs="David" w:hint="cs"/>
        <w:b w:val="0"/>
        <w:bCs w:val="0"/>
        <w:color w:val="A6A6A6"/>
        <w:sz w:val="20"/>
        <w:szCs w:val="20"/>
        <w:rtl/>
      </w:rPr>
      <w:t>12</w:t>
    </w:r>
    <w:r w:rsidR="009624B0">
      <w:rPr>
        <w:rFonts w:ascii="David" w:hAnsi="David" w:cs="David" w:hint="cs"/>
        <w:b w:val="0"/>
        <w:bCs w:val="0"/>
        <w:color w:val="A6A6A6"/>
        <w:sz w:val="20"/>
        <w:szCs w:val="20"/>
        <w:rtl/>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83794" w14:textId="245339F4" w:rsidR="00D541A6" w:rsidRPr="00CA633F" w:rsidRDefault="00D541A6" w:rsidP="00E72215">
    <w:pPr>
      <w:pStyle w:val="Heading1"/>
      <w:tabs>
        <w:tab w:val="center" w:pos="4536"/>
        <w:tab w:val="right" w:pos="9072"/>
      </w:tabs>
      <w:jc w:val="right"/>
      <w:rPr>
        <w:rFonts w:ascii="David" w:hAnsi="David" w:cs="David"/>
        <w:b w:val="0"/>
        <w:bCs w:val="0"/>
        <w:noProof/>
        <w:color w:val="A6A6A6"/>
        <w:sz w:val="20"/>
        <w:szCs w:val="20"/>
      </w:rPr>
    </w:pPr>
    <w:r w:rsidRPr="00E72215">
      <w:rPr>
        <w:rFonts w:ascii="David" w:hAnsi="David" w:cs="David"/>
        <w:b w:val="0"/>
        <w:bCs w:val="0"/>
        <w:noProof/>
        <w:color w:val="A6A6A6"/>
        <w:sz w:val="20"/>
        <w:szCs w:val="20"/>
        <w:rtl/>
      </w:rPr>
      <w:t>חקיקה ופסיקה חברתית</w:t>
    </w:r>
    <w:r w:rsidRPr="00CA633F">
      <w:rPr>
        <w:rFonts w:ascii="David" w:hAnsi="David" w:cs="David"/>
        <w:b w:val="0"/>
        <w:bCs w:val="0"/>
        <w:noProof/>
        <w:color w:val="A6A6A6"/>
        <w:sz w:val="20"/>
        <w:szCs w:val="20"/>
        <w:rtl/>
      </w:rPr>
      <w:t xml:space="preserve">  |  </w:t>
    </w: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A72247">
      <w:rPr>
        <w:rFonts w:ascii="David" w:hAnsi="David" w:cs="David"/>
        <w:noProof/>
        <w:sz w:val="24"/>
        <w:szCs w:val="24"/>
        <w:rtl/>
      </w:rPr>
      <w:t>3</w:t>
    </w:r>
    <w:r w:rsidRPr="00A17DA2">
      <w:rPr>
        <w:rFonts w:ascii="David" w:hAnsi="David" w:cs="David"/>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6001B"/>
    <w:multiLevelType w:val="hybridMultilevel"/>
    <w:tmpl w:val="B2C4B5E4"/>
    <w:lvl w:ilvl="0" w:tplc="B914BFE2">
      <w:start w:val="1"/>
      <w:numFmt w:val="decimal"/>
      <w:pStyle w:val="Ruller4"/>
      <w:lvlText w:val="%1."/>
      <w:lvlJc w:val="left"/>
      <w:pPr>
        <w:tabs>
          <w:tab w:val="num" w:pos="907"/>
        </w:tabs>
        <w:ind w:left="0" w:firstLine="0"/>
      </w:pPr>
      <w:rPr>
        <w:rFonts w:hint="default"/>
      </w:rPr>
    </w:lvl>
    <w:lvl w:ilvl="1" w:tplc="BF0A78CA" w:tentative="1">
      <w:start w:val="1"/>
      <w:numFmt w:val="lowerLetter"/>
      <w:lvlText w:val="%2."/>
      <w:lvlJc w:val="left"/>
      <w:pPr>
        <w:tabs>
          <w:tab w:val="num" w:pos="1440"/>
        </w:tabs>
        <w:ind w:left="1440" w:hanging="360"/>
      </w:pPr>
    </w:lvl>
    <w:lvl w:ilvl="2" w:tplc="3DB0D620" w:tentative="1">
      <w:start w:val="1"/>
      <w:numFmt w:val="lowerRoman"/>
      <w:lvlText w:val="%3."/>
      <w:lvlJc w:val="right"/>
      <w:pPr>
        <w:tabs>
          <w:tab w:val="num" w:pos="2160"/>
        </w:tabs>
        <w:ind w:left="2160" w:hanging="180"/>
      </w:pPr>
    </w:lvl>
    <w:lvl w:ilvl="3" w:tplc="3DAC6F7E" w:tentative="1">
      <w:start w:val="1"/>
      <w:numFmt w:val="decimal"/>
      <w:lvlText w:val="%4."/>
      <w:lvlJc w:val="left"/>
      <w:pPr>
        <w:tabs>
          <w:tab w:val="num" w:pos="2880"/>
        </w:tabs>
        <w:ind w:left="2880" w:hanging="360"/>
      </w:pPr>
    </w:lvl>
    <w:lvl w:ilvl="4" w:tplc="CF0224A6" w:tentative="1">
      <w:start w:val="1"/>
      <w:numFmt w:val="lowerLetter"/>
      <w:lvlText w:val="%5."/>
      <w:lvlJc w:val="left"/>
      <w:pPr>
        <w:tabs>
          <w:tab w:val="num" w:pos="3600"/>
        </w:tabs>
        <w:ind w:left="3600" w:hanging="360"/>
      </w:pPr>
    </w:lvl>
    <w:lvl w:ilvl="5" w:tplc="5D422DE6" w:tentative="1">
      <w:start w:val="1"/>
      <w:numFmt w:val="lowerRoman"/>
      <w:lvlText w:val="%6."/>
      <w:lvlJc w:val="right"/>
      <w:pPr>
        <w:tabs>
          <w:tab w:val="num" w:pos="4320"/>
        </w:tabs>
        <w:ind w:left="4320" w:hanging="180"/>
      </w:pPr>
    </w:lvl>
    <w:lvl w:ilvl="6" w:tplc="441EABFA" w:tentative="1">
      <w:start w:val="1"/>
      <w:numFmt w:val="decimal"/>
      <w:lvlText w:val="%7."/>
      <w:lvlJc w:val="left"/>
      <w:pPr>
        <w:tabs>
          <w:tab w:val="num" w:pos="5040"/>
        </w:tabs>
        <w:ind w:left="5040" w:hanging="360"/>
      </w:pPr>
    </w:lvl>
    <w:lvl w:ilvl="7" w:tplc="0B4A70C4" w:tentative="1">
      <w:start w:val="1"/>
      <w:numFmt w:val="lowerLetter"/>
      <w:lvlText w:val="%8."/>
      <w:lvlJc w:val="left"/>
      <w:pPr>
        <w:tabs>
          <w:tab w:val="num" w:pos="5760"/>
        </w:tabs>
        <w:ind w:left="5760" w:hanging="360"/>
      </w:pPr>
    </w:lvl>
    <w:lvl w:ilvl="8" w:tplc="9AA4F1EE" w:tentative="1">
      <w:start w:val="1"/>
      <w:numFmt w:val="lowerRoman"/>
      <w:lvlText w:val="%9."/>
      <w:lvlJc w:val="right"/>
      <w:pPr>
        <w:tabs>
          <w:tab w:val="num" w:pos="6480"/>
        </w:tabs>
        <w:ind w:left="6480" w:hanging="180"/>
      </w:pPr>
    </w:lvl>
  </w:abstractNum>
  <w:abstractNum w:abstractNumId="4" w15:restartNumberingAfterBreak="0">
    <w:nsid w:val="0D09499D"/>
    <w:multiLevelType w:val="hybridMultilevel"/>
    <w:tmpl w:val="810892D2"/>
    <w:lvl w:ilvl="0" w:tplc="20B8B7F4">
      <w:start w:val="1"/>
      <w:numFmt w:val="bullet"/>
      <w:lvlText w:val=""/>
      <w:lvlJc w:val="left"/>
      <w:rPr>
        <w:rFonts w:ascii="Symbol" w:eastAsia="Times New Roman" w:hAnsi="Symbol" w:cs="David" w:hint="default"/>
        <w:lang w:bidi="he-IL"/>
      </w:rPr>
    </w:lvl>
    <w:lvl w:ilvl="1" w:tplc="B14C5A44" w:tentative="1">
      <w:start w:val="1"/>
      <w:numFmt w:val="bullet"/>
      <w:lvlText w:val="o"/>
      <w:lvlJc w:val="left"/>
      <w:pPr>
        <w:ind w:left="1080" w:hanging="360"/>
      </w:pPr>
      <w:rPr>
        <w:rFonts w:ascii="Courier New" w:hAnsi="Courier New" w:cs="Courier New" w:hint="default"/>
      </w:rPr>
    </w:lvl>
    <w:lvl w:ilvl="2" w:tplc="4DEE1A78" w:tentative="1">
      <w:start w:val="1"/>
      <w:numFmt w:val="bullet"/>
      <w:lvlText w:val=""/>
      <w:lvlJc w:val="left"/>
      <w:pPr>
        <w:ind w:left="1800" w:hanging="360"/>
      </w:pPr>
      <w:rPr>
        <w:rFonts w:ascii="Wingdings" w:hAnsi="Wingdings" w:hint="default"/>
      </w:rPr>
    </w:lvl>
    <w:lvl w:ilvl="3" w:tplc="AE046094" w:tentative="1">
      <w:start w:val="1"/>
      <w:numFmt w:val="bullet"/>
      <w:lvlText w:val=""/>
      <w:lvlJc w:val="left"/>
      <w:pPr>
        <w:ind w:left="2520" w:hanging="360"/>
      </w:pPr>
      <w:rPr>
        <w:rFonts w:ascii="Symbol" w:hAnsi="Symbol" w:hint="default"/>
      </w:rPr>
    </w:lvl>
    <w:lvl w:ilvl="4" w:tplc="9286BFF2" w:tentative="1">
      <w:start w:val="1"/>
      <w:numFmt w:val="bullet"/>
      <w:lvlText w:val="o"/>
      <w:lvlJc w:val="left"/>
      <w:pPr>
        <w:ind w:left="3240" w:hanging="360"/>
      </w:pPr>
      <w:rPr>
        <w:rFonts w:ascii="Courier New" w:hAnsi="Courier New" w:cs="Courier New" w:hint="default"/>
      </w:rPr>
    </w:lvl>
    <w:lvl w:ilvl="5" w:tplc="33CCA05C" w:tentative="1">
      <w:start w:val="1"/>
      <w:numFmt w:val="bullet"/>
      <w:lvlText w:val=""/>
      <w:lvlJc w:val="left"/>
      <w:pPr>
        <w:ind w:left="3960" w:hanging="360"/>
      </w:pPr>
      <w:rPr>
        <w:rFonts w:ascii="Wingdings" w:hAnsi="Wingdings" w:hint="default"/>
      </w:rPr>
    </w:lvl>
    <w:lvl w:ilvl="6" w:tplc="8D544728" w:tentative="1">
      <w:start w:val="1"/>
      <w:numFmt w:val="bullet"/>
      <w:lvlText w:val=""/>
      <w:lvlJc w:val="left"/>
      <w:pPr>
        <w:ind w:left="4680" w:hanging="360"/>
      </w:pPr>
      <w:rPr>
        <w:rFonts w:ascii="Symbol" w:hAnsi="Symbol" w:hint="default"/>
      </w:rPr>
    </w:lvl>
    <w:lvl w:ilvl="7" w:tplc="4E36E492" w:tentative="1">
      <w:start w:val="1"/>
      <w:numFmt w:val="bullet"/>
      <w:lvlText w:val="o"/>
      <w:lvlJc w:val="left"/>
      <w:pPr>
        <w:ind w:left="5400" w:hanging="360"/>
      </w:pPr>
      <w:rPr>
        <w:rFonts w:ascii="Courier New" w:hAnsi="Courier New" w:cs="Courier New" w:hint="default"/>
      </w:rPr>
    </w:lvl>
    <w:lvl w:ilvl="8" w:tplc="655A8A44" w:tentative="1">
      <w:start w:val="1"/>
      <w:numFmt w:val="bullet"/>
      <w:lvlText w:val=""/>
      <w:lvlJc w:val="left"/>
      <w:pPr>
        <w:ind w:left="6120" w:hanging="360"/>
      </w:pPr>
      <w:rPr>
        <w:rFonts w:ascii="Wingdings" w:hAnsi="Wingdings" w:hint="default"/>
      </w:rPr>
    </w:lvl>
  </w:abstractNum>
  <w:abstractNum w:abstractNumId="5"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40180"/>
    <w:multiLevelType w:val="multilevel"/>
    <w:tmpl w:val="9EFA45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o"/>
      <w:lvlJc w:val="left"/>
      <w:pPr>
        <w:tabs>
          <w:tab w:val="num" w:pos="1800"/>
        </w:tabs>
        <w:ind w:left="1800" w:hanging="360"/>
      </w:pPr>
      <w:rPr>
        <w:rFonts w:ascii="Courier New" w:hAnsi="Courier New" w:cs="Courier New"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02DA3"/>
    <w:multiLevelType w:val="hybridMultilevel"/>
    <w:tmpl w:val="3A181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64523"/>
    <w:multiLevelType w:val="hybridMultilevel"/>
    <w:tmpl w:val="AB52E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190E6293"/>
    <w:multiLevelType w:val="hybridMultilevel"/>
    <w:tmpl w:val="BB4E43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4"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4E41F0"/>
    <w:multiLevelType w:val="multilevel"/>
    <w:tmpl w:val="AF62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8"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1E03EA"/>
    <w:multiLevelType w:val="hybridMultilevel"/>
    <w:tmpl w:val="3B26B22E"/>
    <w:lvl w:ilvl="0" w:tplc="E3EA104A">
      <w:numFmt w:val="bullet"/>
      <w:lvlText w:val=""/>
      <w:lvlJc w:val="left"/>
      <w:pPr>
        <w:ind w:left="360" w:hanging="360"/>
      </w:pPr>
      <w:rPr>
        <w:rFonts w:ascii="Symbol" w:eastAsia="Times New Roman" w:hAnsi="Symbol" w:cs="Aria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205F6D"/>
    <w:multiLevelType w:val="hybridMultilevel"/>
    <w:tmpl w:val="CEE2519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B3815"/>
    <w:multiLevelType w:val="multilevel"/>
    <w:tmpl w:val="615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BE1CAB"/>
    <w:multiLevelType w:val="hybridMultilevel"/>
    <w:tmpl w:val="B60EB136"/>
    <w:lvl w:ilvl="0" w:tplc="54B41068">
      <w:start w:val="40"/>
      <w:numFmt w:val="bullet"/>
      <w:lvlText w:val=""/>
      <w:lvlJc w:val="left"/>
      <w:pPr>
        <w:ind w:left="360" w:hanging="360"/>
      </w:pPr>
      <w:rPr>
        <w:rFonts w:ascii="Symbol" w:eastAsia="Calibri" w:hAnsi="Symbo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56413207"/>
    <w:multiLevelType w:val="hybridMultilevel"/>
    <w:tmpl w:val="E7289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5B63D7"/>
    <w:multiLevelType w:val="multilevel"/>
    <w:tmpl w:val="0FAC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5F51EB"/>
    <w:multiLevelType w:val="hybridMultilevel"/>
    <w:tmpl w:val="4288AC66"/>
    <w:lvl w:ilvl="0" w:tplc="1A7C478C">
      <w:start w:val="1"/>
      <w:numFmt w:val="bullet"/>
      <w:lvlText w:val=""/>
      <w:lvlJc w:val="left"/>
      <w:rPr>
        <w:rFonts w:ascii="Symbol" w:eastAsia="Calibri"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0E5D45"/>
    <w:multiLevelType w:val="multilevel"/>
    <w:tmpl w:val="BC5A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595628">
    <w:abstractNumId w:val="18"/>
  </w:num>
  <w:num w:numId="2" w16cid:durableId="911083147">
    <w:abstractNumId w:val="22"/>
  </w:num>
  <w:num w:numId="3" w16cid:durableId="835338511">
    <w:abstractNumId w:val="36"/>
  </w:num>
  <w:num w:numId="4" w16cid:durableId="496459967">
    <w:abstractNumId w:val="30"/>
  </w:num>
  <w:num w:numId="5" w16cid:durableId="147136261">
    <w:abstractNumId w:val="13"/>
  </w:num>
  <w:num w:numId="6" w16cid:durableId="982544046">
    <w:abstractNumId w:val="26"/>
  </w:num>
  <w:num w:numId="7" w16cid:durableId="1575622096">
    <w:abstractNumId w:val="20"/>
  </w:num>
  <w:num w:numId="8" w16cid:durableId="618875761">
    <w:abstractNumId w:val="0"/>
  </w:num>
  <w:num w:numId="9" w16cid:durableId="75900913">
    <w:abstractNumId w:val="11"/>
  </w:num>
  <w:num w:numId="10" w16cid:durableId="1846742304">
    <w:abstractNumId w:val="35"/>
  </w:num>
  <w:num w:numId="11" w16cid:durableId="495802993">
    <w:abstractNumId w:val="31"/>
  </w:num>
  <w:num w:numId="12" w16cid:durableId="573323502">
    <w:abstractNumId w:val="23"/>
  </w:num>
  <w:num w:numId="13" w16cid:durableId="1469397629">
    <w:abstractNumId w:val="17"/>
  </w:num>
  <w:num w:numId="14" w16cid:durableId="1802457208">
    <w:abstractNumId w:val="8"/>
  </w:num>
  <w:num w:numId="15" w16cid:durableId="808018806">
    <w:abstractNumId w:val="16"/>
  </w:num>
  <w:num w:numId="16" w16cid:durableId="1904829318">
    <w:abstractNumId w:val="5"/>
  </w:num>
  <w:num w:numId="17" w16cid:durableId="408384933">
    <w:abstractNumId w:val="37"/>
  </w:num>
  <w:num w:numId="18" w16cid:durableId="1698314793">
    <w:abstractNumId w:val="24"/>
  </w:num>
  <w:num w:numId="19" w16cid:durableId="1694304413">
    <w:abstractNumId w:val="14"/>
  </w:num>
  <w:num w:numId="20" w16cid:durableId="2008510236">
    <w:abstractNumId w:val="2"/>
  </w:num>
  <w:num w:numId="21" w16cid:durableId="1058019031">
    <w:abstractNumId w:val="1"/>
  </w:num>
  <w:num w:numId="22" w16cid:durableId="1212227276">
    <w:abstractNumId w:val="7"/>
  </w:num>
  <w:num w:numId="23" w16cid:durableId="699279757">
    <w:abstractNumId w:val="21"/>
  </w:num>
  <w:num w:numId="24" w16cid:durableId="1029573686">
    <w:abstractNumId w:val="15"/>
  </w:num>
  <w:num w:numId="25" w16cid:durableId="1823694924">
    <w:abstractNumId w:val="32"/>
  </w:num>
  <w:num w:numId="26" w16cid:durableId="245657048">
    <w:abstractNumId w:val="19"/>
  </w:num>
  <w:num w:numId="27" w16cid:durableId="652608507">
    <w:abstractNumId w:val="25"/>
  </w:num>
  <w:num w:numId="28" w16cid:durableId="1160003701">
    <w:abstractNumId w:val="6"/>
  </w:num>
  <w:num w:numId="29" w16cid:durableId="742333936">
    <w:abstractNumId w:val="3"/>
  </w:num>
  <w:num w:numId="30" w16cid:durableId="750463903">
    <w:abstractNumId w:val="28"/>
  </w:num>
  <w:num w:numId="31" w16cid:durableId="939262015">
    <w:abstractNumId w:val="27"/>
  </w:num>
  <w:num w:numId="32" w16cid:durableId="1921869479">
    <w:abstractNumId w:val="9"/>
  </w:num>
  <w:num w:numId="33" w16cid:durableId="95904644">
    <w:abstractNumId w:val="33"/>
  </w:num>
  <w:num w:numId="34" w16cid:durableId="436173471">
    <w:abstractNumId w:val="29"/>
  </w:num>
  <w:num w:numId="35" w16cid:durableId="1387296146">
    <w:abstractNumId w:val="10"/>
  </w:num>
  <w:num w:numId="36" w16cid:durableId="1080908570">
    <w:abstractNumId w:val="4"/>
  </w:num>
  <w:num w:numId="37" w16cid:durableId="161623901">
    <w:abstractNumId w:val="34"/>
  </w:num>
  <w:num w:numId="38" w16cid:durableId="8786646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397"/>
  <w:evenAndOddHeaders/>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238CB"/>
    <w:rsid w:val="00036E97"/>
    <w:rsid w:val="000552ED"/>
    <w:rsid w:val="000718C2"/>
    <w:rsid w:val="00087316"/>
    <w:rsid w:val="00087B26"/>
    <w:rsid w:val="000A3731"/>
    <w:rsid w:val="000A7604"/>
    <w:rsid w:val="000C131C"/>
    <w:rsid w:val="000C13C4"/>
    <w:rsid w:val="000C236E"/>
    <w:rsid w:val="000C24D2"/>
    <w:rsid w:val="000C32F6"/>
    <w:rsid w:val="000C4352"/>
    <w:rsid w:val="000C7415"/>
    <w:rsid w:val="000D0CA3"/>
    <w:rsid w:val="000D10A7"/>
    <w:rsid w:val="000D7955"/>
    <w:rsid w:val="000E38FA"/>
    <w:rsid w:val="00157782"/>
    <w:rsid w:val="00160BCD"/>
    <w:rsid w:val="001645B1"/>
    <w:rsid w:val="00164AB3"/>
    <w:rsid w:val="00170E1D"/>
    <w:rsid w:val="001742E8"/>
    <w:rsid w:val="00181D16"/>
    <w:rsid w:val="0018721E"/>
    <w:rsid w:val="00192673"/>
    <w:rsid w:val="001A0002"/>
    <w:rsid w:val="001D2C96"/>
    <w:rsid w:val="001D2FDC"/>
    <w:rsid w:val="001D3641"/>
    <w:rsid w:val="001D4749"/>
    <w:rsid w:val="001E6A9C"/>
    <w:rsid w:val="001F2FFC"/>
    <w:rsid w:val="001F75BF"/>
    <w:rsid w:val="002044C6"/>
    <w:rsid w:val="00211D18"/>
    <w:rsid w:val="00212324"/>
    <w:rsid w:val="002159DD"/>
    <w:rsid w:val="00217A08"/>
    <w:rsid w:val="00224C6A"/>
    <w:rsid w:val="00227591"/>
    <w:rsid w:val="00234C6B"/>
    <w:rsid w:val="00240506"/>
    <w:rsid w:val="0024191D"/>
    <w:rsid w:val="002519BC"/>
    <w:rsid w:val="00261F65"/>
    <w:rsid w:val="00263722"/>
    <w:rsid w:val="00272B00"/>
    <w:rsid w:val="00275E42"/>
    <w:rsid w:val="002A2B0C"/>
    <w:rsid w:val="002B3E4A"/>
    <w:rsid w:val="002C45DF"/>
    <w:rsid w:val="002E5DFE"/>
    <w:rsid w:val="002F0EE3"/>
    <w:rsid w:val="002F0FCF"/>
    <w:rsid w:val="00305880"/>
    <w:rsid w:val="003119FD"/>
    <w:rsid w:val="00314821"/>
    <w:rsid w:val="003151B1"/>
    <w:rsid w:val="00317DCD"/>
    <w:rsid w:val="003446BB"/>
    <w:rsid w:val="0035035B"/>
    <w:rsid w:val="00351FEF"/>
    <w:rsid w:val="00356957"/>
    <w:rsid w:val="00360F01"/>
    <w:rsid w:val="00365E60"/>
    <w:rsid w:val="00374196"/>
    <w:rsid w:val="0038402D"/>
    <w:rsid w:val="0038496B"/>
    <w:rsid w:val="00393D19"/>
    <w:rsid w:val="00393F32"/>
    <w:rsid w:val="003A3D84"/>
    <w:rsid w:val="003B04E0"/>
    <w:rsid w:val="003B537C"/>
    <w:rsid w:val="003C6AA7"/>
    <w:rsid w:val="003D0578"/>
    <w:rsid w:val="003D1152"/>
    <w:rsid w:val="003D4AF9"/>
    <w:rsid w:val="003E0A56"/>
    <w:rsid w:val="003F0A7C"/>
    <w:rsid w:val="003F33C0"/>
    <w:rsid w:val="003F51A7"/>
    <w:rsid w:val="003F78BB"/>
    <w:rsid w:val="00405788"/>
    <w:rsid w:val="004112B2"/>
    <w:rsid w:val="00413580"/>
    <w:rsid w:val="00416142"/>
    <w:rsid w:val="00424C06"/>
    <w:rsid w:val="0044308F"/>
    <w:rsid w:val="00446E1E"/>
    <w:rsid w:val="004543DB"/>
    <w:rsid w:val="00457193"/>
    <w:rsid w:val="00466666"/>
    <w:rsid w:val="00470FED"/>
    <w:rsid w:val="00471658"/>
    <w:rsid w:val="0049377A"/>
    <w:rsid w:val="004A71EC"/>
    <w:rsid w:val="004B1C7A"/>
    <w:rsid w:val="004E0958"/>
    <w:rsid w:val="005005D6"/>
    <w:rsid w:val="0050192F"/>
    <w:rsid w:val="00510316"/>
    <w:rsid w:val="00512B59"/>
    <w:rsid w:val="005211F2"/>
    <w:rsid w:val="00527001"/>
    <w:rsid w:val="005368B8"/>
    <w:rsid w:val="005416E9"/>
    <w:rsid w:val="00550D8D"/>
    <w:rsid w:val="005550EA"/>
    <w:rsid w:val="005619D8"/>
    <w:rsid w:val="0057021D"/>
    <w:rsid w:val="0057781E"/>
    <w:rsid w:val="00584764"/>
    <w:rsid w:val="00584CB0"/>
    <w:rsid w:val="0059386B"/>
    <w:rsid w:val="00594AD6"/>
    <w:rsid w:val="00597BDD"/>
    <w:rsid w:val="005A4E4A"/>
    <w:rsid w:val="005D669A"/>
    <w:rsid w:val="005D7151"/>
    <w:rsid w:val="005F608C"/>
    <w:rsid w:val="005F635C"/>
    <w:rsid w:val="005F7159"/>
    <w:rsid w:val="00607F1B"/>
    <w:rsid w:val="00610B49"/>
    <w:rsid w:val="0061346A"/>
    <w:rsid w:val="006154FA"/>
    <w:rsid w:val="00616982"/>
    <w:rsid w:val="0062321C"/>
    <w:rsid w:val="006358E3"/>
    <w:rsid w:val="0065160D"/>
    <w:rsid w:val="00652D7C"/>
    <w:rsid w:val="0065482B"/>
    <w:rsid w:val="00657997"/>
    <w:rsid w:val="00667945"/>
    <w:rsid w:val="006813A3"/>
    <w:rsid w:val="0068148C"/>
    <w:rsid w:val="006824DB"/>
    <w:rsid w:val="00683B19"/>
    <w:rsid w:val="00686290"/>
    <w:rsid w:val="006A07E8"/>
    <w:rsid w:val="006A0E9A"/>
    <w:rsid w:val="006B1072"/>
    <w:rsid w:val="006B543C"/>
    <w:rsid w:val="006D0DA1"/>
    <w:rsid w:val="006E0F39"/>
    <w:rsid w:val="006E4295"/>
    <w:rsid w:val="006F5773"/>
    <w:rsid w:val="006F5E47"/>
    <w:rsid w:val="006F6786"/>
    <w:rsid w:val="00702D1B"/>
    <w:rsid w:val="00704779"/>
    <w:rsid w:val="00716740"/>
    <w:rsid w:val="007178F3"/>
    <w:rsid w:val="00720415"/>
    <w:rsid w:val="007240DD"/>
    <w:rsid w:val="00725FD5"/>
    <w:rsid w:val="00733272"/>
    <w:rsid w:val="00736438"/>
    <w:rsid w:val="00736791"/>
    <w:rsid w:val="007377A3"/>
    <w:rsid w:val="007405C7"/>
    <w:rsid w:val="007506C0"/>
    <w:rsid w:val="00753896"/>
    <w:rsid w:val="007667D8"/>
    <w:rsid w:val="007742CB"/>
    <w:rsid w:val="00776EE2"/>
    <w:rsid w:val="00777381"/>
    <w:rsid w:val="00787937"/>
    <w:rsid w:val="00796021"/>
    <w:rsid w:val="007A1DAF"/>
    <w:rsid w:val="007A31E7"/>
    <w:rsid w:val="007A6CDA"/>
    <w:rsid w:val="007B7399"/>
    <w:rsid w:val="007C09DD"/>
    <w:rsid w:val="007C7168"/>
    <w:rsid w:val="007C726C"/>
    <w:rsid w:val="007D3C42"/>
    <w:rsid w:val="007D3C93"/>
    <w:rsid w:val="007D6EEE"/>
    <w:rsid w:val="007E5546"/>
    <w:rsid w:val="007E6EFF"/>
    <w:rsid w:val="007F1459"/>
    <w:rsid w:val="007F29C9"/>
    <w:rsid w:val="008046BD"/>
    <w:rsid w:val="008118B6"/>
    <w:rsid w:val="00815B57"/>
    <w:rsid w:val="00826FF6"/>
    <w:rsid w:val="00830DEF"/>
    <w:rsid w:val="00837F2F"/>
    <w:rsid w:val="00840D01"/>
    <w:rsid w:val="0084161C"/>
    <w:rsid w:val="00851BDA"/>
    <w:rsid w:val="00852711"/>
    <w:rsid w:val="0085752E"/>
    <w:rsid w:val="00863FB9"/>
    <w:rsid w:val="00881FB9"/>
    <w:rsid w:val="0088603E"/>
    <w:rsid w:val="00892A98"/>
    <w:rsid w:val="008C0830"/>
    <w:rsid w:val="008E3B75"/>
    <w:rsid w:val="008F5AA2"/>
    <w:rsid w:val="008F7821"/>
    <w:rsid w:val="009023FC"/>
    <w:rsid w:val="009041F4"/>
    <w:rsid w:val="00910E15"/>
    <w:rsid w:val="00913099"/>
    <w:rsid w:val="00937F47"/>
    <w:rsid w:val="00940C99"/>
    <w:rsid w:val="00941F73"/>
    <w:rsid w:val="009522CA"/>
    <w:rsid w:val="00952905"/>
    <w:rsid w:val="009624B0"/>
    <w:rsid w:val="00964C3B"/>
    <w:rsid w:val="00980980"/>
    <w:rsid w:val="009A29C1"/>
    <w:rsid w:val="009B3DC4"/>
    <w:rsid w:val="009B53E8"/>
    <w:rsid w:val="009C1F8B"/>
    <w:rsid w:val="009C5E89"/>
    <w:rsid w:val="009D4AFE"/>
    <w:rsid w:val="009D6526"/>
    <w:rsid w:val="009D7325"/>
    <w:rsid w:val="009E1AC8"/>
    <w:rsid w:val="009E4BBC"/>
    <w:rsid w:val="009E6FD9"/>
    <w:rsid w:val="00A04D35"/>
    <w:rsid w:val="00A14F23"/>
    <w:rsid w:val="00A16EDE"/>
    <w:rsid w:val="00A23653"/>
    <w:rsid w:val="00A27C04"/>
    <w:rsid w:val="00A34A5C"/>
    <w:rsid w:val="00A35FB3"/>
    <w:rsid w:val="00A36D7F"/>
    <w:rsid w:val="00A41266"/>
    <w:rsid w:val="00A41FB6"/>
    <w:rsid w:val="00A50FBE"/>
    <w:rsid w:val="00A54674"/>
    <w:rsid w:val="00A54A00"/>
    <w:rsid w:val="00A61580"/>
    <w:rsid w:val="00A6397F"/>
    <w:rsid w:val="00A72247"/>
    <w:rsid w:val="00A7387C"/>
    <w:rsid w:val="00A8097E"/>
    <w:rsid w:val="00A80EBE"/>
    <w:rsid w:val="00A84CB3"/>
    <w:rsid w:val="00A910EE"/>
    <w:rsid w:val="00A953FC"/>
    <w:rsid w:val="00A95F73"/>
    <w:rsid w:val="00AC5C15"/>
    <w:rsid w:val="00AC7681"/>
    <w:rsid w:val="00AD38FA"/>
    <w:rsid w:val="00AE03A0"/>
    <w:rsid w:val="00AE0A3D"/>
    <w:rsid w:val="00AE31E1"/>
    <w:rsid w:val="00AE7DAB"/>
    <w:rsid w:val="00AF2301"/>
    <w:rsid w:val="00AF7379"/>
    <w:rsid w:val="00B01614"/>
    <w:rsid w:val="00B045C9"/>
    <w:rsid w:val="00B108F2"/>
    <w:rsid w:val="00B23956"/>
    <w:rsid w:val="00B405E1"/>
    <w:rsid w:val="00B43027"/>
    <w:rsid w:val="00B468E5"/>
    <w:rsid w:val="00B80567"/>
    <w:rsid w:val="00B8506D"/>
    <w:rsid w:val="00B86340"/>
    <w:rsid w:val="00B9682F"/>
    <w:rsid w:val="00BB7C63"/>
    <w:rsid w:val="00BC0FE8"/>
    <w:rsid w:val="00BC5859"/>
    <w:rsid w:val="00BE3BDF"/>
    <w:rsid w:val="00BE7538"/>
    <w:rsid w:val="00BF32DB"/>
    <w:rsid w:val="00C1139E"/>
    <w:rsid w:val="00C12622"/>
    <w:rsid w:val="00C351D9"/>
    <w:rsid w:val="00C36BC7"/>
    <w:rsid w:val="00C36CE5"/>
    <w:rsid w:val="00C44B37"/>
    <w:rsid w:val="00C44CE1"/>
    <w:rsid w:val="00C541C3"/>
    <w:rsid w:val="00C75652"/>
    <w:rsid w:val="00C83840"/>
    <w:rsid w:val="00C93533"/>
    <w:rsid w:val="00CA3EF1"/>
    <w:rsid w:val="00CA5B5A"/>
    <w:rsid w:val="00CA7399"/>
    <w:rsid w:val="00CA7495"/>
    <w:rsid w:val="00CB48B4"/>
    <w:rsid w:val="00CC1091"/>
    <w:rsid w:val="00CD2DFC"/>
    <w:rsid w:val="00CE7E78"/>
    <w:rsid w:val="00CF5FCA"/>
    <w:rsid w:val="00CF7A4A"/>
    <w:rsid w:val="00D20DE5"/>
    <w:rsid w:val="00D21D40"/>
    <w:rsid w:val="00D226D8"/>
    <w:rsid w:val="00D31A54"/>
    <w:rsid w:val="00D541A6"/>
    <w:rsid w:val="00D6176D"/>
    <w:rsid w:val="00D7163E"/>
    <w:rsid w:val="00D75644"/>
    <w:rsid w:val="00D92080"/>
    <w:rsid w:val="00D9338F"/>
    <w:rsid w:val="00D94E6C"/>
    <w:rsid w:val="00D97001"/>
    <w:rsid w:val="00DA764B"/>
    <w:rsid w:val="00DB0203"/>
    <w:rsid w:val="00DC0593"/>
    <w:rsid w:val="00DD7635"/>
    <w:rsid w:val="00DE368F"/>
    <w:rsid w:val="00DE50A8"/>
    <w:rsid w:val="00DF30C9"/>
    <w:rsid w:val="00DF330D"/>
    <w:rsid w:val="00E262A6"/>
    <w:rsid w:val="00E45F82"/>
    <w:rsid w:val="00E60DB0"/>
    <w:rsid w:val="00E61D38"/>
    <w:rsid w:val="00E6797F"/>
    <w:rsid w:val="00E72215"/>
    <w:rsid w:val="00E75662"/>
    <w:rsid w:val="00E7703B"/>
    <w:rsid w:val="00E86DC5"/>
    <w:rsid w:val="00E91315"/>
    <w:rsid w:val="00E94167"/>
    <w:rsid w:val="00E95AF5"/>
    <w:rsid w:val="00E95DB4"/>
    <w:rsid w:val="00EA2CFC"/>
    <w:rsid w:val="00EB0106"/>
    <w:rsid w:val="00EB244B"/>
    <w:rsid w:val="00EC6C70"/>
    <w:rsid w:val="00EC6F48"/>
    <w:rsid w:val="00ED3C01"/>
    <w:rsid w:val="00ED6F02"/>
    <w:rsid w:val="00EF07B4"/>
    <w:rsid w:val="00EF2087"/>
    <w:rsid w:val="00F0418C"/>
    <w:rsid w:val="00F077DB"/>
    <w:rsid w:val="00F20863"/>
    <w:rsid w:val="00F20E96"/>
    <w:rsid w:val="00F216E0"/>
    <w:rsid w:val="00F243ED"/>
    <w:rsid w:val="00F30EC2"/>
    <w:rsid w:val="00F3107D"/>
    <w:rsid w:val="00F32B2F"/>
    <w:rsid w:val="00F341CC"/>
    <w:rsid w:val="00F352B5"/>
    <w:rsid w:val="00F64DF6"/>
    <w:rsid w:val="00F70364"/>
    <w:rsid w:val="00F75137"/>
    <w:rsid w:val="00F90F55"/>
    <w:rsid w:val="00F97D85"/>
    <w:rsid w:val="00F97F9E"/>
    <w:rsid w:val="00FA1C8B"/>
    <w:rsid w:val="00FB16BF"/>
    <w:rsid w:val="00FB4B8A"/>
    <w:rsid w:val="00FC336F"/>
    <w:rsid w:val="00FD1A0B"/>
    <w:rsid w:val="00FD3B59"/>
    <w:rsid w:val="00FE0965"/>
    <w:rsid w:val="00FE70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B25EB"/>
  <w15:docId w15:val="{D5519596-7042-4226-B2E2-37ECD375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Heading3Char">
    <w:name w:val="Heading 3 Char"/>
    <w:link w:val="Heading3"/>
    <w:uiPriority w:val="9"/>
    <w:rsid w:val="00E95DB4"/>
    <w:rPr>
      <w:rFonts w:cs="FrankRuehl"/>
      <w:b/>
      <w:bCs/>
    </w:rPr>
  </w:style>
  <w:style w:type="character" w:customStyle="1" w:styleId="Heading9Char">
    <w:name w:val="Heading 9 Char"/>
    <w:link w:val="Heading9"/>
    <w:uiPriority w:val="9"/>
    <w:rsid w:val="00471658"/>
    <w:rPr>
      <w:rFonts w:cs="FrankRuehl"/>
      <w:b/>
      <w:bCs/>
      <w:sz w:val="26"/>
      <w:szCs w:val="26"/>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7E6EFF"/>
    <w:pPr>
      <w:spacing w:after="0"/>
      <w:ind w:right="0"/>
    </w:pPr>
    <w:rPr>
      <w:rFonts w:cs="Guttman Aharoni"/>
      <w:b w:val="0"/>
      <w:bCs w:val="0"/>
      <w:color w:val="0070C0"/>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E95DB4"/>
    <w:rPr>
      <w:rFonts w:cs="David"/>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95DB4"/>
    <w:rPr>
      <w:rFonts w:cs="David"/>
      <w:sz w:val="24"/>
      <w:szCs w:val="24"/>
    </w:r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qFormat/>
    <w:pPr>
      <w:spacing w:line="240" w:lineRule="auto"/>
    </w:pPr>
    <w:rPr>
      <w:rFonts w:cs="Times New Roman"/>
      <w:sz w:val="20"/>
      <w:szCs w:val="20"/>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5DB4"/>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CommentTextChar">
    <w:name w:val="Comment Text Char"/>
    <w:link w:val="CommentText"/>
    <w:uiPriority w:val="99"/>
    <w:rsid w:val="00E95DB4"/>
  </w:style>
  <w:style w:type="character" w:customStyle="1" w:styleId="CommentSubjectChar">
    <w:name w:val="Comment Subject Char"/>
    <w:link w:val="CommentSubject"/>
    <w:uiPriority w:val="99"/>
    <w:semiHidden/>
    <w:rsid w:val="00E95DB4"/>
    <w:rPr>
      <w:b/>
      <w:bCs/>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character" w:customStyle="1" w:styleId="TitleChar">
    <w:name w:val="Title Char"/>
    <w:link w:val="Title"/>
    <w:uiPriority w:val="10"/>
    <w:rsid w:val="00E95DB4"/>
    <w:rPr>
      <w:rFonts w:cs="David"/>
      <w:sz w:val="24"/>
      <w:szCs w:val="24"/>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styleId="CommentReference">
    <w:name w:val="annotation reference"/>
    <w:uiPriority w:val="99"/>
    <w:semiHidden/>
    <w:unhideWhenUsed/>
    <w:rsid w:val="00E95DB4"/>
    <w:rPr>
      <w:sz w:val="16"/>
      <w:szCs w:val="16"/>
    </w:rPr>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rsid w:val="00E95DB4"/>
  </w:style>
  <w:style w:type="character" w:customStyle="1" w:styleId="personname">
    <w:name w:val="person_name"/>
    <w:rsid w:val="00E95DB4"/>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7E6EFF"/>
    <w:pPr>
      <w:outlineLvl w:val="3"/>
    </w:pPr>
    <w:rPr>
      <w:rFonts w:ascii="Times New Roman" w:hAnsi="Times New Roman" w:cs="Times New Roman"/>
      <w:b/>
      <w:bCs/>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E6797F"/>
    <w:pPr>
      <w:spacing w:before="120" w:after="120" w:line="280" w:lineRule="exact"/>
    </w:pPr>
    <w:rPr>
      <w:color w:val="0B5294"/>
      <w:sz w:val="20"/>
      <w:szCs w:val="20"/>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FootnoteTextChar1">
    <w:name w:val="Footnote Text Char1"/>
    <w:aliases w:val="תו Char"/>
    <w:uiPriority w:val="99"/>
    <w:semiHidden/>
    <w:locked/>
    <w:rsid w:val="00F30EC2"/>
    <w:rPr>
      <w:rFonts w:ascii="Times New Roman" w:eastAsia="Calibri" w:hAnsi="Times New Roman" w:cs="David"/>
      <w:sz w:val="20"/>
      <w:szCs w:val="20"/>
    </w:rPr>
  </w:style>
  <w:style w:type="paragraph" w:styleId="BodyText2">
    <w:name w:val="Body Text 2"/>
    <w:basedOn w:val="Normal"/>
    <w:link w:val="BodyText2Char"/>
    <w:uiPriority w:val="99"/>
    <w:unhideWhenUsed/>
    <w:rsid w:val="00A50FBE"/>
    <w:pPr>
      <w:spacing w:after="120" w:line="300" w:lineRule="exact"/>
      <w:jc w:val="both"/>
    </w:pPr>
    <w:rPr>
      <w:rFonts w:cs="Times New Roman"/>
      <w:sz w:val="22"/>
      <w:szCs w:val="22"/>
    </w:rPr>
  </w:style>
  <w:style w:type="character" w:customStyle="1" w:styleId="BodyText2Char">
    <w:name w:val="Body Text 2 Char"/>
    <w:link w:val="BodyText2"/>
    <w:uiPriority w:val="99"/>
    <w:rsid w:val="00A50FBE"/>
    <w:rPr>
      <w:rFonts w:ascii="Times New Roman" w:hAnsi="Times New Roman" w:cs="Times New Roman"/>
      <w:sz w:val="22"/>
      <w:szCs w:val="22"/>
    </w:rPr>
  </w:style>
  <w:style w:type="paragraph" w:styleId="BodyTextIndent2">
    <w:name w:val="Body Text Indent 2"/>
    <w:basedOn w:val="Normal"/>
    <w:link w:val="BodyTextIndent2Char"/>
    <w:uiPriority w:val="99"/>
    <w:unhideWhenUsed/>
    <w:rsid w:val="008C0830"/>
    <w:pPr>
      <w:spacing w:after="120" w:line="300" w:lineRule="exact"/>
      <w:ind w:left="567"/>
      <w:jc w:val="both"/>
    </w:pPr>
    <w:rPr>
      <w:rFonts w:cs="Times New Roman"/>
      <w:sz w:val="22"/>
      <w:szCs w:val="22"/>
    </w:rPr>
  </w:style>
  <w:style w:type="character" w:customStyle="1" w:styleId="BodyTextIndent2Char">
    <w:name w:val="Body Text Indent 2 Char"/>
    <w:link w:val="BodyTextIndent2"/>
    <w:uiPriority w:val="99"/>
    <w:rsid w:val="008C0830"/>
    <w:rPr>
      <w:sz w:val="22"/>
      <w:szCs w:val="22"/>
    </w:rPr>
  </w:style>
  <w:style w:type="paragraph" w:customStyle="1" w:styleId="Default0">
    <w:name w:val="Default"/>
    <w:rsid w:val="007506C0"/>
    <w:pPr>
      <w:autoSpaceDE w:val="0"/>
      <w:autoSpaceDN w:val="0"/>
      <w:adjustRightInd w:val="0"/>
    </w:pPr>
    <w:rPr>
      <w:rFonts w:ascii="Code" w:eastAsia="Calibri" w:hAnsi="Code" w:cs="Code"/>
      <w:color w:val="000000"/>
      <w:sz w:val="24"/>
      <w:szCs w:val="24"/>
      <w:lang w:val="en-GB"/>
    </w:rPr>
  </w:style>
  <w:style w:type="paragraph" w:customStyle="1" w:styleId="m5913543275134307516xm-6574082299105977569xmsonormal">
    <w:name w:val="m_5913543275134307516x_m_-6574082299105977569x_msonormal"/>
    <w:basedOn w:val="Normal"/>
    <w:rsid w:val="00787937"/>
    <w:pPr>
      <w:bidi w:val="0"/>
      <w:spacing w:before="100" w:beforeAutospacing="1" w:after="100" w:afterAutospacing="1" w:line="240" w:lineRule="auto"/>
    </w:pPr>
    <w:rPr>
      <w:rFonts w:cs="Times New Roman"/>
      <w:lang w:val="en-GB" w:eastAsia="en-GB"/>
    </w:rPr>
  </w:style>
  <w:style w:type="paragraph" w:customStyle="1" w:styleId="Hesber">
    <w:name w:val="Hesber"/>
    <w:basedOn w:val="Normal"/>
    <w:rsid w:val="00E72215"/>
    <w:pPr>
      <w:widowControl w:val="0"/>
      <w:autoSpaceDE w:val="0"/>
      <w:autoSpaceDN w:val="0"/>
      <w:adjustRightInd w:val="0"/>
      <w:snapToGrid w:val="0"/>
      <w:spacing w:line="360" w:lineRule="auto"/>
      <w:ind w:firstLine="340"/>
      <w:jc w:val="both"/>
    </w:pPr>
    <w:rPr>
      <w:rFonts w:ascii="Arial" w:eastAsia="Arial Unicode MS" w:hAnsi="Arial"/>
      <w:color w:val="000000"/>
      <w:sz w:val="20"/>
      <w:szCs w:val="26"/>
      <w:lang w:eastAsia="ja-JP"/>
    </w:rPr>
  </w:style>
  <w:style w:type="character" w:customStyle="1" w:styleId="mw-headline">
    <w:name w:val="mw-headline"/>
    <w:rsid w:val="00E72215"/>
  </w:style>
  <w:style w:type="paragraph" w:customStyle="1" w:styleId="Ruller4">
    <w:name w:val="Ruller 4 ממוספר"/>
    <w:basedOn w:val="Normal"/>
    <w:next w:val="Normal"/>
    <w:rsid w:val="00E72215"/>
    <w:pPr>
      <w:numPr>
        <w:numId w:val="29"/>
      </w:numPr>
      <w:tabs>
        <w:tab w:val="left" w:pos="800"/>
      </w:tabs>
      <w:overflowPunct w:val="0"/>
      <w:autoSpaceDE w:val="0"/>
      <w:autoSpaceDN w:val="0"/>
      <w:adjustRightInd w:val="0"/>
      <w:spacing w:line="360" w:lineRule="auto"/>
      <w:jc w:val="both"/>
      <w:textAlignment w:val="baseline"/>
    </w:pPr>
    <w:rPr>
      <w:rFonts w:ascii="Garamond" w:hAnsi="Garamond" w:cs="FrankRuehl"/>
      <w:spacing w:val="10"/>
      <w:szCs w:val="28"/>
    </w:rPr>
  </w:style>
  <w:style w:type="paragraph" w:customStyle="1" w:styleId="Ruller40">
    <w:name w:val="Ruller4"/>
    <w:basedOn w:val="Normal"/>
    <w:link w:val="Ruller41"/>
    <w:qFormat/>
    <w:rsid w:val="00E72215"/>
    <w:pPr>
      <w:tabs>
        <w:tab w:val="left" w:pos="800"/>
      </w:tabs>
      <w:overflowPunct w:val="0"/>
      <w:autoSpaceDE w:val="0"/>
      <w:autoSpaceDN w:val="0"/>
      <w:adjustRightInd w:val="0"/>
      <w:spacing w:line="360" w:lineRule="auto"/>
      <w:jc w:val="both"/>
      <w:textAlignment w:val="baseline"/>
    </w:pPr>
    <w:rPr>
      <w:rFonts w:ascii="Arial TUR" w:hAnsi="Arial TUR" w:cs="FrankRuehl"/>
      <w:spacing w:val="10"/>
      <w:sz w:val="22"/>
      <w:szCs w:val="28"/>
    </w:rPr>
  </w:style>
  <w:style w:type="character" w:customStyle="1" w:styleId="Ruller41">
    <w:name w:val="Ruller4 תו"/>
    <w:link w:val="Ruller40"/>
    <w:locked/>
    <w:rsid w:val="00E72215"/>
    <w:rPr>
      <w:rFonts w:ascii="Arial TUR" w:hAnsi="Arial TUR" w:cs="FrankRuehl"/>
      <w:spacing w:val="10"/>
      <w:sz w:val="22"/>
      <w:szCs w:val="28"/>
    </w:rPr>
  </w:style>
  <w:style w:type="character" w:customStyle="1" w:styleId="law-external">
    <w:name w:val="law-external"/>
    <w:rsid w:val="00E72215"/>
  </w:style>
  <w:style w:type="paragraph" w:styleId="BodyTextIndent3">
    <w:name w:val="Body Text Indent 3"/>
    <w:basedOn w:val="Normal"/>
    <w:link w:val="BodyTextIndent3Char"/>
    <w:uiPriority w:val="99"/>
    <w:unhideWhenUsed/>
    <w:rsid w:val="00393F32"/>
    <w:pPr>
      <w:spacing w:after="120" w:line="300" w:lineRule="exact"/>
      <w:ind w:left="567"/>
      <w:jc w:val="both"/>
    </w:pPr>
    <w:rPr>
      <w:rFonts w:ascii="David" w:hAnsi="David"/>
      <w:sz w:val="20"/>
      <w:szCs w:val="20"/>
    </w:rPr>
  </w:style>
  <w:style w:type="character" w:customStyle="1" w:styleId="BodyTextIndent3Char">
    <w:name w:val="Body Text Indent 3 Char"/>
    <w:link w:val="BodyTextIndent3"/>
    <w:uiPriority w:val="99"/>
    <w:rsid w:val="00393F32"/>
    <w:rPr>
      <w:rFonts w:ascii="David" w:hAnsi="David" w:cs="David"/>
    </w:rPr>
  </w:style>
  <w:style w:type="paragraph" w:customStyle="1" w:styleId="BODYVERDICT">
    <w:name w:val="BODY VERDICT"/>
    <w:basedOn w:val="Normal"/>
    <w:rsid w:val="00AE7DAB"/>
    <w:pPr>
      <w:overflowPunct w:val="0"/>
      <w:autoSpaceDE w:val="0"/>
      <w:autoSpaceDN w:val="0"/>
      <w:adjustRightInd w:val="0"/>
      <w:spacing w:line="240" w:lineRule="auto"/>
    </w:pPr>
    <w:rPr>
      <w:rFonts w:cs="FrankRuehl"/>
      <w:spacing w:val="10"/>
      <w:sz w:val="22"/>
      <w:szCs w:val="28"/>
    </w:rPr>
  </w:style>
  <w:style w:type="paragraph" w:styleId="Revision">
    <w:name w:val="Revision"/>
    <w:hidden/>
    <w:uiPriority w:val="99"/>
    <w:semiHidden/>
    <w:rsid w:val="00AE7DAB"/>
    <w:rPr>
      <w:rFonts w:ascii="Calibri" w:eastAsia="Calibri" w:hAnsi="Calibri" w:cs="Arial"/>
      <w:noProof/>
      <w:sz w:val="22"/>
      <w:szCs w:val="22"/>
    </w:rPr>
  </w:style>
  <w:style w:type="paragraph" w:customStyle="1" w:styleId="big-header">
    <w:name w:val="big-header"/>
    <w:basedOn w:val="Normal"/>
    <w:rsid w:val="00AE7DAB"/>
    <w:pPr>
      <w:bidi w:val="0"/>
      <w:spacing w:before="100" w:beforeAutospacing="1" w:after="100" w:afterAutospacing="1" w:line="240" w:lineRule="auto"/>
    </w:pPr>
    <w:rPr>
      <w:rFonts w:cs="Times New Roman"/>
    </w:rPr>
  </w:style>
  <w:style w:type="paragraph" w:customStyle="1" w:styleId="p00">
    <w:name w:val="p00"/>
    <w:basedOn w:val="Normal"/>
    <w:rsid w:val="00AE7DAB"/>
    <w:pPr>
      <w:bidi w:val="0"/>
      <w:spacing w:before="100" w:beforeAutospacing="1" w:after="100" w:afterAutospacing="1" w:line="240" w:lineRule="auto"/>
    </w:pPr>
    <w:rPr>
      <w:rFonts w:cs="Times New Roman"/>
    </w:rPr>
  </w:style>
  <w:style w:type="character" w:customStyle="1" w:styleId="big-number">
    <w:name w:val="big-number"/>
    <w:basedOn w:val="DefaultParagraphFont"/>
    <w:rsid w:val="00AE7DAB"/>
  </w:style>
  <w:style w:type="paragraph" w:customStyle="1" w:styleId="p22">
    <w:name w:val="p22"/>
    <w:basedOn w:val="Normal"/>
    <w:rsid w:val="00AE7DAB"/>
    <w:pPr>
      <w:bidi w:val="0"/>
      <w:spacing w:before="100" w:beforeAutospacing="1" w:after="100" w:afterAutospacing="1" w:line="240" w:lineRule="auto"/>
    </w:pPr>
    <w:rPr>
      <w:rFonts w:cs="Times New Roman"/>
    </w:rPr>
  </w:style>
  <w:style w:type="paragraph" w:customStyle="1" w:styleId="p33">
    <w:name w:val="p33"/>
    <w:basedOn w:val="Normal"/>
    <w:rsid w:val="00AE7DAB"/>
    <w:pPr>
      <w:bidi w:val="0"/>
      <w:spacing w:before="100" w:beforeAutospacing="1" w:after="100" w:afterAutospacing="1" w:line="240" w:lineRule="auto"/>
    </w:pPr>
    <w:rPr>
      <w:rFonts w:cs="Times New Roman"/>
    </w:rPr>
  </w:style>
  <w:style w:type="character" w:customStyle="1" w:styleId="il">
    <w:name w:val="il"/>
    <w:basedOn w:val="DefaultParagraphFont"/>
    <w:rsid w:val="00EC6C70"/>
  </w:style>
  <w:style w:type="character" w:customStyle="1" w:styleId="law-local">
    <w:name w:val="law-local"/>
    <w:basedOn w:val="DefaultParagraphFont"/>
    <w:rsid w:val="00EC6C70"/>
  </w:style>
  <w:style w:type="character" w:customStyle="1" w:styleId="cf01">
    <w:name w:val="cf01"/>
    <w:basedOn w:val="DefaultParagraphFont"/>
    <w:rsid w:val="00D541A6"/>
    <w:rPr>
      <w:rFonts w:ascii="Tahoma" w:hAnsi="Tahoma" w:cs="Tahoma" w:hint="default"/>
      <w:sz w:val="18"/>
      <w:szCs w:val="18"/>
    </w:rPr>
  </w:style>
  <w:style w:type="paragraph" w:customStyle="1" w:styleId="11">
    <w:name w:val="פיסקת רשימה1"/>
    <w:basedOn w:val="Normal"/>
    <w:qFormat/>
    <w:rsid w:val="00263722"/>
    <w:pPr>
      <w:spacing w:after="160" w:line="256" w:lineRule="auto"/>
      <w:ind w:left="720"/>
      <w:contextualSpacing/>
    </w:pPr>
    <w:rPr>
      <w:rFonts w:ascii="Calibri" w:hAnsi="Calibri" w:cs="Arial"/>
      <w:sz w:val="22"/>
      <w:szCs w:val="22"/>
    </w:rPr>
  </w:style>
  <w:style w:type="paragraph" w:customStyle="1" w:styleId="ruller5">
    <w:name w:val="ruller5"/>
    <w:basedOn w:val="Normal"/>
    <w:rsid w:val="00263722"/>
    <w:pPr>
      <w:bidi w:val="0"/>
      <w:spacing w:before="100" w:beforeAutospacing="1" w:after="100" w:afterAutospacing="1"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7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27F88457688944BA6787315C6BF79A" ma:contentTypeVersion="1" ma:contentTypeDescription="צור מסמך חדש." ma:contentTypeScope="" ma:versionID="8da0ba3492a0225a13c8faedddc7eca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33239-4DC0-4E06-BBF5-12CACFA43D6F}"/>
</file>

<file path=customXml/itemProps2.xml><?xml version="1.0" encoding="utf-8"?>
<ds:datastoreItem xmlns:ds="http://schemas.openxmlformats.org/officeDocument/2006/customXml" ds:itemID="{6BE3DEDD-36E0-483B-B203-0AFAF4041401}"/>
</file>

<file path=customXml/itemProps3.xml><?xml version="1.0" encoding="utf-8"?>
<ds:datastoreItem xmlns:ds="http://schemas.openxmlformats.org/officeDocument/2006/customXml" ds:itemID="{556421C3-E737-4E0E-944A-41FF7B0B2574}"/>
</file>

<file path=docProps/app.xml><?xml version="1.0" encoding="utf-8"?>
<Properties xmlns="http://schemas.openxmlformats.org/officeDocument/2006/extended-properties" xmlns:vt="http://schemas.openxmlformats.org/officeDocument/2006/docPropsVTypes">
  <Template>Normal.dotm</Template>
  <TotalTime>167</TotalTime>
  <Pages>5</Pages>
  <Words>1208</Words>
  <Characters>6886</Characters>
  <Application>Microsoft Office Word</Application>
  <DocSecurity>0</DocSecurity>
  <Lines>57</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חקיקה ופסיקה חברתית</vt:lpstr>
      <vt:lpstr>חקיקה ופסיקה חברתית</vt:lpstr>
    </vt:vector>
  </TitlesOfParts>
  <Company>Onit Computer Services Ltd</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חקיקה ופסיקה חברתית</dc:title>
  <dc:creator>Mordechai Frankel</dc:creator>
  <cp:lastModifiedBy>שולמית פרנקל</cp:lastModifiedBy>
  <cp:revision>36</cp:revision>
  <cp:lastPrinted>2024-03-26T19:53:00Z</cp:lastPrinted>
  <dcterms:created xsi:type="dcterms:W3CDTF">2022-10-19T10:11:00Z</dcterms:created>
  <dcterms:modified xsi:type="dcterms:W3CDTF">2024-03-26T19:54:00Z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-2004767230</vt:i4>
  </property>
  <property fmtid="{D5CDD505-2E9C-101B-9397-08002B2CF9AE}" pid="3" name="_NewReviewCycle">
    <vt:lpwstr/>
  </property>
  <property fmtid="{D5CDD505-2E9C-101B-9397-08002B2CF9AE}" pid="4" name="_EmailSubject">
    <vt:lpwstr>ביטחון סוציאלי 122 - להחלפה באתר</vt:lpwstr>
  </property>
  <property fmtid="{D5CDD505-2E9C-101B-9397-08002B2CF9AE}" pid="5" name="_AuthorEmail">
    <vt:lpwstr>maya_orev@snifim.blroot</vt:lpwstr>
  </property>
  <property fmtid="{D5CDD505-2E9C-101B-9397-08002B2CF9AE}" pid="6" name="_AuthorEmailDisplayName">
    <vt:lpwstr>מיה עורב הטל</vt:lpwstr>
  </property>
  <property fmtid="{D5CDD505-2E9C-101B-9397-08002B2CF9AE}" pid="7" name="ContentTypeId">
    <vt:lpwstr>0x0101006427F88457688944BA6787315C6BF79A</vt:lpwstr>
  </property>
  <property fmtid="{D5CDD505-2E9C-101B-9397-08002B2CF9AE}" pid="8" name="Order">
    <vt:r8>2300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