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374" w14:textId="77777777" w:rsidR="00B6001E" w:rsidRPr="005D521C" w:rsidRDefault="00B6001E" w:rsidP="00605F71">
      <w:pPr>
        <w:pStyle w:val="Heading9"/>
        <w:jc w:val="center"/>
        <w:rPr>
          <w:color w:val="auto"/>
        </w:rPr>
      </w:pPr>
      <w:r w:rsidRPr="005D521C">
        <w:rPr>
          <w:rFonts w:hint="cs"/>
          <w:color w:val="auto"/>
          <w:rtl/>
        </w:rPr>
        <w:t>الضمان الاجتماعي</w:t>
      </w:r>
    </w:p>
    <w:p w14:paraId="162FF065" w14:textId="78993EE6" w:rsidR="001A7A8E" w:rsidRPr="005D521C" w:rsidRDefault="00D10B38" w:rsidP="00605F71">
      <w:pPr>
        <w:spacing w:line="240" w:lineRule="atLeast"/>
        <w:jc w:val="center"/>
        <w:rPr>
          <w:rFonts w:ascii="Arial" w:hAnsi="Arial" w:cs="Arial"/>
          <w:b/>
          <w:bCs/>
          <w:sz w:val="36"/>
          <w:szCs w:val="36"/>
          <w:rtl/>
        </w:rPr>
      </w:pPr>
      <w:r w:rsidRPr="005D521C">
        <w:rPr>
          <w:rFonts w:ascii="Arial" w:hAnsi="Arial" w:cs="Arial"/>
          <w:b/>
          <w:bCs/>
          <w:sz w:val="36"/>
          <w:szCs w:val="36"/>
          <w:rtl/>
          <w:lang w:bidi="ar-LB"/>
        </w:rPr>
        <w:t xml:space="preserve">المجلة </w:t>
      </w:r>
      <w:r w:rsidR="00266EE4" w:rsidRPr="005D521C">
        <w:rPr>
          <w:rFonts w:ascii="Simplified Arabic" w:hAnsi="Simplified Arabic" w:cs="Simplified Arabic"/>
          <w:b/>
          <w:bCs/>
          <w:sz w:val="36"/>
          <w:szCs w:val="36"/>
          <w:rtl/>
          <w:lang w:bidi="ar-JO"/>
        </w:rPr>
        <w:t>الإسرائيلي</w:t>
      </w:r>
      <w:r w:rsidR="00266EE4" w:rsidRPr="005D521C">
        <w:rPr>
          <w:rFonts w:ascii="Simplified Arabic" w:hAnsi="Simplified Arabic" w:cs="Simplified Arabic" w:hint="cs"/>
          <w:b/>
          <w:bCs/>
          <w:sz w:val="36"/>
          <w:szCs w:val="36"/>
          <w:rtl/>
          <w:lang w:bidi="ar-JO"/>
        </w:rPr>
        <w:t>ة</w:t>
      </w:r>
      <w:r w:rsidRPr="005D521C">
        <w:rPr>
          <w:rFonts w:ascii="Arial" w:hAnsi="Arial" w:cs="Arial"/>
          <w:b/>
          <w:bCs/>
          <w:sz w:val="36"/>
          <w:szCs w:val="36"/>
          <w:rtl/>
          <w:lang w:bidi="ar-LB"/>
        </w:rPr>
        <w:t xml:space="preserve"> للضمان الاجتماعي</w:t>
      </w:r>
    </w:p>
    <w:p w14:paraId="482611B5" w14:textId="77777777" w:rsidR="00B6001E" w:rsidRPr="005C2354" w:rsidRDefault="00B6001E" w:rsidP="00605F71">
      <w:pPr>
        <w:spacing w:line="240" w:lineRule="atLeast"/>
        <w:jc w:val="center"/>
        <w:rPr>
          <w:rFonts w:cstheme="minorBidi"/>
          <w:b/>
          <w:bCs/>
          <w:sz w:val="20"/>
          <w:rtl/>
          <w:lang w:bidi="ar-SA"/>
        </w:rPr>
      </w:pPr>
    </w:p>
    <w:p w14:paraId="77821D60" w14:textId="77777777" w:rsidR="00B6001E" w:rsidRPr="005D521C" w:rsidRDefault="00B6001E" w:rsidP="00605F71">
      <w:pPr>
        <w:spacing w:line="240" w:lineRule="atLeast"/>
        <w:jc w:val="center"/>
        <w:rPr>
          <w:b/>
          <w:bCs/>
          <w:sz w:val="20"/>
          <w:rtl/>
        </w:rPr>
      </w:pPr>
    </w:p>
    <w:p w14:paraId="55ADD6CC" w14:textId="77777777" w:rsidR="00B6001E" w:rsidRPr="005D521C" w:rsidRDefault="00B6001E" w:rsidP="00605F71">
      <w:pPr>
        <w:spacing w:line="240" w:lineRule="atLeast"/>
        <w:jc w:val="center"/>
        <w:rPr>
          <w:b/>
          <w:bCs/>
          <w:sz w:val="20"/>
          <w:rtl/>
        </w:rPr>
      </w:pPr>
    </w:p>
    <w:p w14:paraId="091631BF" w14:textId="77777777" w:rsidR="00B6001E" w:rsidRPr="005D521C" w:rsidRDefault="00B6001E" w:rsidP="00605F71">
      <w:pPr>
        <w:spacing w:line="240" w:lineRule="atLeast"/>
        <w:jc w:val="center"/>
        <w:rPr>
          <w:b/>
          <w:bCs/>
          <w:sz w:val="20"/>
          <w:rtl/>
        </w:rPr>
      </w:pPr>
    </w:p>
    <w:p w14:paraId="337F1380" w14:textId="77777777" w:rsidR="00B6001E" w:rsidRPr="005D521C" w:rsidRDefault="00B6001E" w:rsidP="00605F71">
      <w:pPr>
        <w:spacing w:line="240" w:lineRule="atLeast"/>
        <w:jc w:val="center"/>
        <w:rPr>
          <w:b/>
          <w:bCs/>
          <w:sz w:val="20"/>
          <w:rtl/>
        </w:rPr>
      </w:pPr>
    </w:p>
    <w:p w14:paraId="2D1BE84C" w14:textId="77777777" w:rsidR="00B6001E" w:rsidRPr="005D521C" w:rsidRDefault="00B6001E" w:rsidP="00605F71">
      <w:pPr>
        <w:spacing w:line="240" w:lineRule="atLeast"/>
        <w:jc w:val="center"/>
        <w:rPr>
          <w:b/>
          <w:bCs/>
          <w:sz w:val="20"/>
          <w:rtl/>
        </w:rPr>
      </w:pPr>
    </w:p>
    <w:p w14:paraId="22AB7A70" w14:textId="5B69C964" w:rsidR="00B6001E" w:rsidRPr="005D521C" w:rsidRDefault="00B6001E" w:rsidP="00605F71">
      <w:pPr>
        <w:spacing w:line="240" w:lineRule="atLeast"/>
        <w:jc w:val="center"/>
        <w:rPr>
          <w:b/>
          <w:bCs/>
          <w:sz w:val="22"/>
          <w:szCs w:val="28"/>
          <w:rtl/>
        </w:rPr>
      </w:pPr>
    </w:p>
    <w:p w14:paraId="054E5874" w14:textId="77777777" w:rsidR="00B21FF5" w:rsidRPr="00170255" w:rsidRDefault="00B21FF5" w:rsidP="00B21FF5">
      <w:pPr>
        <w:spacing w:line="240" w:lineRule="atLeast"/>
        <w:jc w:val="center"/>
        <w:rPr>
          <w:rFonts w:asciiTheme="minorBidi" w:hAnsiTheme="minorBidi" w:cstheme="minorBidi"/>
          <w:b/>
          <w:bCs/>
          <w:sz w:val="28"/>
          <w:szCs w:val="28"/>
        </w:rPr>
      </w:pPr>
      <w:proofErr w:type="spellStart"/>
      <w:r>
        <w:rPr>
          <w:rFonts w:asciiTheme="minorBidi" w:hAnsiTheme="minorBidi" w:cstheme="minorBidi"/>
          <w:color w:val="333333"/>
          <w:sz w:val="28"/>
          <w:szCs w:val="28"/>
          <w:rtl/>
          <w:lang w:bidi="ar-JO"/>
        </w:rPr>
        <w:t>الكورونا</w:t>
      </w:r>
      <w:proofErr w:type="spellEnd"/>
      <w:r>
        <w:rPr>
          <w:rFonts w:asciiTheme="minorBidi" w:hAnsiTheme="minorBidi" w:cstheme="minorBidi"/>
          <w:color w:val="333333"/>
          <w:sz w:val="28"/>
          <w:szCs w:val="28"/>
          <w:rtl/>
          <w:lang w:bidi="ar-JO"/>
        </w:rPr>
        <w:t xml:space="preserve"> وتأثيراتها على المجتمع المدني في إسرائيل</w:t>
      </w:r>
    </w:p>
    <w:p w14:paraId="5291DB57" w14:textId="77777777" w:rsidR="00B6001E" w:rsidRPr="005D521C" w:rsidRDefault="00B6001E" w:rsidP="00605F71">
      <w:pPr>
        <w:spacing w:line="240" w:lineRule="atLeast"/>
        <w:jc w:val="center"/>
        <w:rPr>
          <w:b/>
          <w:bCs/>
          <w:sz w:val="20"/>
        </w:rPr>
      </w:pPr>
    </w:p>
    <w:p w14:paraId="36D5353C" w14:textId="77777777" w:rsidR="00605F71" w:rsidRPr="005D521C" w:rsidRDefault="00605F71" w:rsidP="00605F71">
      <w:pPr>
        <w:spacing w:line="240" w:lineRule="atLeast"/>
        <w:jc w:val="center"/>
        <w:rPr>
          <w:b/>
          <w:bCs/>
          <w:sz w:val="20"/>
        </w:rPr>
      </w:pPr>
    </w:p>
    <w:p w14:paraId="6663FCC6" w14:textId="045FEC2E" w:rsidR="00787295" w:rsidRPr="005D521C" w:rsidRDefault="00787295" w:rsidP="00787295">
      <w:pPr>
        <w:spacing w:line="240" w:lineRule="atLeast"/>
        <w:jc w:val="center"/>
        <w:rPr>
          <w:b/>
          <w:bCs/>
          <w:sz w:val="20"/>
          <w:rtl/>
        </w:rPr>
      </w:pPr>
    </w:p>
    <w:p w14:paraId="2C681D5C" w14:textId="6EF454EF" w:rsidR="00605F71" w:rsidRPr="005D521C" w:rsidRDefault="00605F71" w:rsidP="00787295">
      <w:pPr>
        <w:spacing w:line="240" w:lineRule="atLeast"/>
        <w:jc w:val="center"/>
        <w:rPr>
          <w:b/>
          <w:bCs/>
          <w:sz w:val="20"/>
        </w:rPr>
      </w:pPr>
    </w:p>
    <w:p w14:paraId="313B0EBE" w14:textId="77777777" w:rsidR="00605F71" w:rsidRPr="005D521C" w:rsidRDefault="00605F71" w:rsidP="00605F71">
      <w:pPr>
        <w:spacing w:line="240" w:lineRule="atLeast"/>
        <w:jc w:val="center"/>
        <w:rPr>
          <w:b/>
          <w:bCs/>
          <w:sz w:val="20"/>
        </w:rPr>
      </w:pPr>
    </w:p>
    <w:p w14:paraId="41B14AF7" w14:textId="77777777" w:rsidR="00605F71" w:rsidRPr="005D521C" w:rsidRDefault="00605F71" w:rsidP="00605F71">
      <w:pPr>
        <w:spacing w:line="240" w:lineRule="atLeast"/>
        <w:jc w:val="center"/>
        <w:rPr>
          <w:b/>
          <w:bCs/>
          <w:sz w:val="20"/>
          <w:rtl/>
        </w:rPr>
      </w:pPr>
    </w:p>
    <w:p w14:paraId="4995CB8F" w14:textId="77777777" w:rsidR="00B6001E" w:rsidRPr="005D521C" w:rsidRDefault="00B6001E" w:rsidP="00605F71">
      <w:pPr>
        <w:spacing w:line="240" w:lineRule="atLeast"/>
        <w:jc w:val="center"/>
        <w:rPr>
          <w:rFonts w:cstheme="minorBidi"/>
          <w:b/>
          <w:bCs/>
          <w:sz w:val="20"/>
          <w:lang w:bidi="ar-SA"/>
        </w:rPr>
      </w:pPr>
    </w:p>
    <w:p w14:paraId="12AF0106" w14:textId="77777777" w:rsidR="00B6001E" w:rsidRPr="005D521C" w:rsidRDefault="00B6001E" w:rsidP="00605F71">
      <w:pPr>
        <w:spacing w:line="240" w:lineRule="atLeast"/>
        <w:jc w:val="center"/>
        <w:rPr>
          <w:b/>
          <w:bCs/>
          <w:sz w:val="20"/>
          <w:rtl/>
          <w:lang w:bidi="ar-LB"/>
        </w:rPr>
      </w:pPr>
    </w:p>
    <w:p w14:paraId="5EC6EF03" w14:textId="77777777" w:rsidR="00B6001E" w:rsidRPr="005D521C" w:rsidRDefault="00B6001E" w:rsidP="00605F71">
      <w:pPr>
        <w:spacing w:line="240" w:lineRule="atLeast"/>
        <w:jc w:val="center"/>
        <w:rPr>
          <w:b/>
          <w:bCs/>
          <w:sz w:val="20"/>
          <w:rtl/>
          <w:lang w:bidi="ar-LB"/>
        </w:rPr>
      </w:pPr>
    </w:p>
    <w:p w14:paraId="10CC29E6" w14:textId="77777777" w:rsidR="00B6001E" w:rsidRPr="005D521C" w:rsidRDefault="00B6001E" w:rsidP="00605F71">
      <w:pPr>
        <w:spacing w:line="240" w:lineRule="atLeast"/>
        <w:jc w:val="center"/>
        <w:rPr>
          <w:b/>
          <w:bCs/>
          <w:sz w:val="20"/>
          <w:rtl/>
          <w:lang w:bidi="ar-LB"/>
        </w:rPr>
      </w:pPr>
    </w:p>
    <w:p w14:paraId="03700DF0" w14:textId="77777777" w:rsidR="00B6001E" w:rsidRPr="005D521C" w:rsidRDefault="00B6001E" w:rsidP="00605F71">
      <w:pPr>
        <w:spacing w:line="240" w:lineRule="atLeast"/>
        <w:jc w:val="center"/>
        <w:rPr>
          <w:b/>
          <w:bCs/>
          <w:sz w:val="20"/>
          <w:lang w:bidi="ar-LB"/>
        </w:rPr>
      </w:pPr>
    </w:p>
    <w:p w14:paraId="7CD35832" w14:textId="77777777" w:rsidR="00B6001E" w:rsidRPr="005D521C" w:rsidRDefault="00B6001E" w:rsidP="00605F71">
      <w:pPr>
        <w:spacing w:line="240" w:lineRule="atLeast"/>
        <w:jc w:val="center"/>
        <w:rPr>
          <w:b/>
          <w:bCs/>
          <w:sz w:val="20"/>
          <w:rtl/>
          <w:lang w:bidi="ar-LB"/>
        </w:rPr>
      </w:pPr>
    </w:p>
    <w:p w14:paraId="52EB7637" w14:textId="77777777" w:rsidR="00B6001E" w:rsidRPr="005C2354" w:rsidRDefault="00B6001E" w:rsidP="00605F71">
      <w:pPr>
        <w:spacing w:line="240" w:lineRule="atLeast"/>
        <w:jc w:val="center"/>
        <w:rPr>
          <w:rFonts w:cstheme="minorBidi"/>
          <w:b/>
          <w:bCs/>
          <w:sz w:val="20"/>
          <w:rtl/>
          <w:lang w:bidi="ar-SA"/>
        </w:rPr>
      </w:pPr>
    </w:p>
    <w:p w14:paraId="2E230628" w14:textId="77777777" w:rsidR="008F360C" w:rsidRPr="005D521C" w:rsidRDefault="00546B60" w:rsidP="00605F71">
      <w:pPr>
        <w:spacing w:line="240" w:lineRule="atLeast"/>
        <w:jc w:val="center"/>
        <w:rPr>
          <w:b/>
          <w:bCs/>
          <w:sz w:val="20"/>
          <w:rtl/>
        </w:rPr>
      </w:pPr>
      <w:r w:rsidRPr="005D521C">
        <w:rPr>
          <w:b/>
          <w:bCs/>
          <w:noProof/>
          <w:sz w:val="20"/>
        </w:rPr>
        <w:drawing>
          <wp:inline distT="0" distB="0" distL="0" distR="0" wp14:anchorId="49B3078D" wp14:editId="74358323">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6CBBBD52" w14:textId="77777777" w:rsidR="00EE0D9A" w:rsidRPr="005D521C" w:rsidRDefault="00EE0D9A" w:rsidP="00EE0D9A">
      <w:pPr>
        <w:pStyle w:val="Caption"/>
        <w:jc w:val="center"/>
        <w:rPr>
          <w:rFonts w:ascii="Simplified Arabic" w:hAnsi="Simplified Arabic" w:cs="Simplified Arabic"/>
          <w:color w:val="auto"/>
          <w:rtl/>
        </w:rPr>
      </w:pPr>
      <w:r w:rsidRPr="005D521C">
        <w:rPr>
          <w:rFonts w:ascii="Simplified Arabic" w:hAnsi="Simplified Arabic" w:cs="Simplified Arabic"/>
          <w:color w:val="auto"/>
          <w:rtl/>
          <w:lang w:bidi="ar-JO"/>
        </w:rPr>
        <w:t>تصدر عن التأمين الوطني</w:t>
      </w:r>
    </w:p>
    <w:p w14:paraId="1BAA6ACC" w14:textId="73CFD3F2" w:rsidR="007A7450" w:rsidRPr="005D521C" w:rsidRDefault="007A7450" w:rsidP="007A7450">
      <w:pPr>
        <w:jc w:val="center"/>
        <w:rPr>
          <w:rtl/>
          <w:lang w:bidi="ar-LB"/>
        </w:rPr>
      </w:pPr>
    </w:p>
    <w:p w14:paraId="0702E1D4" w14:textId="7228D260" w:rsidR="007A7450" w:rsidRPr="005D521C" w:rsidRDefault="0058534B" w:rsidP="007A7450">
      <w:pPr>
        <w:jc w:val="center"/>
        <w:rPr>
          <w:rtl/>
          <w:lang w:bidi="ar-JO"/>
        </w:rPr>
      </w:pPr>
      <w:r w:rsidRPr="005D521C">
        <w:rPr>
          <w:rFonts w:ascii="Arial" w:hAnsi="Arial" w:cs="Arial"/>
          <w:rtl/>
          <w:lang w:bidi="ar-LB"/>
        </w:rPr>
        <w:t xml:space="preserve">كراس </w:t>
      </w:r>
      <w:r w:rsidR="002474CD" w:rsidRPr="005D521C">
        <w:rPr>
          <w:rFonts w:ascii="Simplified Arabic" w:hAnsi="Simplified Arabic" w:cs="Simplified Arabic"/>
          <w:rtl/>
          <w:lang w:bidi="ar-JO"/>
        </w:rPr>
        <w:t>12</w:t>
      </w:r>
      <w:r w:rsidR="00B21FF5">
        <w:rPr>
          <w:rFonts w:ascii="Simplified Arabic" w:hAnsi="Simplified Arabic" w:cs="Simplified Arabic" w:hint="cs"/>
          <w:rtl/>
          <w:lang w:bidi="ar-JO"/>
        </w:rPr>
        <w:t>2</w:t>
      </w:r>
    </w:p>
    <w:p w14:paraId="53FDE395" w14:textId="55532F0B" w:rsidR="00B6001E" w:rsidRPr="005D521C" w:rsidRDefault="00B21FF5" w:rsidP="00D10B38">
      <w:pPr>
        <w:spacing w:line="240" w:lineRule="atLeast"/>
        <w:jc w:val="center"/>
        <w:rPr>
          <w:rFonts w:ascii="Arial" w:hAnsi="Arial" w:cs="Arial"/>
          <w:rtl/>
        </w:rPr>
      </w:pPr>
      <w:r w:rsidRPr="00803375">
        <w:rPr>
          <w:rFonts w:ascii="Arial" w:hAnsi="Arial" w:cs="Arial"/>
          <w:rtl/>
          <w:lang w:bidi="ar-JO"/>
        </w:rPr>
        <w:t>شباط 2024</w:t>
      </w:r>
    </w:p>
    <w:p w14:paraId="4E10BA06" w14:textId="77777777" w:rsidR="00AC68D5" w:rsidRPr="005D521C" w:rsidRDefault="00AC68D5" w:rsidP="008F360C">
      <w:pPr>
        <w:spacing w:line="240" w:lineRule="atLeast"/>
        <w:jc w:val="right"/>
        <w:rPr>
          <w:rFonts w:ascii="Arial" w:hAnsi="Arial" w:cs="Arial"/>
          <w:sz w:val="22"/>
          <w:szCs w:val="22"/>
          <w:rtl/>
        </w:rPr>
        <w:sectPr w:rsidR="00AC68D5" w:rsidRPr="005D521C" w:rsidSect="007A258D">
          <w:headerReference w:type="default" r:id="rId9"/>
          <w:footnotePr>
            <w:numRestart w:val="eachPage"/>
          </w:footnotePr>
          <w:pgSz w:w="11906" w:h="16838" w:code="9"/>
          <w:pgMar w:top="3402" w:right="2608" w:bottom="2552" w:left="2608" w:header="2552" w:footer="2268" w:gutter="0"/>
          <w:cols w:space="708"/>
          <w:titlePg/>
          <w:docGrid w:linePitch="360"/>
        </w:sectPr>
      </w:pPr>
    </w:p>
    <w:p w14:paraId="1402311C" w14:textId="78C9E99A" w:rsidR="008B4530" w:rsidRPr="005D521C" w:rsidRDefault="008B4530" w:rsidP="008B4530">
      <w:pPr>
        <w:pStyle w:val="NoSpacing"/>
        <w:bidi w:val="0"/>
        <w:spacing w:after="2280" w:line="280" w:lineRule="exact"/>
        <w:rPr>
          <w:rFonts w:ascii="Times New Roman" w:eastAsia="Times New Roman" w:hAnsi="Times New Roman" w:cs="David"/>
        </w:rPr>
      </w:pPr>
      <w:r w:rsidRPr="005D521C">
        <w:rPr>
          <w:rtl/>
        </w:rPr>
        <w:lastRenderedPageBreak/>
        <w:br w:type="page"/>
      </w:r>
    </w:p>
    <w:p w14:paraId="3322AC5B" w14:textId="77777777" w:rsidR="00E738B2" w:rsidRPr="005D521C" w:rsidRDefault="00E738B2" w:rsidP="00E738B2">
      <w:pPr>
        <w:pStyle w:val="NoSpacing"/>
        <w:bidi w:val="0"/>
        <w:spacing w:after="2280" w:line="280" w:lineRule="exact"/>
        <w:rPr>
          <w:rFonts w:ascii="Times New Roman" w:eastAsia="Times New Roman" w:hAnsi="Times New Roman" w:cs="David"/>
        </w:rPr>
      </w:pPr>
    </w:p>
    <w:p w14:paraId="543AE6D7" w14:textId="10031130" w:rsidR="008B4530" w:rsidRPr="005D521C" w:rsidRDefault="000B4214" w:rsidP="00E738B2">
      <w:pPr>
        <w:pStyle w:val="Header"/>
        <w:tabs>
          <w:tab w:val="clear" w:pos="4153"/>
          <w:tab w:val="clear" w:pos="8306"/>
        </w:tabs>
        <w:spacing w:after="240" w:line="240" w:lineRule="atLeast"/>
        <w:jc w:val="center"/>
        <w:outlineLvl w:val="1"/>
        <w:rPr>
          <w:b/>
          <w:bCs/>
          <w:sz w:val="44"/>
          <w:szCs w:val="44"/>
        </w:rPr>
      </w:pPr>
      <w:r w:rsidRPr="005D521C">
        <w:rPr>
          <w:rFonts w:ascii="Simplified Arabic" w:hAnsi="Simplified Arabic" w:cs="Simplified Arabic" w:hint="cs"/>
          <w:b/>
          <w:bCs/>
          <w:sz w:val="44"/>
          <w:szCs w:val="44"/>
          <w:rtl/>
          <w:lang w:bidi="ar-JO"/>
        </w:rPr>
        <w:t>م</w:t>
      </w:r>
      <w:r w:rsidRPr="005D521C">
        <w:rPr>
          <w:rFonts w:ascii="Simplified Arabic" w:hAnsi="Simplified Arabic" w:cs="Simplified Arabic"/>
          <w:b/>
          <w:bCs/>
          <w:sz w:val="44"/>
          <w:szCs w:val="44"/>
          <w:rtl/>
          <w:lang w:bidi="ar-JO"/>
        </w:rPr>
        <w:t>لخ</w:t>
      </w:r>
      <w:r w:rsidRPr="005D521C">
        <w:rPr>
          <w:rFonts w:ascii="Simplified Arabic" w:hAnsi="Simplified Arabic" w:cs="Simplified Arabic" w:hint="cs"/>
          <w:b/>
          <w:bCs/>
          <w:sz w:val="44"/>
          <w:szCs w:val="44"/>
          <w:rtl/>
          <w:lang w:bidi="ar-JO"/>
        </w:rPr>
        <w:t>َّ</w:t>
      </w:r>
      <w:r w:rsidRPr="005D521C">
        <w:rPr>
          <w:rFonts w:ascii="Simplified Arabic" w:hAnsi="Simplified Arabic" w:cs="Simplified Arabic"/>
          <w:b/>
          <w:bCs/>
          <w:sz w:val="44"/>
          <w:szCs w:val="44"/>
          <w:rtl/>
          <w:lang w:bidi="ar-JO"/>
        </w:rPr>
        <w:t>ص</w:t>
      </w:r>
      <w:r w:rsidRPr="005D521C">
        <w:rPr>
          <w:rFonts w:ascii="Simplified Arabic" w:hAnsi="Simplified Arabic" w:cs="Simplified Arabic" w:hint="cs"/>
          <w:b/>
          <w:bCs/>
          <w:sz w:val="44"/>
          <w:szCs w:val="44"/>
          <w:rtl/>
          <w:lang w:bidi="ar-JO"/>
        </w:rPr>
        <w:t>ات</w:t>
      </w:r>
      <w:r w:rsidR="00AB018A" w:rsidRPr="005D521C">
        <w:rPr>
          <w:rFonts w:cs="Times New Roman"/>
          <w:b/>
          <w:bCs/>
          <w:sz w:val="44"/>
          <w:szCs w:val="44"/>
          <w:rtl/>
          <w:lang w:bidi="ar-SA"/>
        </w:rPr>
        <w:t xml:space="preserve"> الابحاث</w:t>
      </w:r>
    </w:p>
    <w:p w14:paraId="72B6A064" w14:textId="77777777" w:rsidR="008B4530" w:rsidRPr="005D521C" w:rsidRDefault="008B4530" w:rsidP="00785169">
      <w:pPr>
        <w:spacing w:line="240" w:lineRule="atLeast"/>
        <w:rPr>
          <w:rFonts w:ascii="Arial" w:hAnsi="Arial" w:cs="Arial"/>
          <w:sz w:val="22"/>
          <w:szCs w:val="22"/>
          <w:rtl/>
        </w:rPr>
      </w:pPr>
      <w:r w:rsidRPr="005D521C">
        <w:rPr>
          <w:rFonts w:ascii="Arial" w:hAnsi="Arial" w:cs="Arial"/>
          <w:sz w:val="22"/>
          <w:szCs w:val="22"/>
          <w:rtl/>
        </w:rPr>
        <w:br w:type="page"/>
      </w:r>
    </w:p>
    <w:p w14:paraId="633417CF" w14:textId="77777777" w:rsidR="008B4530" w:rsidRPr="005D521C" w:rsidRDefault="008B4530" w:rsidP="00785169">
      <w:pPr>
        <w:spacing w:line="240" w:lineRule="atLeast"/>
        <w:rPr>
          <w:rFonts w:ascii="Arial" w:hAnsi="Arial" w:cs="Arial"/>
          <w:sz w:val="22"/>
          <w:szCs w:val="22"/>
          <w:rtl/>
        </w:rPr>
      </w:pPr>
    </w:p>
    <w:p w14:paraId="60824739" w14:textId="77777777" w:rsidR="00B6001E" w:rsidRPr="005D521C" w:rsidRDefault="00B6001E">
      <w:pPr>
        <w:spacing w:after="180" w:line="280" w:lineRule="exact"/>
        <w:jc w:val="both"/>
        <w:rPr>
          <w:rFonts w:ascii="Arial" w:hAnsi="Arial" w:cs="Times New Roman"/>
          <w:rtl/>
          <w:lang w:bidi="ar-SA"/>
        </w:rPr>
        <w:sectPr w:rsidR="00B6001E" w:rsidRPr="005D521C" w:rsidSect="007A258D">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2924638E" w14:textId="77777777" w:rsidR="00B21FF5" w:rsidRPr="00B21FF5" w:rsidRDefault="00B21FF5" w:rsidP="00B21FF5">
      <w:pPr>
        <w:pStyle w:val="Heading1"/>
        <w:spacing w:line="440" w:lineRule="exact"/>
        <w:rPr>
          <w:rFonts w:cs="Times New Roman"/>
          <w:color w:val="2A8E8C"/>
          <w:rtl/>
          <w:lang w:eastAsia="he-IL" w:bidi="ar-SA"/>
        </w:rPr>
      </w:pPr>
      <w:bookmarkStart w:id="0" w:name="_Hlk113722266"/>
      <w:bookmarkStart w:id="1" w:name="_Hlk111932512"/>
      <w:bookmarkStart w:id="2" w:name="_Hlk153299444"/>
      <w:r w:rsidRPr="00B21FF5">
        <w:rPr>
          <w:rFonts w:cs="Times New Roman"/>
          <w:color w:val="2A8E8C"/>
          <w:rtl/>
          <w:lang w:eastAsia="he-IL" w:bidi="ar-SA"/>
        </w:rPr>
        <w:lastRenderedPageBreak/>
        <w:t xml:space="preserve">التبرّع والتطوّع في إسرائيل في بداية وباء </w:t>
      </w:r>
      <w:proofErr w:type="spellStart"/>
      <w:r w:rsidRPr="00B21FF5">
        <w:rPr>
          <w:rFonts w:cs="Times New Roman"/>
          <w:color w:val="2A8E8C"/>
          <w:rtl/>
          <w:lang w:eastAsia="he-IL" w:bidi="ar-SA"/>
        </w:rPr>
        <w:t>الكورونا</w:t>
      </w:r>
      <w:proofErr w:type="spellEnd"/>
      <w:r w:rsidRPr="00B21FF5">
        <w:rPr>
          <w:rFonts w:cs="Times New Roman"/>
          <w:color w:val="2A8E8C"/>
          <w:rtl/>
          <w:lang w:eastAsia="he-IL" w:bidi="ar-SA"/>
        </w:rPr>
        <w:t xml:space="preserve">: </w:t>
      </w:r>
      <w:r w:rsidRPr="00B21FF5">
        <w:rPr>
          <w:rFonts w:cs="Times New Roman" w:hint="cs"/>
          <w:color w:val="2A8E8C"/>
          <w:rtl/>
          <w:lang w:eastAsia="he-IL" w:bidi="ar-SA"/>
        </w:rPr>
        <w:t>مسأل</w:t>
      </w:r>
      <w:r w:rsidRPr="00B21FF5">
        <w:rPr>
          <w:rFonts w:cs="Times New Roman"/>
          <w:color w:val="2A8E8C"/>
          <w:rtl/>
          <w:lang w:eastAsia="he-IL" w:bidi="ar-SA"/>
        </w:rPr>
        <w:t>ة تضامن؟</w:t>
      </w:r>
      <w:bookmarkEnd w:id="2"/>
    </w:p>
    <w:p w14:paraId="740C082A" w14:textId="38817978" w:rsidR="00B21FF5" w:rsidRPr="00B21FF5" w:rsidRDefault="00B21FF5" w:rsidP="00B21FF5">
      <w:pPr>
        <w:pStyle w:val="KOT5T"/>
        <w:spacing w:before="0" w:after="240" w:line="280" w:lineRule="exact"/>
        <w:ind w:right="0"/>
        <w:jc w:val="left"/>
        <w:rPr>
          <w:rFonts w:ascii="Times New Roman" w:hAnsi="Times New Roman" w:cs="Times New Roman"/>
          <w:b w:val="0"/>
          <w:bCs w:val="0"/>
          <w:color w:val="auto"/>
          <w:rtl/>
        </w:rPr>
      </w:pPr>
      <w:r w:rsidRPr="00B21FF5">
        <w:rPr>
          <w:rFonts w:ascii="Times New Roman" w:hAnsi="Times New Roman" w:cs="Times New Roman"/>
          <w:b w:val="0"/>
          <w:bCs w:val="0"/>
          <w:color w:val="auto"/>
          <w:rtl/>
          <w:lang w:bidi="ar-SA"/>
        </w:rPr>
        <w:t>حاجاي كاتس</w:t>
      </w:r>
      <w:r w:rsidR="007A33EA" w:rsidRPr="007A33EA">
        <w:rPr>
          <w:rFonts w:ascii="Times New Roman" w:hAnsi="Times New Roman" w:cs="Times New Roman"/>
          <w:b w:val="0"/>
          <w:bCs w:val="0"/>
          <w:color w:val="auto"/>
          <w:vertAlign w:val="superscript"/>
          <w:rtl/>
          <w:lang w:bidi="ar-SA"/>
        </w:rPr>
        <w:footnoteReference w:id="2"/>
      </w:r>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وجاليا</w:t>
      </w:r>
      <w:proofErr w:type="spellEnd"/>
      <w:r w:rsidRPr="00B21FF5">
        <w:rPr>
          <w:rFonts w:ascii="Times New Roman" w:hAnsi="Times New Roman" w:cs="Times New Roman"/>
          <w:b w:val="0"/>
          <w:bCs w:val="0"/>
          <w:color w:val="auto"/>
          <w:rtl/>
          <w:lang w:bidi="ar-SA"/>
        </w:rPr>
        <w:t xml:space="preserve"> فيت</w:t>
      </w:r>
      <w:r w:rsidR="007A33EA" w:rsidRPr="007A33EA">
        <w:rPr>
          <w:rFonts w:ascii="Times New Roman" w:hAnsi="Times New Roman" w:cs="Times New Roman"/>
          <w:b w:val="0"/>
          <w:bCs w:val="0"/>
          <w:color w:val="auto"/>
          <w:vertAlign w:val="superscript"/>
          <w:rtl/>
          <w:lang w:bidi="ar-SA"/>
        </w:rPr>
        <w:footnoteReference w:id="3"/>
      </w:r>
      <w:r w:rsidRPr="00B21FF5">
        <w:rPr>
          <w:rFonts w:ascii="Times New Roman" w:hAnsi="Times New Roman" w:cs="Times New Roman"/>
          <w:b w:val="0"/>
          <w:bCs w:val="0"/>
          <w:color w:val="auto"/>
          <w:rtl/>
          <w:lang w:bidi="ar-SA"/>
        </w:rPr>
        <w:t xml:space="preserve"> </w:t>
      </w:r>
    </w:p>
    <w:p w14:paraId="41FF7142" w14:textId="77777777" w:rsidR="00B21FF5" w:rsidRPr="002C525B" w:rsidRDefault="00B21FF5" w:rsidP="00B21FF5">
      <w:pPr>
        <w:pStyle w:val="BodyText2"/>
        <w:keepNext/>
        <w:keepLines/>
        <w:rPr>
          <w:rFonts w:ascii="Georgia" w:hAnsi="Georgia"/>
          <w:sz w:val="18"/>
          <w:szCs w:val="20"/>
          <w:rtl/>
        </w:rPr>
      </w:pPr>
    </w:p>
    <w:p w14:paraId="7FA8C199" w14:textId="77777777" w:rsidR="00B21FF5" w:rsidRPr="00B21FF5" w:rsidRDefault="00B21FF5" w:rsidP="00B21FF5">
      <w:pPr>
        <w:spacing w:after="180" w:line="280" w:lineRule="exact"/>
        <w:jc w:val="both"/>
        <w:rPr>
          <w:rFonts w:asciiTheme="majorBidi" w:hAnsiTheme="majorBidi" w:cstheme="majorBidi"/>
          <w:sz w:val="20"/>
          <w:szCs w:val="22"/>
          <w:rtl/>
        </w:rPr>
      </w:pPr>
      <w:r w:rsidRPr="00B21FF5">
        <w:rPr>
          <w:rFonts w:asciiTheme="majorBidi" w:hAnsiTheme="majorBidi" w:cstheme="majorBidi"/>
          <w:sz w:val="20"/>
          <w:szCs w:val="22"/>
          <w:rtl/>
          <w:lang w:bidi="ar-JO"/>
        </w:rPr>
        <w:t xml:space="preserve">يتّسم ردّ الفعل الإنسانية على الفواجع والأزمات الإنسانية، الطبيعية أو الناتجة عن صنع الإنسان، بإقدام مجتمعات وأفراد، وكيانات سياسية، ومشاريع تجارية خاصة ومنظمات للمجتمع المدني - على عرض المساعدة على الضحايا بمختلف الأشكال، وبضمن ذلك التبرّعات والتطوّع. فتنجم موجات العطاء هذه، بصورة وثيقة، عن التضامن الاجتماعي. وإن العلاقة المتبادلة بين التضامن والعطاء، واللذين يضمنان معا وجود مجتمع متماسك يمكن لأفراده العمل بتعاون، تتجلى في أوقات الأزمة بصورة أكثر وضوحا. وعلى ضوء الكثير من الأدلة التي تشير إلى ازدياد ملحوظ في العطاء خلال أزمات مختلفة على أنحاء العالم، وكذلك خلال أزمات الماضي في إسرائيل، وعلى ضوء الرؤية المقبولة القائلة إن المجتمع الإسرائيلي هو مجتمع متضامن، أمكن توقّع ازدياد العطاء مع بداية تفشّي وباء </w:t>
      </w:r>
      <w:proofErr w:type="spellStart"/>
      <w:r w:rsidRPr="00B21FF5">
        <w:rPr>
          <w:rFonts w:asciiTheme="majorBidi" w:hAnsiTheme="majorBidi" w:cstheme="majorBidi"/>
          <w:sz w:val="20"/>
          <w:szCs w:val="22"/>
          <w:rtl/>
          <w:lang w:bidi="ar-JO"/>
        </w:rPr>
        <w:t>الكورونا</w:t>
      </w:r>
      <w:proofErr w:type="spellEnd"/>
      <w:r w:rsidRPr="00B21FF5">
        <w:rPr>
          <w:rFonts w:asciiTheme="majorBidi" w:hAnsiTheme="majorBidi" w:cstheme="majorBidi"/>
          <w:sz w:val="20"/>
          <w:szCs w:val="22"/>
          <w:rtl/>
          <w:lang w:bidi="ar-JO"/>
        </w:rPr>
        <w:t xml:space="preserve"> في إسرائيل. </w:t>
      </w:r>
    </w:p>
    <w:p w14:paraId="0817F582" w14:textId="77777777" w:rsidR="00B21FF5" w:rsidRPr="00B21FF5" w:rsidRDefault="00B21FF5" w:rsidP="00B21FF5">
      <w:pPr>
        <w:spacing w:after="180" w:line="280" w:lineRule="exact"/>
        <w:jc w:val="both"/>
        <w:rPr>
          <w:rFonts w:asciiTheme="majorBidi" w:hAnsiTheme="majorBidi" w:cstheme="majorBidi"/>
          <w:sz w:val="20"/>
          <w:szCs w:val="22"/>
          <w:rtl/>
          <w:lang w:bidi="ar-SA"/>
        </w:rPr>
      </w:pPr>
      <w:r w:rsidRPr="00B21FF5">
        <w:rPr>
          <w:rFonts w:asciiTheme="majorBidi" w:hAnsiTheme="majorBidi" w:cstheme="majorBidi"/>
          <w:sz w:val="20"/>
          <w:szCs w:val="22"/>
          <w:rtl/>
          <w:lang w:bidi="ar-SA"/>
        </w:rPr>
        <w:t xml:space="preserve">حيث </w:t>
      </w:r>
      <w:r w:rsidRPr="00B21FF5">
        <w:rPr>
          <w:rFonts w:asciiTheme="majorBidi" w:hAnsiTheme="majorBidi" w:cstheme="majorBidi"/>
          <w:sz w:val="20"/>
          <w:szCs w:val="22"/>
          <w:rtl/>
          <w:lang w:bidi="ar-JO"/>
        </w:rPr>
        <w:t xml:space="preserve">قمنا بالتحقق من صحة هذه الفرضية من خلال دراسة طويلة المدة شملت 88 استطلاعا للرأي أسبوعيا حول التبرّعات والتطوع، اعتمادا على عيّنات تمثيلية للمجموع السكاني للبالغين في إسرائيل، على مدار فترتين زمنيتين: الأولى لمدة سنة كاملة قبل تفشّي وباء </w:t>
      </w:r>
      <w:proofErr w:type="spellStart"/>
      <w:r w:rsidRPr="00B21FF5">
        <w:rPr>
          <w:rFonts w:asciiTheme="majorBidi" w:hAnsiTheme="majorBidi" w:cstheme="majorBidi"/>
          <w:sz w:val="20"/>
          <w:szCs w:val="22"/>
          <w:rtl/>
          <w:lang w:bidi="ar-JO"/>
        </w:rPr>
        <w:t>الكورونا</w:t>
      </w:r>
      <w:proofErr w:type="spellEnd"/>
      <w:r w:rsidRPr="00B21FF5">
        <w:rPr>
          <w:rFonts w:asciiTheme="majorBidi" w:hAnsiTheme="majorBidi" w:cstheme="majorBidi"/>
          <w:sz w:val="20"/>
          <w:szCs w:val="22"/>
          <w:rtl/>
          <w:lang w:bidi="ar-JO"/>
        </w:rPr>
        <w:t xml:space="preserve"> (كانون الأول 2018 - كانون الأول 2019)، والثانية خلال أول ستة أشهر من فترة الوباء (شباط - أيلول 2020). حيث شملت الاستطلاعات للرأي الأسبوعية حوالي 500 مشارك من الجمهور اليهودي ونحو 50 مشاركا من الجمهور العربي حتى سن 40، وبالمجمل 26,737 شخصا وما يقارب 50,000 ردّ.</w:t>
      </w:r>
    </w:p>
    <w:p w14:paraId="1A32377F" w14:textId="710056BD" w:rsidR="00B21FF5" w:rsidRDefault="00B21FF5" w:rsidP="00B21FF5">
      <w:pPr>
        <w:spacing w:after="180" w:line="280" w:lineRule="exact"/>
        <w:jc w:val="both"/>
        <w:rPr>
          <w:rFonts w:asciiTheme="majorBidi" w:hAnsiTheme="majorBidi" w:cstheme="majorBidi"/>
          <w:sz w:val="20"/>
          <w:szCs w:val="22"/>
          <w:lang w:bidi="ar-JO"/>
        </w:rPr>
      </w:pPr>
      <w:r w:rsidRPr="00B21FF5">
        <w:rPr>
          <w:rFonts w:asciiTheme="majorBidi" w:hAnsiTheme="majorBidi" w:cstheme="majorBidi"/>
          <w:sz w:val="20"/>
          <w:szCs w:val="22"/>
          <w:rtl/>
          <w:lang w:bidi="ar-JO"/>
        </w:rPr>
        <w:t>ويدلّ تحليل السلسلة الزمنية التي تكونت على أنه من شباط وحتى أيلول 2020 حصل في إسرائيل انخفاض بالغ الوضوح وملحوظ في معدلات التطوع المنظَّم وغير المنظَّم وفي التبرّع غير المنظَّم، وانخفاض طفيف في التبرّع المنظَّم.</w:t>
      </w:r>
      <w:r w:rsidR="007A33EA" w:rsidRPr="007A33EA">
        <w:rPr>
          <w:rFonts w:asciiTheme="majorBidi" w:hAnsiTheme="majorBidi" w:cstheme="majorBidi"/>
          <w:sz w:val="20"/>
          <w:szCs w:val="22"/>
          <w:vertAlign w:val="superscript"/>
          <w:rtl/>
          <w:lang w:bidi="ar-JO"/>
        </w:rPr>
        <w:t xml:space="preserve"> </w:t>
      </w:r>
      <w:r w:rsidRPr="00B21FF5">
        <w:rPr>
          <w:rFonts w:asciiTheme="majorBidi" w:hAnsiTheme="majorBidi" w:cstheme="majorBidi"/>
          <w:sz w:val="20"/>
          <w:szCs w:val="22"/>
          <w:rtl/>
          <w:lang w:bidi="ar-JO"/>
        </w:rPr>
        <w:t xml:space="preserve">حيث برز الانخفاض بصورة خاصة بين فئات سكانية مستضعفة أصلا، تَعرَّض وضعها الاقتصادي لأكبر ضرر في أعقاب تفشّي الوباء. </w:t>
      </w:r>
    </w:p>
    <w:p w14:paraId="0A98A8E9" w14:textId="77777777" w:rsidR="00B21FF5" w:rsidRDefault="00B21FF5" w:rsidP="00B21FF5">
      <w:pPr>
        <w:spacing w:after="180" w:line="280" w:lineRule="exact"/>
        <w:jc w:val="both"/>
        <w:rPr>
          <w:rFonts w:asciiTheme="majorBidi" w:hAnsiTheme="majorBidi" w:cstheme="majorBidi"/>
          <w:sz w:val="20"/>
          <w:szCs w:val="22"/>
          <w:lang w:bidi="ar-JO"/>
        </w:rPr>
      </w:pPr>
    </w:p>
    <w:p w14:paraId="6A42CA1B" w14:textId="77777777" w:rsidR="00B21FF5" w:rsidRPr="00B21FF5" w:rsidRDefault="00B21FF5" w:rsidP="00B21FF5">
      <w:pPr>
        <w:spacing w:after="180" w:line="280" w:lineRule="exact"/>
        <w:jc w:val="both"/>
        <w:rPr>
          <w:rFonts w:asciiTheme="majorBidi" w:hAnsiTheme="majorBidi" w:cstheme="majorBidi"/>
          <w:sz w:val="20"/>
          <w:szCs w:val="22"/>
          <w:rtl/>
        </w:rPr>
      </w:pPr>
    </w:p>
    <w:p w14:paraId="1387D09E" w14:textId="77777777" w:rsidR="00B21FF5" w:rsidRPr="00B21FF5" w:rsidRDefault="00B21FF5" w:rsidP="00B21FF5">
      <w:pPr>
        <w:pStyle w:val="Heading1"/>
        <w:spacing w:line="440" w:lineRule="exact"/>
        <w:rPr>
          <w:rFonts w:cs="Times New Roman"/>
          <w:color w:val="2A8E8C"/>
          <w:rtl/>
          <w:lang w:eastAsia="he-IL"/>
        </w:rPr>
      </w:pPr>
      <w:r w:rsidRPr="00B21FF5">
        <w:rPr>
          <w:rFonts w:cs="Times New Roman"/>
          <w:color w:val="2A8E8C"/>
          <w:rtl/>
          <w:lang w:eastAsia="he-IL" w:bidi="ar-SA"/>
        </w:rPr>
        <w:lastRenderedPageBreak/>
        <w:t>"بين إغلاق</w:t>
      </w:r>
      <w:r w:rsidRPr="00B21FF5">
        <w:rPr>
          <w:rFonts w:cs="Times New Roman" w:hint="cs"/>
          <w:color w:val="2A8E8C"/>
          <w:rtl/>
          <w:lang w:eastAsia="he-IL" w:bidi="ar-SA"/>
        </w:rPr>
        <w:t xml:space="preserve"> صحي</w:t>
      </w:r>
      <w:r w:rsidRPr="00B21FF5">
        <w:rPr>
          <w:rFonts w:cs="Times New Roman"/>
          <w:color w:val="2A8E8C"/>
          <w:rtl/>
          <w:lang w:eastAsia="he-IL" w:bidi="ar-SA"/>
        </w:rPr>
        <w:t xml:space="preserve"> وجولة": م</w:t>
      </w:r>
      <w:r w:rsidRPr="00B21FF5">
        <w:rPr>
          <w:rFonts w:cs="Times New Roman" w:hint="cs"/>
          <w:color w:val="2A8E8C"/>
          <w:rtl/>
          <w:lang w:eastAsia="he-IL" w:bidi="ar-SA"/>
        </w:rPr>
        <w:t>نظم</w:t>
      </w:r>
      <w:r w:rsidRPr="00B21FF5">
        <w:rPr>
          <w:rFonts w:cs="Times New Roman"/>
          <w:color w:val="2A8E8C"/>
          <w:rtl/>
          <w:lang w:eastAsia="he-IL" w:bidi="ar-SA"/>
        </w:rPr>
        <w:t xml:space="preserve">ات المجتمع المدني في الجنوب ما بين الوباء، </w:t>
      </w:r>
      <w:r w:rsidRPr="00B21FF5">
        <w:rPr>
          <w:rFonts w:cs="Times New Roman" w:hint="cs"/>
          <w:color w:val="2A8E8C"/>
          <w:rtl/>
          <w:lang w:eastAsia="he-IL" w:bidi="ar-SA"/>
        </w:rPr>
        <w:t>و</w:t>
      </w:r>
      <w:r w:rsidRPr="00B21FF5">
        <w:rPr>
          <w:rFonts w:cs="Times New Roman"/>
          <w:color w:val="2A8E8C"/>
          <w:rtl/>
          <w:lang w:eastAsia="he-IL" w:bidi="ar-SA"/>
        </w:rPr>
        <w:t>ال</w:t>
      </w:r>
      <w:r w:rsidRPr="00B21FF5">
        <w:rPr>
          <w:rFonts w:cs="Times New Roman" w:hint="cs"/>
          <w:color w:val="2A8E8C"/>
          <w:rtl/>
          <w:lang w:eastAsia="he-IL" w:bidi="ar-SA"/>
        </w:rPr>
        <w:t>نطاق الجغرافي ما بين المدن الكبرى</w:t>
      </w:r>
      <w:r w:rsidRPr="00B21FF5">
        <w:rPr>
          <w:rFonts w:cs="Times New Roman"/>
          <w:color w:val="2A8E8C"/>
          <w:rtl/>
          <w:lang w:eastAsia="he-IL" w:bidi="ar-SA"/>
        </w:rPr>
        <w:t xml:space="preserve"> والتهديد الأمني </w:t>
      </w:r>
    </w:p>
    <w:p w14:paraId="5C5AE9D4" w14:textId="6D4BD65F" w:rsidR="00B21FF5" w:rsidRPr="00B21FF5" w:rsidRDefault="00B21FF5" w:rsidP="00B21FF5">
      <w:pPr>
        <w:pStyle w:val="KOT5T"/>
        <w:spacing w:before="0" w:after="240" w:line="280" w:lineRule="exact"/>
        <w:ind w:right="0"/>
        <w:jc w:val="left"/>
        <w:rPr>
          <w:rFonts w:ascii="Times New Roman" w:hAnsi="Times New Roman" w:cs="Times New Roman"/>
          <w:b w:val="0"/>
          <w:bCs w:val="0"/>
          <w:color w:val="auto"/>
          <w:rtl/>
        </w:rPr>
      </w:pPr>
      <w:r w:rsidRPr="00B21FF5">
        <w:rPr>
          <w:rFonts w:ascii="Times New Roman" w:hAnsi="Times New Roman" w:cs="Times New Roman"/>
          <w:b w:val="0"/>
          <w:bCs w:val="0"/>
          <w:color w:val="auto"/>
          <w:rtl/>
          <w:lang w:bidi="ar-SA"/>
        </w:rPr>
        <w:t xml:space="preserve">نوجا </w:t>
      </w:r>
      <w:proofErr w:type="spellStart"/>
      <w:r w:rsidRPr="00B21FF5">
        <w:rPr>
          <w:rFonts w:ascii="Times New Roman" w:hAnsi="Times New Roman" w:cs="Times New Roman"/>
          <w:b w:val="0"/>
          <w:bCs w:val="0"/>
          <w:color w:val="auto"/>
          <w:rtl/>
          <w:lang w:bidi="ar-SA"/>
        </w:rPr>
        <w:t>بيتوفس</w:t>
      </w:r>
      <w:r w:rsidRPr="00B21FF5">
        <w:rPr>
          <w:rFonts w:ascii="Times New Roman" w:hAnsi="Times New Roman" w:cs="Times New Roman" w:hint="cs"/>
          <w:b w:val="0"/>
          <w:bCs w:val="0"/>
          <w:color w:val="auto"/>
          <w:rtl/>
          <w:lang w:bidi="ar-SA"/>
        </w:rPr>
        <w:t>ك</w:t>
      </w:r>
      <w:r w:rsidRPr="00B21FF5">
        <w:rPr>
          <w:rFonts w:ascii="Times New Roman" w:hAnsi="Times New Roman" w:cs="Times New Roman"/>
          <w:b w:val="0"/>
          <w:bCs w:val="0"/>
          <w:color w:val="auto"/>
          <w:rtl/>
          <w:lang w:bidi="ar-SA"/>
        </w:rPr>
        <w:t>ي</w:t>
      </w:r>
      <w:proofErr w:type="spellEnd"/>
      <w:r w:rsidRPr="00B21FF5">
        <w:rPr>
          <w:rFonts w:ascii="Times New Roman" w:hAnsi="Times New Roman" w:cs="Times New Roman"/>
          <w:b w:val="0"/>
          <w:bCs w:val="0"/>
          <w:color w:val="auto"/>
          <w:rtl/>
          <w:lang w:bidi="ar-SA"/>
        </w:rPr>
        <w:t>-نافي</w:t>
      </w:r>
      <w:r w:rsidR="007A33EA" w:rsidRPr="007A33EA">
        <w:rPr>
          <w:rFonts w:ascii="Times New Roman" w:hAnsi="Times New Roman" w:cs="Times New Roman"/>
          <w:b w:val="0"/>
          <w:bCs w:val="0"/>
          <w:color w:val="auto"/>
          <w:vertAlign w:val="superscript"/>
          <w:lang w:bidi="ar-SA"/>
        </w:rPr>
        <w:footnoteReference w:id="4"/>
      </w:r>
    </w:p>
    <w:p w14:paraId="677D2A18" w14:textId="77777777" w:rsidR="00B21FF5" w:rsidRDefault="00B21FF5" w:rsidP="00B21FF5">
      <w:pPr>
        <w:pStyle w:val="BodyText2"/>
        <w:keepNext/>
        <w:keepLines/>
        <w:rPr>
          <w:rFonts w:ascii="Georgia" w:hAnsi="Georgia" w:cs="Times New Roman"/>
          <w:sz w:val="18"/>
          <w:szCs w:val="20"/>
          <w:lang w:bidi="ar-JO"/>
        </w:rPr>
      </w:pPr>
    </w:p>
    <w:p w14:paraId="16562B08" w14:textId="1F505297" w:rsidR="00B21FF5" w:rsidRDefault="00B21FF5" w:rsidP="00B21FF5">
      <w:pPr>
        <w:spacing w:after="180" w:line="280" w:lineRule="exact"/>
        <w:jc w:val="both"/>
        <w:rPr>
          <w:rFonts w:asciiTheme="majorBidi" w:hAnsiTheme="majorBidi" w:cstheme="majorBidi"/>
          <w:sz w:val="22"/>
          <w:szCs w:val="22"/>
          <w:lang w:bidi="ar-JO"/>
        </w:rPr>
      </w:pPr>
      <w:r w:rsidRPr="00B21FF5">
        <w:rPr>
          <w:rFonts w:asciiTheme="majorBidi" w:hAnsiTheme="majorBidi" w:cstheme="majorBidi"/>
          <w:sz w:val="22"/>
          <w:szCs w:val="22"/>
          <w:rtl/>
          <w:lang w:bidi="ar-JO"/>
        </w:rPr>
        <w:t xml:space="preserve">في أعقاب </w:t>
      </w:r>
      <w:proofErr w:type="spellStart"/>
      <w:r w:rsidRPr="00B21FF5">
        <w:rPr>
          <w:rFonts w:asciiTheme="majorBidi" w:hAnsiTheme="majorBidi" w:cstheme="majorBidi"/>
          <w:sz w:val="22"/>
          <w:szCs w:val="22"/>
          <w:rtl/>
          <w:lang w:bidi="ar-JO"/>
        </w:rPr>
        <w:t>سيرورات</w:t>
      </w:r>
      <w:proofErr w:type="spellEnd"/>
      <w:r w:rsidRPr="00B21FF5">
        <w:rPr>
          <w:rFonts w:asciiTheme="majorBidi" w:hAnsiTheme="majorBidi" w:cstheme="majorBidi"/>
          <w:sz w:val="22"/>
          <w:szCs w:val="22"/>
          <w:rtl/>
          <w:lang w:bidi="ar-JO"/>
        </w:rPr>
        <w:t xml:space="preserve"> من الخصخصة </w:t>
      </w:r>
      <w:proofErr w:type="spellStart"/>
      <w:r w:rsidRPr="00B21FF5">
        <w:rPr>
          <w:rFonts w:asciiTheme="majorBidi" w:hAnsiTheme="majorBidi" w:cstheme="majorBidi"/>
          <w:sz w:val="22"/>
          <w:szCs w:val="22"/>
          <w:rtl/>
          <w:lang w:bidi="ar-JO"/>
        </w:rPr>
        <w:t>والتعهيد</w:t>
      </w:r>
      <w:proofErr w:type="spellEnd"/>
      <w:r w:rsidRPr="00B21FF5">
        <w:rPr>
          <w:rFonts w:asciiTheme="majorBidi" w:hAnsiTheme="majorBidi" w:cstheme="majorBidi"/>
          <w:sz w:val="22"/>
          <w:szCs w:val="22"/>
          <w:rtl/>
          <w:lang w:bidi="ar-JO"/>
        </w:rPr>
        <w:t xml:space="preserve"> الخارجي للخدمات الاجتماعية، أصبحت منظمات المجتمع المدني لاعبا مركزيا في التوفير المباشر لخدمات الرفاه الاجتماعي في إسرائيل. وفي السنوات الثلاث الأخيرة، يلزم المنظمات مواجهة التأثيرات المستمرة لوباء </w:t>
      </w:r>
      <w:proofErr w:type="spellStart"/>
      <w:r w:rsidRPr="00B21FF5">
        <w:rPr>
          <w:rFonts w:asciiTheme="majorBidi" w:hAnsiTheme="majorBidi" w:cstheme="majorBidi"/>
          <w:sz w:val="22"/>
          <w:szCs w:val="22"/>
          <w:rtl/>
          <w:lang w:bidi="ar-JO"/>
        </w:rPr>
        <w:t>الكورونا</w:t>
      </w:r>
      <w:proofErr w:type="spellEnd"/>
      <w:r w:rsidRPr="00B21FF5">
        <w:rPr>
          <w:rFonts w:asciiTheme="majorBidi" w:hAnsiTheme="majorBidi" w:cstheme="majorBidi"/>
          <w:sz w:val="22"/>
          <w:szCs w:val="22"/>
          <w:rtl/>
          <w:lang w:bidi="ar-JO"/>
        </w:rPr>
        <w:t xml:space="preserve">، وذلك في حين أنها تواجه أزمة في الميزانيات وصعوبات تشغيلية. حيث تتمحور هذه الدراسة حول التحديات التي تميّز مواجهة مؤسسات للرفاه الاجتماعي في الجنوب، والتي بالإضافة إلى وباء </w:t>
      </w:r>
      <w:proofErr w:type="spellStart"/>
      <w:r w:rsidRPr="00B21FF5">
        <w:rPr>
          <w:rFonts w:asciiTheme="majorBidi" w:hAnsiTheme="majorBidi" w:cstheme="majorBidi"/>
          <w:sz w:val="22"/>
          <w:szCs w:val="22"/>
          <w:rtl/>
          <w:lang w:bidi="ar-JO"/>
        </w:rPr>
        <w:t>الكورونا</w:t>
      </w:r>
      <w:proofErr w:type="spellEnd"/>
      <w:r w:rsidRPr="00B21FF5">
        <w:rPr>
          <w:rFonts w:asciiTheme="majorBidi" w:hAnsiTheme="majorBidi" w:cstheme="majorBidi"/>
          <w:sz w:val="22"/>
          <w:szCs w:val="22"/>
          <w:rtl/>
          <w:lang w:bidi="ar-JO"/>
        </w:rPr>
        <w:t xml:space="preserve"> تواجه تحدّيات خاصة على خلفية موقعها في النطاق الجغرافي والاجتماعي ما بين المدن الكبرى في دولة إسرائيل، وكذلك على خلفية التوتّر الأمني. وتم جمع المعطيات خلال سنة 2021 - 2022 من خلال مقابلات معمَّقة شبه منظَّمة مع مدراء ومديرات في منظمات توفّر خدمات الرفاه الاجتماعي لفئات سكانية متنوعة في الجنوب (</w:t>
      </w:r>
      <w:r w:rsidRPr="00B21FF5">
        <w:rPr>
          <w:rFonts w:asciiTheme="majorBidi" w:hAnsiTheme="majorBidi" w:cstheme="majorBidi"/>
          <w:i/>
          <w:iCs/>
          <w:sz w:val="22"/>
          <w:szCs w:val="22"/>
        </w:rPr>
        <w:t>N</w:t>
      </w:r>
      <w:r w:rsidRPr="00B21FF5">
        <w:rPr>
          <w:rFonts w:asciiTheme="majorBidi" w:hAnsiTheme="majorBidi" w:cstheme="majorBidi"/>
          <w:sz w:val="22"/>
          <w:szCs w:val="22"/>
        </w:rPr>
        <w:t>=24</w:t>
      </w:r>
      <w:r w:rsidRPr="00B21FF5">
        <w:rPr>
          <w:rFonts w:asciiTheme="majorBidi" w:hAnsiTheme="majorBidi" w:cstheme="majorBidi"/>
          <w:sz w:val="22"/>
          <w:szCs w:val="22"/>
          <w:rtl/>
          <w:lang w:bidi="ar-JO"/>
        </w:rPr>
        <w:t xml:space="preserve">)، وبضمنها المسنين، وأشخاص ذوي إعاقات وأبناء شبيبة تحت الخطر. حيث أشارت مكتشفات الدراسة إلى أن عمل المنظمات في الجنوب يتّسم بالمزيج المتعدد الأبعاد من الصعوبات الاقتصادية، والاجتماعية والأمنية، وأن أزمة </w:t>
      </w:r>
      <w:proofErr w:type="spellStart"/>
      <w:r w:rsidRPr="00B21FF5">
        <w:rPr>
          <w:rFonts w:asciiTheme="majorBidi" w:hAnsiTheme="majorBidi" w:cstheme="majorBidi"/>
          <w:sz w:val="22"/>
          <w:szCs w:val="22"/>
          <w:rtl/>
          <w:lang w:bidi="ar-JO"/>
        </w:rPr>
        <w:t>الكورونا</w:t>
      </w:r>
      <w:proofErr w:type="spellEnd"/>
      <w:r w:rsidRPr="00B21FF5">
        <w:rPr>
          <w:rFonts w:asciiTheme="majorBidi" w:hAnsiTheme="majorBidi" w:cstheme="majorBidi"/>
          <w:sz w:val="22"/>
          <w:szCs w:val="22"/>
          <w:rtl/>
          <w:lang w:bidi="ar-JO"/>
        </w:rPr>
        <w:t xml:space="preserve"> حتى زادت من شدّة هذه الصعوبات. وعلى الرّغم من تعدد التحديات، حافظت المنظمات على حيويتها وعلى استمرارية توفير الخدمات للمستهلكين. وتعرض المقالة إمكانية شرح صمود المنظمات من خلال مصطلح </w:t>
      </w:r>
      <w:r w:rsidRPr="00B21FF5">
        <w:rPr>
          <w:rFonts w:asciiTheme="majorBidi" w:hAnsiTheme="majorBidi" w:cstheme="majorBidi"/>
          <w:b/>
          <w:bCs/>
          <w:sz w:val="22"/>
          <w:szCs w:val="22"/>
          <w:rtl/>
          <w:lang w:bidi="ar-JO"/>
        </w:rPr>
        <w:t>المناعة المؤسسية</w:t>
      </w:r>
      <w:r w:rsidRPr="00B21FF5">
        <w:rPr>
          <w:rFonts w:asciiTheme="majorBidi" w:hAnsiTheme="majorBidi" w:cstheme="majorBidi"/>
          <w:sz w:val="22"/>
          <w:szCs w:val="22"/>
          <w:rtl/>
          <w:lang w:bidi="ar-JO"/>
        </w:rPr>
        <w:t xml:space="preserve">، والذي يُعنى بقدرتها على الصمود، بل وحتى التطوّر في حالات الأزمة. وتساهم مكتشفات الدراسة في تطوير المعرفة المتوفرة حول موضوع المناعة المؤسسية، وتطبيقها فيما يخص منظمات للخدمات الاجتماعية تعمل في ظل واقع من تفشّي الوباء، والتوتّر الأمني والاستبعاد الاجتماعي. </w:t>
      </w:r>
    </w:p>
    <w:p w14:paraId="1573ECF7" w14:textId="77777777" w:rsidR="00B21FF5" w:rsidRDefault="00B21FF5" w:rsidP="00B21FF5">
      <w:pPr>
        <w:spacing w:after="180" w:line="280" w:lineRule="exact"/>
        <w:jc w:val="both"/>
        <w:rPr>
          <w:rFonts w:asciiTheme="majorBidi" w:hAnsiTheme="majorBidi" w:cstheme="majorBidi"/>
          <w:sz w:val="22"/>
          <w:szCs w:val="22"/>
          <w:lang w:bidi="ar-JO"/>
        </w:rPr>
      </w:pPr>
    </w:p>
    <w:p w14:paraId="5D6F16DB" w14:textId="77777777" w:rsidR="00B21FF5" w:rsidRPr="00B21FF5" w:rsidRDefault="00B21FF5" w:rsidP="00B21FF5">
      <w:pPr>
        <w:spacing w:after="180" w:line="280" w:lineRule="exact"/>
        <w:jc w:val="both"/>
        <w:rPr>
          <w:rFonts w:asciiTheme="majorBidi" w:hAnsiTheme="majorBidi" w:cstheme="majorBidi"/>
          <w:sz w:val="22"/>
          <w:szCs w:val="22"/>
          <w:rtl/>
        </w:rPr>
      </w:pPr>
    </w:p>
    <w:p w14:paraId="3A6E00E3" w14:textId="77777777" w:rsidR="00B21FF5" w:rsidRPr="00B21FF5" w:rsidRDefault="00B21FF5" w:rsidP="00B21FF5">
      <w:pPr>
        <w:pStyle w:val="Heading1"/>
        <w:spacing w:line="440" w:lineRule="exact"/>
        <w:jc w:val="left"/>
        <w:rPr>
          <w:rFonts w:cs="Times New Roman"/>
          <w:color w:val="2A8E8C"/>
          <w:rtl/>
          <w:lang w:eastAsia="he-IL"/>
        </w:rPr>
      </w:pPr>
      <w:r w:rsidRPr="00B21FF5">
        <w:rPr>
          <w:rFonts w:cs="Times New Roman" w:hint="cs"/>
          <w:color w:val="2A8E8C"/>
          <w:rtl/>
          <w:lang w:eastAsia="he-IL" w:bidi="ar-SA"/>
        </w:rPr>
        <w:lastRenderedPageBreak/>
        <w:t>هيئ</w:t>
      </w:r>
      <w:r w:rsidRPr="00B21FF5">
        <w:rPr>
          <w:rFonts w:cs="Times New Roman"/>
          <w:color w:val="2A8E8C"/>
          <w:rtl/>
          <w:lang w:eastAsia="he-IL" w:bidi="ar-SA"/>
        </w:rPr>
        <w:t>ات</w:t>
      </w:r>
      <w:r w:rsidRPr="00B21FF5">
        <w:rPr>
          <w:rFonts w:cs="Times New Roman" w:hint="cs"/>
          <w:color w:val="2A8E8C"/>
          <w:rtl/>
          <w:lang w:eastAsia="he-IL" w:bidi="ar-SA"/>
        </w:rPr>
        <w:t xml:space="preserve"> تطوعية</w:t>
      </w:r>
      <w:r w:rsidRPr="00B21FF5">
        <w:rPr>
          <w:rFonts w:cs="Times New Roman"/>
          <w:color w:val="2A8E8C"/>
          <w:rtl/>
          <w:lang w:eastAsia="he-IL" w:bidi="ar-SA"/>
        </w:rPr>
        <w:t xml:space="preserve"> </w:t>
      </w:r>
      <w:r w:rsidRPr="00B21FF5">
        <w:rPr>
          <w:rFonts w:cs="Times New Roman" w:hint="cs"/>
          <w:color w:val="2A8E8C"/>
          <w:rtl/>
          <w:lang w:eastAsia="he-IL" w:bidi="ar-SA"/>
        </w:rPr>
        <w:t>تحت</w:t>
      </w:r>
      <w:r w:rsidRPr="00B21FF5">
        <w:rPr>
          <w:rFonts w:cs="Times New Roman"/>
          <w:color w:val="2A8E8C"/>
          <w:rtl/>
          <w:lang w:eastAsia="he-IL" w:bidi="ar-SA"/>
        </w:rPr>
        <w:t xml:space="preserve"> خطر: </w:t>
      </w:r>
      <w:r w:rsidRPr="00B21FF5">
        <w:rPr>
          <w:rFonts w:cs="Times New Roman"/>
          <w:color w:val="2A8E8C"/>
          <w:lang w:eastAsia="he-IL" w:bidi="ar-SA"/>
        </w:rPr>
        <w:br/>
      </w:r>
      <w:r w:rsidRPr="00B21FF5">
        <w:rPr>
          <w:rFonts w:cs="Times New Roman"/>
          <w:color w:val="2A8E8C"/>
          <w:rtl/>
          <w:lang w:eastAsia="he-IL" w:bidi="ar-SA"/>
        </w:rPr>
        <w:t>الصحّة الاقتصادية لل</w:t>
      </w:r>
      <w:r w:rsidRPr="00B21FF5">
        <w:rPr>
          <w:rFonts w:cs="Times New Roman" w:hint="cs"/>
          <w:color w:val="2A8E8C"/>
          <w:rtl/>
          <w:lang w:eastAsia="he-IL" w:bidi="ar-SA"/>
        </w:rPr>
        <w:t>ه</w:t>
      </w:r>
      <w:r w:rsidRPr="00B21FF5">
        <w:rPr>
          <w:rFonts w:cs="Times New Roman"/>
          <w:color w:val="2A8E8C"/>
          <w:rtl/>
          <w:lang w:eastAsia="he-IL" w:bidi="ar-SA"/>
        </w:rPr>
        <w:t>ي</w:t>
      </w:r>
      <w:r w:rsidRPr="00B21FF5">
        <w:rPr>
          <w:rFonts w:cs="Times New Roman" w:hint="cs"/>
          <w:color w:val="2A8E8C"/>
          <w:rtl/>
          <w:lang w:eastAsia="he-IL" w:bidi="ar-SA"/>
        </w:rPr>
        <w:t>ئ</w:t>
      </w:r>
      <w:r w:rsidRPr="00B21FF5">
        <w:rPr>
          <w:rFonts w:cs="Times New Roman"/>
          <w:color w:val="2A8E8C"/>
          <w:rtl/>
          <w:lang w:eastAsia="he-IL" w:bidi="ar-SA"/>
        </w:rPr>
        <w:t>ات</w:t>
      </w:r>
      <w:r w:rsidRPr="00B21FF5">
        <w:rPr>
          <w:rFonts w:cs="Times New Roman" w:hint="cs"/>
          <w:color w:val="2A8E8C"/>
          <w:rtl/>
          <w:lang w:eastAsia="he-IL" w:bidi="ar-SA"/>
        </w:rPr>
        <w:t xml:space="preserve"> التطوعية</w:t>
      </w:r>
      <w:r w:rsidRPr="00B21FF5">
        <w:rPr>
          <w:rFonts w:cs="Times New Roman"/>
          <w:color w:val="2A8E8C"/>
          <w:rtl/>
          <w:lang w:eastAsia="he-IL" w:bidi="ar-SA"/>
        </w:rPr>
        <w:t xml:space="preserve"> ذات </w:t>
      </w:r>
      <w:r w:rsidRPr="00B21FF5">
        <w:rPr>
          <w:rFonts w:cs="Times New Roman" w:hint="cs"/>
          <w:color w:val="2A8E8C"/>
          <w:rtl/>
          <w:lang w:eastAsia="he-IL" w:bidi="ar-SA"/>
        </w:rPr>
        <w:t>مزيج</w:t>
      </w:r>
      <w:r w:rsidRPr="00B21FF5">
        <w:rPr>
          <w:rFonts w:cs="Times New Roman"/>
          <w:color w:val="2A8E8C"/>
          <w:rtl/>
          <w:lang w:eastAsia="he-IL" w:bidi="ar-SA"/>
        </w:rPr>
        <w:t xml:space="preserve"> التمويل المركزي في أوقات الأزم</w:t>
      </w:r>
      <w:r w:rsidRPr="00B21FF5">
        <w:rPr>
          <w:rFonts w:cs="Times New Roman" w:hint="cs"/>
          <w:color w:val="2A8E8C"/>
          <w:rtl/>
          <w:lang w:eastAsia="he-IL" w:bidi="ar-SA"/>
        </w:rPr>
        <w:t>ة</w:t>
      </w:r>
    </w:p>
    <w:p w14:paraId="2924E32E" w14:textId="01570094" w:rsidR="00B21FF5" w:rsidRPr="00B21FF5" w:rsidRDefault="00B21FF5" w:rsidP="00B21FF5">
      <w:pPr>
        <w:pStyle w:val="KOT5T"/>
        <w:spacing w:before="0" w:after="240" w:line="280" w:lineRule="exact"/>
        <w:ind w:right="0"/>
        <w:jc w:val="left"/>
        <w:rPr>
          <w:rFonts w:ascii="Times New Roman" w:hAnsi="Times New Roman" w:cs="Times New Roman"/>
          <w:b w:val="0"/>
          <w:bCs w:val="0"/>
          <w:color w:val="auto"/>
          <w:rtl/>
        </w:rPr>
      </w:pPr>
      <w:r w:rsidRPr="00B21FF5">
        <w:rPr>
          <w:rFonts w:ascii="Times New Roman" w:hAnsi="Times New Roman" w:cs="Times New Roman"/>
          <w:b w:val="0"/>
          <w:bCs w:val="0"/>
          <w:color w:val="auto"/>
          <w:rtl/>
          <w:lang w:bidi="ar-SA"/>
        </w:rPr>
        <w:t xml:space="preserve">أوسنات </w:t>
      </w:r>
      <w:proofErr w:type="spellStart"/>
      <w:r w:rsidRPr="00B21FF5">
        <w:rPr>
          <w:rFonts w:ascii="Times New Roman" w:hAnsi="Times New Roman" w:cs="Times New Roman"/>
          <w:b w:val="0"/>
          <w:bCs w:val="0"/>
          <w:color w:val="auto"/>
          <w:rtl/>
          <w:lang w:bidi="ar-SA"/>
        </w:rPr>
        <w:t>حازان</w:t>
      </w:r>
      <w:proofErr w:type="spellEnd"/>
      <w:r w:rsidR="007A33EA" w:rsidRPr="007A33EA">
        <w:rPr>
          <w:rFonts w:ascii="Times New Roman" w:hAnsi="Times New Roman" w:cs="Times New Roman"/>
          <w:b w:val="0"/>
          <w:bCs w:val="0"/>
          <w:color w:val="auto"/>
          <w:vertAlign w:val="superscript"/>
          <w:lang w:bidi="ar-SA"/>
        </w:rPr>
        <w:footnoteReference w:id="5"/>
      </w:r>
    </w:p>
    <w:p w14:paraId="0FBE8F5D" w14:textId="77777777" w:rsidR="00B21FF5" w:rsidRDefault="00B21FF5" w:rsidP="00B21FF5">
      <w:pPr>
        <w:pStyle w:val="BodyText2"/>
        <w:keepNext/>
        <w:keepLines/>
        <w:rPr>
          <w:rFonts w:ascii="Georgia" w:hAnsi="Georgia" w:cs="Times New Roman"/>
          <w:sz w:val="18"/>
          <w:szCs w:val="20"/>
          <w:lang w:bidi="ar-JO"/>
        </w:rPr>
      </w:pPr>
    </w:p>
    <w:p w14:paraId="416C094E" w14:textId="31C487D1" w:rsidR="00B21FF5" w:rsidRDefault="00B21FF5" w:rsidP="00B21FF5">
      <w:pPr>
        <w:spacing w:after="180" w:line="280" w:lineRule="exact"/>
        <w:jc w:val="both"/>
        <w:rPr>
          <w:rFonts w:asciiTheme="majorBidi" w:hAnsiTheme="majorBidi" w:cstheme="majorBidi"/>
          <w:sz w:val="20"/>
          <w:szCs w:val="22"/>
          <w:lang w:bidi="ar-JO"/>
        </w:rPr>
      </w:pPr>
      <w:r w:rsidRPr="00B21FF5">
        <w:rPr>
          <w:rFonts w:asciiTheme="majorBidi" w:hAnsiTheme="majorBidi" w:cstheme="majorBidi"/>
          <w:sz w:val="20"/>
          <w:szCs w:val="22"/>
          <w:rtl/>
          <w:lang w:bidi="ar-JO"/>
        </w:rPr>
        <w:t>تكون التوصية بتنويع مصادر التمويل ك</w:t>
      </w:r>
      <w:r w:rsidRPr="00B21FF5">
        <w:rPr>
          <w:rFonts w:asciiTheme="majorBidi" w:hAnsiTheme="majorBidi" w:cstheme="majorBidi"/>
          <w:sz w:val="20"/>
          <w:szCs w:val="22"/>
          <w:rtl/>
          <w:lang w:bidi="ar-SA"/>
        </w:rPr>
        <w:t>عنصر حيوي</w:t>
      </w:r>
      <w:r w:rsidRPr="00B21FF5">
        <w:rPr>
          <w:rFonts w:asciiTheme="majorBidi" w:hAnsiTheme="majorBidi" w:cstheme="majorBidi"/>
          <w:sz w:val="20"/>
          <w:szCs w:val="22"/>
          <w:rtl/>
          <w:lang w:bidi="ar-JO"/>
        </w:rPr>
        <w:t xml:space="preserve"> </w:t>
      </w:r>
      <w:proofErr w:type="spellStart"/>
      <w:r w:rsidRPr="00B21FF5">
        <w:rPr>
          <w:rFonts w:asciiTheme="majorBidi" w:hAnsiTheme="majorBidi" w:cstheme="majorBidi"/>
          <w:sz w:val="20"/>
          <w:szCs w:val="22"/>
          <w:rtl/>
          <w:lang w:bidi="ar-JO"/>
        </w:rPr>
        <w:t>لل</w:t>
      </w:r>
      <w:proofErr w:type="spellEnd"/>
      <w:r w:rsidRPr="00B21FF5">
        <w:rPr>
          <w:rFonts w:asciiTheme="majorBidi" w:hAnsiTheme="majorBidi" w:cstheme="majorBidi"/>
          <w:sz w:val="20"/>
          <w:szCs w:val="22"/>
          <w:rtl/>
          <w:lang w:bidi="ar-JO"/>
        </w:rPr>
        <w:t xml:space="preserve">ـ "الصحة الاقتصادية" لدى المؤسسات غير الربحية، معلومة </w:t>
      </w:r>
      <w:r w:rsidRPr="00B21FF5">
        <w:rPr>
          <w:rFonts w:asciiTheme="majorBidi" w:hAnsiTheme="majorBidi" w:cstheme="majorBidi"/>
          <w:sz w:val="20"/>
          <w:szCs w:val="22"/>
          <w:rtl/>
          <w:lang w:bidi="ar-SA"/>
        </w:rPr>
        <w:t>في الأدب المهني</w:t>
      </w:r>
      <w:r w:rsidRPr="00B21FF5">
        <w:rPr>
          <w:rFonts w:asciiTheme="majorBidi" w:hAnsiTheme="majorBidi" w:cstheme="majorBidi"/>
          <w:sz w:val="20"/>
          <w:szCs w:val="22"/>
          <w:rtl/>
          <w:lang w:bidi="ar-JO"/>
        </w:rPr>
        <w:t xml:space="preserve"> منذ عشرات السنين، ولكن المكتشفات </w:t>
      </w:r>
      <w:proofErr w:type="spellStart"/>
      <w:r w:rsidRPr="00B21FF5">
        <w:rPr>
          <w:rFonts w:asciiTheme="majorBidi" w:hAnsiTheme="majorBidi" w:cstheme="majorBidi"/>
          <w:sz w:val="20"/>
          <w:szCs w:val="22"/>
          <w:rtl/>
          <w:lang w:bidi="ar-JO"/>
        </w:rPr>
        <w:t>الإمبريقية</w:t>
      </w:r>
      <w:proofErr w:type="spellEnd"/>
      <w:r w:rsidRPr="00B21FF5">
        <w:rPr>
          <w:rFonts w:asciiTheme="majorBidi" w:hAnsiTheme="majorBidi" w:cstheme="majorBidi"/>
          <w:sz w:val="20"/>
          <w:szCs w:val="22"/>
          <w:rtl/>
          <w:lang w:bidi="ar-JO"/>
        </w:rPr>
        <w:t xml:space="preserve"> المتراكمة ليست قاطعة. وفي الدراسة الحالية، دُرِست الصحة الاقتصادية للهيئات التطوعية في إسرائيل إزاء أزمة </w:t>
      </w:r>
      <w:proofErr w:type="spellStart"/>
      <w:r w:rsidRPr="00B21FF5">
        <w:rPr>
          <w:rFonts w:asciiTheme="majorBidi" w:hAnsiTheme="majorBidi" w:cstheme="majorBidi"/>
          <w:sz w:val="20"/>
          <w:szCs w:val="22"/>
          <w:rtl/>
          <w:lang w:bidi="ar-JO"/>
        </w:rPr>
        <w:t>الكورونا</w:t>
      </w:r>
      <w:proofErr w:type="spellEnd"/>
      <w:r w:rsidRPr="00B21FF5">
        <w:rPr>
          <w:rFonts w:asciiTheme="majorBidi" w:hAnsiTheme="majorBidi" w:cstheme="majorBidi"/>
          <w:sz w:val="20"/>
          <w:szCs w:val="22"/>
          <w:rtl/>
          <w:lang w:bidi="ar-JO"/>
        </w:rPr>
        <w:t>، كمتغيّر يتوقف على مركزية المزيج التمويلي، وتم التركيز على فئة الهيئات التطوعية التي تعتمد على مصدر تمويل جوهري- مصدر تمويل تكون نسبة الإيرادات منه %90 على الأقل من إجمالي الإيرادات. واعتمدت الدراسة على معطيات إدارية لجميع الهيئات التطوعية العاملة في إسرائيل، كالمفاد من قبلها لدى سلطة الهيئات عن نشاطها خلال السنوات 2018 - 2020. حيث تتبين من الدراسة عدّة استنتاجات: أولا، الاعتماد على مصدر جوهري للتمويل هو التوجّه السائد في إسرائيل (ما يقارب %60 من الهيئات التطوعية)، حيث يكون مصدر التمويل الجوهري الأكثر شيوعاً هو التبرّعات (أكثر من %40 من الهيئات التطوعية)؛ ثانيا، مستوى قابلية التضرر الاقتصادية - كواحد من مكوِّنيّ الصحة الاقتصادية، إلى جانب النمو- أعلى كثيرا بالمتوسط لدى هيئات تطوعية</w:t>
      </w:r>
      <w:r w:rsidR="007A33EA" w:rsidRPr="007A33EA">
        <w:rPr>
          <w:rFonts w:asciiTheme="majorBidi" w:hAnsiTheme="majorBidi" w:cstheme="majorBidi"/>
          <w:sz w:val="20"/>
          <w:szCs w:val="22"/>
          <w:vertAlign w:val="superscript"/>
          <w:rtl/>
          <w:lang w:bidi="ar-JO"/>
        </w:rPr>
        <w:t xml:space="preserve"> </w:t>
      </w:r>
      <w:r w:rsidRPr="00B21FF5">
        <w:rPr>
          <w:rFonts w:asciiTheme="majorBidi" w:hAnsiTheme="majorBidi" w:cstheme="majorBidi"/>
          <w:sz w:val="20"/>
          <w:szCs w:val="22"/>
          <w:rtl/>
          <w:lang w:bidi="ar-JO"/>
        </w:rPr>
        <w:t>تعتمد على مصدر تمويل جوهري؛ ثالثا، تزيد مركزية مزيج التمويل من مستوى قابلية التضرر الاقتصادي؛ ورابعا، كلما يكون المزيج أكثر مركزية تكون النسبة بين احتمال توقُّف الهيئة التطوعية عن العمل، واحتمال مواصلة عملها، أكبر. كذلك تبيّن أنه في الهيئات التطوعية المتوسطة، وبصورة خاصة الصغيرة، تكون قابلية</w:t>
      </w:r>
      <w:r w:rsidR="007A33EA" w:rsidRPr="007A33EA">
        <w:rPr>
          <w:rFonts w:asciiTheme="majorBidi" w:hAnsiTheme="majorBidi" w:cstheme="majorBidi"/>
          <w:sz w:val="20"/>
          <w:szCs w:val="22"/>
          <w:vertAlign w:val="superscript"/>
          <w:rtl/>
          <w:lang w:bidi="ar-JO"/>
        </w:rPr>
        <w:t xml:space="preserve"> </w:t>
      </w:r>
      <w:r w:rsidRPr="00B21FF5">
        <w:rPr>
          <w:rFonts w:asciiTheme="majorBidi" w:hAnsiTheme="majorBidi" w:cstheme="majorBidi"/>
          <w:sz w:val="20"/>
          <w:szCs w:val="22"/>
          <w:rtl/>
          <w:lang w:bidi="ar-JO"/>
        </w:rPr>
        <w:t>التضرر الاقتصادي أكبر، وأنها أكثر تأثّرا بالمركزية مما تكون عليه لدى الهيئات التطوعية الكبيرة. هذا، بالإضافة إلى أن الاعتماد على التمويل من الدولة كمصدر تمويل جوهري، قلل قابلية التضرر الاقتصادي. وتناقش الدراسة الأفضلية التي يملكها استخدام عنصر قابلية التضرر الاقتصادي (بخلاف النمو) في الدراسات حول فترات الأزمة (بخلاف الأوقات الاعتيادية).</w:t>
      </w:r>
    </w:p>
    <w:p w14:paraId="016E091A" w14:textId="77777777" w:rsidR="00B21FF5" w:rsidRDefault="00B21FF5" w:rsidP="00B21FF5">
      <w:pPr>
        <w:spacing w:after="180" w:line="280" w:lineRule="exact"/>
        <w:jc w:val="both"/>
        <w:rPr>
          <w:rFonts w:asciiTheme="majorBidi" w:hAnsiTheme="majorBidi" w:cstheme="majorBidi"/>
          <w:sz w:val="20"/>
          <w:szCs w:val="22"/>
          <w:lang w:bidi="ar-JO"/>
        </w:rPr>
      </w:pPr>
    </w:p>
    <w:p w14:paraId="7C18FE27" w14:textId="77777777" w:rsidR="00B21FF5" w:rsidRPr="00B21FF5" w:rsidRDefault="00B21FF5" w:rsidP="00B21FF5">
      <w:pPr>
        <w:spacing w:after="180" w:line="280" w:lineRule="exact"/>
        <w:jc w:val="both"/>
        <w:rPr>
          <w:rFonts w:asciiTheme="majorBidi" w:hAnsiTheme="majorBidi" w:cstheme="majorBidi"/>
        </w:rPr>
      </w:pPr>
    </w:p>
    <w:p w14:paraId="70FA0B9C" w14:textId="77777777" w:rsidR="00B21FF5" w:rsidRPr="00B21FF5" w:rsidRDefault="00B21FF5" w:rsidP="00B21FF5">
      <w:pPr>
        <w:pStyle w:val="Heading1"/>
        <w:spacing w:line="440" w:lineRule="exact"/>
        <w:jc w:val="left"/>
        <w:rPr>
          <w:rFonts w:cs="Times New Roman"/>
          <w:color w:val="2A8E8C"/>
          <w:rtl/>
          <w:lang w:eastAsia="he-IL"/>
        </w:rPr>
      </w:pPr>
      <w:r w:rsidRPr="00B21FF5">
        <w:rPr>
          <w:rFonts w:cs="Times New Roman"/>
          <w:color w:val="2A8E8C"/>
          <w:rtl/>
          <w:lang w:eastAsia="he-IL" w:bidi="ar-SA"/>
        </w:rPr>
        <w:lastRenderedPageBreak/>
        <w:t>"السباحة في مياه مضطربة"</w:t>
      </w:r>
      <w:r w:rsidRPr="00B21FF5">
        <w:rPr>
          <w:rFonts w:cs="Times New Roman"/>
          <w:color w:val="2A8E8C"/>
          <w:lang w:eastAsia="he-IL" w:bidi="ar-SA"/>
        </w:rPr>
        <w:br/>
      </w:r>
      <w:r w:rsidRPr="00B21FF5">
        <w:rPr>
          <w:rFonts w:cs="Times New Roman" w:hint="cs"/>
          <w:color w:val="2A8E8C"/>
          <w:rtl/>
          <w:lang w:eastAsia="he-IL" w:bidi="ar-SA"/>
        </w:rPr>
        <w:t>تعامُل</w:t>
      </w:r>
      <w:r w:rsidRPr="00B21FF5">
        <w:rPr>
          <w:rFonts w:cs="Times New Roman"/>
          <w:color w:val="2A8E8C"/>
          <w:rtl/>
          <w:lang w:eastAsia="he-IL" w:bidi="ar-SA"/>
        </w:rPr>
        <w:t xml:space="preserve"> الم</w:t>
      </w:r>
      <w:r w:rsidRPr="00B21FF5">
        <w:rPr>
          <w:rFonts w:cs="Times New Roman" w:hint="cs"/>
          <w:color w:val="2A8E8C"/>
          <w:rtl/>
          <w:lang w:eastAsia="he-IL" w:bidi="ar-SA"/>
        </w:rPr>
        <w:t>نظم</w:t>
      </w:r>
      <w:r w:rsidRPr="00B21FF5">
        <w:rPr>
          <w:rFonts w:cs="Times New Roman"/>
          <w:color w:val="2A8E8C"/>
          <w:rtl/>
          <w:lang w:eastAsia="he-IL" w:bidi="ar-SA"/>
        </w:rPr>
        <w:t xml:space="preserve">ات الاجتماعية </w:t>
      </w:r>
      <w:r w:rsidRPr="00B21FF5">
        <w:rPr>
          <w:rFonts w:cs="Times New Roman" w:hint="cs"/>
          <w:color w:val="2A8E8C"/>
          <w:rtl/>
          <w:lang w:eastAsia="he-IL" w:bidi="ar-SA"/>
        </w:rPr>
        <w:t xml:space="preserve">مع </w:t>
      </w:r>
      <w:r w:rsidRPr="00B21FF5">
        <w:rPr>
          <w:rFonts w:cs="Times New Roman"/>
          <w:color w:val="2A8E8C"/>
          <w:rtl/>
          <w:lang w:eastAsia="he-IL" w:bidi="ar-SA"/>
        </w:rPr>
        <w:t xml:space="preserve">حالات </w:t>
      </w:r>
      <w:r w:rsidRPr="00B21FF5">
        <w:rPr>
          <w:rFonts w:cs="Times New Roman" w:hint="cs"/>
          <w:color w:val="2A8E8C"/>
          <w:rtl/>
          <w:lang w:eastAsia="he-IL" w:bidi="ar-SA"/>
        </w:rPr>
        <w:t>عدم التأكد</w:t>
      </w:r>
      <w:r w:rsidRPr="00B21FF5">
        <w:rPr>
          <w:rFonts w:cs="Times New Roman"/>
          <w:color w:val="2A8E8C"/>
          <w:rtl/>
          <w:lang w:eastAsia="he-IL" w:bidi="ar-SA"/>
        </w:rPr>
        <w:t xml:space="preserve">: إغلاق </w:t>
      </w:r>
      <w:proofErr w:type="spellStart"/>
      <w:r w:rsidRPr="00B21FF5">
        <w:rPr>
          <w:rFonts w:cs="Times New Roman"/>
          <w:color w:val="2A8E8C"/>
          <w:rtl/>
          <w:lang w:eastAsia="he-IL" w:bidi="ar-SA"/>
        </w:rPr>
        <w:t>الكورونا</w:t>
      </w:r>
      <w:proofErr w:type="spellEnd"/>
      <w:r w:rsidRPr="00B21FF5">
        <w:rPr>
          <w:rFonts w:cs="Times New Roman" w:hint="cs"/>
          <w:color w:val="2A8E8C"/>
          <w:rtl/>
          <w:lang w:eastAsia="he-IL" w:bidi="ar-SA"/>
        </w:rPr>
        <w:t xml:space="preserve"> الصحي</w:t>
      </w:r>
      <w:r w:rsidRPr="00B21FF5">
        <w:rPr>
          <w:rFonts w:cs="Times New Roman"/>
          <w:color w:val="2A8E8C"/>
          <w:rtl/>
          <w:lang w:eastAsia="he-IL" w:bidi="ar-SA"/>
        </w:rPr>
        <w:t xml:space="preserve"> الأول كحالة </w:t>
      </w:r>
      <w:r w:rsidRPr="00B21FF5">
        <w:rPr>
          <w:rFonts w:cs="Times New Roman" w:hint="cs"/>
          <w:color w:val="2A8E8C"/>
          <w:rtl/>
          <w:lang w:eastAsia="he-IL" w:bidi="ar-SA"/>
        </w:rPr>
        <w:t>اختبارية</w:t>
      </w:r>
    </w:p>
    <w:p w14:paraId="439C4E6A" w14:textId="2DE56638" w:rsidR="00B21FF5" w:rsidRPr="00B21FF5" w:rsidRDefault="00B21FF5" w:rsidP="00B21FF5">
      <w:pPr>
        <w:pStyle w:val="KOT5T"/>
        <w:spacing w:before="0" w:after="240" w:line="280" w:lineRule="exact"/>
        <w:ind w:right="0"/>
        <w:jc w:val="left"/>
        <w:rPr>
          <w:rFonts w:ascii="Times New Roman" w:hAnsi="Times New Roman" w:cs="Times New Roman"/>
          <w:b w:val="0"/>
          <w:bCs w:val="0"/>
          <w:color w:val="auto"/>
          <w:rtl/>
        </w:rPr>
      </w:pPr>
      <w:proofErr w:type="spellStart"/>
      <w:r w:rsidRPr="00B21FF5">
        <w:rPr>
          <w:rFonts w:ascii="Times New Roman" w:hAnsi="Times New Roman" w:cs="Times New Roman"/>
          <w:b w:val="0"/>
          <w:bCs w:val="0"/>
          <w:color w:val="auto"/>
          <w:rtl/>
          <w:lang w:bidi="ar-SA"/>
        </w:rPr>
        <w:t>أييلت</w:t>
      </w:r>
      <w:proofErr w:type="spellEnd"/>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ماكاروس</w:t>
      </w:r>
      <w:proofErr w:type="spellEnd"/>
      <w:r w:rsidR="007A33EA" w:rsidRPr="007A33EA">
        <w:rPr>
          <w:rFonts w:ascii="Times New Roman" w:hAnsi="Times New Roman" w:cs="Times New Roman"/>
          <w:b w:val="0"/>
          <w:bCs w:val="0"/>
          <w:color w:val="auto"/>
          <w:vertAlign w:val="superscript"/>
          <w:rtl/>
          <w:lang w:bidi="ar-SA"/>
        </w:rPr>
        <w:footnoteReference w:id="6"/>
      </w:r>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وحفتسيلت</w:t>
      </w:r>
      <w:proofErr w:type="spellEnd"/>
      <w:r w:rsidRPr="00B21FF5">
        <w:rPr>
          <w:rFonts w:ascii="Times New Roman" w:hAnsi="Times New Roman" w:cs="Times New Roman"/>
          <w:b w:val="0"/>
          <w:bCs w:val="0"/>
          <w:color w:val="auto"/>
          <w:rtl/>
          <w:lang w:bidi="ar-SA"/>
        </w:rPr>
        <w:t xml:space="preserve"> أريئيل</w:t>
      </w:r>
      <w:r w:rsidR="007A33EA" w:rsidRPr="007A33EA">
        <w:rPr>
          <w:rFonts w:ascii="Times New Roman" w:hAnsi="Times New Roman" w:cs="Times New Roman"/>
          <w:b w:val="0"/>
          <w:bCs w:val="0"/>
          <w:color w:val="auto"/>
          <w:vertAlign w:val="superscript"/>
          <w:rtl/>
          <w:lang w:bidi="ar-SA"/>
        </w:rPr>
        <w:footnoteReference w:id="7"/>
      </w:r>
      <w:r w:rsidRPr="00B21FF5">
        <w:rPr>
          <w:rFonts w:ascii="Times New Roman" w:hAnsi="Times New Roman" w:cs="Times New Roman"/>
          <w:b w:val="0"/>
          <w:bCs w:val="0"/>
          <w:color w:val="auto"/>
          <w:rtl/>
          <w:lang w:bidi="ar-SA"/>
        </w:rPr>
        <w:t xml:space="preserve"> </w:t>
      </w:r>
    </w:p>
    <w:p w14:paraId="1F321667" w14:textId="77777777" w:rsidR="00B21FF5" w:rsidRDefault="00B21FF5" w:rsidP="00B21FF5">
      <w:pPr>
        <w:pStyle w:val="BodyText2"/>
        <w:keepNext/>
        <w:keepLines/>
        <w:rPr>
          <w:rFonts w:ascii="Georgia" w:hAnsi="Georgia" w:cs="Times New Roman"/>
          <w:color w:val="000000"/>
          <w:sz w:val="18"/>
          <w:szCs w:val="20"/>
          <w:lang w:bidi="ar-JO"/>
        </w:rPr>
      </w:pPr>
    </w:p>
    <w:p w14:paraId="687392F7" w14:textId="65DB0A96" w:rsidR="00B21FF5" w:rsidRDefault="00B21FF5" w:rsidP="00B21FF5">
      <w:pPr>
        <w:spacing w:after="180" w:line="280" w:lineRule="exact"/>
        <w:jc w:val="both"/>
        <w:rPr>
          <w:rFonts w:asciiTheme="majorBidi" w:hAnsiTheme="majorBidi" w:cstheme="majorBidi"/>
          <w:sz w:val="20"/>
          <w:szCs w:val="22"/>
          <w:lang w:bidi="ar-JO"/>
        </w:rPr>
      </w:pPr>
      <w:r w:rsidRPr="00B21FF5">
        <w:rPr>
          <w:rFonts w:asciiTheme="majorBidi" w:hAnsiTheme="majorBidi" w:cstheme="majorBidi"/>
          <w:color w:val="000000"/>
          <w:sz w:val="20"/>
          <w:szCs w:val="22"/>
          <w:rtl/>
          <w:lang w:bidi="ar-JO"/>
        </w:rPr>
        <w:t>كانت إدارة المنظمة في حالة الأزمة، منذ الأزل، تحدّيا عظيما. وفي الوقت المعاصر - عصر الواقع المركَّب، الذي يتّسم بعدم التأكد، والفوضى والتغيّرات السريعة وغير المتوقعة- يصبح التحدي أكبر بكثير.</w:t>
      </w:r>
      <w:r w:rsidRPr="00B21FF5">
        <w:rPr>
          <w:rFonts w:asciiTheme="majorBidi" w:hAnsiTheme="majorBidi" w:cstheme="majorBidi"/>
          <w:b/>
          <w:bCs/>
          <w:color w:val="000000"/>
          <w:sz w:val="20"/>
          <w:szCs w:val="22"/>
          <w:rtl/>
          <w:lang w:bidi="ar-JO"/>
        </w:rPr>
        <w:t xml:space="preserve"> </w:t>
      </w:r>
      <w:r w:rsidRPr="00B21FF5">
        <w:rPr>
          <w:rFonts w:asciiTheme="majorBidi" w:hAnsiTheme="majorBidi" w:cstheme="majorBidi"/>
          <w:color w:val="000000"/>
          <w:sz w:val="20"/>
          <w:szCs w:val="22"/>
          <w:rtl/>
          <w:lang w:bidi="ar-JO"/>
        </w:rPr>
        <w:t xml:space="preserve">ومع تفشّي وباء </w:t>
      </w:r>
      <w:proofErr w:type="spellStart"/>
      <w:r w:rsidRPr="00B21FF5">
        <w:rPr>
          <w:rFonts w:asciiTheme="majorBidi" w:hAnsiTheme="majorBidi" w:cstheme="majorBidi"/>
          <w:color w:val="000000"/>
          <w:sz w:val="20"/>
          <w:szCs w:val="22"/>
          <w:rtl/>
          <w:lang w:bidi="ar-JO"/>
        </w:rPr>
        <w:t>الكورونا</w:t>
      </w:r>
      <w:proofErr w:type="spellEnd"/>
      <w:r w:rsidRPr="00B21FF5">
        <w:rPr>
          <w:rFonts w:asciiTheme="majorBidi" w:hAnsiTheme="majorBidi" w:cstheme="majorBidi"/>
          <w:color w:val="000000"/>
          <w:sz w:val="20"/>
          <w:szCs w:val="22"/>
          <w:rtl/>
          <w:lang w:bidi="ar-JO"/>
        </w:rPr>
        <w:t xml:space="preserve"> في كانون الثاني 2020، اضطُرَّت منظمات اجتماعية إلى التعامل مع "المجهول"، </w:t>
      </w:r>
      <w:r w:rsidRPr="00B21FF5">
        <w:rPr>
          <w:rFonts w:asciiTheme="majorBidi" w:hAnsiTheme="majorBidi" w:cstheme="majorBidi"/>
          <w:sz w:val="20"/>
          <w:szCs w:val="22"/>
          <w:rtl/>
          <w:lang w:bidi="ar-JO"/>
        </w:rPr>
        <w:t xml:space="preserve">ووجدت نفسها في امتحان: تحدي الجاهزية لحالة أزمة وحالات عدم التأكد. </w:t>
      </w:r>
      <w:bookmarkStart w:id="3" w:name="_Hlk123416270"/>
      <w:r w:rsidRPr="00B21FF5">
        <w:rPr>
          <w:rFonts w:asciiTheme="majorBidi" w:hAnsiTheme="majorBidi" w:cstheme="majorBidi"/>
          <w:sz w:val="20"/>
          <w:szCs w:val="22"/>
          <w:rtl/>
          <w:lang w:bidi="ar-JO"/>
        </w:rPr>
        <w:t xml:space="preserve">حيث تدرس هذه المقالة كيفية تعامُل منظمات اجتماعية مع حالات عدم التأكد، وتنظر في كيفية تعامُلها مع الإغلاق الصحي الأول في </w:t>
      </w:r>
      <w:proofErr w:type="spellStart"/>
      <w:r w:rsidRPr="00B21FF5">
        <w:rPr>
          <w:rFonts w:asciiTheme="majorBidi" w:hAnsiTheme="majorBidi" w:cstheme="majorBidi"/>
          <w:sz w:val="20"/>
          <w:szCs w:val="22"/>
          <w:rtl/>
          <w:lang w:bidi="ar-JO"/>
        </w:rPr>
        <w:t>الكورونا</w:t>
      </w:r>
      <w:proofErr w:type="spellEnd"/>
      <w:r w:rsidRPr="00B21FF5">
        <w:rPr>
          <w:rFonts w:asciiTheme="majorBidi" w:hAnsiTheme="majorBidi" w:cstheme="majorBidi"/>
          <w:sz w:val="20"/>
          <w:szCs w:val="22"/>
          <w:rtl/>
          <w:lang w:bidi="ar-JO"/>
        </w:rPr>
        <w:t xml:space="preserve"> كحالة اختبارية. وتمت دراسة كيفية التعامل</w:t>
      </w:r>
      <w:r w:rsidRPr="00B21FF5">
        <w:rPr>
          <w:rFonts w:asciiTheme="majorBidi" w:hAnsiTheme="majorBidi" w:cstheme="majorBidi"/>
          <w:color w:val="000000"/>
          <w:sz w:val="20"/>
          <w:szCs w:val="22"/>
          <w:rtl/>
          <w:lang w:bidi="ar-JO"/>
        </w:rPr>
        <w:t xml:space="preserve"> من خلال بحث</w:t>
      </w:r>
      <w:r w:rsidRPr="00B21FF5">
        <w:rPr>
          <w:rFonts w:asciiTheme="majorBidi" w:hAnsiTheme="majorBidi" w:cstheme="majorBidi"/>
          <w:sz w:val="20"/>
          <w:szCs w:val="22"/>
          <w:rtl/>
          <w:lang w:bidi="ar-JO"/>
        </w:rPr>
        <w:t xml:space="preserve"> نوعي شمل مقابلة معمَّقة شبه منظمة مع 12 مديرا لمنظمة اجتماعية من القطاع العام والقطاع الطوعي في إسرائيل. ومن خلال التحليل </w:t>
      </w:r>
      <w:proofErr w:type="spellStart"/>
      <w:r w:rsidRPr="00B21FF5">
        <w:rPr>
          <w:rFonts w:asciiTheme="majorBidi" w:hAnsiTheme="majorBidi" w:cstheme="majorBidi"/>
          <w:sz w:val="20"/>
          <w:szCs w:val="22"/>
          <w:rtl/>
          <w:lang w:bidi="ar-JO"/>
        </w:rPr>
        <w:t>المواضيعي</w:t>
      </w:r>
      <w:proofErr w:type="spellEnd"/>
      <w:r w:rsidRPr="00B21FF5">
        <w:rPr>
          <w:rFonts w:asciiTheme="majorBidi" w:hAnsiTheme="majorBidi" w:cstheme="majorBidi"/>
          <w:sz w:val="20"/>
          <w:szCs w:val="22"/>
          <w:rtl/>
          <w:lang w:bidi="ar-JO"/>
        </w:rPr>
        <w:t xml:space="preserve">، رُصِدت </w:t>
      </w:r>
      <w:proofErr w:type="gramStart"/>
      <w:r w:rsidRPr="00B21FF5">
        <w:rPr>
          <w:rFonts w:asciiTheme="majorBidi" w:hAnsiTheme="majorBidi" w:cstheme="majorBidi"/>
          <w:sz w:val="20"/>
          <w:szCs w:val="22"/>
          <w:rtl/>
          <w:lang w:bidi="ar-JO"/>
        </w:rPr>
        <w:t>سبعة</w:t>
      </w:r>
      <w:proofErr w:type="gramEnd"/>
      <w:r w:rsidRPr="00B21FF5">
        <w:rPr>
          <w:rFonts w:asciiTheme="majorBidi" w:hAnsiTheme="majorBidi" w:cstheme="majorBidi"/>
          <w:sz w:val="20"/>
          <w:szCs w:val="22"/>
          <w:rtl/>
          <w:lang w:bidi="ar-JO"/>
        </w:rPr>
        <w:t xml:space="preserve"> مجالات مركزية بالإمكان التعرف من خلالها إلى طرق تعامل المنظمات مع الإغلاق الصحي الأول، مما تماشى مع ما يتبين من الأدب المهني النظري. وتقوم الكاتبات بتحليل المكتشفات في المجالات السبعة المذكورة، ويعرضن توصيات لمساعدة المنظمات الاجتماعية على الاستعداد لحالات من عدم التأكد وحالات طوارئ مستقبلية</w:t>
      </w:r>
      <w:bookmarkEnd w:id="3"/>
      <w:r w:rsidRPr="00B21FF5">
        <w:rPr>
          <w:rFonts w:asciiTheme="majorBidi" w:hAnsiTheme="majorBidi" w:cstheme="majorBidi"/>
          <w:sz w:val="20"/>
          <w:szCs w:val="22"/>
          <w:rtl/>
          <w:lang w:bidi="ar-JO"/>
        </w:rPr>
        <w:t xml:space="preserve"> أخرى.</w:t>
      </w:r>
    </w:p>
    <w:p w14:paraId="6F5C5046" w14:textId="77777777" w:rsidR="00B21FF5" w:rsidRDefault="00B21FF5" w:rsidP="00B21FF5">
      <w:pPr>
        <w:spacing w:after="180" w:line="280" w:lineRule="exact"/>
        <w:jc w:val="both"/>
        <w:rPr>
          <w:rFonts w:asciiTheme="majorBidi" w:hAnsiTheme="majorBidi" w:cstheme="majorBidi"/>
          <w:sz w:val="20"/>
          <w:szCs w:val="22"/>
          <w:lang w:bidi="ar-JO"/>
        </w:rPr>
      </w:pPr>
    </w:p>
    <w:p w14:paraId="34F1A6B5" w14:textId="77777777" w:rsidR="00B21FF5" w:rsidRPr="00B21FF5" w:rsidRDefault="00B21FF5" w:rsidP="00B21FF5">
      <w:pPr>
        <w:spacing w:after="180" w:line="280" w:lineRule="exact"/>
        <w:jc w:val="both"/>
        <w:rPr>
          <w:rFonts w:asciiTheme="majorBidi" w:eastAsia="Calibri" w:hAnsiTheme="majorBidi" w:cstheme="majorBidi"/>
          <w:sz w:val="20"/>
          <w:szCs w:val="22"/>
        </w:rPr>
      </w:pPr>
    </w:p>
    <w:p w14:paraId="27C65001" w14:textId="77777777" w:rsidR="00B21FF5" w:rsidRPr="00B21FF5" w:rsidRDefault="00B21FF5" w:rsidP="00B21FF5">
      <w:pPr>
        <w:pStyle w:val="Heading1"/>
        <w:spacing w:line="440" w:lineRule="exact"/>
        <w:rPr>
          <w:rFonts w:cs="Times New Roman"/>
          <w:color w:val="2A8E8C"/>
          <w:lang w:eastAsia="he-IL" w:bidi="ar-SA"/>
        </w:rPr>
      </w:pPr>
      <w:r w:rsidRPr="00B21FF5">
        <w:rPr>
          <w:rFonts w:cs="Times New Roman"/>
          <w:color w:val="2A8E8C"/>
          <w:rtl/>
          <w:lang w:eastAsia="he-IL" w:bidi="ar-SA"/>
        </w:rPr>
        <w:t xml:space="preserve">بين أزمة تنظيمية وأزمة صحّية: دمج </w:t>
      </w:r>
      <w:r w:rsidRPr="00B21FF5">
        <w:rPr>
          <w:rFonts w:cs="Times New Roman" w:hint="cs"/>
          <w:color w:val="2A8E8C"/>
          <w:rtl/>
          <w:lang w:eastAsia="he-IL" w:bidi="ar-SA"/>
        </w:rPr>
        <w:t>منظم</w:t>
      </w:r>
      <w:r w:rsidRPr="00B21FF5">
        <w:rPr>
          <w:rFonts w:cs="Times New Roman"/>
          <w:color w:val="2A8E8C"/>
          <w:rtl/>
          <w:lang w:eastAsia="he-IL" w:bidi="ar-SA"/>
        </w:rPr>
        <w:t>ات غير ربحية ك</w:t>
      </w:r>
      <w:r w:rsidRPr="00B21FF5">
        <w:rPr>
          <w:rFonts w:cs="Times New Roman" w:hint="cs"/>
          <w:color w:val="2A8E8C"/>
          <w:rtl/>
          <w:lang w:eastAsia="he-IL" w:bidi="ar-SA"/>
        </w:rPr>
        <w:t>إ</w:t>
      </w:r>
      <w:r w:rsidRPr="00B21FF5">
        <w:rPr>
          <w:rFonts w:cs="Times New Roman"/>
          <w:color w:val="2A8E8C"/>
          <w:rtl/>
          <w:lang w:eastAsia="he-IL" w:bidi="ar-SA"/>
        </w:rPr>
        <w:t>سترات</w:t>
      </w:r>
      <w:r w:rsidRPr="00B21FF5">
        <w:rPr>
          <w:rFonts w:cs="Times New Roman" w:hint="cs"/>
          <w:color w:val="2A8E8C"/>
          <w:rtl/>
          <w:lang w:eastAsia="he-IL" w:bidi="ar-SA"/>
        </w:rPr>
        <w:t>يجية</w:t>
      </w:r>
      <w:r w:rsidRPr="00B21FF5">
        <w:rPr>
          <w:rFonts w:cs="Times New Roman"/>
          <w:color w:val="2A8E8C"/>
          <w:rtl/>
          <w:lang w:eastAsia="he-IL" w:bidi="ar-SA"/>
        </w:rPr>
        <w:t xml:space="preserve"> لمواجهة الأزم</w:t>
      </w:r>
      <w:r w:rsidRPr="00B21FF5">
        <w:rPr>
          <w:rFonts w:cs="Times New Roman" w:hint="cs"/>
          <w:color w:val="2A8E8C"/>
          <w:rtl/>
          <w:lang w:eastAsia="he-IL" w:bidi="ar-SA"/>
        </w:rPr>
        <w:t>ة</w:t>
      </w:r>
    </w:p>
    <w:p w14:paraId="2E4806F2" w14:textId="6BFB5599" w:rsidR="00B21FF5" w:rsidRPr="00B21FF5" w:rsidRDefault="00B21FF5" w:rsidP="00B21FF5">
      <w:pPr>
        <w:pStyle w:val="KOT5T"/>
        <w:spacing w:before="0" w:after="240" w:line="280" w:lineRule="exact"/>
        <w:ind w:right="0"/>
        <w:jc w:val="left"/>
        <w:rPr>
          <w:rFonts w:ascii="Times New Roman" w:hAnsi="Times New Roman" w:cs="Times New Roman"/>
          <w:b w:val="0"/>
          <w:bCs w:val="0"/>
          <w:color w:val="auto"/>
          <w:rtl/>
        </w:rPr>
      </w:pPr>
      <w:proofErr w:type="spellStart"/>
      <w:r w:rsidRPr="00B21FF5">
        <w:rPr>
          <w:rFonts w:ascii="Times New Roman" w:hAnsi="Times New Roman" w:cs="Times New Roman"/>
          <w:b w:val="0"/>
          <w:bCs w:val="0"/>
          <w:color w:val="auto"/>
          <w:rtl/>
          <w:lang w:bidi="ar-SA"/>
        </w:rPr>
        <w:t>إيتاي</w:t>
      </w:r>
      <w:proofErr w:type="spellEnd"/>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غرينشبان</w:t>
      </w:r>
      <w:proofErr w:type="spellEnd"/>
      <w:r w:rsidR="007A33EA" w:rsidRPr="007A33EA">
        <w:rPr>
          <w:rFonts w:ascii="Times New Roman" w:hAnsi="Times New Roman" w:cs="Times New Roman"/>
          <w:b w:val="0"/>
          <w:bCs w:val="0"/>
          <w:color w:val="auto"/>
          <w:vertAlign w:val="superscript"/>
          <w:rtl/>
          <w:lang w:bidi="ar-SA"/>
        </w:rPr>
        <w:footnoteReference w:id="8"/>
      </w:r>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ميخال</w:t>
      </w:r>
      <w:proofErr w:type="spellEnd"/>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ألموج</w:t>
      </w:r>
      <w:proofErr w:type="spellEnd"/>
      <w:r w:rsidRPr="00B21FF5">
        <w:rPr>
          <w:rFonts w:ascii="Times New Roman" w:hAnsi="Times New Roman" w:cs="Times New Roman"/>
          <w:b w:val="0"/>
          <w:bCs w:val="0"/>
          <w:color w:val="auto"/>
          <w:rtl/>
          <w:lang w:bidi="ar-SA"/>
        </w:rPr>
        <w:t xml:space="preserve"> بار7، </w:t>
      </w:r>
      <w:proofErr w:type="spellStart"/>
      <w:r w:rsidRPr="00B21FF5">
        <w:rPr>
          <w:rFonts w:ascii="Times New Roman" w:hAnsi="Times New Roman" w:cs="Times New Roman"/>
          <w:b w:val="0"/>
          <w:bCs w:val="0"/>
          <w:color w:val="auto"/>
          <w:rtl/>
          <w:lang w:bidi="ar-SA"/>
        </w:rPr>
        <w:t>هيلل</w:t>
      </w:r>
      <w:proofErr w:type="spellEnd"/>
      <w:r w:rsidRPr="00B21FF5">
        <w:rPr>
          <w:rFonts w:ascii="Times New Roman" w:hAnsi="Times New Roman" w:cs="Times New Roman"/>
          <w:b w:val="0"/>
          <w:bCs w:val="0"/>
          <w:color w:val="auto"/>
          <w:rtl/>
          <w:lang w:bidi="ar-SA"/>
        </w:rPr>
        <w:t xml:space="preserve"> شميد7 </w:t>
      </w:r>
      <w:proofErr w:type="spellStart"/>
      <w:r w:rsidRPr="00B21FF5">
        <w:rPr>
          <w:rFonts w:ascii="Times New Roman" w:hAnsi="Times New Roman" w:cs="Times New Roman"/>
          <w:b w:val="0"/>
          <w:bCs w:val="0"/>
          <w:color w:val="auto"/>
          <w:rtl/>
          <w:lang w:bidi="ar-SA"/>
        </w:rPr>
        <w:t>وأييلت</w:t>
      </w:r>
      <w:proofErr w:type="spellEnd"/>
      <w:r w:rsidRPr="00B21FF5">
        <w:rPr>
          <w:rFonts w:ascii="Times New Roman" w:hAnsi="Times New Roman" w:cs="Times New Roman"/>
          <w:b w:val="0"/>
          <w:bCs w:val="0"/>
          <w:color w:val="auto"/>
          <w:rtl/>
          <w:lang w:bidi="ar-SA"/>
        </w:rPr>
        <w:t xml:space="preserve"> </w:t>
      </w:r>
      <w:proofErr w:type="spellStart"/>
      <w:r w:rsidRPr="00B21FF5">
        <w:rPr>
          <w:rFonts w:ascii="Times New Roman" w:hAnsi="Times New Roman" w:cs="Times New Roman"/>
          <w:b w:val="0"/>
          <w:bCs w:val="0"/>
          <w:color w:val="auto"/>
          <w:rtl/>
          <w:lang w:bidi="ar-SA"/>
        </w:rPr>
        <w:t>أوريج</w:t>
      </w:r>
      <w:proofErr w:type="spellEnd"/>
      <w:r w:rsidR="007A33EA" w:rsidRPr="007A33EA">
        <w:rPr>
          <w:rFonts w:ascii="Times New Roman" w:hAnsi="Times New Roman" w:cs="Times New Roman"/>
          <w:b w:val="0"/>
          <w:bCs w:val="0"/>
          <w:color w:val="auto"/>
          <w:vertAlign w:val="superscript"/>
          <w:rtl/>
          <w:lang w:bidi="ar-SA"/>
        </w:rPr>
        <w:footnoteReference w:id="9"/>
      </w:r>
      <w:r w:rsidR="007A33EA" w:rsidRPr="007A33EA">
        <w:rPr>
          <w:rFonts w:ascii="Times New Roman" w:hAnsi="Times New Roman" w:cs="Times New Roman"/>
          <w:b w:val="0"/>
          <w:bCs w:val="0"/>
          <w:color w:val="auto"/>
          <w:vertAlign w:val="superscript"/>
          <w:rtl/>
          <w:lang w:bidi="ar-SA"/>
        </w:rPr>
        <w:t xml:space="preserve"> </w:t>
      </w:r>
    </w:p>
    <w:p w14:paraId="42C002FE" w14:textId="77777777" w:rsidR="00B21FF5" w:rsidRPr="008B462B" w:rsidRDefault="00B21FF5" w:rsidP="00B21FF5">
      <w:pPr>
        <w:pStyle w:val="BodyText2"/>
        <w:keepNext/>
        <w:keepLines/>
        <w:rPr>
          <w:rFonts w:ascii="David" w:eastAsia="David" w:hAnsi="David"/>
          <w:rtl/>
        </w:rPr>
      </w:pPr>
    </w:p>
    <w:p w14:paraId="345C74A3" w14:textId="77777777" w:rsidR="00B21FF5" w:rsidRPr="00B21FF5" w:rsidRDefault="00B21FF5" w:rsidP="00B21FF5">
      <w:pPr>
        <w:spacing w:after="180" w:line="280" w:lineRule="exact"/>
        <w:jc w:val="both"/>
        <w:rPr>
          <w:rFonts w:asciiTheme="majorBidi" w:eastAsia="David" w:hAnsiTheme="majorBidi" w:cstheme="majorBidi"/>
          <w:bCs/>
          <w:sz w:val="22"/>
          <w:szCs w:val="22"/>
          <w:rtl/>
        </w:rPr>
      </w:pPr>
      <w:r w:rsidRPr="00B21FF5">
        <w:rPr>
          <w:rFonts w:asciiTheme="majorBidi" w:hAnsiTheme="majorBidi" w:cstheme="majorBidi"/>
          <w:sz w:val="22"/>
          <w:szCs w:val="22"/>
          <w:rtl/>
          <w:lang w:bidi="ar-JO"/>
        </w:rPr>
        <w:t xml:space="preserve">خلق وباء </w:t>
      </w:r>
      <w:proofErr w:type="spellStart"/>
      <w:r w:rsidRPr="00B21FF5">
        <w:rPr>
          <w:rFonts w:asciiTheme="majorBidi" w:hAnsiTheme="majorBidi" w:cstheme="majorBidi"/>
          <w:sz w:val="22"/>
          <w:szCs w:val="22"/>
          <w:rtl/>
          <w:lang w:bidi="ar-JO"/>
        </w:rPr>
        <w:t>الكورونا</w:t>
      </w:r>
      <w:proofErr w:type="spellEnd"/>
      <w:r w:rsidRPr="00B21FF5">
        <w:rPr>
          <w:rFonts w:asciiTheme="majorBidi" w:hAnsiTheme="majorBidi" w:cstheme="majorBidi"/>
          <w:sz w:val="22"/>
          <w:szCs w:val="22"/>
          <w:rtl/>
          <w:lang w:bidi="ar-JO"/>
        </w:rPr>
        <w:t xml:space="preserve"> أزمة صحية، واقتصادية واجتماعية وضعت أمام منظمات غير ربحية صعوبة في أداء وظائفها الاجتماعية وتحقيق أهدافها. وتسعى هذه المقالة إلى الدراسة كيف من الممكن أن </w:t>
      </w:r>
      <w:r w:rsidRPr="00B21FF5">
        <w:rPr>
          <w:rFonts w:asciiTheme="majorBidi" w:hAnsiTheme="majorBidi" w:cstheme="majorBidi"/>
          <w:sz w:val="22"/>
          <w:szCs w:val="22"/>
          <w:rtl/>
          <w:lang w:bidi="ar-JO"/>
        </w:rPr>
        <w:lastRenderedPageBreak/>
        <w:t xml:space="preserve">يشكّل الدمج بين منظمات في المجتمع المدني ردّا إستراتيجيا لمواجهة أزمة تنظيمية ناتجة عن أزمة خارجية مثل وباء </w:t>
      </w:r>
      <w:proofErr w:type="spellStart"/>
      <w:r w:rsidRPr="00B21FF5">
        <w:rPr>
          <w:rFonts w:asciiTheme="majorBidi" w:hAnsiTheme="majorBidi" w:cstheme="majorBidi"/>
          <w:sz w:val="22"/>
          <w:szCs w:val="22"/>
          <w:rtl/>
          <w:lang w:bidi="ar-JO"/>
        </w:rPr>
        <w:t>الكورونا</w:t>
      </w:r>
      <w:proofErr w:type="spellEnd"/>
      <w:r w:rsidRPr="00B21FF5">
        <w:rPr>
          <w:rFonts w:asciiTheme="majorBidi" w:hAnsiTheme="majorBidi" w:cstheme="majorBidi"/>
          <w:sz w:val="22"/>
          <w:szCs w:val="22"/>
          <w:rtl/>
          <w:lang w:bidi="ar-JO"/>
        </w:rPr>
        <w:t xml:space="preserve">. حيث ركّزت هذه الدراسة على ثماني حالات دمج لمنظمات غير ربحية في إسرائيل، ودرست الدّوافع، والتحدّيات، </w:t>
      </w:r>
      <w:proofErr w:type="spellStart"/>
      <w:r w:rsidRPr="00B21FF5">
        <w:rPr>
          <w:rFonts w:asciiTheme="majorBidi" w:hAnsiTheme="majorBidi" w:cstheme="majorBidi"/>
          <w:sz w:val="22"/>
          <w:szCs w:val="22"/>
          <w:rtl/>
          <w:lang w:bidi="ar-JO"/>
        </w:rPr>
        <w:t>والسيرورات</w:t>
      </w:r>
      <w:proofErr w:type="spellEnd"/>
      <w:r w:rsidRPr="00B21FF5">
        <w:rPr>
          <w:rFonts w:asciiTheme="majorBidi" w:hAnsiTheme="majorBidi" w:cstheme="majorBidi"/>
          <w:sz w:val="22"/>
          <w:szCs w:val="22"/>
          <w:rtl/>
          <w:lang w:bidi="ar-JO"/>
        </w:rPr>
        <w:t xml:space="preserve"> المركزية التي ميّزت حالات الدمج هذه، من خلال مقابلات معمَّقة واستطلاع للرأي بين أفراد كبار في الهيئة الإدارية وأعضاء في اللجنة الإدارية ممّن كان لهم دخل فيها. وتركّز مكتشفات الدراسة على ثلاث مراحل من الدمج: مرحلة ما قبل الدمج، والتي تمت خلالها دراسة الدوافع للدمج؛ مرحلة الدمج نفسه، والتي تمت خلالها دراسة </w:t>
      </w:r>
      <w:proofErr w:type="spellStart"/>
      <w:r w:rsidRPr="00B21FF5">
        <w:rPr>
          <w:rFonts w:asciiTheme="majorBidi" w:hAnsiTheme="majorBidi" w:cstheme="majorBidi"/>
          <w:sz w:val="22"/>
          <w:szCs w:val="22"/>
          <w:rtl/>
          <w:lang w:bidi="ar-JO"/>
        </w:rPr>
        <w:t>سيرورات</w:t>
      </w:r>
      <w:proofErr w:type="spellEnd"/>
      <w:r w:rsidRPr="00B21FF5">
        <w:rPr>
          <w:rFonts w:asciiTheme="majorBidi" w:hAnsiTheme="majorBidi" w:cstheme="majorBidi"/>
          <w:sz w:val="22"/>
          <w:szCs w:val="22"/>
          <w:rtl/>
          <w:lang w:bidi="ar-JO"/>
        </w:rPr>
        <w:t xml:space="preserve"> اتخاذ القرارات، ومواجهة الصراعات وأزمات الثقة، ومسائل من الانتماء والهوية في المنظمة الجديدة ما بعد الدمج؛ ومرحلة ما بعد الدمج، التي تمت خلالها دراسة المواقف تجاه نواتج الدمج ومدى نجاحه في مجالات تنظيمية مختلفة. وتشير مكتشفات الدراسة إلى انعدام التحضيرات للدمج، وصراعات الأنا بين أصحاب الوظائف، والحاجة لتوعية الموظفين على ضرورة الدمج. ويشدّد النقاش على أهمية التخطيط والاعتناء بالثروة البشرية وأهمية ترسيخ علاقات الثقة في المنظمة، وبضمن ذلك خلق التعاون بين الموظفين، وثقافة تنظيمية جديدة وشعور بالانتماء والتضامن بين الأفراد في المنظمة الجديدة ما بعد الدمج.</w:t>
      </w:r>
    </w:p>
    <w:bookmarkEnd w:id="0"/>
    <w:bookmarkEnd w:id="1"/>
    <w:p w14:paraId="57946AA6" w14:textId="77777777" w:rsidR="00B21FF5" w:rsidRPr="00B21FF5" w:rsidRDefault="00B21FF5" w:rsidP="005C14F6">
      <w:pPr>
        <w:spacing w:after="180" w:line="280" w:lineRule="exact"/>
        <w:jc w:val="both"/>
        <w:rPr>
          <w:rFonts w:cs="Times New Roman"/>
          <w:sz w:val="22"/>
          <w:szCs w:val="22"/>
          <w:rtl/>
          <w:lang w:bidi="ar-SA"/>
        </w:rPr>
      </w:pPr>
    </w:p>
    <w:sectPr w:rsidR="00B21FF5" w:rsidRPr="00B21FF5" w:rsidSect="007A258D">
      <w:headerReference w:type="even" r:id="rId12"/>
      <w:headerReference w:type="default" r:id="rId13"/>
      <w:headerReference w:type="first" r:id="rId14"/>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647C" w14:textId="77777777" w:rsidR="007A258D" w:rsidRDefault="007A258D">
      <w:pPr>
        <w:spacing w:line="240" w:lineRule="auto"/>
      </w:pPr>
      <w:r>
        <w:separator/>
      </w:r>
    </w:p>
  </w:endnote>
  <w:endnote w:type="continuationSeparator" w:id="0">
    <w:p w14:paraId="35A595C2" w14:textId="77777777" w:rsidR="007A258D" w:rsidRDefault="007A2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56F1" w14:textId="77777777" w:rsidR="007A258D" w:rsidRDefault="007A258D">
      <w:pPr>
        <w:spacing w:after="80"/>
        <w:rPr>
          <w:rFonts w:cs="FrankRuehl"/>
          <w:sz w:val="18"/>
          <w:szCs w:val="18"/>
        </w:rPr>
      </w:pPr>
      <w:r>
        <w:rPr>
          <w:rFonts w:cs="FrankRuehl" w:hint="cs"/>
          <w:sz w:val="18"/>
          <w:szCs w:val="18"/>
          <w:rtl/>
        </w:rPr>
        <w:t>_____________</w:t>
      </w:r>
    </w:p>
  </w:footnote>
  <w:footnote w:type="continuationSeparator" w:id="0">
    <w:p w14:paraId="2FC464FD" w14:textId="77777777" w:rsidR="007A258D" w:rsidRDefault="007A258D">
      <w:r>
        <w:continuationSeparator/>
      </w:r>
    </w:p>
  </w:footnote>
  <w:footnote w:type="continuationNotice" w:id="1">
    <w:p w14:paraId="1C432416" w14:textId="77777777" w:rsidR="007A258D" w:rsidRDefault="007A258D">
      <w:pPr>
        <w:rPr>
          <w:rtl/>
        </w:rPr>
      </w:pPr>
    </w:p>
  </w:footnote>
  <w:footnote w:id="2">
    <w:p w14:paraId="4609D89E"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lang w:bidi="ar-JO"/>
        </w:rPr>
        <w:t xml:space="preserve"> </w:t>
      </w:r>
      <w:r w:rsidRPr="007A33EA">
        <w:rPr>
          <w:rStyle w:val="FootnoteReference"/>
          <w:rFonts w:asciiTheme="majorBidi" w:hAnsiTheme="majorBidi" w:cstheme="majorBidi"/>
          <w:sz w:val="18"/>
          <w:szCs w:val="18"/>
          <w:vertAlign w:val="baseline"/>
          <w:rtl/>
          <w:lang w:bidi="ar-JO"/>
        </w:rPr>
        <w:tab/>
        <w:t xml:space="preserve">كلية الإدارة على اسم </w:t>
      </w:r>
      <w:proofErr w:type="spellStart"/>
      <w:r w:rsidRPr="007A33EA">
        <w:rPr>
          <w:rStyle w:val="FootnoteReference"/>
          <w:rFonts w:asciiTheme="majorBidi" w:hAnsiTheme="majorBidi" w:cstheme="majorBidi"/>
          <w:sz w:val="18"/>
          <w:szCs w:val="18"/>
          <w:vertAlign w:val="baseline"/>
          <w:rtl/>
          <w:lang w:bidi="ar-JO"/>
        </w:rPr>
        <w:t>جليفورد</w:t>
      </w:r>
      <w:proofErr w:type="spellEnd"/>
      <w:r w:rsidRPr="007A33EA">
        <w:rPr>
          <w:rStyle w:val="FootnoteReference"/>
          <w:rFonts w:asciiTheme="majorBidi" w:hAnsiTheme="majorBidi" w:cstheme="majorBidi"/>
          <w:sz w:val="18"/>
          <w:szCs w:val="18"/>
          <w:vertAlign w:val="baseline"/>
          <w:rtl/>
          <w:lang w:bidi="ar-JO"/>
        </w:rPr>
        <w:t xml:space="preserve"> </w:t>
      </w:r>
      <w:proofErr w:type="spellStart"/>
      <w:r w:rsidRPr="007A33EA">
        <w:rPr>
          <w:rStyle w:val="FootnoteReference"/>
          <w:rFonts w:asciiTheme="majorBidi" w:hAnsiTheme="majorBidi" w:cstheme="majorBidi"/>
          <w:sz w:val="18"/>
          <w:szCs w:val="18"/>
          <w:vertAlign w:val="baseline"/>
          <w:rtl/>
          <w:lang w:bidi="ar-JO"/>
        </w:rPr>
        <w:t>جليزر</w:t>
      </w:r>
      <w:proofErr w:type="spellEnd"/>
      <w:r w:rsidRPr="007A33EA">
        <w:rPr>
          <w:rStyle w:val="FootnoteReference"/>
          <w:rFonts w:asciiTheme="majorBidi" w:hAnsiTheme="majorBidi" w:cstheme="majorBidi"/>
          <w:sz w:val="18"/>
          <w:szCs w:val="18"/>
          <w:vertAlign w:val="baseline"/>
          <w:rtl/>
          <w:lang w:bidi="ar-JO"/>
        </w:rPr>
        <w:t>، جامعة بن غوريون في النقب</w:t>
      </w:r>
    </w:p>
  </w:footnote>
  <w:footnote w:id="3">
    <w:p w14:paraId="5A1DC38A"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lang w:bidi="ar-JO"/>
        </w:rPr>
        <w:t xml:space="preserve"> </w:t>
      </w:r>
      <w:r w:rsidRPr="007A33EA">
        <w:rPr>
          <w:rStyle w:val="FootnoteReference"/>
          <w:rFonts w:asciiTheme="majorBidi" w:hAnsiTheme="majorBidi" w:cstheme="majorBidi"/>
          <w:sz w:val="18"/>
          <w:szCs w:val="18"/>
          <w:vertAlign w:val="baseline"/>
          <w:rtl/>
          <w:lang w:bidi="ar-JO"/>
        </w:rPr>
        <w:tab/>
        <w:t xml:space="preserve">معهد الحقوق والأعمال الخيرية، كلية الحقوق على اسم </w:t>
      </w:r>
      <w:proofErr w:type="spellStart"/>
      <w:r w:rsidRPr="007A33EA">
        <w:rPr>
          <w:rStyle w:val="FootnoteReference"/>
          <w:rFonts w:asciiTheme="majorBidi" w:hAnsiTheme="majorBidi" w:cstheme="majorBidi"/>
          <w:sz w:val="18"/>
          <w:szCs w:val="18"/>
          <w:vertAlign w:val="baseline"/>
          <w:rtl/>
          <w:lang w:bidi="ar-JO"/>
        </w:rPr>
        <w:t>بوخمان</w:t>
      </w:r>
      <w:proofErr w:type="spellEnd"/>
      <w:r w:rsidRPr="007A33EA">
        <w:rPr>
          <w:rStyle w:val="FootnoteReference"/>
          <w:rFonts w:asciiTheme="majorBidi" w:hAnsiTheme="majorBidi" w:cstheme="majorBidi"/>
          <w:sz w:val="18"/>
          <w:szCs w:val="18"/>
          <w:vertAlign w:val="baseline"/>
          <w:rtl/>
          <w:lang w:bidi="ar-JO"/>
        </w:rPr>
        <w:t>، جامعة تل أبيب</w:t>
      </w:r>
    </w:p>
  </w:footnote>
  <w:footnote w:id="4">
    <w:p w14:paraId="116BEEE1"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lang w:bidi="ar-JO"/>
        </w:rPr>
        <w:t xml:space="preserve"> </w:t>
      </w:r>
      <w:r w:rsidRPr="007A33EA">
        <w:rPr>
          <w:rStyle w:val="FootnoteReference"/>
          <w:rFonts w:asciiTheme="majorBidi" w:hAnsiTheme="majorBidi" w:cstheme="majorBidi"/>
          <w:sz w:val="18"/>
          <w:szCs w:val="18"/>
          <w:vertAlign w:val="baseline"/>
          <w:rtl/>
          <w:lang w:bidi="ar-JO"/>
        </w:rPr>
        <w:tab/>
        <w:t xml:space="preserve">مدرسة العمل الاجتماعي، الكلية الأكاديمية </w:t>
      </w:r>
      <w:proofErr w:type="spellStart"/>
      <w:r w:rsidRPr="007A33EA">
        <w:rPr>
          <w:rStyle w:val="FootnoteReference"/>
          <w:rFonts w:asciiTheme="majorBidi" w:hAnsiTheme="majorBidi" w:cstheme="majorBidi"/>
          <w:sz w:val="18"/>
          <w:szCs w:val="18"/>
          <w:vertAlign w:val="baseline"/>
          <w:rtl/>
          <w:lang w:bidi="ar-JO"/>
        </w:rPr>
        <w:t>سابير</w:t>
      </w:r>
      <w:proofErr w:type="spellEnd"/>
      <w:r w:rsidRPr="007A33EA">
        <w:rPr>
          <w:rStyle w:val="FootnoteReference"/>
          <w:rFonts w:asciiTheme="majorBidi" w:hAnsiTheme="majorBidi" w:cstheme="majorBidi"/>
          <w:sz w:val="18"/>
          <w:szCs w:val="18"/>
          <w:vertAlign w:val="baseline"/>
          <w:rtl/>
          <w:lang w:bidi="ar-JO"/>
        </w:rPr>
        <w:t xml:space="preserve"> </w:t>
      </w:r>
    </w:p>
  </w:footnote>
  <w:footnote w:id="5">
    <w:p w14:paraId="01BDDE9F"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lang w:bidi="ar-JO"/>
        </w:rPr>
        <w:t xml:space="preserve"> </w:t>
      </w:r>
      <w:r w:rsidRPr="007A33EA">
        <w:rPr>
          <w:rStyle w:val="FootnoteReference"/>
          <w:rFonts w:asciiTheme="majorBidi" w:hAnsiTheme="majorBidi" w:cstheme="majorBidi"/>
          <w:sz w:val="18"/>
          <w:szCs w:val="18"/>
          <w:vertAlign w:val="baseline"/>
          <w:rtl/>
          <w:lang w:bidi="ar-JO"/>
        </w:rPr>
        <w:tab/>
        <w:t xml:space="preserve">معهد الحقوق والأعمال الخيرية، كلية الحقوق على اسم </w:t>
      </w:r>
      <w:proofErr w:type="spellStart"/>
      <w:r w:rsidRPr="007A33EA">
        <w:rPr>
          <w:rStyle w:val="FootnoteReference"/>
          <w:rFonts w:asciiTheme="majorBidi" w:hAnsiTheme="majorBidi" w:cstheme="majorBidi"/>
          <w:sz w:val="18"/>
          <w:szCs w:val="18"/>
          <w:vertAlign w:val="baseline"/>
          <w:rtl/>
          <w:lang w:bidi="ar-JO"/>
        </w:rPr>
        <w:t>بوخمان</w:t>
      </w:r>
      <w:proofErr w:type="spellEnd"/>
      <w:r w:rsidRPr="007A33EA">
        <w:rPr>
          <w:rStyle w:val="FootnoteReference"/>
          <w:rFonts w:asciiTheme="majorBidi" w:hAnsiTheme="majorBidi" w:cstheme="majorBidi"/>
          <w:sz w:val="18"/>
          <w:szCs w:val="18"/>
          <w:vertAlign w:val="baseline"/>
          <w:rtl/>
          <w:lang w:bidi="ar-JO"/>
        </w:rPr>
        <w:t>، جامعة تل أبيب</w:t>
      </w:r>
    </w:p>
  </w:footnote>
  <w:footnote w:id="6">
    <w:p w14:paraId="019F8F18"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lang w:bidi="ar-JO"/>
        </w:rPr>
        <w:t xml:space="preserve"> </w:t>
      </w:r>
      <w:r w:rsidRPr="007A33EA">
        <w:rPr>
          <w:rStyle w:val="FootnoteReference"/>
          <w:rFonts w:asciiTheme="majorBidi" w:hAnsiTheme="majorBidi" w:cstheme="majorBidi"/>
          <w:sz w:val="18"/>
          <w:szCs w:val="18"/>
          <w:vertAlign w:val="baseline"/>
          <w:rtl/>
          <w:lang w:bidi="ar-JO"/>
        </w:rPr>
        <w:tab/>
        <w:t xml:space="preserve">مدرسة العمل الاجتماعي على اسم لويس وجابي </w:t>
      </w:r>
      <w:proofErr w:type="spellStart"/>
      <w:r w:rsidRPr="007A33EA">
        <w:rPr>
          <w:rStyle w:val="FootnoteReference"/>
          <w:rFonts w:asciiTheme="majorBidi" w:hAnsiTheme="majorBidi" w:cstheme="majorBidi"/>
          <w:sz w:val="18"/>
          <w:szCs w:val="18"/>
          <w:vertAlign w:val="baseline"/>
          <w:rtl/>
          <w:lang w:bidi="ar-JO"/>
        </w:rPr>
        <w:t>وايسفيلد</w:t>
      </w:r>
      <w:proofErr w:type="spellEnd"/>
      <w:r w:rsidRPr="007A33EA">
        <w:rPr>
          <w:rStyle w:val="FootnoteReference"/>
          <w:rFonts w:asciiTheme="majorBidi" w:hAnsiTheme="majorBidi" w:cstheme="majorBidi"/>
          <w:sz w:val="18"/>
          <w:szCs w:val="18"/>
          <w:vertAlign w:val="baseline"/>
          <w:rtl/>
          <w:lang w:bidi="ar-JO"/>
        </w:rPr>
        <w:t>، جامعة بار إيلان</w:t>
      </w:r>
    </w:p>
  </w:footnote>
  <w:footnote w:id="7">
    <w:p w14:paraId="548F4031"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lang w:bidi="ar-JO"/>
        </w:rPr>
        <w:t xml:space="preserve"> </w:t>
      </w:r>
      <w:r w:rsidRPr="007A33EA">
        <w:rPr>
          <w:rStyle w:val="FootnoteReference"/>
          <w:rFonts w:asciiTheme="majorBidi" w:hAnsiTheme="majorBidi" w:cstheme="majorBidi"/>
          <w:sz w:val="18"/>
          <w:szCs w:val="18"/>
          <w:vertAlign w:val="baseline"/>
          <w:rtl/>
          <w:lang w:bidi="ar-JO"/>
        </w:rPr>
        <w:tab/>
        <w:t>مدرسة العمل الاجتماعي، المركز الأكاديمي روبين</w:t>
      </w:r>
    </w:p>
  </w:footnote>
  <w:footnote w:id="8">
    <w:p w14:paraId="772A901F"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Pr>
        <w:t xml:space="preserve"> </w:t>
      </w:r>
      <w:r w:rsidRPr="007A33EA">
        <w:rPr>
          <w:rStyle w:val="FootnoteReference"/>
          <w:rFonts w:asciiTheme="majorBidi" w:hAnsiTheme="majorBidi" w:cstheme="majorBidi"/>
          <w:sz w:val="18"/>
          <w:szCs w:val="18"/>
          <w:vertAlign w:val="baseline"/>
        </w:rPr>
        <w:tab/>
      </w:r>
      <w:proofErr w:type="spellStart"/>
      <w:r w:rsidRPr="007A33EA">
        <w:rPr>
          <w:rStyle w:val="FootnoteReference"/>
          <w:rFonts w:asciiTheme="majorBidi" w:hAnsiTheme="majorBidi" w:cstheme="majorBidi"/>
          <w:sz w:val="18"/>
          <w:szCs w:val="18"/>
          <w:vertAlign w:val="baseline"/>
          <w:rtl/>
        </w:rPr>
        <w:t>مدرسة</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العمل</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الاجتماعي</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والرفاه</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الاجتماعي</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الجامعة</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العبرية</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في</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القدس</w:t>
      </w:r>
      <w:proofErr w:type="spellEnd"/>
    </w:p>
  </w:footnote>
  <w:footnote w:id="9">
    <w:p w14:paraId="6D64988A" w14:textId="77777777" w:rsidR="007A33EA" w:rsidRPr="007A33EA" w:rsidRDefault="007A33EA" w:rsidP="007A33EA">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7A33EA">
        <w:rPr>
          <w:rStyle w:val="FootnoteReference"/>
          <w:rFonts w:asciiTheme="majorBidi" w:hAnsiTheme="majorBidi" w:cstheme="majorBidi"/>
          <w:sz w:val="18"/>
          <w:szCs w:val="18"/>
          <w:vertAlign w:val="baseline"/>
        </w:rPr>
        <w:footnoteRef/>
      </w:r>
      <w:r w:rsidRPr="007A33EA">
        <w:rPr>
          <w:rStyle w:val="FootnoteReference"/>
          <w:rFonts w:asciiTheme="majorBidi" w:hAnsiTheme="majorBidi" w:cstheme="majorBidi"/>
          <w:sz w:val="18"/>
          <w:szCs w:val="18"/>
          <w:vertAlign w:val="baseline"/>
          <w:rtl/>
        </w:rPr>
        <w:t xml:space="preserve"> </w:t>
      </w:r>
      <w:r w:rsidRPr="007A33EA">
        <w:rPr>
          <w:rStyle w:val="FootnoteReference"/>
          <w:rFonts w:asciiTheme="majorBidi" w:hAnsiTheme="majorBidi" w:cstheme="majorBidi"/>
          <w:sz w:val="18"/>
          <w:szCs w:val="18"/>
          <w:vertAlign w:val="baseline"/>
        </w:rPr>
        <w:tab/>
      </w:r>
      <w:proofErr w:type="spellStart"/>
      <w:r w:rsidRPr="007A33EA">
        <w:rPr>
          <w:rStyle w:val="FootnoteReference"/>
          <w:rFonts w:asciiTheme="majorBidi" w:hAnsiTheme="majorBidi" w:cstheme="majorBidi"/>
          <w:sz w:val="18"/>
          <w:szCs w:val="18"/>
          <w:vertAlign w:val="baseline"/>
          <w:rtl/>
        </w:rPr>
        <w:t>قسم</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العمل</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الاجتماعي</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جامعة</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بار</w:t>
      </w:r>
      <w:proofErr w:type="spellEnd"/>
      <w:r w:rsidRPr="007A33EA">
        <w:rPr>
          <w:rStyle w:val="FootnoteReference"/>
          <w:rFonts w:asciiTheme="majorBidi" w:hAnsiTheme="majorBidi" w:cstheme="majorBidi"/>
          <w:sz w:val="18"/>
          <w:szCs w:val="18"/>
          <w:vertAlign w:val="baseline"/>
          <w:rtl/>
        </w:rPr>
        <w:t xml:space="preserve"> </w:t>
      </w:r>
      <w:proofErr w:type="spellStart"/>
      <w:r w:rsidRPr="007A33EA">
        <w:rPr>
          <w:rStyle w:val="FootnoteReference"/>
          <w:rFonts w:asciiTheme="majorBidi" w:hAnsiTheme="majorBidi" w:cstheme="majorBidi"/>
          <w:sz w:val="18"/>
          <w:szCs w:val="18"/>
          <w:vertAlign w:val="baseline"/>
          <w:rtl/>
        </w:rPr>
        <w:t>إيلان</w:t>
      </w:r>
      <w:proofErr w:type="spellEnd"/>
      <w:r w:rsidRPr="007A33EA">
        <w:rPr>
          <w:rStyle w:val="FootnoteReference"/>
          <w:rFonts w:asciiTheme="majorBidi" w:hAnsiTheme="majorBidi" w:cstheme="majorBidi"/>
          <w:sz w:val="18"/>
          <w:szCs w:val="18"/>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2E7" w14:textId="71F7A9B0"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00B60CD2">
      <w:rPr>
        <w:rFonts w:ascii="Arial" w:hAnsi="Arial" w:cs="Arial" w:hint="cs"/>
        <w:b w:val="0"/>
        <w:bCs w:val="0"/>
        <w:noProof/>
        <w:sz w:val="16"/>
        <w:szCs w:val="16"/>
        <w:rtl/>
        <w:lang w:bidi="ar-SA"/>
      </w:rPr>
      <w:t xml:space="preserve">المجلة </w:t>
    </w:r>
    <w:r w:rsidR="00B60CD2" w:rsidRPr="005C2354">
      <w:rPr>
        <w:rFonts w:ascii="Arial" w:hAnsi="Arial" w:cs="Arial" w:hint="cs"/>
        <w:b w:val="0"/>
        <w:bCs w:val="0"/>
        <w:noProof/>
        <w:sz w:val="16"/>
        <w:szCs w:val="16"/>
        <w:rtl/>
        <w:lang w:bidi="ar-SA"/>
      </w:rPr>
      <w:t>الإسرائيلية</w:t>
    </w:r>
    <w:r w:rsidRPr="008E30ED">
      <w:rPr>
        <w:rFonts w:ascii="Arial" w:hAnsi="Arial" w:cs="Arial" w:hint="cs"/>
        <w:b w:val="0"/>
        <w:bCs w:val="0"/>
        <w:noProof/>
        <w:sz w:val="16"/>
        <w:szCs w:val="16"/>
        <w:rtl/>
        <w:lang w:bidi="ar-SA"/>
      </w:rPr>
      <w:t xml:space="preserve">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3387">
    <w:abstractNumId w:val="9"/>
  </w:num>
  <w:num w:numId="2" w16cid:durableId="866406637">
    <w:abstractNumId w:val="11"/>
  </w:num>
  <w:num w:numId="3" w16cid:durableId="294717746">
    <w:abstractNumId w:val="20"/>
  </w:num>
  <w:num w:numId="4" w16cid:durableId="422798394">
    <w:abstractNumId w:val="15"/>
  </w:num>
  <w:num w:numId="5" w16cid:durableId="1278875080">
    <w:abstractNumId w:val="5"/>
  </w:num>
  <w:num w:numId="6" w16cid:durableId="2107114605">
    <w:abstractNumId w:val="14"/>
  </w:num>
  <w:num w:numId="7" w16cid:durableId="1575776571">
    <w:abstractNumId w:val="10"/>
  </w:num>
  <w:num w:numId="8" w16cid:durableId="761487246">
    <w:abstractNumId w:val="0"/>
  </w:num>
  <w:num w:numId="9" w16cid:durableId="1064454790">
    <w:abstractNumId w:val="4"/>
  </w:num>
  <w:num w:numId="10" w16cid:durableId="1738475428">
    <w:abstractNumId w:val="19"/>
  </w:num>
  <w:num w:numId="11" w16cid:durableId="1406879152">
    <w:abstractNumId w:val="16"/>
  </w:num>
  <w:num w:numId="12" w16cid:durableId="1482426755">
    <w:abstractNumId w:val="12"/>
  </w:num>
  <w:num w:numId="13" w16cid:durableId="1489901918">
    <w:abstractNumId w:val="8"/>
  </w:num>
  <w:num w:numId="14" w16cid:durableId="1268586482">
    <w:abstractNumId w:val="3"/>
  </w:num>
  <w:num w:numId="15" w16cid:durableId="1011377892">
    <w:abstractNumId w:val="7"/>
  </w:num>
  <w:num w:numId="16" w16cid:durableId="340425956">
    <w:abstractNumId w:val="2"/>
  </w:num>
  <w:num w:numId="17" w16cid:durableId="1456604673">
    <w:abstractNumId w:val="21"/>
  </w:num>
  <w:num w:numId="18" w16cid:durableId="315842279">
    <w:abstractNumId w:val="13"/>
  </w:num>
  <w:num w:numId="19" w16cid:durableId="1498110519">
    <w:abstractNumId w:val="6"/>
  </w:num>
  <w:num w:numId="20" w16cid:durableId="1206454075">
    <w:abstractNumId w:val="1"/>
  </w:num>
  <w:num w:numId="21" w16cid:durableId="1107430461">
    <w:abstractNumId w:val="17"/>
  </w:num>
  <w:num w:numId="22" w16cid:durableId="2071614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activeWritingStyle w:appName="MSWord" w:lang="en-US" w:vendorID="64" w:dllVersion="0" w:nlCheck="1" w:checkStyle="0"/>
  <w:activeWritingStyle w:appName="MSWord" w:lang="ar-JO" w:vendorID="64" w:dllVersion="0" w:nlCheck="1" w:checkStyle="0"/>
  <w:activeWritingStyle w:appName="MSWord" w:lang="ar-EG"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B4214"/>
    <w:rsid w:val="000C4297"/>
    <w:rsid w:val="000E63C9"/>
    <w:rsid w:val="000F3340"/>
    <w:rsid w:val="000F4031"/>
    <w:rsid w:val="00106BE2"/>
    <w:rsid w:val="0011109D"/>
    <w:rsid w:val="00131AEA"/>
    <w:rsid w:val="001563C2"/>
    <w:rsid w:val="0016207A"/>
    <w:rsid w:val="001676A4"/>
    <w:rsid w:val="00170D0A"/>
    <w:rsid w:val="001809E8"/>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4230"/>
    <w:rsid w:val="0023557F"/>
    <w:rsid w:val="00244608"/>
    <w:rsid w:val="00245A5A"/>
    <w:rsid w:val="00245EF2"/>
    <w:rsid w:val="00247496"/>
    <w:rsid w:val="002474CD"/>
    <w:rsid w:val="002554EE"/>
    <w:rsid w:val="00263E6E"/>
    <w:rsid w:val="00264557"/>
    <w:rsid w:val="00266EE4"/>
    <w:rsid w:val="00267034"/>
    <w:rsid w:val="002745A5"/>
    <w:rsid w:val="00281029"/>
    <w:rsid w:val="00287C95"/>
    <w:rsid w:val="00291AD3"/>
    <w:rsid w:val="002A6814"/>
    <w:rsid w:val="002B41DD"/>
    <w:rsid w:val="002C7791"/>
    <w:rsid w:val="002D340E"/>
    <w:rsid w:val="002F2A24"/>
    <w:rsid w:val="002F34B7"/>
    <w:rsid w:val="00305E03"/>
    <w:rsid w:val="003114EA"/>
    <w:rsid w:val="0031326F"/>
    <w:rsid w:val="003132BD"/>
    <w:rsid w:val="003146FE"/>
    <w:rsid w:val="00316220"/>
    <w:rsid w:val="00325C2C"/>
    <w:rsid w:val="00344DED"/>
    <w:rsid w:val="00347FF0"/>
    <w:rsid w:val="00354E7E"/>
    <w:rsid w:val="00362C74"/>
    <w:rsid w:val="0036394C"/>
    <w:rsid w:val="0037275D"/>
    <w:rsid w:val="003733C1"/>
    <w:rsid w:val="00392907"/>
    <w:rsid w:val="00397FEC"/>
    <w:rsid w:val="003A3E89"/>
    <w:rsid w:val="003A5C30"/>
    <w:rsid w:val="003B6420"/>
    <w:rsid w:val="003E1638"/>
    <w:rsid w:val="003E579C"/>
    <w:rsid w:val="003E62C8"/>
    <w:rsid w:val="0040418B"/>
    <w:rsid w:val="00420B39"/>
    <w:rsid w:val="00424263"/>
    <w:rsid w:val="00424AA5"/>
    <w:rsid w:val="00434C68"/>
    <w:rsid w:val="00442D53"/>
    <w:rsid w:val="00452425"/>
    <w:rsid w:val="004536EE"/>
    <w:rsid w:val="00465771"/>
    <w:rsid w:val="00476452"/>
    <w:rsid w:val="004772F9"/>
    <w:rsid w:val="0048178C"/>
    <w:rsid w:val="004820DD"/>
    <w:rsid w:val="004836B9"/>
    <w:rsid w:val="004A58FC"/>
    <w:rsid w:val="004B0775"/>
    <w:rsid w:val="004D6276"/>
    <w:rsid w:val="004E2EB8"/>
    <w:rsid w:val="004E56DD"/>
    <w:rsid w:val="004E58D1"/>
    <w:rsid w:val="004F1720"/>
    <w:rsid w:val="00514EE8"/>
    <w:rsid w:val="00516131"/>
    <w:rsid w:val="00527F9F"/>
    <w:rsid w:val="00546B60"/>
    <w:rsid w:val="0056011A"/>
    <w:rsid w:val="00575CF0"/>
    <w:rsid w:val="00581A7C"/>
    <w:rsid w:val="0058215C"/>
    <w:rsid w:val="0058504A"/>
    <w:rsid w:val="00585187"/>
    <w:rsid w:val="0058534B"/>
    <w:rsid w:val="005906E2"/>
    <w:rsid w:val="00594FE1"/>
    <w:rsid w:val="0059743F"/>
    <w:rsid w:val="005B0464"/>
    <w:rsid w:val="005B34B1"/>
    <w:rsid w:val="005C14F6"/>
    <w:rsid w:val="005C1617"/>
    <w:rsid w:val="005C2354"/>
    <w:rsid w:val="005D521C"/>
    <w:rsid w:val="005E5DF4"/>
    <w:rsid w:val="005E72AB"/>
    <w:rsid w:val="005F715B"/>
    <w:rsid w:val="00603C5C"/>
    <w:rsid w:val="00605F71"/>
    <w:rsid w:val="00606FDD"/>
    <w:rsid w:val="006123A7"/>
    <w:rsid w:val="006166E9"/>
    <w:rsid w:val="006238F4"/>
    <w:rsid w:val="006400BC"/>
    <w:rsid w:val="006523F3"/>
    <w:rsid w:val="00675EF8"/>
    <w:rsid w:val="006904F0"/>
    <w:rsid w:val="00693E43"/>
    <w:rsid w:val="00696830"/>
    <w:rsid w:val="00697105"/>
    <w:rsid w:val="00697383"/>
    <w:rsid w:val="006A4F5F"/>
    <w:rsid w:val="006B3B00"/>
    <w:rsid w:val="006B754D"/>
    <w:rsid w:val="006F77E3"/>
    <w:rsid w:val="00700FFB"/>
    <w:rsid w:val="007027F4"/>
    <w:rsid w:val="0071112D"/>
    <w:rsid w:val="0071356C"/>
    <w:rsid w:val="0072157D"/>
    <w:rsid w:val="00733E07"/>
    <w:rsid w:val="00740D34"/>
    <w:rsid w:val="0076247A"/>
    <w:rsid w:val="00766B9E"/>
    <w:rsid w:val="00773C54"/>
    <w:rsid w:val="00785169"/>
    <w:rsid w:val="00787295"/>
    <w:rsid w:val="00790E74"/>
    <w:rsid w:val="00795185"/>
    <w:rsid w:val="007A1281"/>
    <w:rsid w:val="007A258D"/>
    <w:rsid w:val="007A33EA"/>
    <w:rsid w:val="007A7450"/>
    <w:rsid w:val="007C4C3D"/>
    <w:rsid w:val="007C5F6F"/>
    <w:rsid w:val="007D33D3"/>
    <w:rsid w:val="007D7485"/>
    <w:rsid w:val="007E669B"/>
    <w:rsid w:val="00832C98"/>
    <w:rsid w:val="00835079"/>
    <w:rsid w:val="0085402B"/>
    <w:rsid w:val="00855D96"/>
    <w:rsid w:val="00856C08"/>
    <w:rsid w:val="00865AD0"/>
    <w:rsid w:val="008665A0"/>
    <w:rsid w:val="0086721C"/>
    <w:rsid w:val="008916AA"/>
    <w:rsid w:val="00895889"/>
    <w:rsid w:val="008A06E9"/>
    <w:rsid w:val="008B4530"/>
    <w:rsid w:val="008B7266"/>
    <w:rsid w:val="008C2742"/>
    <w:rsid w:val="008D5470"/>
    <w:rsid w:val="008E30ED"/>
    <w:rsid w:val="008E38F5"/>
    <w:rsid w:val="008F071A"/>
    <w:rsid w:val="008F360C"/>
    <w:rsid w:val="008F3B20"/>
    <w:rsid w:val="00901B8C"/>
    <w:rsid w:val="009242DE"/>
    <w:rsid w:val="0092720F"/>
    <w:rsid w:val="00930825"/>
    <w:rsid w:val="0093092C"/>
    <w:rsid w:val="0093405A"/>
    <w:rsid w:val="009354DB"/>
    <w:rsid w:val="0093580E"/>
    <w:rsid w:val="009376F3"/>
    <w:rsid w:val="00957577"/>
    <w:rsid w:val="00962DE7"/>
    <w:rsid w:val="0097550E"/>
    <w:rsid w:val="00983255"/>
    <w:rsid w:val="0099526A"/>
    <w:rsid w:val="009A3B04"/>
    <w:rsid w:val="009B122B"/>
    <w:rsid w:val="009C3F07"/>
    <w:rsid w:val="009D439D"/>
    <w:rsid w:val="009F4569"/>
    <w:rsid w:val="00A1523D"/>
    <w:rsid w:val="00A25916"/>
    <w:rsid w:val="00A40335"/>
    <w:rsid w:val="00A60EB9"/>
    <w:rsid w:val="00A756DB"/>
    <w:rsid w:val="00A8123A"/>
    <w:rsid w:val="00A8157E"/>
    <w:rsid w:val="00A94454"/>
    <w:rsid w:val="00A94754"/>
    <w:rsid w:val="00A94FEB"/>
    <w:rsid w:val="00AA230A"/>
    <w:rsid w:val="00AB018A"/>
    <w:rsid w:val="00AB5B0F"/>
    <w:rsid w:val="00AB6A1F"/>
    <w:rsid w:val="00AC3E38"/>
    <w:rsid w:val="00AC4242"/>
    <w:rsid w:val="00AC68D5"/>
    <w:rsid w:val="00AC7DC2"/>
    <w:rsid w:val="00AE2B61"/>
    <w:rsid w:val="00B06DCC"/>
    <w:rsid w:val="00B137F8"/>
    <w:rsid w:val="00B15506"/>
    <w:rsid w:val="00B16A4D"/>
    <w:rsid w:val="00B21FF5"/>
    <w:rsid w:val="00B239C9"/>
    <w:rsid w:val="00B30C5F"/>
    <w:rsid w:val="00B3422D"/>
    <w:rsid w:val="00B45FC1"/>
    <w:rsid w:val="00B6001E"/>
    <w:rsid w:val="00B60CD2"/>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0B4A"/>
    <w:rsid w:val="00C35942"/>
    <w:rsid w:val="00C41D39"/>
    <w:rsid w:val="00C4495D"/>
    <w:rsid w:val="00C44B71"/>
    <w:rsid w:val="00C616F1"/>
    <w:rsid w:val="00C64ABA"/>
    <w:rsid w:val="00C769CB"/>
    <w:rsid w:val="00CA4B54"/>
    <w:rsid w:val="00CB5854"/>
    <w:rsid w:val="00CB5C79"/>
    <w:rsid w:val="00CB73F6"/>
    <w:rsid w:val="00CC2ADF"/>
    <w:rsid w:val="00CC2F70"/>
    <w:rsid w:val="00CC4F21"/>
    <w:rsid w:val="00CF5FA8"/>
    <w:rsid w:val="00D04A7C"/>
    <w:rsid w:val="00D05FC9"/>
    <w:rsid w:val="00D10B38"/>
    <w:rsid w:val="00D12807"/>
    <w:rsid w:val="00D14698"/>
    <w:rsid w:val="00D165A4"/>
    <w:rsid w:val="00D167FF"/>
    <w:rsid w:val="00D2001A"/>
    <w:rsid w:val="00D3593E"/>
    <w:rsid w:val="00D46DE4"/>
    <w:rsid w:val="00D51B9C"/>
    <w:rsid w:val="00D716FA"/>
    <w:rsid w:val="00D9034C"/>
    <w:rsid w:val="00D9242E"/>
    <w:rsid w:val="00D96C2F"/>
    <w:rsid w:val="00DA25D7"/>
    <w:rsid w:val="00DA303B"/>
    <w:rsid w:val="00DA58F7"/>
    <w:rsid w:val="00DD7C23"/>
    <w:rsid w:val="00DE2AEA"/>
    <w:rsid w:val="00DE2D78"/>
    <w:rsid w:val="00DE6B20"/>
    <w:rsid w:val="00DF5EE0"/>
    <w:rsid w:val="00DF71D4"/>
    <w:rsid w:val="00E00A9C"/>
    <w:rsid w:val="00E026F5"/>
    <w:rsid w:val="00E07F90"/>
    <w:rsid w:val="00E11F38"/>
    <w:rsid w:val="00E135F9"/>
    <w:rsid w:val="00E208B0"/>
    <w:rsid w:val="00E47104"/>
    <w:rsid w:val="00E47E73"/>
    <w:rsid w:val="00E6638A"/>
    <w:rsid w:val="00E66B4D"/>
    <w:rsid w:val="00E716D4"/>
    <w:rsid w:val="00E738B2"/>
    <w:rsid w:val="00E76495"/>
    <w:rsid w:val="00E920B6"/>
    <w:rsid w:val="00ED3765"/>
    <w:rsid w:val="00ED5388"/>
    <w:rsid w:val="00ED57E4"/>
    <w:rsid w:val="00EE0D9A"/>
    <w:rsid w:val="00EE36D0"/>
    <w:rsid w:val="00EE689B"/>
    <w:rsid w:val="00EF2336"/>
    <w:rsid w:val="00EF68E4"/>
    <w:rsid w:val="00F00811"/>
    <w:rsid w:val="00F10FB9"/>
    <w:rsid w:val="00F11CB9"/>
    <w:rsid w:val="00F17414"/>
    <w:rsid w:val="00F25B48"/>
    <w:rsid w:val="00F30700"/>
    <w:rsid w:val="00F341C7"/>
    <w:rsid w:val="00F42492"/>
    <w:rsid w:val="00F601B1"/>
    <w:rsid w:val="00F7315A"/>
    <w:rsid w:val="00F76879"/>
    <w:rsid w:val="00F76DA1"/>
    <w:rsid w:val="00F8004A"/>
    <w:rsid w:val="00F821B5"/>
    <w:rsid w:val="00F935A5"/>
    <w:rsid w:val="00F97C58"/>
    <w:rsid w:val="00FA5BB9"/>
    <w:rsid w:val="00FB0781"/>
    <w:rsid w:val="00FC0089"/>
    <w:rsid w:val="00FE117D"/>
    <w:rsid w:val="00FE327D"/>
    <w:rsid w:val="00FE3CB2"/>
    <w:rsid w:val="00FF2718"/>
    <w:rsid w:val="00FF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C997C2-2B8D-45DC-A20C-4A10FC1A1E32}"/>
</file>

<file path=customXml/itemProps2.xml><?xml version="1.0" encoding="utf-8"?>
<ds:datastoreItem xmlns:ds="http://schemas.openxmlformats.org/officeDocument/2006/customXml" ds:itemID="{C3AFBD74-AF87-4C21-B29A-4A26F981D4D0}"/>
</file>

<file path=customXml/itemProps3.xml><?xml version="1.0" encoding="utf-8"?>
<ds:datastoreItem xmlns:ds="http://schemas.openxmlformats.org/officeDocument/2006/customXml" ds:itemID="{104BA394-8904-4D2C-A995-0A288D58825F}"/>
</file>

<file path=docProps/app.xml><?xml version="1.0" encoding="utf-8"?>
<Properties xmlns="http://schemas.openxmlformats.org/officeDocument/2006/extended-properties" xmlns:vt="http://schemas.openxmlformats.org/officeDocument/2006/docPropsVTypes">
  <Template>Normal.dotm</Template>
  <TotalTime>113</TotalTime>
  <Pages>9</Pages>
  <Words>1144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المجلة الاسرائيليه للضمان الاجتماعي</vt:lpstr>
      <vt:lpstr>المجلة الاسرائيليه للضمان الاجتماعي</vt:lpstr>
    </vt:vector>
  </TitlesOfParts>
  <Company>Onit Computer Services Ltd</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Mordechai Frankel</cp:lastModifiedBy>
  <cp:revision>527</cp:revision>
  <cp:lastPrinted>2023-09-19T11:50:00Z</cp:lastPrinted>
  <dcterms:created xsi:type="dcterms:W3CDTF">2023-11-30T06:23:00Z</dcterms:created>
  <dcterms:modified xsi:type="dcterms:W3CDTF">2024-03-04T15:40:00Z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0x0101006427F88457688944BA6787315C6BF79A</vt:lpwstr>
  </property>
  <property fmtid="{D5CDD505-2E9C-101B-9397-08002B2CF9AE}" pid="4" name="Order">
    <vt:r8>1300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