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9928" w14:textId="72C0076F" w:rsidR="00F079B8" w:rsidRPr="00DE0BCC" w:rsidRDefault="00F079B8" w:rsidP="00F079B8">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DE0BCC">
        <w:rPr>
          <w:rFonts w:ascii="Tahoma" w:hAnsi="Tahoma" w:cs="Guttman Aharoni"/>
          <w:b/>
          <w:bCs/>
          <w:color w:val="2A8E8C"/>
          <w:sz w:val="36"/>
          <w:szCs w:val="36"/>
          <w:rtl/>
        </w:rPr>
        <w:t>דבר העורך</w:t>
      </w:r>
    </w:p>
    <w:p w14:paraId="2FCC9526" w14:textId="77777777" w:rsidR="00D9620B" w:rsidRPr="00D9620B" w:rsidRDefault="00D9620B" w:rsidP="00D9620B">
      <w:pPr>
        <w:spacing w:after="180" w:line="270" w:lineRule="exact"/>
        <w:jc w:val="both"/>
        <w:rPr>
          <w:rFonts w:ascii="Georgia" w:hAnsi="Georgia"/>
          <w:sz w:val="18"/>
          <w:szCs w:val="20"/>
          <w:rtl/>
        </w:rPr>
      </w:pPr>
      <w:bookmarkStart w:id="0" w:name="_Hlk80601647"/>
      <w:r w:rsidRPr="00D9620B">
        <w:rPr>
          <w:rFonts w:ascii="Georgia" w:hAnsi="Georgia" w:hint="cs"/>
          <w:sz w:val="18"/>
          <w:szCs w:val="20"/>
          <w:rtl/>
        </w:rPr>
        <w:t>אפתח בדברי תפילה:</w:t>
      </w:r>
      <w:r w:rsidRPr="00D9620B">
        <w:rPr>
          <w:rFonts w:ascii="Georgia" w:hAnsi="Georgia"/>
          <w:sz w:val="18"/>
          <w:szCs w:val="20"/>
        </w:rPr>
        <w:t xml:space="preserve"> </w:t>
      </w:r>
      <w:r w:rsidRPr="00D9620B">
        <w:rPr>
          <w:rFonts w:ascii="Georgia" w:hAnsi="Georgia" w:hint="cs"/>
          <w:sz w:val="18"/>
          <w:szCs w:val="20"/>
          <w:rtl/>
        </w:rPr>
        <w:t>לחזרתם בשלום של השבויים</w:t>
      </w:r>
      <w:r w:rsidRPr="00D9620B">
        <w:rPr>
          <w:rFonts w:ascii="Georgia" w:hAnsi="Georgia" w:hint="cs"/>
          <w:sz w:val="18"/>
          <w:szCs w:val="20"/>
          <w:rtl/>
          <w:lang w:bidi="he"/>
        </w:rPr>
        <w:t xml:space="preserve">, </w:t>
      </w:r>
      <w:r w:rsidRPr="00D9620B">
        <w:rPr>
          <w:rFonts w:ascii="Georgia" w:hAnsi="Georgia" w:hint="cs"/>
          <w:sz w:val="18"/>
          <w:szCs w:val="20"/>
          <w:rtl/>
        </w:rPr>
        <w:t>להחלמתם המהירה של כל הפצועים</w:t>
      </w:r>
      <w:r w:rsidRPr="00D9620B">
        <w:rPr>
          <w:rFonts w:ascii="Georgia" w:hAnsi="Georgia" w:hint="cs"/>
          <w:sz w:val="18"/>
          <w:szCs w:val="20"/>
          <w:rtl/>
          <w:lang w:bidi="he"/>
        </w:rPr>
        <w:t xml:space="preserve">, </w:t>
      </w:r>
      <w:r w:rsidRPr="00D9620B">
        <w:rPr>
          <w:rFonts w:ascii="Georgia" w:hAnsi="Georgia" w:hint="cs"/>
          <w:sz w:val="18"/>
          <w:szCs w:val="20"/>
          <w:rtl/>
        </w:rPr>
        <w:t>לשלמותם של כל אנשי כוחות הביטחון</w:t>
      </w:r>
      <w:r w:rsidRPr="00D9620B">
        <w:rPr>
          <w:rFonts w:ascii="Georgia" w:hAnsi="Georgia" w:hint="cs"/>
          <w:sz w:val="18"/>
          <w:szCs w:val="20"/>
          <w:rtl/>
          <w:lang w:bidi="he"/>
        </w:rPr>
        <w:t xml:space="preserve">, </w:t>
      </w:r>
      <w:r w:rsidRPr="00D9620B">
        <w:rPr>
          <w:rFonts w:ascii="Georgia" w:hAnsi="Georgia" w:hint="cs"/>
          <w:sz w:val="18"/>
          <w:szCs w:val="20"/>
          <w:rtl/>
        </w:rPr>
        <w:t>הרווחה והבריאות</w:t>
      </w:r>
      <w:r w:rsidRPr="00D9620B">
        <w:rPr>
          <w:rFonts w:ascii="Georgia" w:hAnsi="Georgia" w:hint="cs"/>
          <w:sz w:val="18"/>
          <w:szCs w:val="20"/>
          <w:rtl/>
          <w:lang w:bidi="he"/>
        </w:rPr>
        <w:t xml:space="preserve">, </w:t>
      </w:r>
      <w:r w:rsidRPr="00D9620B">
        <w:rPr>
          <w:rFonts w:ascii="Georgia" w:hAnsi="Georgia" w:hint="cs"/>
          <w:sz w:val="18"/>
          <w:szCs w:val="20"/>
          <w:rtl/>
        </w:rPr>
        <w:t>ולסיום מהיר של המלחמה</w:t>
      </w:r>
      <w:r w:rsidRPr="00D9620B">
        <w:rPr>
          <w:rFonts w:ascii="Georgia" w:hAnsi="Georgia" w:hint="cs"/>
          <w:sz w:val="18"/>
          <w:szCs w:val="20"/>
          <w:rtl/>
          <w:lang w:bidi="he"/>
        </w:rPr>
        <w:t>.</w:t>
      </w:r>
    </w:p>
    <w:p w14:paraId="5682A8AC"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בשבעה </w:t>
      </w:r>
      <w:r w:rsidRPr="00D9620B">
        <w:rPr>
          <w:rFonts w:ascii="Georgia" w:hAnsi="Georgia"/>
          <w:sz w:val="18"/>
          <w:szCs w:val="20"/>
          <w:rtl/>
        </w:rPr>
        <w:t>באוקטובר של השנה שעברה חיי כולנו התהפכו. האסון הנורא שפקד אותנו שינה את חיינו, ומא</w:t>
      </w:r>
      <w:r w:rsidRPr="00D9620B">
        <w:rPr>
          <w:rFonts w:ascii="Georgia" w:hAnsi="Georgia" w:hint="cs"/>
          <w:sz w:val="18"/>
          <w:szCs w:val="20"/>
          <w:rtl/>
        </w:rPr>
        <w:t>ז</w:t>
      </w:r>
      <w:r w:rsidRPr="00D9620B">
        <w:rPr>
          <w:rFonts w:ascii="Georgia" w:hAnsi="Georgia"/>
          <w:sz w:val="18"/>
          <w:szCs w:val="20"/>
          <w:rtl/>
        </w:rPr>
        <w:t xml:space="preserve"> ועד היום כולנו מעורבים עמוקות במלחמה שאנו מצויים בעיצומה. </w:t>
      </w:r>
      <w:r w:rsidRPr="00D9620B">
        <w:rPr>
          <w:rFonts w:ascii="Georgia" w:hAnsi="Georgia" w:hint="cs"/>
          <w:sz w:val="18"/>
          <w:szCs w:val="20"/>
          <w:rtl/>
        </w:rPr>
        <w:t xml:space="preserve">מילים רבות כים כבר נכתבו על אודות המלחמה, ומומחים מכל דיסציפלינה כבר החלו לנתח ולהסביר את שורשיה וסיבותיה, ואף להעריך את תוצאותיה. מה יש לי </w:t>
      </w:r>
      <w:r w:rsidRPr="00D9620B">
        <w:rPr>
          <w:rFonts w:ascii="Georgia" w:hAnsi="Georgia"/>
          <w:sz w:val="18"/>
          <w:szCs w:val="20"/>
          <w:rtl/>
        </w:rPr>
        <w:t>–</w:t>
      </w:r>
      <w:r w:rsidRPr="00D9620B">
        <w:rPr>
          <w:rFonts w:ascii="Georgia" w:hAnsi="Georgia" w:hint="cs"/>
          <w:sz w:val="18"/>
          <w:szCs w:val="20"/>
          <w:rtl/>
        </w:rPr>
        <w:t xml:space="preserve"> כעורך ראשי של כתב העת, כאיש מדע ומחקר </w:t>
      </w:r>
      <w:r w:rsidRPr="00D9620B">
        <w:rPr>
          <w:rFonts w:ascii="Georgia" w:hAnsi="Georgia"/>
          <w:sz w:val="18"/>
          <w:szCs w:val="20"/>
          <w:rtl/>
        </w:rPr>
        <w:t>–</w:t>
      </w:r>
      <w:r w:rsidRPr="00D9620B">
        <w:rPr>
          <w:rFonts w:ascii="Georgia" w:hAnsi="Georgia" w:hint="cs"/>
          <w:sz w:val="18"/>
          <w:szCs w:val="20"/>
          <w:rtl/>
        </w:rPr>
        <w:t xml:space="preserve"> להוסיף על כל אלה? האם בימים שכאלה יש לאנשי האקדמיה יתרון </w:t>
      </w:r>
      <w:r w:rsidRPr="00D9620B">
        <w:rPr>
          <w:rFonts w:ascii="Georgia" w:hAnsi="Georgia"/>
          <w:sz w:val="18"/>
          <w:szCs w:val="20"/>
          <w:rtl/>
        </w:rPr>
        <w:t>–</w:t>
      </w:r>
      <w:r w:rsidRPr="00D9620B">
        <w:rPr>
          <w:rFonts w:ascii="Georgia" w:hAnsi="Georgia" w:hint="cs"/>
          <w:sz w:val="18"/>
          <w:szCs w:val="20"/>
          <w:rtl/>
        </w:rPr>
        <w:t xml:space="preserve"> מוסרי או אחר? האם נכון או ראוי בימים אלה לנקוט עמדה או למתוח ביקורת על התנהלות המדינה, הממשלה, או הצבא? ואולי דווקא בימים אלה מחובתה של האקדמיה להתגייס למען המדינה?</w:t>
      </w:r>
      <w:r w:rsidRPr="00D9620B">
        <w:rPr>
          <w:rFonts w:ascii="Georgia" w:hAnsi="Georgia"/>
          <w:sz w:val="18"/>
          <w:szCs w:val="20"/>
        </w:rPr>
        <w:t xml:space="preserve"> </w:t>
      </w:r>
      <w:r w:rsidRPr="00D9620B">
        <w:rPr>
          <w:rFonts w:ascii="Georgia" w:hAnsi="Georgia" w:hint="cs"/>
          <w:sz w:val="18"/>
          <w:szCs w:val="20"/>
          <w:rtl/>
        </w:rPr>
        <w:t xml:space="preserve">להתנדב, לתרום ידע, לסייע לצבא, לתת מיכולותיה כדי לנצח את האויב? </w:t>
      </w:r>
    </w:p>
    <w:p w14:paraId="6D8DAE77"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במהלך תשעת החודשים האחרונים שמעתי אין-ספור דעות בנוגע לשאלות דלעיל. התשובות מגוונות כמגוון הנשאלים. אם יש מאפיין אחד לאקדמיה ולציבוריות הישראלית, הרי הוא העובדה שכמעט לכל אחד ואחת יש דעות חזקות ומוצקות ביחס למציאות. </w:t>
      </w:r>
      <w:proofErr w:type="spellStart"/>
      <w:r w:rsidRPr="00D9620B">
        <w:rPr>
          <w:rFonts w:ascii="Georgia" w:hAnsi="Georgia" w:hint="cs"/>
          <w:sz w:val="18"/>
          <w:szCs w:val="20"/>
          <w:rtl/>
        </w:rPr>
        <w:t>הכל</w:t>
      </w:r>
      <w:proofErr w:type="spellEnd"/>
      <w:r w:rsidRPr="00D9620B">
        <w:rPr>
          <w:rFonts w:ascii="Georgia" w:hAnsi="Georgia" w:hint="cs"/>
          <w:sz w:val="18"/>
          <w:szCs w:val="20"/>
          <w:rtl/>
        </w:rPr>
        <w:t xml:space="preserve"> נראה ברור:</w:t>
      </w:r>
      <w:r w:rsidRPr="00D9620B">
        <w:rPr>
          <w:rFonts w:ascii="Georgia" w:hAnsi="Georgia"/>
          <w:sz w:val="18"/>
          <w:szCs w:val="20"/>
        </w:rPr>
        <w:t xml:space="preserve"> </w:t>
      </w:r>
      <w:r w:rsidRPr="00D9620B">
        <w:rPr>
          <w:rFonts w:ascii="Georgia" w:hAnsi="Georgia" w:hint="cs"/>
          <w:sz w:val="18"/>
          <w:szCs w:val="20"/>
          <w:rtl/>
        </w:rPr>
        <w:t>זה מה שצריך לעשות, וכך יש לנהוג, והמנהיג הזה הוא אידיוט, והאישה ההיא תציל את המדינה. ואם האקדמיה לא תעשה כך וכך, היא תמעל בתפקידה. לא פחות.</w:t>
      </w:r>
    </w:p>
    <w:p w14:paraId="6F6AFF38"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ואני, כשלעצמי, מוצא עצמי בעמדת נחיתות דווקא. אינני יודע את התשובות. אינני סבור כי למדענים, או לחוקרים, או לאנשי אקדמיה, יש יתרון כלשהו בכל הנוגע למתן תשובות לשאלות העוסקות בתחומי פוליטיקה, צבא, או מלחמה. אינני סבור גם כי זה נכון או נבון (שלא לומר אפשרי) שלגוף האנשים הגדול המכונה "אנשי אקדמיה" יש "עמדה" אחידה בעניין כלשהו. האקדמיה הישראלי היא מגוונת, וניתן למצוא בה את קשת הדעות המצויה בכלל החברה, גם אם במינונים אחרים. </w:t>
      </w:r>
    </w:p>
    <w:p w14:paraId="76CDE813"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לא, אינני סבור כי על המדע </w:t>
      </w:r>
      <w:proofErr w:type="spellStart"/>
      <w:r w:rsidRPr="00D9620B">
        <w:rPr>
          <w:rFonts w:ascii="Georgia" w:hAnsi="Georgia" w:hint="cs"/>
          <w:sz w:val="18"/>
          <w:szCs w:val="20"/>
          <w:rtl/>
        </w:rPr>
        <w:t>לידום</w:t>
      </w:r>
      <w:proofErr w:type="spellEnd"/>
      <w:r w:rsidRPr="00D9620B">
        <w:rPr>
          <w:rFonts w:ascii="Georgia" w:hAnsi="Georgia" w:hint="cs"/>
          <w:sz w:val="18"/>
          <w:szCs w:val="20"/>
          <w:rtl/>
        </w:rPr>
        <w:t xml:space="preserve"> בעת מלחמה. המדע צריך לתת מיכולותיו, לתרום מיתרונותיו, ולהמשיך ולהיות פעיל ואף מעורב בחברה שהוא פועל בה. המדע צריך גם לנצל את ההזדמנות </w:t>
      </w:r>
      <w:r w:rsidRPr="00D9620B">
        <w:rPr>
          <w:rFonts w:ascii="Georgia" w:hAnsi="Georgia"/>
          <w:sz w:val="18"/>
          <w:szCs w:val="20"/>
          <w:rtl/>
        </w:rPr>
        <w:t>–</w:t>
      </w:r>
      <w:r w:rsidRPr="00D9620B">
        <w:rPr>
          <w:rFonts w:ascii="Georgia" w:hAnsi="Georgia" w:hint="cs"/>
          <w:sz w:val="18"/>
          <w:szCs w:val="20"/>
          <w:rtl/>
        </w:rPr>
        <w:t xml:space="preserve"> והדברים נאמרים לא בציניות </w:t>
      </w:r>
      <w:r w:rsidRPr="00D9620B">
        <w:rPr>
          <w:rFonts w:ascii="Georgia" w:hAnsi="Georgia"/>
          <w:sz w:val="18"/>
          <w:szCs w:val="20"/>
          <w:rtl/>
        </w:rPr>
        <w:t>–</w:t>
      </w:r>
      <w:r w:rsidRPr="00D9620B">
        <w:rPr>
          <w:rFonts w:ascii="Georgia" w:hAnsi="Georgia" w:hint="cs"/>
          <w:sz w:val="18"/>
          <w:szCs w:val="20"/>
          <w:rtl/>
        </w:rPr>
        <w:t xml:space="preserve"> כדי לחקור את המציאות האנושית חסרת התקדים שהמלחמה הנוכחית זימנה, כדי לשפר את הידע, ההבנה, התאוריה והמודלים בכל הנוגע להתנהגות האנושית והחברתית. </w:t>
      </w:r>
    </w:p>
    <w:p w14:paraId="544D0DEC"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באופן ספציפי, בכל הנוגע לביטחון סוציאלי ולמדיניות חברתית, תשעת החודשים האחרונים היוו מעין מעבדה טבעית לבחינת גישות ותאוריות בדבר חשיבותם של כלי מדיניות להגנה על </w:t>
      </w:r>
      <w:r w:rsidRPr="00D9620B">
        <w:rPr>
          <w:rFonts w:ascii="Georgia" w:hAnsi="Georgia" w:hint="cs"/>
          <w:sz w:val="18"/>
          <w:szCs w:val="20"/>
          <w:rtl/>
        </w:rPr>
        <w:lastRenderedPageBreak/>
        <w:t xml:space="preserve">ביטחונן ורווחתן החברתית של אוכלוסיות שונות </w:t>
      </w:r>
      <w:proofErr w:type="spellStart"/>
      <w:r w:rsidRPr="00D9620B">
        <w:rPr>
          <w:rFonts w:ascii="Georgia" w:hAnsi="Georgia" w:hint="cs"/>
          <w:sz w:val="18"/>
          <w:szCs w:val="20"/>
          <w:rtl/>
        </w:rPr>
        <w:t>בעיתות</w:t>
      </w:r>
      <w:proofErr w:type="spellEnd"/>
      <w:r w:rsidRPr="00D9620B">
        <w:rPr>
          <w:rFonts w:ascii="Georgia" w:hAnsi="Georgia" w:hint="cs"/>
          <w:sz w:val="18"/>
          <w:szCs w:val="20"/>
          <w:rtl/>
        </w:rPr>
        <w:t xml:space="preserve"> משבר ומלחמה. מספר הסוגיות הוא אין-סופי, אך הן חשובות ומהותיות. לדוגמה, כיצד מטפלים באזרחים שבויים החוזרים לארצם לאחר שבי ממושך?</w:t>
      </w:r>
      <w:r w:rsidRPr="00D9620B">
        <w:rPr>
          <w:rFonts w:ascii="Georgia" w:hAnsi="Georgia"/>
          <w:sz w:val="18"/>
          <w:szCs w:val="20"/>
        </w:rPr>
        <w:t xml:space="preserve"> </w:t>
      </w:r>
      <w:r w:rsidRPr="00D9620B">
        <w:rPr>
          <w:rFonts w:ascii="Georgia" w:hAnsi="Georgia" w:hint="cs"/>
          <w:sz w:val="18"/>
          <w:szCs w:val="20"/>
          <w:rtl/>
        </w:rPr>
        <w:t xml:space="preserve">מה אופני הטיפול בתופעות של טראומה על רקע </w:t>
      </w:r>
      <w:proofErr w:type="spellStart"/>
      <w:r w:rsidRPr="00D9620B">
        <w:rPr>
          <w:rFonts w:ascii="Georgia" w:hAnsi="Georgia" w:hint="cs"/>
          <w:sz w:val="18"/>
          <w:szCs w:val="20"/>
          <w:rtl/>
        </w:rPr>
        <w:t>אובדנים</w:t>
      </w:r>
      <w:proofErr w:type="spellEnd"/>
      <w:r w:rsidRPr="00D9620B">
        <w:rPr>
          <w:rFonts w:ascii="Georgia" w:hAnsi="Georgia" w:hint="cs"/>
          <w:sz w:val="18"/>
          <w:szCs w:val="20"/>
          <w:rtl/>
        </w:rPr>
        <w:t xml:space="preserve"> רבים? אילו הן דרכי ההתערבות הנכונות למשפחות ולאנשים המפונים מביתם לתקופות ממושכות?</w:t>
      </w:r>
      <w:r w:rsidRPr="00D9620B">
        <w:rPr>
          <w:rFonts w:ascii="Georgia" w:hAnsi="Georgia"/>
          <w:sz w:val="18"/>
          <w:szCs w:val="20"/>
        </w:rPr>
        <w:t xml:space="preserve"> </w:t>
      </w:r>
      <w:r w:rsidRPr="00D9620B">
        <w:rPr>
          <w:rFonts w:ascii="Georgia" w:hAnsi="Georgia" w:hint="cs"/>
          <w:sz w:val="18"/>
          <w:szCs w:val="20"/>
          <w:rtl/>
        </w:rPr>
        <w:t xml:space="preserve">ומהי המדיניות החברתית הראויה לשיקום ולבנייה מחדש של קהילות שהתפרקו בעקבות אסון דוגמת שבעה באוקטובר? אלה כמובן רק דוגמאות ספורות משורה ארוכה של סוגיות חברתיות בוערות שלאנשי המדיניות והמחקר יכולת רבה לתרום לדיון בהן. יש לקוות כי בעתיד, כתב העת </w:t>
      </w:r>
      <w:r w:rsidRPr="00D9620B">
        <w:rPr>
          <w:rFonts w:ascii="Georgia" w:hAnsi="Georgia" w:hint="cs"/>
          <w:b/>
          <w:bCs/>
          <w:sz w:val="18"/>
          <w:szCs w:val="20"/>
          <w:rtl/>
        </w:rPr>
        <w:t>ביטחון סוציאלי</w:t>
      </w:r>
      <w:r w:rsidRPr="00D9620B">
        <w:rPr>
          <w:rFonts w:ascii="Georgia" w:hAnsi="Georgia" w:hint="cs"/>
          <w:sz w:val="18"/>
          <w:szCs w:val="20"/>
          <w:rtl/>
        </w:rPr>
        <w:t xml:space="preserve"> ישמש במה להפצת הידע והתובנות מהמחקרים שיבוצעו במהלך הימים הנוראים שאנו מצויים בהם, ובעקבותיהם.</w:t>
      </w:r>
    </w:p>
    <w:p w14:paraId="2B1BFBAA" w14:textId="4234FF12" w:rsidR="00D9620B" w:rsidRPr="00D9620B" w:rsidRDefault="00D9620B" w:rsidP="00EA55CA">
      <w:pPr>
        <w:spacing w:after="180" w:line="270" w:lineRule="exact"/>
        <w:jc w:val="both"/>
        <w:rPr>
          <w:rFonts w:ascii="Georgia" w:hAnsi="Georgia"/>
          <w:sz w:val="18"/>
          <w:szCs w:val="20"/>
          <w:rtl/>
        </w:rPr>
      </w:pPr>
      <w:r w:rsidRPr="00D9620B">
        <w:rPr>
          <w:rFonts w:ascii="Georgia" w:hAnsi="Georgia" w:hint="cs"/>
          <w:sz w:val="18"/>
          <w:szCs w:val="20"/>
          <w:rtl/>
        </w:rPr>
        <w:t xml:space="preserve">דוגמה לכיווני פעולה וללמידה מדעית בהקשר של הימים הקשים הללו מופיעה במאמר הדעה הפותח את הגיליון הנוכחי. מאמרן של אורית </w:t>
      </w:r>
      <w:proofErr w:type="spellStart"/>
      <w:r w:rsidRPr="00D9620B">
        <w:rPr>
          <w:rFonts w:ascii="Georgia" w:hAnsi="Georgia" w:hint="cs"/>
          <w:sz w:val="18"/>
          <w:szCs w:val="20"/>
          <w:rtl/>
        </w:rPr>
        <w:t>נוטמן</w:t>
      </w:r>
      <w:proofErr w:type="spellEnd"/>
      <w:r w:rsidRPr="00D9620B">
        <w:rPr>
          <w:rFonts w:ascii="Georgia" w:hAnsi="Georgia" w:hint="cs"/>
          <w:sz w:val="18"/>
          <w:szCs w:val="20"/>
          <w:rtl/>
        </w:rPr>
        <w:t xml:space="preserve">-שוורץ ורחל דקל, </w:t>
      </w:r>
      <w:r w:rsidRPr="00D9620B">
        <w:rPr>
          <w:rFonts w:ascii="Georgia" w:hAnsi="Georgia" w:hint="cs"/>
          <w:b/>
          <w:bCs/>
          <w:sz w:val="18"/>
          <w:szCs w:val="20"/>
          <w:rtl/>
        </w:rPr>
        <w:t xml:space="preserve">הרחבת מנעד ההתערבויות בשכול עקב אירועי </w:t>
      </w:r>
      <w:r w:rsidR="003D461C">
        <w:rPr>
          <w:rFonts w:ascii="Georgia" w:hAnsi="Georgia" w:hint="cs"/>
          <w:b/>
          <w:bCs/>
          <w:sz w:val="18"/>
          <w:szCs w:val="20"/>
          <w:rtl/>
        </w:rPr>
        <w:t>"</w:t>
      </w:r>
      <w:r w:rsidRPr="00D9620B">
        <w:rPr>
          <w:rFonts w:ascii="Georgia" w:hAnsi="Georgia" w:hint="cs"/>
          <w:b/>
          <w:bCs/>
          <w:sz w:val="18"/>
          <w:szCs w:val="20"/>
          <w:rtl/>
        </w:rPr>
        <w:t>השבת השחורה" ומלחמת "חרבות ברזל": לקראת תפיסה אקולוגית</w:t>
      </w:r>
      <w:r w:rsidRPr="00D9620B">
        <w:rPr>
          <w:rFonts w:ascii="Georgia" w:hAnsi="Georgia" w:hint="cs"/>
          <w:sz w:val="18"/>
          <w:szCs w:val="20"/>
          <w:rtl/>
        </w:rPr>
        <w:t xml:space="preserve">, טוען כי על רקע אירועי </w:t>
      </w:r>
      <w:r w:rsidR="003D461C">
        <w:rPr>
          <w:rFonts w:ascii="Georgia" w:hAnsi="Georgia" w:hint="cs"/>
          <w:sz w:val="18"/>
          <w:szCs w:val="20"/>
          <w:rtl/>
        </w:rPr>
        <w:t>"</w:t>
      </w:r>
      <w:r w:rsidRPr="00D9620B">
        <w:rPr>
          <w:rFonts w:ascii="Georgia" w:hAnsi="Georgia" w:hint="cs"/>
          <w:sz w:val="18"/>
          <w:szCs w:val="20"/>
          <w:rtl/>
        </w:rPr>
        <w:t>השבת השחורה" ומלחמת "חרבות ברזל" נדרשת בחינה מחדש של מדיניות ההתערבות ומגוון המענים הניתנים למשפחות שכולות על רקע לאומי וביטחוני. באופן קונקרטי, המחברות סבורות כי יש מקום להרחיב את מנעד המענים שנותנים גורמי הממסד בישראל, למענים המבוססים על ראייה אקולוגית רחבה המשלבת התייחסו</w:t>
      </w:r>
      <w:r w:rsidRPr="00D9620B">
        <w:rPr>
          <w:rFonts w:ascii="Georgia" w:hAnsi="Georgia" w:hint="eastAsia"/>
          <w:sz w:val="18"/>
          <w:szCs w:val="20"/>
          <w:rtl/>
        </w:rPr>
        <w:t>ת</w:t>
      </w:r>
      <w:r w:rsidRPr="00D9620B">
        <w:rPr>
          <w:rFonts w:ascii="Georgia" w:hAnsi="Georgia" w:hint="cs"/>
          <w:sz w:val="18"/>
          <w:szCs w:val="20"/>
          <w:rtl/>
        </w:rPr>
        <w:t xml:space="preserve"> לפרט, למשפחה, לקהילה ולחברה. תפיסה שכזו תאפשר לשכולים ולעובדי הסיוע לבחור, להתאים ולשלב סל מענים פרטני, משפחתי, קבוצתי וקהילתי, לחוד וביחד, בכפוף לצורך ולתפיסה המשותפת של מקבלי ונותני השירות. התייחסו</w:t>
      </w:r>
      <w:r w:rsidRPr="00D9620B">
        <w:rPr>
          <w:rFonts w:ascii="Georgia" w:hAnsi="Georgia" w:hint="eastAsia"/>
          <w:sz w:val="18"/>
          <w:szCs w:val="20"/>
          <w:rtl/>
        </w:rPr>
        <w:t>ת</w:t>
      </w:r>
      <w:r w:rsidRPr="00D9620B">
        <w:rPr>
          <w:rFonts w:ascii="Georgia" w:hAnsi="Georgia" w:hint="cs"/>
          <w:sz w:val="18"/>
          <w:szCs w:val="20"/>
          <w:rtl/>
        </w:rPr>
        <w:t xml:space="preserve"> אקולוגית חשובה במיוחד כאשר מדובר באירועי שכול ואובדן מרובים וקולקטיביי</w:t>
      </w:r>
      <w:r w:rsidRPr="00D9620B">
        <w:rPr>
          <w:rFonts w:ascii="Georgia" w:hAnsi="Georgia" w:hint="eastAsia"/>
          <w:sz w:val="18"/>
          <w:szCs w:val="20"/>
          <w:rtl/>
        </w:rPr>
        <w:t>ם</w:t>
      </w:r>
      <w:r w:rsidRPr="00D9620B">
        <w:rPr>
          <w:rFonts w:ascii="Georgia" w:hAnsi="Georgia" w:hint="cs"/>
          <w:sz w:val="18"/>
          <w:szCs w:val="20"/>
          <w:rtl/>
        </w:rPr>
        <w:t>, המאופייני</w:t>
      </w:r>
      <w:r w:rsidRPr="00D9620B">
        <w:rPr>
          <w:rFonts w:ascii="Georgia" w:hAnsi="Georgia" w:hint="eastAsia"/>
          <w:sz w:val="18"/>
          <w:szCs w:val="20"/>
          <w:rtl/>
        </w:rPr>
        <w:t>ם</w:t>
      </w:r>
      <w:r w:rsidRPr="00D9620B">
        <w:rPr>
          <w:rFonts w:ascii="Georgia" w:hAnsi="Georgia" w:hint="cs"/>
          <w:sz w:val="18"/>
          <w:szCs w:val="20"/>
          <w:rtl/>
        </w:rPr>
        <w:t xml:space="preserve"> באובדן המשלב רקע לאומי וביטחוני, אובדן אזרחים ואנשי כוחות הביטחון, גברים ונשים, ילדים, צעירים ומבוגרים, יהודים וערבים. מורכבות זו משתקפת בזירה הפרטית של המשפחה השכולה, בזירה החברתית-קהילתית ובזירה הציבורית. הרחבת הפרדיגמה ויצירת שותפות בין השכולים לבין החברה עשויה לסייע בקידום מרחבי תמיכה ובהתמודדות עם האובדן, ולתת מקום לאבלן של המשפחות ושל כלל החברה בנפרד וביחד.</w:t>
      </w:r>
    </w:p>
    <w:p w14:paraId="6B9275EE"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מאמר דעה זה, שעדיין אינו מבוסס על איסוף נתונים סדור או על ניתוח ממצאים אמפיריים, אינו רק קול קורא לשינוי מדיניות ולביצוע מחקרים לאישוש הטענה. הוא דוגמה לאופן שבו תובנות מקצועיות-מדעיות יכולות לסייע בתקופה מאתגרת כמו זו שאנו חווים כיום, ולעזור בהתמודדות היום-יומית של החברה הישראלית עם אתגריה.</w:t>
      </w:r>
    </w:p>
    <w:p w14:paraId="6CC32F1C"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אך עד אשר יבוצעו המחקרים שילמדו את המציאות באמצעות מתודות מדעיות, אין לנו אלא לנסות ולהמשיך ולפרסם מחקרים חשובים שבוצעו עוד בטרם פרצה המלחמה, ולזכור כי גם בימים הקשים ביותר אל לנו לשכוח את חשיבותן של השגרה ושל הנורמליות. </w:t>
      </w:r>
    </w:p>
    <w:p w14:paraId="16F3248F" w14:textId="77777777" w:rsidR="00D9620B" w:rsidRPr="00D9620B" w:rsidRDefault="00D9620B" w:rsidP="00D9620B">
      <w:pPr>
        <w:keepNext/>
        <w:keepLines/>
        <w:spacing w:after="180" w:line="270" w:lineRule="exact"/>
        <w:jc w:val="both"/>
        <w:rPr>
          <w:rFonts w:ascii="Georgia" w:hAnsi="Georgia"/>
          <w:sz w:val="18"/>
          <w:szCs w:val="20"/>
          <w:rtl/>
        </w:rPr>
      </w:pPr>
      <w:r w:rsidRPr="00D9620B">
        <w:rPr>
          <w:rFonts w:ascii="Georgia" w:hAnsi="Georgia" w:hint="cs"/>
          <w:sz w:val="18"/>
          <w:szCs w:val="20"/>
          <w:rtl/>
        </w:rPr>
        <w:t xml:space="preserve">אז מה יש לנו בגיליון זה? </w:t>
      </w:r>
    </w:p>
    <w:p w14:paraId="08CE3E45" w14:textId="31FB5FE1" w:rsidR="00D9620B" w:rsidRPr="00D9620B" w:rsidRDefault="00D9620B" w:rsidP="00D9620B">
      <w:pPr>
        <w:pStyle w:val="ae"/>
        <w:spacing w:after="180" w:line="270" w:lineRule="exact"/>
        <w:jc w:val="both"/>
        <w:rPr>
          <w:rFonts w:ascii="Georgia" w:eastAsia="Calibri" w:hAnsi="Georgia" w:cs="David"/>
          <w:sz w:val="18"/>
          <w:rtl/>
        </w:rPr>
      </w:pPr>
      <w:r w:rsidRPr="00D9620B">
        <w:rPr>
          <w:rFonts w:ascii="Georgia" w:hAnsi="Georgia" w:cs="David" w:hint="cs"/>
          <w:sz w:val="18"/>
          <w:rtl/>
        </w:rPr>
        <w:t>שני המאמרים הפותחים את הגיליון הנוכחי מתמקדים בזווית המבט של אנשי מקצוע בתחומי רווחה ומדיניות. המאמר הראשון, שכתבו</w:t>
      </w:r>
      <w:r w:rsidRPr="00D9620B">
        <w:rPr>
          <w:rFonts w:ascii="Georgia" w:hAnsi="Georgia" w:cs="David"/>
          <w:sz w:val="18"/>
          <w:rtl/>
        </w:rPr>
        <w:t xml:space="preserve"> מיכל </w:t>
      </w:r>
      <w:proofErr w:type="spellStart"/>
      <w:r w:rsidRPr="00D9620B">
        <w:rPr>
          <w:rFonts w:ascii="Georgia" w:hAnsi="Georgia" w:cs="David"/>
          <w:sz w:val="18"/>
          <w:rtl/>
        </w:rPr>
        <w:t>קרומר</w:t>
      </w:r>
      <w:proofErr w:type="spellEnd"/>
      <w:r w:rsidRPr="00D9620B">
        <w:rPr>
          <w:rFonts w:ascii="Georgia" w:hAnsi="Georgia" w:cs="David"/>
          <w:sz w:val="18"/>
          <w:rtl/>
        </w:rPr>
        <w:t xml:space="preserve">-נבו, </w:t>
      </w:r>
      <w:proofErr w:type="spellStart"/>
      <w:r w:rsidRPr="00D9620B">
        <w:rPr>
          <w:rFonts w:ascii="Georgia" w:hAnsi="Georgia" w:cs="David"/>
          <w:sz w:val="18"/>
          <w:rtl/>
        </w:rPr>
        <w:t>אנשיראח</w:t>
      </w:r>
      <w:proofErr w:type="spellEnd"/>
      <w:r w:rsidRPr="00D9620B">
        <w:rPr>
          <w:rFonts w:ascii="Georgia" w:hAnsi="Georgia" w:cs="David"/>
          <w:sz w:val="18"/>
          <w:rtl/>
        </w:rPr>
        <w:t xml:space="preserve"> ח</w:t>
      </w:r>
      <w:r w:rsidRPr="00D9620B">
        <w:rPr>
          <w:rFonts w:ascii="Georgia" w:hAnsi="Georgia" w:cs="David" w:hint="cs"/>
          <w:sz w:val="18"/>
          <w:rtl/>
        </w:rPr>
        <w:t>'</w:t>
      </w:r>
      <w:r w:rsidRPr="00D9620B">
        <w:rPr>
          <w:rFonts w:ascii="Georgia" w:hAnsi="Georgia" w:cs="David"/>
          <w:sz w:val="18"/>
          <w:rtl/>
        </w:rPr>
        <w:t xml:space="preserve">ורי ולימור </w:t>
      </w:r>
      <w:r w:rsidRPr="00D9620B">
        <w:rPr>
          <w:rFonts w:ascii="Georgia" w:hAnsi="Georgia" w:cs="David"/>
          <w:sz w:val="18"/>
          <w:rtl/>
        </w:rPr>
        <w:lastRenderedPageBreak/>
        <w:t xml:space="preserve">לוטן, </w:t>
      </w:r>
      <w:r w:rsidRPr="00D9620B">
        <w:rPr>
          <w:rFonts w:ascii="Georgia" w:hAnsi="Georgia" w:cs="David"/>
          <w:b/>
          <w:bCs/>
          <w:sz w:val="18"/>
          <w:rtl/>
        </w:rPr>
        <w:t>התמקחות מתוך השוליים: עבודה סוציאלית עם אנשים בעוני בחברה הערבית-פלסטינית בישראל</w:t>
      </w:r>
      <w:r w:rsidRPr="00D9620B">
        <w:rPr>
          <w:rFonts w:ascii="Georgia" w:hAnsi="Georgia" w:cs="David" w:hint="cs"/>
          <w:sz w:val="18"/>
          <w:rtl/>
        </w:rPr>
        <w:t>,</w:t>
      </w:r>
      <w:r w:rsidRPr="00D9620B">
        <w:rPr>
          <w:rFonts w:ascii="Georgia" w:eastAsia="Calibri" w:hAnsi="Georgia" w:cs="David"/>
          <w:sz w:val="18"/>
          <w:rtl/>
        </w:rPr>
        <w:t xml:space="preserve"> מתמקד באתגרים </w:t>
      </w:r>
      <w:r w:rsidRPr="00D9620B">
        <w:rPr>
          <w:rFonts w:ascii="Georgia" w:eastAsia="Calibri" w:hAnsi="Georgia" w:cs="David" w:hint="cs"/>
          <w:sz w:val="18"/>
          <w:rtl/>
        </w:rPr>
        <w:t xml:space="preserve">הניצבים בפני </w:t>
      </w:r>
      <w:r w:rsidRPr="00D9620B">
        <w:rPr>
          <w:rFonts w:ascii="Georgia" w:eastAsia="Calibri" w:hAnsi="Georgia" w:cs="David"/>
          <w:sz w:val="18"/>
          <w:rtl/>
        </w:rPr>
        <w:t xml:space="preserve">עובדות ועובדים סוציאליים הנותנים שירות למשפחות בעוני מהחברה הערבית-פלסטינית בישראל, </w:t>
      </w:r>
      <w:proofErr w:type="spellStart"/>
      <w:r w:rsidRPr="00D9620B">
        <w:rPr>
          <w:rFonts w:ascii="Georgia" w:eastAsia="Calibri" w:hAnsi="Georgia" w:cs="David"/>
          <w:sz w:val="18"/>
          <w:rtl/>
        </w:rPr>
        <w:t>ובפרקטיקות</w:t>
      </w:r>
      <w:proofErr w:type="spellEnd"/>
      <w:r w:rsidRPr="00D9620B">
        <w:rPr>
          <w:rFonts w:ascii="Georgia" w:eastAsia="Calibri" w:hAnsi="Georgia" w:cs="David"/>
          <w:sz w:val="18"/>
          <w:rtl/>
        </w:rPr>
        <w:t xml:space="preserve"> </w:t>
      </w:r>
      <w:r w:rsidRPr="00D9620B">
        <w:rPr>
          <w:rFonts w:ascii="Georgia" w:eastAsia="Calibri" w:hAnsi="Georgia" w:cs="David" w:hint="cs"/>
          <w:sz w:val="18"/>
          <w:rtl/>
        </w:rPr>
        <w:t>ש</w:t>
      </w:r>
      <w:r w:rsidRPr="00D9620B">
        <w:rPr>
          <w:rFonts w:ascii="Georgia" w:eastAsia="Calibri" w:hAnsi="Georgia" w:cs="David"/>
          <w:sz w:val="18"/>
          <w:rtl/>
        </w:rPr>
        <w:t xml:space="preserve">הם נוקטים. </w:t>
      </w:r>
      <w:r w:rsidRPr="00D9620B">
        <w:rPr>
          <w:rFonts w:ascii="Georgia" w:eastAsia="Calibri" w:hAnsi="Georgia" w:cs="David" w:hint="cs"/>
          <w:sz w:val="18"/>
          <w:rtl/>
        </w:rPr>
        <w:t>המחקר מאמץ פ</w:t>
      </w:r>
      <w:r w:rsidRPr="00D9620B">
        <w:rPr>
          <w:rFonts w:ascii="Georgia" w:eastAsia="Calibri" w:hAnsi="Georgia" w:cs="David"/>
          <w:sz w:val="18"/>
          <w:rtl/>
        </w:rPr>
        <w:t>רספקטיבה של רגישות תרבותית ביקורתית</w:t>
      </w:r>
      <w:r w:rsidRPr="00D9620B">
        <w:rPr>
          <w:rFonts w:ascii="Georgia" w:eastAsia="Calibri" w:hAnsi="Georgia" w:cs="David" w:hint="cs"/>
          <w:sz w:val="18"/>
          <w:rtl/>
        </w:rPr>
        <w:t>,</w:t>
      </w:r>
      <w:r w:rsidRPr="00D9620B">
        <w:rPr>
          <w:rFonts w:ascii="Georgia" w:eastAsia="Calibri" w:hAnsi="Georgia" w:cs="David"/>
          <w:sz w:val="18"/>
          <w:rtl/>
        </w:rPr>
        <w:t xml:space="preserve"> אשר מאפשרת לזהות </w:t>
      </w:r>
      <w:r w:rsidRPr="00D9620B">
        <w:rPr>
          <w:rFonts w:ascii="Georgia" w:eastAsia="Calibri" w:hAnsi="Georgia" w:cs="David" w:hint="cs"/>
          <w:sz w:val="18"/>
          <w:rtl/>
        </w:rPr>
        <w:t xml:space="preserve">את האופן שבו </w:t>
      </w:r>
      <w:r w:rsidRPr="00D9620B">
        <w:rPr>
          <w:rFonts w:ascii="Georgia" w:eastAsia="Calibri" w:hAnsi="Georgia" w:cs="David"/>
          <w:sz w:val="18"/>
          <w:rtl/>
        </w:rPr>
        <w:t xml:space="preserve">היבטים חברתיים, פוליטיים וכלכליים מעצבים את מציאות החיים במפגש עם היבטים תרבותיים. </w:t>
      </w:r>
      <w:r w:rsidRPr="00D9620B">
        <w:rPr>
          <w:rFonts w:ascii="Georgia" w:eastAsia="Calibri" w:hAnsi="Georgia" w:cs="David" w:hint="cs"/>
          <w:sz w:val="18"/>
          <w:rtl/>
        </w:rPr>
        <w:t>ה</w:t>
      </w:r>
      <w:r w:rsidRPr="00D9620B">
        <w:rPr>
          <w:rFonts w:ascii="Georgia" w:eastAsia="Calibri" w:hAnsi="Georgia" w:cs="David"/>
          <w:sz w:val="18"/>
          <w:rtl/>
        </w:rPr>
        <w:t>מחקר</w:t>
      </w:r>
      <w:r w:rsidRPr="00D9620B">
        <w:rPr>
          <w:rFonts w:ascii="Georgia" w:eastAsia="Calibri" w:hAnsi="Georgia" w:cs="David" w:hint="cs"/>
          <w:sz w:val="18"/>
          <w:rtl/>
        </w:rPr>
        <w:t xml:space="preserve"> הציב לעצמו</w:t>
      </w:r>
      <w:r w:rsidRPr="00D9620B">
        <w:rPr>
          <w:rFonts w:ascii="Georgia" w:eastAsia="Calibri" w:hAnsi="Georgia" w:cs="David"/>
          <w:sz w:val="18"/>
          <w:rtl/>
        </w:rPr>
        <w:t xml:space="preserve"> שלוש מטרות: (1) לתאר את האתגרים העומדים בפני עובדות ועובדים סוציאליים בחברה הערבית ואת הגורמים המעצבים אותם; (2) לתאר את </w:t>
      </w:r>
      <w:proofErr w:type="spellStart"/>
      <w:r w:rsidRPr="00D9620B">
        <w:rPr>
          <w:rFonts w:ascii="Georgia" w:eastAsia="Calibri" w:hAnsi="Georgia" w:cs="David"/>
          <w:sz w:val="18"/>
          <w:rtl/>
        </w:rPr>
        <w:t>הפרקטיקות</w:t>
      </w:r>
      <w:proofErr w:type="spellEnd"/>
      <w:r w:rsidRPr="00D9620B">
        <w:rPr>
          <w:rFonts w:ascii="Georgia" w:eastAsia="Calibri" w:hAnsi="Georgia" w:cs="David"/>
          <w:sz w:val="18"/>
          <w:rtl/>
        </w:rPr>
        <w:t xml:space="preserve"> שעובדות ועובדים סוציאליים נוקטים כדי להתמודד עם אתגרים אלה; </w:t>
      </w:r>
      <w:r>
        <w:rPr>
          <w:rFonts w:ascii="Georgia" w:eastAsia="Calibri" w:hAnsi="Georgia" w:cs="David"/>
          <w:sz w:val="18"/>
          <w:rtl/>
        </w:rPr>
        <w:br/>
      </w:r>
      <w:r w:rsidRPr="00D9620B">
        <w:rPr>
          <w:rFonts w:ascii="Georgia" w:eastAsia="Calibri" w:hAnsi="Georgia" w:cs="David"/>
          <w:sz w:val="18"/>
          <w:rtl/>
        </w:rPr>
        <w:t>(3) להבחין בין המשותף לעבודה הסוציאלית בכלל החברה הישראלית לבין הייחודי לעבודה עם פונים מהחברה הערבית.</w:t>
      </w:r>
    </w:p>
    <w:p w14:paraId="6B379902" w14:textId="77777777" w:rsidR="00D9620B" w:rsidRPr="00D9620B" w:rsidRDefault="00D9620B" w:rsidP="00D9620B">
      <w:pPr>
        <w:spacing w:after="180" w:line="270" w:lineRule="exact"/>
        <w:jc w:val="both"/>
        <w:rPr>
          <w:rFonts w:ascii="Georgia" w:eastAsia="Calibri" w:hAnsi="Georgia"/>
          <w:spacing w:val="-2"/>
          <w:sz w:val="18"/>
          <w:szCs w:val="20"/>
          <w:rtl/>
        </w:rPr>
      </w:pPr>
      <w:r w:rsidRPr="00D9620B">
        <w:rPr>
          <w:rFonts w:ascii="Georgia" w:eastAsia="Calibri" w:hAnsi="Georgia" w:hint="cs"/>
          <w:sz w:val="18"/>
          <w:szCs w:val="20"/>
          <w:rtl/>
        </w:rPr>
        <w:t xml:space="preserve">כדי להגשים מטרות אלה בוצע </w:t>
      </w:r>
      <w:r w:rsidRPr="00D9620B">
        <w:rPr>
          <w:rFonts w:ascii="Georgia" w:eastAsia="Calibri" w:hAnsi="Georgia"/>
          <w:sz w:val="18"/>
          <w:szCs w:val="20"/>
          <w:rtl/>
        </w:rPr>
        <w:t xml:space="preserve">ניתוח תמטי של 51 ראיונות </w:t>
      </w:r>
      <w:r w:rsidRPr="00D9620B">
        <w:rPr>
          <w:rFonts w:ascii="Georgia" w:eastAsia="Calibri" w:hAnsi="Georgia" w:hint="cs"/>
          <w:sz w:val="18"/>
          <w:szCs w:val="20"/>
          <w:rtl/>
        </w:rPr>
        <w:t xml:space="preserve">מובנים למחצה </w:t>
      </w:r>
      <w:r w:rsidRPr="00D9620B">
        <w:rPr>
          <w:rFonts w:ascii="Georgia" w:eastAsia="Calibri" w:hAnsi="Georgia"/>
          <w:sz w:val="18"/>
          <w:szCs w:val="20"/>
          <w:rtl/>
        </w:rPr>
        <w:t>עם נשות ואנשי מקצוע, רובם מהחברה הערבית, ב</w:t>
      </w:r>
      <w:r w:rsidRPr="00D9620B">
        <w:rPr>
          <w:rFonts w:ascii="Georgia" w:eastAsia="Calibri" w:hAnsi="Georgia" w:hint="cs"/>
          <w:sz w:val="18"/>
          <w:szCs w:val="20"/>
          <w:rtl/>
        </w:rPr>
        <w:t xml:space="preserve">חמש </w:t>
      </w:r>
      <w:r w:rsidRPr="00D9620B">
        <w:rPr>
          <w:rFonts w:ascii="Georgia" w:eastAsia="Calibri" w:hAnsi="Georgia"/>
          <w:sz w:val="18"/>
          <w:szCs w:val="20"/>
          <w:rtl/>
        </w:rPr>
        <w:t xml:space="preserve">מחלקות לשירותים חברתיים. המחלקות משקפות מגוון של יישובים – כפר מעורב מוסלמי-נוצרי, כפר בדואי, יישוב גדול מעורב מוסלמי-נוצרי-דרוזי, יישוב גדול מוסלמי, </w:t>
      </w:r>
      <w:r w:rsidRPr="00D9620B">
        <w:rPr>
          <w:rFonts w:ascii="Georgia" w:eastAsia="Calibri" w:hAnsi="Georgia" w:hint="cs"/>
          <w:sz w:val="18"/>
          <w:szCs w:val="20"/>
          <w:rtl/>
        </w:rPr>
        <w:t>ו</w:t>
      </w:r>
      <w:r w:rsidRPr="00D9620B">
        <w:rPr>
          <w:rFonts w:ascii="Georgia" w:eastAsia="Calibri" w:hAnsi="Georgia"/>
          <w:sz w:val="18"/>
          <w:szCs w:val="20"/>
          <w:rtl/>
        </w:rPr>
        <w:t>עיר מעורבת יהודית-ערבית.</w:t>
      </w:r>
      <w:r w:rsidRPr="00D9620B">
        <w:rPr>
          <w:rFonts w:ascii="Georgia" w:eastAsia="Calibri" w:hAnsi="Georgia" w:hint="cs"/>
          <w:sz w:val="18"/>
          <w:szCs w:val="20"/>
          <w:rtl/>
        </w:rPr>
        <w:t xml:space="preserve"> ממצאי המחקר הצביעו על </w:t>
      </w:r>
      <w:r w:rsidRPr="00D9620B">
        <w:rPr>
          <w:rFonts w:ascii="Georgia" w:eastAsia="Calibri" w:hAnsi="Georgia"/>
          <w:sz w:val="18"/>
          <w:szCs w:val="20"/>
          <w:rtl/>
        </w:rPr>
        <w:t xml:space="preserve">קשר </w:t>
      </w:r>
      <w:r w:rsidRPr="00D9620B">
        <w:rPr>
          <w:rFonts w:ascii="Georgia" w:eastAsia="Calibri" w:hAnsi="Georgia"/>
          <w:spacing w:val="-2"/>
          <w:sz w:val="18"/>
          <w:szCs w:val="20"/>
          <w:rtl/>
        </w:rPr>
        <w:t xml:space="preserve">ברור בין הבעיות המבניות המקשות על אנשים בעוני בחברה הערבית לבין האתגרים הייחודיים העומדים בפני עובדות סוציאליות. נראה שלצד הרגישות התרבותית שמגלות המרואיינות, </w:t>
      </w:r>
      <w:r w:rsidRPr="00D9620B">
        <w:rPr>
          <w:rFonts w:ascii="Georgia" w:eastAsia="Calibri" w:hAnsi="Georgia" w:hint="cs"/>
          <w:spacing w:val="-2"/>
          <w:sz w:val="18"/>
          <w:szCs w:val="20"/>
          <w:rtl/>
        </w:rPr>
        <w:t>דרושים שי</w:t>
      </w:r>
      <w:r w:rsidRPr="00D9620B">
        <w:rPr>
          <w:rFonts w:ascii="Georgia" w:eastAsia="Calibri" w:hAnsi="Georgia"/>
          <w:spacing w:val="-2"/>
          <w:sz w:val="18"/>
          <w:szCs w:val="20"/>
          <w:rtl/>
        </w:rPr>
        <w:t xml:space="preserve">נויים מבניים במצבה של החברה הערבית. </w:t>
      </w:r>
      <w:r w:rsidRPr="00D9620B">
        <w:rPr>
          <w:rFonts w:ascii="Georgia" w:eastAsia="Calibri" w:hAnsi="Georgia" w:hint="cs"/>
          <w:spacing w:val="-2"/>
          <w:sz w:val="18"/>
          <w:szCs w:val="20"/>
          <w:rtl/>
        </w:rPr>
        <w:t xml:space="preserve">עוד </w:t>
      </w:r>
      <w:r w:rsidRPr="00D9620B">
        <w:rPr>
          <w:rFonts w:ascii="Georgia" w:eastAsia="Calibri" w:hAnsi="Georgia"/>
          <w:spacing w:val="-2"/>
          <w:sz w:val="18"/>
          <w:szCs w:val="20"/>
          <w:rtl/>
        </w:rPr>
        <w:t xml:space="preserve">יש לסייע לעובדות הסוציאליות לפתח מודעות להשפעתם של הדרה וגורמים חברתיים-מבניים על התנהלות הפונים. </w:t>
      </w:r>
    </w:p>
    <w:p w14:paraId="4EF5C78E"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המאמר השני המתייחס לזווית מבטם של אנשי המקצוע הוא </w:t>
      </w:r>
      <w:r w:rsidRPr="00D9620B">
        <w:rPr>
          <w:rFonts w:ascii="Georgia" w:hAnsi="Georgia"/>
          <w:sz w:val="18"/>
          <w:szCs w:val="20"/>
          <w:rtl/>
        </w:rPr>
        <w:t xml:space="preserve">מאמרם של </w:t>
      </w:r>
      <w:proofErr w:type="spellStart"/>
      <w:r w:rsidRPr="00D9620B">
        <w:rPr>
          <w:rFonts w:ascii="Georgia" w:hAnsi="Georgia"/>
          <w:sz w:val="18"/>
          <w:szCs w:val="20"/>
          <w:rtl/>
        </w:rPr>
        <w:t>טאיסיה</w:t>
      </w:r>
      <w:proofErr w:type="spellEnd"/>
      <w:r w:rsidRPr="00D9620B">
        <w:rPr>
          <w:rFonts w:ascii="Georgia" w:hAnsi="Georgia"/>
          <w:sz w:val="18"/>
          <w:szCs w:val="20"/>
          <w:rtl/>
        </w:rPr>
        <w:t xml:space="preserve"> </w:t>
      </w:r>
      <w:proofErr w:type="spellStart"/>
      <w:r w:rsidRPr="00D9620B">
        <w:rPr>
          <w:rFonts w:ascii="Georgia" w:hAnsi="Georgia"/>
          <w:sz w:val="18"/>
          <w:szCs w:val="20"/>
          <w:rtl/>
        </w:rPr>
        <w:t>לייקין</w:t>
      </w:r>
      <w:proofErr w:type="spellEnd"/>
      <w:r w:rsidRPr="00D9620B">
        <w:rPr>
          <w:rFonts w:ascii="Georgia" w:hAnsi="Georgia"/>
          <w:sz w:val="18"/>
          <w:szCs w:val="20"/>
          <w:rtl/>
        </w:rPr>
        <w:t xml:space="preserve">, מקס </w:t>
      </w:r>
      <w:proofErr w:type="spellStart"/>
      <w:r w:rsidRPr="00D9620B">
        <w:rPr>
          <w:rFonts w:ascii="Georgia" w:hAnsi="Georgia"/>
          <w:sz w:val="18"/>
          <w:szCs w:val="20"/>
          <w:rtl/>
        </w:rPr>
        <w:t>לכמן</w:t>
      </w:r>
      <w:proofErr w:type="spellEnd"/>
      <w:r w:rsidRPr="00D9620B">
        <w:rPr>
          <w:rFonts w:ascii="Georgia" w:hAnsi="Georgia"/>
          <w:sz w:val="18"/>
          <w:szCs w:val="20"/>
          <w:rtl/>
        </w:rPr>
        <w:t xml:space="preserve"> וא</w:t>
      </w:r>
      <w:r w:rsidRPr="00D9620B">
        <w:rPr>
          <w:rFonts w:ascii="Georgia" w:hAnsi="Georgia" w:hint="cs"/>
          <w:sz w:val="18"/>
          <w:szCs w:val="20"/>
          <w:rtl/>
        </w:rPr>
        <w:t>י</w:t>
      </w:r>
      <w:r w:rsidRPr="00D9620B">
        <w:rPr>
          <w:rFonts w:ascii="Georgia" w:hAnsi="Georgia"/>
          <w:sz w:val="18"/>
          <w:szCs w:val="20"/>
          <w:rtl/>
        </w:rPr>
        <w:t xml:space="preserve">ילה </w:t>
      </w:r>
      <w:proofErr w:type="spellStart"/>
      <w:r w:rsidRPr="00D9620B">
        <w:rPr>
          <w:rFonts w:ascii="Georgia" w:hAnsi="Georgia"/>
          <w:sz w:val="18"/>
          <w:szCs w:val="20"/>
          <w:rtl/>
        </w:rPr>
        <w:t>פרידלנדר</w:t>
      </w:r>
      <w:proofErr w:type="spellEnd"/>
      <w:r w:rsidRPr="00D9620B">
        <w:rPr>
          <w:rFonts w:ascii="Georgia" w:hAnsi="Georgia"/>
          <w:sz w:val="18"/>
          <w:szCs w:val="20"/>
          <w:rtl/>
        </w:rPr>
        <w:t xml:space="preserve">, </w:t>
      </w:r>
      <w:r w:rsidRPr="00D9620B">
        <w:rPr>
          <w:rFonts w:ascii="Georgia" w:hAnsi="Georgia"/>
          <w:b/>
          <w:bCs/>
          <w:sz w:val="18"/>
          <w:szCs w:val="20"/>
          <w:rtl/>
        </w:rPr>
        <w:t xml:space="preserve">הרואה ואינו נראה: </w:t>
      </w:r>
      <w:r w:rsidRPr="00D9620B">
        <w:rPr>
          <w:rFonts w:ascii="Georgia" w:hAnsi="Georgia" w:hint="cs"/>
          <w:b/>
          <w:bCs/>
          <w:sz w:val="18"/>
          <w:szCs w:val="20"/>
          <w:rtl/>
        </w:rPr>
        <w:t>נקודת מבטם של אנשי צוות בשיקום פסיכיאטרי בקהילה על משבר כוח האדם</w:t>
      </w:r>
      <w:r w:rsidRPr="00D9620B">
        <w:rPr>
          <w:rFonts w:ascii="Georgia" w:hAnsi="Georgia" w:hint="cs"/>
          <w:sz w:val="18"/>
          <w:szCs w:val="20"/>
          <w:rtl/>
        </w:rPr>
        <w:t>.</w:t>
      </w:r>
      <w:r w:rsidRPr="00D9620B">
        <w:rPr>
          <w:rFonts w:ascii="Georgia" w:hAnsi="Georgia" w:hint="cs"/>
          <w:b/>
          <w:bCs/>
          <w:sz w:val="18"/>
          <w:szCs w:val="20"/>
          <w:rtl/>
        </w:rPr>
        <w:t xml:space="preserve"> </w:t>
      </w:r>
      <w:r w:rsidRPr="00D9620B">
        <w:rPr>
          <w:rFonts w:ascii="Georgia" w:hAnsi="Georgia" w:hint="cs"/>
          <w:sz w:val="18"/>
          <w:szCs w:val="20"/>
          <w:rtl/>
        </w:rPr>
        <w:t>המאמר</w:t>
      </w:r>
      <w:r w:rsidRPr="00D9620B">
        <w:rPr>
          <w:rFonts w:ascii="Georgia" w:hAnsi="Georgia"/>
          <w:sz w:val="18"/>
          <w:szCs w:val="20"/>
        </w:rPr>
        <w:t xml:space="preserve"> </w:t>
      </w:r>
      <w:r w:rsidRPr="00D9620B">
        <w:rPr>
          <w:rFonts w:ascii="Georgia" w:hAnsi="Georgia"/>
          <w:sz w:val="18"/>
          <w:szCs w:val="20"/>
          <w:rtl/>
        </w:rPr>
        <w:t>מתמקד בחוק שיקום נכי נפש בקהילה (התש"ס-2000) (להלן "חוק השיקום")</w:t>
      </w:r>
      <w:r w:rsidRPr="00D9620B">
        <w:rPr>
          <w:rFonts w:ascii="Georgia" w:hAnsi="Georgia" w:hint="cs"/>
          <w:sz w:val="18"/>
          <w:szCs w:val="20"/>
          <w:rtl/>
        </w:rPr>
        <w:t xml:space="preserve"> ובאנשי המקצוע </w:t>
      </w:r>
      <w:r w:rsidRPr="00D9620B">
        <w:rPr>
          <w:rFonts w:ascii="Georgia" w:hAnsi="Georgia"/>
          <w:sz w:val="18"/>
          <w:szCs w:val="20"/>
          <w:rtl/>
        </w:rPr>
        <w:t>–</w:t>
      </w:r>
      <w:r w:rsidRPr="00D9620B">
        <w:rPr>
          <w:rFonts w:ascii="Georgia" w:hAnsi="Georgia" w:hint="cs"/>
          <w:sz w:val="18"/>
          <w:szCs w:val="20"/>
          <w:rtl/>
        </w:rPr>
        <w:t xml:space="preserve"> אנשי שיקום בקהילה </w:t>
      </w:r>
      <w:r w:rsidRPr="00D9620B">
        <w:rPr>
          <w:rFonts w:ascii="Georgia" w:hAnsi="Georgia"/>
          <w:sz w:val="18"/>
          <w:szCs w:val="20"/>
          <w:rtl/>
        </w:rPr>
        <w:t>–</w:t>
      </w:r>
      <w:r w:rsidRPr="00D9620B">
        <w:rPr>
          <w:rFonts w:ascii="Georgia" w:hAnsi="Georgia" w:hint="cs"/>
          <w:sz w:val="18"/>
          <w:szCs w:val="20"/>
          <w:rtl/>
        </w:rPr>
        <w:t xml:space="preserve"> המיישמים אותו הלכה למעשה. חוק השיקום </w:t>
      </w:r>
      <w:r w:rsidRPr="00D9620B">
        <w:rPr>
          <w:rFonts w:ascii="Georgia" w:hAnsi="Georgia"/>
          <w:sz w:val="18"/>
          <w:szCs w:val="20"/>
          <w:rtl/>
        </w:rPr>
        <w:t>הוביל לתנופת פיתוח של שירותי שיקום בקהילה, ועימה כניסה של כוח אדם מקצועי ופר</w:t>
      </w:r>
      <w:r w:rsidRPr="00D9620B">
        <w:rPr>
          <w:rFonts w:ascii="Georgia" w:hAnsi="Georgia" w:hint="cs"/>
          <w:sz w:val="18"/>
          <w:szCs w:val="20"/>
          <w:rtl/>
        </w:rPr>
        <w:t>ה</w:t>
      </w:r>
      <w:r w:rsidRPr="00D9620B">
        <w:rPr>
          <w:rFonts w:ascii="Georgia" w:hAnsi="Georgia"/>
          <w:sz w:val="18"/>
          <w:szCs w:val="20"/>
          <w:rtl/>
        </w:rPr>
        <w:t xml:space="preserve">-מקצועי למעגל המתרחב של נותני השירותים. עם זאת, לאורך השנים מתקשה מערך השיקום לבסס תהליכים ארגוניים ומקצועיים של חיזוק ופיתוח ההון האנושי. </w:t>
      </w:r>
      <w:r w:rsidRPr="00D9620B">
        <w:rPr>
          <w:rFonts w:ascii="Georgia" w:hAnsi="Georgia" w:hint="cs"/>
          <w:sz w:val="18"/>
          <w:szCs w:val="20"/>
          <w:rtl/>
        </w:rPr>
        <w:t xml:space="preserve">לפיכך </w:t>
      </w:r>
      <w:r w:rsidRPr="00D9620B">
        <w:rPr>
          <w:rFonts w:ascii="Georgia" w:hAnsi="Georgia"/>
          <w:sz w:val="18"/>
          <w:szCs w:val="20"/>
          <w:rtl/>
        </w:rPr>
        <w:t xml:space="preserve">אנו עדים כיום למשבר חמור בתחום כוח האדם במערך השיקום הפסיכיאטרי, </w:t>
      </w:r>
      <w:r w:rsidRPr="00D9620B">
        <w:rPr>
          <w:rFonts w:ascii="Georgia" w:hAnsi="Georgia" w:hint="cs"/>
          <w:sz w:val="18"/>
          <w:szCs w:val="20"/>
          <w:rtl/>
        </w:rPr>
        <w:t>משבר ה</w:t>
      </w:r>
      <w:r w:rsidRPr="00D9620B">
        <w:rPr>
          <w:rFonts w:ascii="Georgia" w:hAnsi="Georgia"/>
          <w:sz w:val="18"/>
          <w:szCs w:val="20"/>
          <w:rtl/>
        </w:rPr>
        <w:t xml:space="preserve">נותן </w:t>
      </w:r>
      <w:r w:rsidRPr="00D9620B">
        <w:rPr>
          <w:rFonts w:ascii="Georgia" w:hAnsi="Georgia" w:hint="cs"/>
          <w:sz w:val="18"/>
          <w:szCs w:val="20"/>
          <w:rtl/>
        </w:rPr>
        <w:t xml:space="preserve">את </w:t>
      </w:r>
      <w:r w:rsidRPr="00D9620B">
        <w:rPr>
          <w:rFonts w:ascii="Georgia" w:hAnsi="Georgia"/>
          <w:sz w:val="18"/>
          <w:szCs w:val="20"/>
          <w:rtl/>
        </w:rPr>
        <w:t>אותותיו ביכולת</w:t>
      </w:r>
      <w:r w:rsidRPr="00D9620B">
        <w:rPr>
          <w:rFonts w:ascii="Georgia" w:hAnsi="Georgia" w:hint="cs"/>
          <w:sz w:val="18"/>
          <w:szCs w:val="20"/>
          <w:rtl/>
        </w:rPr>
        <w:t>ן של</w:t>
      </w:r>
      <w:r w:rsidRPr="00D9620B">
        <w:rPr>
          <w:rFonts w:ascii="Georgia" w:hAnsi="Georgia"/>
          <w:sz w:val="18"/>
          <w:szCs w:val="20"/>
          <w:rtl/>
        </w:rPr>
        <w:t xml:space="preserve"> המסגרות לספק את השירותים במלואם. משבר זה מתבטא במחסור בעובדים, </w:t>
      </w:r>
      <w:r w:rsidRPr="00D9620B">
        <w:rPr>
          <w:rFonts w:ascii="Georgia" w:hAnsi="Georgia" w:hint="cs"/>
          <w:sz w:val="18"/>
          <w:szCs w:val="20"/>
          <w:rtl/>
        </w:rPr>
        <w:t>ב</w:t>
      </w:r>
      <w:r w:rsidRPr="00D9620B">
        <w:rPr>
          <w:rFonts w:ascii="Georgia" w:hAnsi="Georgia"/>
          <w:sz w:val="18"/>
          <w:szCs w:val="20"/>
          <w:rtl/>
        </w:rPr>
        <w:t xml:space="preserve">קשיי גיוס, </w:t>
      </w:r>
      <w:r w:rsidRPr="00D9620B">
        <w:rPr>
          <w:rFonts w:ascii="Georgia" w:hAnsi="Georgia" w:hint="cs"/>
          <w:sz w:val="18"/>
          <w:szCs w:val="20"/>
          <w:rtl/>
        </w:rPr>
        <w:t>ב</w:t>
      </w:r>
      <w:r w:rsidRPr="00D9620B">
        <w:rPr>
          <w:rFonts w:ascii="Georgia" w:hAnsi="Georgia"/>
          <w:sz w:val="18"/>
          <w:szCs w:val="20"/>
          <w:rtl/>
        </w:rPr>
        <w:t xml:space="preserve">שיעור גבוה של תחלופת עובדים ועוד, עד כדי פגיעה במתן השירותים וביכולת לספק את המענים </w:t>
      </w:r>
      <w:r w:rsidRPr="00D9620B">
        <w:rPr>
          <w:rFonts w:ascii="Georgia" w:hAnsi="Georgia" w:hint="cs"/>
          <w:sz w:val="18"/>
          <w:szCs w:val="20"/>
          <w:rtl/>
        </w:rPr>
        <w:t>ל</w:t>
      </w:r>
      <w:r w:rsidRPr="00D9620B">
        <w:rPr>
          <w:rFonts w:ascii="Georgia" w:hAnsi="Georgia"/>
          <w:sz w:val="18"/>
          <w:szCs w:val="20"/>
          <w:rtl/>
        </w:rPr>
        <w:t>אוכלוסיית הצרכנים.</w:t>
      </w:r>
    </w:p>
    <w:p w14:paraId="45F566BB"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sz w:val="18"/>
          <w:szCs w:val="20"/>
          <w:rtl/>
        </w:rPr>
        <w:t xml:space="preserve">סקר שבוצע במסגרת </w:t>
      </w:r>
      <w:proofErr w:type="spellStart"/>
      <w:r w:rsidRPr="00D9620B">
        <w:rPr>
          <w:rFonts w:ascii="Georgia" w:hAnsi="Georgia"/>
          <w:sz w:val="18"/>
          <w:szCs w:val="20"/>
          <w:rtl/>
        </w:rPr>
        <w:t>יספר"א</w:t>
      </w:r>
      <w:proofErr w:type="spellEnd"/>
      <w:r w:rsidRPr="00D9620B">
        <w:rPr>
          <w:rFonts w:ascii="Georgia" w:hAnsi="Georgia"/>
          <w:sz w:val="18"/>
          <w:szCs w:val="20"/>
          <w:rtl/>
        </w:rPr>
        <w:t xml:space="preserve"> (האגודה הישראלית לשיקום פסיכיאטרי) בשנת 2022 (אחרי משבר הקורונה אבל לפני תחילת מלחמ</w:t>
      </w:r>
      <w:r w:rsidRPr="00D9620B">
        <w:rPr>
          <w:rFonts w:ascii="Georgia" w:hAnsi="Georgia" w:hint="cs"/>
          <w:sz w:val="18"/>
          <w:szCs w:val="20"/>
          <w:rtl/>
        </w:rPr>
        <w:t xml:space="preserve">ת שבעה </w:t>
      </w:r>
      <w:r w:rsidRPr="00D9620B">
        <w:rPr>
          <w:rFonts w:ascii="Georgia" w:hAnsi="Georgia"/>
          <w:sz w:val="18"/>
          <w:szCs w:val="20"/>
          <w:rtl/>
        </w:rPr>
        <w:t xml:space="preserve">באוקטובר 2023) בקרב 552 עובדים בצוותי שיקום בקהילה, במגוון שירותים ותפקידים, בחן את נקודות מבטם </w:t>
      </w:r>
      <w:r w:rsidRPr="00D9620B">
        <w:rPr>
          <w:rFonts w:ascii="Georgia" w:hAnsi="Georgia" w:hint="cs"/>
          <w:sz w:val="18"/>
          <w:szCs w:val="20"/>
          <w:rtl/>
        </w:rPr>
        <w:t xml:space="preserve">בנוגע </w:t>
      </w:r>
      <w:r w:rsidRPr="00D9620B">
        <w:rPr>
          <w:rFonts w:ascii="Georgia" w:hAnsi="Georgia"/>
          <w:sz w:val="18"/>
          <w:szCs w:val="20"/>
          <w:rtl/>
        </w:rPr>
        <w:t>לעבודת השיקום</w:t>
      </w:r>
      <w:r w:rsidRPr="00D9620B">
        <w:rPr>
          <w:rFonts w:ascii="Georgia" w:hAnsi="Georgia" w:hint="cs"/>
          <w:sz w:val="18"/>
          <w:szCs w:val="20"/>
          <w:rtl/>
        </w:rPr>
        <w:t>, ובירר כיצד הם מעריכים ס</w:t>
      </w:r>
      <w:r w:rsidRPr="00D9620B">
        <w:rPr>
          <w:rFonts w:ascii="Georgia" w:hAnsi="Georgia"/>
          <w:sz w:val="18"/>
          <w:szCs w:val="20"/>
          <w:rtl/>
        </w:rPr>
        <w:t xml:space="preserve">וגיות בתחום כוח האדם. </w:t>
      </w:r>
      <w:r w:rsidRPr="00D9620B">
        <w:rPr>
          <w:rFonts w:ascii="Georgia" w:hAnsi="Georgia" w:hint="cs"/>
          <w:sz w:val="18"/>
          <w:szCs w:val="20"/>
          <w:rtl/>
        </w:rPr>
        <w:t>ה</w:t>
      </w:r>
      <w:r w:rsidRPr="00D9620B">
        <w:rPr>
          <w:rFonts w:ascii="Georgia" w:hAnsi="Georgia"/>
          <w:sz w:val="18"/>
          <w:szCs w:val="20"/>
          <w:rtl/>
        </w:rPr>
        <w:t xml:space="preserve">נתונים </w:t>
      </w:r>
      <w:r w:rsidRPr="00D9620B">
        <w:rPr>
          <w:rFonts w:ascii="Georgia" w:hAnsi="Georgia" w:hint="cs"/>
          <w:sz w:val="18"/>
          <w:szCs w:val="20"/>
          <w:rtl/>
        </w:rPr>
        <w:t>ה</w:t>
      </w:r>
      <w:r w:rsidRPr="00D9620B">
        <w:rPr>
          <w:rFonts w:ascii="Georgia" w:hAnsi="Georgia"/>
          <w:sz w:val="18"/>
          <w:szCs w:val="20"/>
          <w:rtl/>
        </w:rPr>
        <w:t>כמותיים ו</w:t>
      </w:r>
      <w:r w:rsidRPr="00D9620B">
        <w:rPr>
          <w:rFonts w:ascii="Georgia" w:hAnsi="Georgia" w:hint="cs"/>
          <w:sz w:val="18"/>
          <w:szCs w:val="20"/>
          <w:rtl/>
        </w:rPr>
        <w:t>ה</w:t>
      </w:r>
      <w:r w:rsidRPr="00D9620B">
        <w:rPr>
          <w:rFonts w:ascii="Georgia" w:hAnsi="Georgia"/>
          <w:sz w:val="18"/>
          <w:szCs w:val="20"/>
          <w:rtl/>
        </w:rPr>
        <w:t xml:space="preserve">איכותניים </w:t>
      </w:r>
      <w:r w:rsidRPr="00D9620B">
        <w:rPr>
          <w:rFonts w:ascii="Georgia" w:hAnsi="Georgia" w:hint="cs"/>
          <w:sz w:val="18"/>
          <w:szCs w:val="20"/>
          <w:rtl/>
        </w:rPr>
        <w:t>ש</w:t>
      </w:r>
      <w:r w:rsidRPr="00D9620B">
        <w:rPr>
          <w:rFonts w:ascii="Georgia" w:hAnsi="Georgia"/>
          <w:sz w:val="18"/>
          <w:szCs w:val="20"/>
          <w:rtl/>
        </w:rPr>
        <w:t>נאספו ונותחו</w:t>
      </w:r>
      <w:r w:rsidRPr="00D9620B">
        <w:rPr>
          <w:rFonts w:ascii="Georgia" w:hAnsi="Georgia" w:hint="cs"/>
          <w:sz w:val="18"/>
          <w:szCs w:val="20"/>
          <w:rtl/>
        </w:rPr>
        <w:t xml:space="preserve"> </w:t>
      </w:r>
      <w:r w:rsidRPr="00D9620B">
        <w:rPr>
          <w:rFonts w:ascii="Georgia" w:hAnsi="Georgia"/>
          <w:sz w:val="18"/>
          <w:szCs w:val="20"/>
          <w:rtl/>
        </w:rPr>
        <w:t>מציגים תמונה מורכבת</w:t>
      </w:r>
      <w:r w:rsidRPr="00D9620B">
        <w:rPr>
          <w:rFonts w:ascii="Georgia" w:hAnsi="Georgia" w:hint="cs"/>
          <w:sz w:val="18"/>
          <w:szCs w:val="20"/>
          <w:rtl/>
        </w:rPr>
        <w:t xml:space="preserve">, שבה </w:t>
      </w:r>
      <w:r w:rsidRPr="00D9620B">
        <w:rPr>
          <w:rFonts w:ascii="Georgia" w:hAnsi="Georgia"/>
          <w:sz w:val="18"/>
          <w:szCs w:val="20"/>
          <w:rtl/>
        </w:rPr>
        <w:t>הבדלים בין דרגים וסוגי תפקידים בתפיסת סוגיות של כוח אדם.</w:t>
      </w:r>
    </w:p>
    <w:p w14:paraId="7272ED18"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sz w:val="18"/>
          <w:szCs w:val="20"/>
          <w:rtl/>
        </w:rPr>
        <w:lastRenderedPageBreak/>
        <w:t>ממצאי</w:t>
      </w:r>
      <w:r w:rsidRPr="00D9620B">
        <w:rPr>
          <w:rFonts w:ascii="Georgia" w:hAnsi="Georgia" w:hint="cs"/>
          <w:sz w:val="18"/>
          <w:szCs w:val="20"/>
          <w:rtl/>
        </w:rPr>
        <w:t xml:space="preserve"> הסקר</w:t>
      </w:r>
      <w:r w:rsidRPr="00D9620B">
        <w:rPr>
          <w:rFonts w:ascii="Georgia" w:hAnsi="Georgia"/>
          <w:sz w:val="18"/>
          <w:szCs w:val="20"/>
          <w:rtl/>
        </w:rPr>
        <w:t xml:space="preserve"> מצביעים על מניעים אלטרואיסטי</w:t>
      </w:r>
      <w:r w:rsidRPr="00D9620B">
        <w:rPr>
          <w:rFonts w:ascii="Georgia" w:hAnsi="Georgia" w:hint="cs"/>
          <w:sz w:val="18"/>
          <w:szCs w:val="20"/>
          <w:rtl/>
        </w:rPr>
        <w:t>י</w:t>
      </w:r>
      <w:r w:rsidRPr="00D9620B">
        <w:rPr>
          <w:rFonts w:ascii="Georgia" w:hAnsi="Georgia"/>
          <w:sz w:val="18"/>
          <w:szCs w:val="20"/>
          <w:rtl/>
        </w:rPr>
        <w:t>ם בעבודת צוותי השיקום, לצד מפגש עם מציאות תעסוקתית עתירת חסמים. הסקר חושף נקודות מבט של מנהלים, דרג מקצועי ופר</w:t>
      </w:r>
      <w:r w:rsidRPr="00D9620B">
        <w:rPr>
          <w:rFonts w:ascii="Georgia" w:hAnsi="Georgia" w:hint="cs"/>
          <w:sz w:val="18"/>
          <w:szCs w:val="20"/>
          <w:rtl/>
        </w:rPr>
        <w:t>ה-</w:t>
      </w:r>
      <w:r w:rsidRPr="00D9620B">
        <w:rPr>
          <w:rFonts w:ascii="Georgia" w:hAnsi="Georgia"/>
          <w:sz w:val="18"/>
          <w:szCs w:val="20"/>
          <w:rtl/>
        </w:rPr>
        <w:t xml:space="preserve">מקצועי, </w:t>
      </w:r>
      <w:r w:rsidRPr="00D9620B">
        <w:rPr>
          <w:rFonts w:ascii="Georgia" w:hAnsi="Georgia" w:hint="cs"/>
          <w:sz w:val="18"/>
          <w:szCs w:val="20"/>
          <w:rtl/>
        </w:rPr>
        <w:t>ו</w:t>
      </w:r>
      <w:r w:rsidRPr="00D9620B">
        <w:rPr>
          <w:rFonts w:ascii="Georgia" w:hAnsi="Georgia"/>
          <w:sz w:val="18"/>
          <w:szCs w:val="20"/>
          <w:rtl/>
        </w:rPr>
        <w:t xml:space="preserve">מהן מצטיירים פערים בולטים בין התשומות לבין התגמול בגינן </w:t>
      </w:r>
      <w:r w:rsidRPr="00D9620B">
        <w:rPr>
          <w:rFonts w:ascii="Georgia" w:hAnsi="Georgia" w:hint="cs"/>
          <w:sz w:val="18"/>
          <w:szCs w:val="20"/>
          <w:rtl/>
        </w:rPr>
        <w:t>ו</w:t>
      </w:r>
      <w:r w:rsidRPr="00D9620B">
        <w:rPr>
          <w:rFonts w:ascii="Georgia" w:hAnsi="Georgia"/>
          <w:sz w:val="18"/>
          <w:szCs w:val="20"/>
          <w:rtl/>
        </w:rPr>
        <w:t>שחיקת תחושת הערך.</w:t>
      </w:r>
      <w:r w:rsidRPr="00D9620B">
        <w:rPr>
          <w:rFonts w:ascii="Georgia" w:hAnsi="Georgia" w:hint="cs"/>
          <w:sz w:val="18"/>
          <w:szCs w:val="20"/>
          <w:rtl/>
        </w:rPr>
        <w:t xml:space="preserve"> </w:t>
      </w:r>
      <w:r w:rsidRPr="00D9620B">
        <w:rPr>
          <w:rFonts w:ascii="Georgia" w:hAnsi="Georgia"/>
          <w:sz w:val="18"/>
          <w:szCs w:val="20"/>
          <w:rtl/>
        </w:rPr>
        <w:t>התמונה העולה מן הסקר מחייבת</w:t>
      </w:r>
      <w:r w:rsidRPr="00D9620B">
        <w:rPr>
          <w:rFonts w:ascii="Georgia" w:hAnsi="Georgia" w:hint="cs"/>
          <w:sz w:val="18"/>
          <w:szCs w:val="20"/>
          <w:rtl/>
        </w:rPr>
        <w:t xml:space="preserve"> אפוא </w:t>
      </w:r>
      <w:r w:rsidRPr="00D9620B">
        <w:rPr>
          <w:rFonts w:ascii="Georgia" w:hAnsi="Georgia"/>
          <w:sz w:val="18"/>
          <w:szCs w:val="20"/>
          <w:rtl/>
        </w:rPr>
        <w:t xml:space="preserve">התייחסות מעשית </w:t>
      </w:r>
      <w:r w:rsidRPr="00D9620B">
        <w:rPr>
          <w:rFonts w:ascii="Georgia" w:hAnsi="Georgia" w:hint="cs"/>
          <w:sz w:val="18"/>
          <w:szCs w:val="20"/>
          <w:rtl/>
        </w:rPr>
        <w:t>שתאפשר</w:t>
      </w:r>
      <w:r w:rsidRPr="00D9620B">
        <w:rPr>
          <w:rFonts w:ascii="Georgia" w:hAnsi="Georgia"/>
          <w:sz w:val="18"/>
          <w:szCs w:val="20"/>
          <w:rtl/>
        </w:rPr>
        <w:t xml:space="preserve"> מערך שיקום פסיכיאטרי מתפקד ומתפתח. </w:t>
      </w:r>
      <w:r w:rsidRPr="00D9620B">
        <w:rPr>
          <w:rFonts w:ascii="Georgia" w:hAnsi="Georgia" w:hint="cs"/>
          <w:sz w:val="18"/>
          <w:szCs w:val="20"/>
          <w:rtl/>
        </w:rPr>
        <w:t xml:space="preserve">במאמר </w:t>
      </w:r>
      <w:r w:rsidRPr="00D9620B">
        <w:rPr>
          <w:rFonts w:ascii="Georgia" w:hAnsi="Georgia"/>
          <w:sz w:val="18"/>
          <w:szCs w:val="20"/>
          <w:rtl/>
        </w:rPr>
        <w:t xml:space="preserve">מוצעים צעדים לקידום שינוי חיובי בתחום כוח האדם בשיקום ולצמצום הפערים. </w:t>
      </w:r>
    </w:p>
    <w:p w14:paraId="3DFEB7C4" w14:textId="345419C7" w:rsidR="00D9620B" w:rsidRPr="00D9620B" w:rsidRDefault="00D9620B" w:rsidP="00EA55CA">
      <w:pPr>
        <w:spacing w:after="180" w:line="270" w:lineRule="exact"/>
        <w:jc w:val="both"/>
        <w:rPr>
          <w:rFonts w:ascii="Georgia" w:eastAsia="David" w:hAnsi="Georgia"/>
          <w:sz w:val="18"/>
          <w:szCs w:val="20"/>
          <w:rtl/>
        </w:rPr>
      </w:pPr>
      <w:r w:rsidRPr="00D9620B">
        <w:rPr>
          <w:rFonts w:ascii="Georgia" w:hAnsi="Georgia" w:hint="cs"/>
          <w:sz w:val="18"/>
          <w:szCs w:val="20"/>
          <w:rtl/>
        </w:rPr>
        <w:t xml:space="preserve">לאחר שני המאמרים המציגים </w:t>
      </w:r>
      <w:r w:rsidR="008114CB">
        <w:rPr>
          <w:rFonts w:ascii="Georgia" w:hAnsi="Georgia" w:hint="cs"/>
          <w:sz w:val="18"/>
          <w:szCs w:val="20"/>
          <w:rtl/>
        </w:rPr>
        <w:t>את ז</w:t>
      </w:r>
      <w:r w:rsidR="008114CB" w:rsidRPr="00D9620B">
        <w:rPr>
          <w:rFonts w:ascii="Georgia" w:hAnsi="Georgia" w:hint="cs"/>
          <w:sz w:val="18"/>
          <w:szCs w:val="20"/>
          <w:rtl/>
        </w:rPr>
        <w:t xml:space="preserve">ווית </w:t>
      </w:r>
      <w:r w:rsidR="008114CB">
        <w:rPr>
          <w:rFonts w:ascii="Georgia" w:hAnsi="Georgia" w:hint="cs"/>
          <w:sz w:val="18"/>
          <w:szCs w:val="20"/>
          <w:rtl/>
        </w:rPr>
        <w:t xml:space="preserve">הראייה של </w:t>
      </w:r>
      <w:r w:rsidRPr="00D9620B">
        <w:rPr>
          <w:rFonts w:ascii="Georgia" w:hAnsi="Georgia" w:hint="cs"/>
          <w:sz w:val="18"/>
          <w:szCs w:val="20"/>
          <w:rtl/>
        </w:rPr>
        <w:t xml:space="preserve">אנשי המקצוע, המאמרים הבאים בגיליון מציגים נקודות מבט של אוכלוסיות אחרות. המאמר של גיא הוכמן, רמי יוסף, שנהב מלול ותהילה </w:t>
      </w:r>
      <w:proofErr w:type="spellStart"/>
      <w:r w:rsidRPr="00D9620B">
        <w:rPr>
          <w:rFonts w:ascii="Georgia" w:hAnsi="Georgia" w:hint="cs"/>
          <w:sz w:val="18"/>
          <w:szCs w:val="20"/>
          <w:rtl/>
        </w:rPr>
        <w:t>קלעג'י</w:t>
      </w:r>
      <w:proofErr w:type="spellEnd"/>
      <w:r w:rsidRPr="00D9620B">
        <w:rPr>
          <w:rFonts w:ascii="Georgia" w:hAnsi="Georgia" w:hint="cs"/>
          <w:sz w:val="18"/>
          <w:szCs w:val="20"/>
          <w:rtl/>
        </w:rPr>
        <w:t xml:space="preserve">, </w:t>
      </w:r>
      <w:r w:rsidRPr="00D9620B">
        <w:rPr>
          <w:rFonts w:ascii="Georgia" w:hAnsi="Georgia"/>
          <w:b/>
          <w:bCs/>
          <w:sz w:val="18"/>
          <w:szCs w:val="20"/>
          <w:rtl/>
        </w:rPr>
        <w:t>בריחה פנסיונית</w:t>
      </w:r>
      <w:r w:rsidRPr="00D9620B">
        <w:rPr>
          <w:rFonts w:ascii="Georgia" w:hAnsi="Georgia" w:hint="cs"/>
          <w:b/>
          <w:bCs/>
          <w:sz w:val="18"/>
          <w:szCs w:val="20"/>
          <w:rtl/>
        </w:rPr>
        <w:t>:</w:t>
      </w:r>
      <w:r w:rsidRPr="00D9620B">
        <w:rPr>
          <w:rFonts w:ascii="Georgia" w:hAnsi="Georgia"/>
          <w:b/>
          <w:bCs/>
          <w:sz w:val="18"/>
          <w:szCs w:val="20"/>
          <w:rtl/>
        </w:rPr>
        <w:t xml:space="preserve"> חסמים להימנעות ממידע פנסיוני באוכלוסייה הישראלית לגווניה</w:t>
      </w:r>
      <w:r w:rsidRPr="00D9620B">
        <w:rPr>
          <w:rFonts w:ascii="Georgia" w:hAnsi="Georgia" w:hint="cs"/>
          <w:sz w:val="18"/>
          <w:szCs w:val="20"/>
          <w:rtl/>
        </w:rPr>
        <w:t>,</w:t>
      </w:r>
      <w:r w:rsidRPr="00D9620B">
        <w:rPr>
          <w:rFonts w:ascii="Georgia" w:hAnsi="Georgia" w:hint="cs"/>
          <w:b/>
          <w:bCs/>
          <w:sz w:val="18"/>
          <w:szCs w:val="20"/>
          <w:rtl/>
        </w:rPr>
        <w:t xml:space="preserve"> </w:t>
      </w:r>
      <w:r w:rsidRPr="00D9620B">
        <w:rPr>
          <w:rFonts w:ascii="Georgia" w:hAnsi="Georgia" w:hint="cs"/>
          <w:sz w:val="18"/>
          <w:szCs w:val="20"/>
          <w:rtl/>
        </w:rPr>
        <w:t>מתמקד ב</w:t>
      </w:r>
      <w:r w:rsidR="008114CB">
        <w:rPr>
          <w:rFonts w:ascii="Georgia" w:hAnsi="Georgia" w:hint="cs"/>
          <w:sz w:val="18"/>
          <w:szCs w:val="20"/>
          <w:rtl/>
        </w:rPr>
        <w:t>נקודת המבט של מ</w:t>
      </w:r>
      <w:r w:rsidRPr="00D9620B">
        <w:rPr>
          <w:rFonts w:ascii="Georgia" w:hAnsi="Georgia" w:hint="cs"/>
          <w:sz w:val="18"/>
          <w:szCs w:val="20"/>
          <w:rtl/>
        </w:rPr>
        <w:t xml:space="preserve">קבלי שירותים בכל הנוגע לסוגיה של תכנון ארוך טווח </w:t>
      </w:r>
      <w:r w:rsidRPr="00D9620B">
        <w:rPr>
          <w:rFonts w:ascii="Georgia" w:hAnsi="Georgia"/>
          <w:sz w:val="18"/>
          <w:szCs w:val="20"/>
          <w:rtl/>
        </w:rPr>
        <w:t>–</w:t>
      </w:r>
      <w:r w:rsidRPr="00D9620B">
        <w:rPr>
          <w:rFonts w:ascii="Georgia" w:hAnsi="Georgia" w:hint="cs"/>
          <w:sz w:val="18"/>
          <w:szCs w:val="20"/>
          <w:rtl/>
        </w:rPr>
        <w:t xml:space="preserve"> התכנון הפנסיוני. כפי שהמחקר מראה, </w:t>
      </w:r>
      <w:r w:rsidRPr="00D9620B">
        <w:rPr>
          <w:rFonts w:ascii="Georgia" w:eastAsia="David" w:hAnsi="Georgia"/>
          <w:sz w:val="18"/>
          <w:szCs w:val="20"/>
          <w:rtl/>
        </w:rPr>
        <w:t xml:space="preserve">עמדות של קבוצות שונות באוכלוסייה </w:t>
      </w:r>
      <w:r w:rsidRPr="00D9620B">
        <w:rPr>
          <w:rFonts w:ascii="Georgia" w:eastAsia="David" w:hAnsi="Georgia" w:hint="cs"/>
          <w:sz w:val="18"/>
          <w:szCs w:val="20"/>
          <w:rtl/>
        </w:rPr>
        <w:t xml:space="preserve">כלפי </w:t>
      </w:r>
      <w:r w:rsidRPr="00D9620B">
        <w:rPr>
          <w:rFonts w:ascii="Georgia" w:eastAsia="David" w:hAnsi="Georgia"/>
          <w:sz w:val="18"/>
          <w:szCs w:val="20"/>
          <w:rtl/>
        </w:rPr>
        <w:t>מגוון סוגיות עשויות להיות חשובות הן לקובעי המדיניות המעצבים את המדיניות, הן לחוקרים המנסים להבין מהן עמדותיהם של פרטים ו</w:t>
      </w:r>
      <w:r w:rsidRPr="00D9620B">
        <w:rPr>
          <w:rFonts w:ascii="Georgia" w:eastAsia="David" w:hAnsi="Georgia" w:hint="cs"/>
          <w:sz w:val="18"/>
          <w:szCs w:val="20"/>
          <w:rtl/>
        </w:rPr>
        <w:t xml:space="preserve">את האופן שבו ניתן להשפיע עליהן. </w:t>
      </w:r>
      <w:r w:rsidRPr="00D9620B">
        <w:rPr>
          <w:rFonts w:ascii="Georgia" w:eastAsia="David" w:hAnsi="Georgia"/>
          <w:sz w:val="18"/>
          <w:szCs w:val="20"/>
          <w:rtl/>
        </w:rPr>
        <w:t xml:space="preserve">החיסכון הפנסיוני, </w:t>
      </w:r>
      <w:r w:rsidRPr="00D9620B">
        <w:rPr>
          <w:rFonts w:ascii="Georgia" w:eastAsia="David" w:hAnsi="Georgia" w:hint="cs"/>
          <w:sz w:val="18"/>
          <w:szCs w:val="20"/>
          <w:rtl/>
        </w:rPr>
        <w:t xml:space="preserve">למשל, הוא </w:t>
      </w:r>
      <w:r w:rsidRPr="00D9620B">
        <w:rPr>
          <w:rFonts w:ascii="Georgia" w:eastAsia="David" w:hAnsi="Georgia"/>
          <w:sz w:val="18"/>
          <w:szCs w:val="20"/>
          <w:rtl/>
        </w:rPr>
        <w:t>מקור ההכנסה העיקרי של הפרט בגיל פרישה</w:t>
      </w:r>
      <w:r w:rsidRPr="00D9620B">
        <w:rPr>
          <w:rFonts w:ascii="Georgia" w:eastAsia="David" w:hAnsi="Georgia" w:hint="cs"/>
          <w:sz w:val="18"/>
          <w:szCs w:val="20"/>
          <w:rtl/>
        </w:rPr>
        <w:t>,</w:t>
      </w:r>
      <w:r w:rsidRPr="00D9620B">
        <w:rPr>
          <w:rFonts w:ascii="Georgia" w:eastAsia="David" w:hAnsi="Georgia"/>
          <w:sz w:val="18"/>
          <w:szCs w:val="20"/>
          <w:rtl/>
        </w:rPr>
        <w:t xml:space="preserve"> ולמרות זאת </w:t>
      </w:r>
      <w:r w:rsidRPr="00D9620B">
        <w:rPr>
          <w:rFonts w:ascii="Georgia" w:eastAsia="David" w:hAnsi="Georgia" w:hint="cs"/>
          <w:sz w:val="18"/>
          <w:szCs w:val="20"/>
          <w:rtl/>
        </w:rPr>
        <w:t>ה</w:t>
      </w:r>
      <w:r w:rsidRPr="00D9620B">
        <w:rPr>
          <w:rFonts w:ascii="Georgia" w:eastAsia="David" w:hAnsi="Georgia"/>
          <w:sz w:val="18"/>
          <w:szCs w:val="20"/>
          <w:rtl/>
        </w:rPr>
        <w:t>עמדות</w:t>
      </w:r>
      <w:r w:rsidRPr="00D9620B">
        <w:rPr>
          <w:rFonts w:ascii="Georgia" w:eastAsia="David" w:hAnsi="Georgia" w:hint="cs"/>
          <w:sz w:val="18"/>
          <w:szCs w:val="20"/>
          <w:rtl/>
        </w:rPr>
        <w:t xml:space="preserve"> בסוגיה,</w:t>
      </w:r>
      <w:r w:rsidRPr="00D9620B">
        <w:rPr>
          <w:rFonts w:ascii="Georgia" w:eastAsia="David" w:hAnsi="Georgia"/>
          <w:sz w:val="18"/>
          <w:szCs w:val="20"/>
          <w:rtl/>
        </w:rPr>
        <w:t xml:space="preserve"> קרי מודעות וידע של הצרכן </w:t>
      </w:r>
      <w:r w:rsidRPr="00D9620B">
        <w:rPr>
          <w:rFonts w:ascii="Georgia" w:eastAsia="David" w:hAnsi="Georgia" w:hint="cs"/>
          <w:sz w:val="18"/>
          <w:szCs w:val="20"/>
          <w:rtl/>
        </w:rPr>
        <w:t>בדבר ה</w:t>
      </w:r>
      <w:r w:rsidRPr="00D9620B">
        <w:rPr>
          <w:rFonts w:ascii="Georgia" w:eastAsia="David" w:hAnsi="Georgia"/>
          <w:sz w:val="18"/>
          <w:szCs w:val="20"/>
          <w:rtl/>
        </w:rPr>
        <w:t>חיסכון הפנסיוני</w:t>
      </w:r>
      <w:r w:rsidRPr="00D9620B">
        <w:rPr>
          <w:rFonts w:ascii="Georgia" w:eastAsia="David" w:hAnsi="Georgia" w:hint="cs"/>
          <w:sz w:val="18"/>
          <w:szCs w:val="20"/>
          <w:rtl/>
        </w:rPr>
        <w:t>, דלות ביותר</w:t>
      </w:r>
      <w:r w:rsidRPr="00D9620B">
        <w:rPr>
          <w:rFonts w:ascii="Georgia" w:eastAsia="David" w:hAnsi="Georgia"/>
          <w:sz w:val="18"/>
          <w:szCs w:val="20"/>
          <w:rtl/>
        </w:rPr>
        <w:t>.</w:t>
      </w:r>
    </w:p>
    <w:p w14:paraId="6FDCB264" w14:textId="77777777" w:rsidR="00D9620B" w:rsidRPr="00D9620B" w:rsidRDefault="00D9620B" w:rsidP="00D9620B">
      <w:pPr>
        <w:pStyle w:val="af4"/>
        <w:tabs>
          <w:tab w:val="left" w:pos="946"/>
        </w:tabs>
        <w:spacing w:after="180" w:line="270" w:lineRule="exact"/>
        <w:ind w:left="0"/>
        <w:jc w:val="both"/>
        <w:rPr>
          <w:rFonts w:ascii="Georgia" w:hAnsi="Georgia" w:cs="David"/>
          <w:sz w:val="18"/>
          <w:szCs w:val="20"/>
          <w:rtl/>
        </w:rPr>
      </w:pPr>
      <w:r w:rsidRPr="00D9620B">
        <w:rPr>
          <w:rFonts w:ascii="Georgia" w:eastAsia="David" w:hAnsi="Georgia" w:cs="David" w:hint="cs"/>
          <w:sz w:val="18"/>
          <w:szCs w:val="20"/>
          <w:rtl/>
        </w:rPr>
        <w:t>בהקשר זה יש לציין כי</w:t>
      </w:r>
      <w:r w:rsidRPr="00D9620B">
        <w:rPr>
          <w:rFonts w:ascii="Georgia" w:eastAsia="David" w:hAnsi="Georgia" w:cs="David"/>
          <w:sz w:val="18"/>
          <w:szCs w:val="20"/>
          <w:rtl/>
        </w:rPr>
        <w:t xml:space="preserve"> אנשים רבים נמנעים מצריכת מידע רלוונטי לתכנון הפרישה שלהם בעתיד ממקום העבודה. התנהגות זו מדאיגה</w:t>
      </w:r>
      <w:r w:rsidRPr="00D9620B">
        <w:rPr>
          <w:rFonts w:ascii="Georgia" w:eastAsia="David" w:hAnsi="Georgia" w:cs="David" w:hint="cs"/>
          <w:sz w:val="18"/>
          <w:szCs w:val="20"/>
          <w:rtl/>
        </w:rPr>
        <w:t>,</w:t>
      </w:r>
      <w:r w:rsidRPr="00D9620B">
        <w:rPr>
          <w:rFonts w:ascii="Georgia" w:eastAsia="David" w:hAnsi="Georgia" w:cs="David"/>
          <w:sz w:val="18"/>
          <w:szCs w:val="20"/>
          <w:rtl/>
        </w:rPr>
        <w:t xml:space="preserve"> מכיוון שמערכות הפנסיה מעבירות את הסיכונים והאחריות ליחידים. ההימנעות ממידע הי</w:t>
      </w:r>
      <w:r w:rsidRPr="00D9620B">
        <w:rPr>
          <w:rFonts w:ascii="Georgia" w:eastAsia="David" w:hAnsi="Georgia" w:cs="David" w:hint="cs"/>
          <w:sz w:val="18"/>
          <w:szCs w:val="20"/>
          <w:rtl/>
        </w:rPr>
        <w:t>א</w:t>
      </w:r>
      <w:r w:rsidRPr="00D9620B">
        <w:rPr>
          <w:rFonts w:ascii="Georgia" w:eastAsia="David" w:hAnsi="Georgia" w:cs="David"/>
          <w:sz w:val="18"/>
          <w:szCs w:val="20"/>
          <w:rtl/>
        </w:rPr>
        <w:t xml:space="preserve"> תופעה חבויה</w:t>
      </w:r>
      <w:r w:rsidRPr="00D9620B">
        <w:rPr>
          <w:rFonts w:ascii="Georgia" w:eastAsia="David" w:hAnsi="Georgia" w:cs="David" w:hint="cs"/>
          <w:sz w:val="18"/>
          <w:szCs w:val="20"/>
          <w:rtl/>
        </w:rPr>
        <w:t>,</w:t>
      </w:r>
      <w:r w:rsidRPr="00D9620B">
        <w:rPr>
          <w:rFonts w:ascii="Georgia" w:eastAsia="David" w:hAnsi="Georgia" w:cs="David"/>
          <w:sz w:val="18"/>
          <w:szCs w:val="20"/>
          <w:rtl/>
        </w:rPr>
        <w:t xml:space="preserve"> כלומר לא התנהגות אלא חוסר בהתנהגות. בהתאם לכך, </w:t>
      </w:r>
      <w:bookmarkStart w:id="1" w:name="_Hlk144161238"/>
      <w:r w:rsidRPr="00D9620B">
        <w:rPr>
          <w:rFonts w:ascii="Georgia" w:hAnsi="Georgia" w:cs="David" w:hint="cs"/>
          <w:sz w:val="18"/>
          <w:szCs w:val="20"/>
          <w:rtl/>
        </w:rPr>
        <w:t xml:space="preserve">מטרות המחקר הן </w:t>
      </w:r>
      <w:r w:rsidRPr="00D9620B">
        <w:rPr>
          <w:rFonts w:ascii="Georgia" w:hAnsi="Georgia" w:cs="David"/>
          <w:sz w:val="18"/>
          <w:szCs w:val="20"/>
          <w:rtl/>
        </w:rPr>
        <w:t>לאפיין את הימנעותם של המשתתפים ממידע פנסיוני, לבחון את המניעים להימנעות ממידע</w:t>
      </w:r>
      <w:r w:rsidRPr="00D9620B">
        <w:rPr>
          <w:rFonts w:ascii="Georgia" w:hAnsi="Georgia" w:cs="David" w:hint="cs"/>
          <w:sz w:val="18"/>
          <w:szCs w:val="20"/>
          <w:rtl/>
        </w:rPr>
        <w:t>,</w:t>
      </w:r>
      <w:r w:rsidRPr="00D9620B">
        <w:rPr>
          <w:rFonts w:ascii="Georgia" w:hAnsi="Georgia" w:cs="David"/>
          <w:sz w:val="18"/>
          <w:szCs w:val="20"/>
          <w:rtl/>
        </w:rPr>
        <w:t xml:space="preserve"> ואת מידת ההשפעה של </w:t>
      </w:r>
      <w:r w:rsidRPr="00D9620B">
        <w:rPr>
          <w:rFonts w:ascii="Georgia" w:hAnsi="Georgia" w:cs="David"/>
          <w:spacing w:val="-2"/>
          <w:sz w:val="18"/>
          <w:szCs w:val="20"/>
          <w:rtl/>
        </w:rPr>
        <w:t>מניעים אלה –</w:t>
      </w:r>
      <w:r w:rsidRPr="00D9620B">
        <w:rPr>
          <w:rFonts w:ascii="Georgia" w:hAnsi="Georgia" w:cs="David" w:hint="cs"/>
          <w:spacing w:val="-2"/>
          <w:sz w:val="18"/>
          <w:szCs w:val="20"/>
          <w:rtl/>
        </w:rPr>
        <w:t xml:space="preserve"> </w:t>
      </w:r>
      <w:r w:rsidRPr="00D9620B">
        <w:rPr>
          <w:rFonts w:ascii="Georgia" w:hAnsi="Georgia" w:cs="David"/>
          <w:spacing w:val="-2"/>
          <w:sz w:val="18"/>
          <w:szCs w:val="20"/>
          <w:rtl/>
        </w:rPr>
        <w:t>אם בכלל</w:t>
      </w:r>
      <w:r w:rsidRPr="00D9620B">
        <w:rPr>
          <w:rFonts w:ascii="Georgia" w:hAnsi="Georgia" w:cs="David" w:hint="cs"/>
          <w:spacing w:val="-2"/>
          <w:sz w:val="18"/>
          <w:szCs w:val="20"/>
          <w:rtl/>
        </w:rPr>
        <w:t xml:space="preserve"> </w:t>
      </w:r>
      <w:r w:rsidRPr="00D9620B">
        <w:rPr>
          <w:rFonts w:ascii="Georgia" w:hAnsi="Georgia" w:cs="David"/>
          <w:spacing w:val="-2"/>
          <w:sz w:val="18"/>
          <w:szCs w:val="20"/>
          <w:rtl/>
        </w:rPr>
        <w:t xml:space="preserve">– על החיסכון הפנסיוני, </w:t>
      </w:r>
      <w:r w:rsidRPr="00D9620B">
        <w:rPr>
          <w:rFonts w:ascii="Georgia" w:hAnsi="Georgia" w:cs="David" w:hint="cs"/>
          <w:spacing w:val="-2"/>
          <w:sz w:val="18"/>
          <w:szCs w:val="20"/>
          <w:rtl/>
        </w:rPr>
        <w:t xml:space="preserve">וכל זאת </w:t>
      </w:r>
      <w:r w:rsidRPr="00D9620B">
        <w:rPr>
          <w:rFonts w:ascii="Georgia" w:hAnsi="Georgia" w:cs="David"/>
          <w:spacing w:val="-2"/>
          <w:sz w:val="18"/>
          <w:szCs w:val="20"/>
          <w:rtl/>
        </w:rPr>
        <w:t xml:space="preserve">תוך </w:t>
      </w:r>
      <w:r w:rsidRPr="00D9620B">
        <w:rPr>
          <w:rFonts w:ascii="Georgia" w:hAnsi="Georgia" w:cs="David" w:hint="cs"/>
          <w:spacing w:val="-2"/>
          <w:sz w:val="18"/>
          <w:szCs w:val="20"/>
          <w:rtl/>
        </w:rPr>
        <w:t xml:space="preserve">כדי </w:t>
      </w:r>
      <w:r w:rsidRPr="00D9620B">
        <w:rPr>
          <w:rFonts w:ascii="Georgia" w:hAnsi="Georgia" w:cs="David"/>
          <w:spacing w:val="-2"/>
          <w:sz w:val="18"/>
          <w:szCs w:val="20"/>
          <w:rtl/>
        </w:rPr>
        <w:t>השוואה בין שתי אוכלוסיות</w:t>
      </w:r>
      <w:r w:rsidRPr="00D9620B">
        <w:rPr>
          <w:rFonts w:ascii="Georgia" w:hAnsi="Georgia" w:cs="David"/>
          <w:sz w:val="18"/>
          <w:szCs w:val="20"/>
          <w:rtl/>
        </w:rPr>
        <w:t xml:space="preserve"> שמרניות </w:t>
      </w:r>
      <w:r w:rsidRPr="00D9620B">
        <w:rPr>
          <w:rFonts w:ascii="Georgia" w:hAnsi="Georgia" w:cs="David" w:hint="cs"/>
          <w:sz w:val="18"/>
          <w:szCs w:val="20"/>
          <w:rtl/>
        </w:rPr>
        <w:t xml:space="preserve">שחשיפתן למידע נמוכה </w:t>
      </w:r>
      <w:r w:rsidRPr="00D9620B">
        <w:rPr>
          <w:rFonts w:ascii="Georgia" w:hAnsi="Georgia" w:cs="David"/>
          <w:sz w:val="18"/>
          <w:szCs w:val="20"/>
          <w:rtl/>
        </w:rPr>
        <w:t>–</w:t>
      </w:r>
      <w:r w:rsidRPr="00D9620B">
        <w:rPr>
          <w:rFonts w:ascii="Georgia" w:hAnsi="Georgia" w:cs="David" w:hint="cs"/>
          <w:sz w:val="18"/>
          <w:szCs w:val="20"/>
          <w:rtl/>
        </w:rPr>
        <w:t xml:space="preserve"> </w:t>
      </w:r>
      <w:r w:rsidRPr="00D9620B">
        <w:rPr>
          <w:rFonts w:ascii="Georgia" w:hAnsi="Georgia" w:cs="David"/>
          <w:sz w:val="18"/>
          <w:szCs w:val="20"/>
          <w:rtl/>
        </w:rPr>
        <w:t>החרדית והערבית, לבין האוכלוסייה הכללית בישראל.</w:t>
      </w:r>
    </w:p>
    <w:bookmarkEnd w:id="1"/>
    <w:p w14:paraId="00B49E84" w14:textId="77777777" w:rsidR="00D9620B" w:rsidRPr="00D9620B" w:rsidRDefault="00D9620B" w:rsidP="00D9620B">
      <w:pPr>
        <w:pStyle w:val="af4"/>
        <w:tabs>
          <w:tab w:val="left" w:pos="946"/>
        </w:tabs>
        <w:spacing w:after="180" w:line="270" w:lineRule="exact"/>
        <w:ind w:left="0"/>
        <w:jc w:val="both"/>
        <w:rPr>
          <w:rFonts w:ascii="Georgia" w:eastAsia="David" w:hAnsi="Georgia" w:cs="David"/>
          <w:sz w:val="18"/>
          <w:szCs w:val="20"/>
          <w:rtl/>
        </w:rPr>
      </w:pPr>
      <w:r w:rsidRPr="00D9620B">
        <w:rPr>
          <w:rFonts w:ascii="Georgia" w:eastAsia="David" w:hAnsi="Georgia" w:cs="David" w:hint="cs"/>
          <w:sz w:val="18"/>
          <w:szCs w:val="20"/>
          <w:rtl/>
        </w:rPr>
        <w:t xml:space="preserve">המחקר נעשה בשיטה איכותנית, כדי </w:t>
      </w:r>
      <w:r w:rsidRPr="00D9620B">
        <w:rPr>
          <w:rFonts w:ascii="Georgia" w:eastAsia="David" w:hAnsi="Georgia" w:cs="David"/>
          <w:sz w:val="18"/>
          <w:szCs w:val="20"/>
          <w:rtl/>
        </w:rPr>
        <w:t>לאפיין את ההימנעות ממידע פנסיוני ואת הסיבות לה באמצעות קולם של המשתתפים. מ</w:t>
      </w:r>
      <w:r w:rsidRPr="00D9620B">
        <w:rPr>
          <w:rFonts w:ascii="Georgia" w:eastAsia="David" w:hAnsi="Georgia" w:cs="David" w:hint="cs"/>
          <w:sz w:val="18"/>
          <w:szCs w:val="20"/>
          <w:rtl/>
        </w:rPr>
        <w:t xml:space="preserve">ן הממצאים </w:t>
      </w:r>
      <w:r w:rsidRPr="00D9620B">
        <w:rPr>
          <w:rFonts w:ascii="Georgia" w:eastAsia="David" w:hAnsi="Georgia" w:cs="David"/>
          <w:sz w:val="18"/>
          <w:szCs w:val="20"/>
          <w:rtl/>
        </w:rPr>
        <w:t xml:space="preserve">עולה כי אוכלוסיות המחקר נמנעות ממידע פנסיוני באופן דומה, אך </w:t>
      </w:r>
      <w:r w:rsidRPr="00D9620B">
        <w:rPr>
          <w:rFonts w:ascii="Georgia" w:eastAsia="David" w:hAnsi="Georgia" w:cs="David" w:hint="cs"/>
          <w:sz w:val="18"/>
          <w:szCs w:val="20"/>
          <w:rtl/>
        </w:rPr>
        <w:t xml:space="preserve">מסיבות שונות. האוכלוסייה </w:t>
      </w:r>
      <w:r w:rsidRPr="00D9620B">
        <w:rPr>
          <w:rFonts w:ascii="Georgia" w:eastAsia="David" w:hAnsi="Georgia" w:cs="David"/>
          <w:sz w:val="18"/>
          <w:szCs w:val="20"/>
          <w:rtl/>
        </w:rPr>
        <w:t>הכללית נמנעת מהמידע הפנסיוני בכוונה תחילה בשל חששות מניהול לא תקין של פנסיה ומקבלת החלטות שגויות. לעומת זאת, החרדים ו</w:t>
      </w:r>
      <w:r w:rsidRPr="00D9620B">
        <w:rPr>
          <w:rFonts w:ascii="Georgia" w:eastAsia="David" w:hAnsi="Georgia" w:cs="David" w:hint="cs"/>
          <w:sz w:val="18"/>
          <w:szCs w:val="20"/>
          <w:rtl/>
        </w:rPr>
        <w:t>ה</w:t>
      </w:r>
      <w:r w:rsidRPr="00D9620B">
        <w:rPr>
          <w:rFonts w:ascii="Georgia" w:eastAsia="David" w:hAnsi="Georgia" w:cs="David"/>
          <w:sz w:val="18"/>
          <w:szCs w:val="20"/>
          <w:rtl/>
        </w:rPr>
        <w:t xml:space="preserve">ערבים </w:t>
      </w:r>
      <w:r w:rsidRPr="00D9620B">
        <w:rPr>
          <w:rFonts w:ascii="Georgia" w:eastAsia="David" w:hAnsi="Georgia" w:cs="David" w:hint="cs"/>
          <w:sz w:val="18"/>
          <w:szCs w:val="20"/>
          <w:rtl/>
        </w:rPr>
        <w:t xml:space="preserve">נמנעים ממידע פנסיוני עקב חוסר נגישות שלו, </w:t>
      </w:r>
      <w:r w:rsidRPr="00D9620B">
        <w:rPr>
          <w:rFonts w:ascii="Georgia" w:eastAsia="David" w:hAnsi="Georgia" w:cs="David"/>
          <w:sz w:val="18"/>
          <w:szCs w:val="20"/>
          <w:rtl/>
        </w:rPr>
        <w:t xml:space="preserve">וחוסר ידע </w:t>
      </w:r>
      <w:r w:rsidRPr="00D9620B">
        <w:rPr>
          <w:rFonts w:ascii="Georgia" w:eastAsia="David" w:hAnsi="Georgia" w:cs="David" w:hint="cs"/>
          <w:sz w:val="18"/>
          <w:szCs w:val="20"/>
          <w:rtl/>
        </w:rPr>
        <w:t xml:space="preserve">בדבר </w:t>
      </w:r>
      <w:r w:rsidRPr="00D9620B">
        <w:rPr>
          <w:rFonts w:ascii="Georgia" w:eastAsia="David" w:hAnsi="Georgia" w:cs="David"/>
          <w:sz w:val="18"/>
          <w:szCs w:val="20"/>
          <w:rtl/>
        </w:rPr>
        <w:t>מקורות חיפוש רלוונטיים.</w:t>
      </w:r>
    </w:p>
    <w:p w14:paraId="2C31EEEB" w14:textId="77777777"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 xml:space="preserve">חותם את הגיליון מחקר העוסק אף הוא </w:t>
      </w:r>
      <w:proofErr w:type="spellStart"/>
      <w:r w:rsidRPr="00D9620B">
        <w:rPr>
          <w:rFonts w:ascii="Georgia" w:hAnsi="Georgia" w:hint="cs"/>
          <w:sz w:val="18"/>
          <w:szCs w:val="20"/>
          <w:rtl/>
        </w:rPr>
        <w:t>בזיקנה</w:t>
      </w:r>
      <w:proofErr w:type="spellEnd"/>
      <w:r w:rsidRPr="00D9620B">
        <w:rPr>
          <w:rFonts w:ascii="Georgia" w:hAnsi="Georgia" w:hint="cs"/>
          <w:sz w:val="18"/>
          <w:szCs w:val="20"/>
          <w:rtl/>
        </w:rPr>
        <w:t xml:space="preserve">, אך מזווית מבט רב-דורית. מאמרם של </w:t>
      </w:r>
      <w:proofErr w:type="spellStart"/>
      <w:r w:rsidRPr="00D9620B">
        <w:rPr>
          <w:rFonts w:ascii="Georgia" w:hAnsi="Georgia" w:hint="cs"/>
          <w:sz w:val="18"/>
          <w:szCs w:val="20"/>
          <w:rtl/>
        </w:rPr>
        <w:t>נוהא</w:t>
      </w:r>
      <w:proofErr w:type="spellEnd"/>
      <w:r w:rsidRPr="00D9620B">
        <w:rPr>
          <w:rFonts w:ascii="Georgia" w:hAnsi="Georgia" w:hint="cs"/>
          <w:sz w:val="18"/>
          <w:szCs w:val="20"/>
          <w:rtl/>
        </w:rPr>
        <w:t xml:space="preserve"> </w:t>
      </w:r>
      <w:proofErr w:type="spellStart"/>
      <w:r w:rsidRPr="00D9620B">
        <w:rPr>
          <w:rFonts w:ascii="Georgia" w:hAnsi="Georgia" w:hint="cs"/>
          <w:sz w:val="18"/>
          <w:szCs w:val="20"/>
          <w:rtl/>
        </w:rPr>
        <w:t>סלימאן</w:t>
      </w:r>
      <w:proofErr w:type="spellEnd"/>
      <w:r w:rsidRPr="00D9620B">
        <w:rPr>
          <w:rFonts w:ascii="Georgia" w:hAnsi="Georgia" w:hint="cs"/>
          <w:sz w:val="18"/>
          <w:szCs w:val="20"/>
          <w:rtl/>
        </w:rPr>
        <w:t xml:space="preserve">, עפרה אנסון ג'ולי </w:t>
      </w:r>
      <w:proofErr w:type="spellStart"/>
      <w:r w:rsidRPr="00D9620B">
        <w:rPr>
          <w:rFonts w:ascii="Georgia" w:hAnsi="Georgia" w:hint="cs"/>
          <w:sz w:val="18"/>
          <w:szCs w:val="20"/>
          <w:rtl/>
        </w:rPr>
        <w:t>צוויקל</w:t>
      </w:r>
      <w:proofErr w:type="spellEnd"/>
      <w:r w:rsidRPr="00D9620B">
        <w:rPr>
          <w:rFonts w:ascii="Georgia" w:hAnsi="Georgia" w:hint="cs"/>
          <w:sz w:val="18"/>
          <w:szCs w:val="20"/>
          <w:rtl/>
        </w:rPr>
        <w:t xml:space="preserve"> ויונתן אנסון, </w:t>
      </w:r>
      <w:r w:rsidRPr="00D9620B">
        <w:rPr>
          <w:rFonts w:ascii="Georgia" w:hAnsi="Georgia" w:hint="cs"/>
          <w:b/>
          <w:bCs/>
          <w:sz w:val="18"/>
          <w:szCs w:val="20"/>
          <w:rtl/>
        </w:rPr>
        <w:t>הקשר בין סבתות, אימהות, ותחלואת תינוקות:</w:t>
      </w:r>
      <w:r w:rsidRPr="00D9620B">
        <w:rPr>
          <w:rFonts w:ascii="Georgia" w:hAnsi="Georgia"/>
          <w:b/>
          <w:bCs/>
          <w:sz w:val="18"/>
          <w:szCs w:val="20"/>
        </w:rPr>
        <w:t xml:space="preserve"> </w:t>
      </w:r>
      <w:r w:rsidRPr="00D9620B">
        <w:rPr>
          <w:rFonts w:ascii="Georgia" w:hAnsi="Georgia" w:hint="cs"/>
          <w:b/>
          <w:bCs/>
          <w:sz w:val="18"/>
          <w:szCs w:val="20"/>
          <w:rtl/>
        </w:rPr>
        <w:t>לידות ראשונות בחברה הערבית העירונית בישראל</w:t>
      </w:r>
      <w:r w:rsidRPr="00D9620B">
        <w:rPr>
          <w:rFonts w:ascii="Georgia" w:hAnsi="Georgia" w:hint="cs"/>
          <w:sz w:val="18"/>
          <w:szCs w:val="20"/>
          <w:rtl/>
        </w:rPr>
        <w:t xml:space="preserve">, מתמקד בחשיבות ובמשמעות של קשרים בין-דוריים בחברה הערבית. המאמר יוצא מתוך הגישה האבולוציונית, המציעה הסבר לכך שנשים מאריכות חיים מעבר לשנותיהן הפוריות. לפי גישה זו, נשים מבוגרות תורמות להישרדות ולגדילת נכדיהן, בעיקר ילדי בנותיהן, ולפיכך יש חשיבות אבולוציונית להארכת חייהן. המחקר ביקש לבחון טענה זו בהקשר של החברה הערבית בישראל. באופן </w:t>
      </w:r>
      <w:r w:rsidRPr="00D9620B">
        <w:rPr>
          <w:rFonts w:ascii="Georgia" w:hAnsi="Georgia" w:hint="cs"/>
          <w:sz w:val="18"/>
          <w:szCs w:val="20"/>
          <w:rtl/>
        </w:rPr>
        <w:lastRenderedPageBreak/>
        <w:t>קונקרטי, נבחנה ההשערה שאף בתנאי תמותה נמוכה, השכלה גבוהה וזמינות של שירותי בריאות, קשר הדוק בין אם לאימה, ואף לחמותה, יפחית את התחלואה של היילוד ויקטין את הסיכון שיתאשפז בשנתו הראשונה.</w:t>
      </w:r>
    </w:p>
    <w:p w14:paraId="12A7735C" w14:textId="40416389" w:rsidR="00D9620B" w:rsidRPr="00D9620B" w:rsidRDefault="00D9620B" w:rsidP="00D9620B">
      <w:pPr>
        <w:spacing w:after="180" w:line="270" w:lineRule="exact"/>
        <w:jc w:val="both"/>
        <w:rPr>
          <w:rFonts w:ascii="Georgia" w:hAnsi="Georgia"/>
          <w:sz w:val="18"/>
          <w:szCs w:val="20"/>
          <w:rtl/>
        </w:rPr>
      </w:pPr>
      <w:r w:rsidRPr="00D9620B">
        <w:rPr>
          <w:rFonts w:ascii="Georgia" w:hAnsi="Georgia" w:hint="cs"/>
          <w:sz w:val="18"/>
          <w:szCs w:val="20"/>
          <w:rtl/>
        </w:rPr>
        <w:t>כדי לבחון את ההשערה, 388 נשים פלסטיניות-ערביות אשר ילדו את לידתן הראשונה בבית החולים הצרפתי בנצרת רואיינו שנה אחרי הלידה, ותועדו מחלות ילדיהן בחודש האחרון ומספר האשפוזים שעברו במהלך השנה. ממצאי המחקר הצביעו על כך שהקשרים של אימהו</w:t>
      </w:r>
      <w:r w:rsidRPr="00D9620B">
        <w:rPr>
          <w:rFonts w:ascii="Georgia" w:hAnsi="Georgia" w:hint="eastAsia"/>
          <w:sz w:val="18"/>
          <w:szCs w:val="20"/>
          <w:rtl/>
        </w:rPr>
        <w:t>ת</w:t>
      </w:r>
      <w:r w:rsidRPr="00D9620B">
        <w:rPr>
          <w:rFonts w:ascii="Georgia" w:hAnsi="Georgia" w:hint="cs"/>
          <w:sz w:val="18"/>
          <w:szCs w:val="20"/>
          <w:rtl/>
        </w:rPr>
        <w:t xml:space="preserve"> לתינוקו</w:t>
      </w:r>
      <w:r w:rsidRPr="00D9620B">
        <w:rPr>
          <w:rFonts w:ascii="Georgia" w:hAnsi="Georgia" w:hint="eastAsia"/>
          <w:sz w:val="18"/>
          <w:szCs w:val="20"/>
          <w:rtl/>
        </w:rPr>
        <w:t>ת</w:t>
      </w:r>
      <w:r w:rsidRPr="00D9620B">
        <w:rPr>
          <w:rFonts w:ascii="Georgia" w:hAnsi="Georgia" w:hint="cs"/>
          <w:sz w:val="18"/>
          <w:szCs w:val="20"/>
          <w:rtl/>
        </w:rPr>
        <w:t xml:space="preserve"> שלא חלו בשנה האחרונה ואשר לא אושפזו בשנה האחרונה עם אימהותיהן ועם חמיותיהן היו טובים יותר באופן מובהק מאשר הקשרים של אימהות שילדיהן היו חולים או מאושפזים עם אימהותיהן וחמיותיהן. לבסוף, ניתוח רב-משתני הראה פחות מחלות בקרב ילדים שסבתם מצד האם עוד הייתה בחיים; שינקו שישה חודשים או יותר, ושלאימהותיה</w:t>
      </w:r>
      <w:r w:rsidRPr="00D9620B">
        <w:rPr>
          <w:rFonts w:ascii="Georgia" w:hAnsi="Georgia" w:hint="eastAsia"/>
          <w:sz w:val="18"/>
          <w:szCs w:val="20"/>
          <w:rtl/>
        </w:rPr>
        <w:t>ם</w:t>
      </w:r>
      <w:r w:rsidRPr="00D9620B">
        <w:rPr>
          <w:rFonts w:ascii="Georgia" w:hAnsi="Georgia" w:hint="cs"/>
          <w:sz w:val="18"/>
          <w:szCs w:val="20"/>
          <w:rtl/>
        </w:rPr>
        <w:t xml:space="preserve"> הייתה תעודת בגרות או השכלה גבוהה יותר. כן נמצא כי היו פחות אשפוזים בקרב ילדים שינקו לפחות שישה חודשים; שעברו היריון שלא הוגדר בסיכון, ושאימהותיה</w:t>
      </w:r>
      <w:r w:rsidRPr="00D9620B">
        <w:rPr>
          <w:rFonts w:ascii="Georgia" w:hAnsi="Georgia" w:hint="eastAsia"/>
          <w:sz w:val="18"/>
          <w:szCs w:val="20"/>
          <w:rtl/>
        </w:rPr>
        <w:t>ן</w:t>
      </w:r>
      <w:r w:rsidRPr="00D9620B">
        <w:rPr>
          <w:rFonts w:ascii="Georgia" w:hAnsi="Georgia" w:hint="cs"/>
          <w:sz w:val="18"/>
          <w:szCs w:val="20"/>
          <w:rtl/>
        </w:rPr>
        <w:t xml:space="preserve"> לא היו דתיות. ממצאים אלה מלמדים כי גם בתנאי ימינו, שבהם שירותי הבריאות בני השגה והשכלתן של נשים מתרחבת, עצם נוכחותה של הסבתא מצ</w:t>
      </w:r>
      <w:r w:rsidRPr="00D9620B">
        <w:rPr>
          <w:rFonts w:ascii="Georgia" w:hAnsi="Georgia" w:hint="eastAsia"/>
          <w:sz w:val="18"/>
          <w:szCs w:val="20"/>
          <w:rtl/>
        </w:rPr>
        <w:t>ד</w:t>
      </w:r>
      <w:r w:rsidRPr="00D9620B">
        <w:rPr>
          <w:rFonts w:ascii="Georgia" w:hAnsi="Georgia" w:hint="cs"/>
          <w:sz w:val="18"/>
          <w:szCs w:val="20"/>
          <w:rtl/>
        </w:rPr>
        <w:t xml:space="preserve"> האם יכול לתרום באופן מובהק לבריאות הנכד. ממצא זה התומך בגישה האבולוציונית להסברת השוני בתוחלת החיים בין נשים לבני גברים. </w:t>
      </w:r>
    </w:p>
    <w:p w14:paraId="3D014210" w14:textId="77777777" w:rsidR="00D9620B" w:rsidRPr="00D9620B" w:rsidRDefault="00D9620B" w:rsidP="00D9620B">
      <w:pPr>
        <w:spacing w:after="180" w:line="270" w:lineRule="exact"/>
        <w:jc w:val="both"/>
        <w:rPr>
          <w:rFonts w:ascii="Georgia" w:hAnsi="Georgia"/>
          <w:sz w:val="18"/>
          <w:szCs w:val="20"/>
          <w:rtl/>
          <w:lang w:bidi="he"/>
        </w:rPr>
      </w:pPr>
      <w:r w:rsidRPr="00D9620B">
        <w:rPr>
          <w:rFonts w:ascii="Georgia" w:hAnsi="Georgia" w:hint="cs"/>
          <w:sz w:val="18"/>
          <w:szCs w:val="20"/>
          <w:rtl/>
        </w:rPr>
        <w:t>לפני סיום ברצוני להודות לכל העושים המלאכה</w:t>
      </w:r>
      <w:r w:rsidRPr="00D9620B">
        <w:rPr>
          <w:rFonts w:ascii="Georgia" w:hAnsi="Georgia" w:hint="cs"/>
          <w:sz w:val="18"/>
          <w:szCs w:val="20"/>
          <w:rtl/>
          <w:lang w:bidi="he"/>
        </w:rPr>
        <w:t xml:space="preserve">, </w:t>
      </w:r>
      <w:r w:rsidRPr="00D9620B">
        <w:rPr>
          <w:rFonts w:ascii="Georgia" w:hAnsi="Georgia" w:hint="cs"/>
          <w:sz w:val="18"/>
          <w:szCs w:val="20"/>
          <w:rtl/>
        </w:rPr>
        <w:t>אשר ללא קשר לזמנים המורכבים</w:t>
      </w:r>
      <w:r w:rsidRPr="00D9620B">
        <w:rPr>
          <w:rFonts w:ascii="Georgia" w:hAnsi="Georgia" w:hint="cs"/>
          <w:sz w:val="18"/>
          <w:szCs w:val="20"/>
          <w:rtl/>
          <w:lang w:bidi="he"/>
        </w:rPr>
        <w:t xml:space="preserve"> </w:t>
      </w:r>
      <w:r w:rsidRPr="00D9620B">
        <w:rPr>
          <w:rFonts w:ascii="Georgia" w:hAnsi="Georgia" w:hint="cs"/>
          <w:sz w:val="18"/>
          <w:szCs w:val="20"/>
          <w:rtl/>
        </w:rPr>
        <w:t>עבדו קשה ובחריצות, ולא נתנו לרעשי הרקע שמסביב להסית אותם ממסלולם</w:t>
      </w:r>
      <w:r w:rsidRPr="00D9620B">
        <w:rPr>
          <w:rFonts w:ascii="Georgia" w:hAnsi="Georgia" w:hint="cs"/>
          <w:sz w:val="18"/>
          <w:szCs w:val="20"/>
          <w:rtl/>
          <w:lang w:bidi="he"/>
        </w:rPr>
        <w:t xml:space="preserve">. </w:t>
      </w:r>
      <w:r w:rsidRPr="00D9620B">
        <w:rPr>
          <w:rFonts w:ascii="Georgia" w:hAnsi="Georgia" w:hint="cs"/>
          <w:sz w:val="18"/>
          <w:szCs w:val="20"/>
          <w:rtl/>
        </w:rPr>
        <w:t>ברצוני לשוב ולהודות</w:t>
      </w:r>
      <w:r w:rsidRPr="00D9620B">
        <w:rPr>
          <w:rFonts w:ascii="Georgia" w:hAnsi="Georgia"/>
          <w:sz w:val="18"/>
          <w:szCs w:val="20"/>
          <w:rtl/>
        </w:rPr>
        <w:t xml:space="preserve"> לכל המחברות והמחברים שתרמו לגיליון זה</w:t>
      </w:r>
      <w:r w:rsidRPr="00D9620B">
        <w:rPr>
          <w:rFonts w:ascii="Georgia" w:hAnsi="Georgia"/>
          <w:sz w:val="18"/>
          <w:szCs w:val="20"/>
          <w:rtl/>
          <w:lang w:bidi="he"/>
        </w:rPr>
        <w:t xml:space="preserve">, </w:t>
      </w:r>
      <w:r w:rsidRPr="00D9620B">
        <w:rPr>
          <w:rFonts w:ascii="Georgia" w:hAnsi="Georgia"/>
          <w:sz w:val="18"/>
          <w:szCs w:val="20"/>
          <w:rtl/>
        </w:rPr>
        <w:t>לכל השופטות והשופטים שהקדישו מזמנם וקראו בעיון את המאמרים</w:t>
      </w:r>
      <w:r w:rsidRPr="00D9620B">
        <w:rPr>
          <w:rFonts w:ascii="Georgia" w:hAnsi="Georgia"/>
          <w:sz w:val="18"/>
          <w:szCs w:val="20"/>
          <w:rtl/>
          <w:lang w:bidi="he"/>
        </w:rPr>
        <w:t xml:space="preserve">, </w:t>
      </w:r>
      <w:r w:rsidRPr="00D9620B">
        <w:rPr>
          <w:rFonts w:ascii="Georgia" w:hAnsi="Georgia"/>
          <w:sz w:val="18"/>
          <w:szCs w:val="20"/>
          <w:rtl/>
        </w:rPr>
        <w:t>לכל חברות וחברי מערכת כתב העת</w:t>
      </w:r>
      <w:r w:rsidRPr="00D9620B">
        <w:rPr>
          <w:rFonts w:ascii="Georgia" w:hAnsi="Georgia"/>
          <w:sz w:val="18"/>
          <w:szCs w:val="20"/>
          <w:rtl/>
          <w:lang w:bidi="he"/>
        </w:rPr>
        <w:t xml:space="preserve">, </w:t>
      </w:r>
      <w:r w:rsidRPr="00D9620B">
        <w:rPr>
          <w:rFonts w:ascii="Georgia" w:hAnsi="Georgia"/>
          <w:sz w:val="18"/>
          <w:szCs w:val="20"/>
          <w:rtl/>
        </w:rPr>
        <w:t>לרכזת המערכת מיה עורב</w:t>
      </w:r>
      <w:r w:rsidRPr="00D9620B">
        <w:rPr>
          <w:rFonts w:ascii="Georgia" w:hAnsi="Georgia"/>
          <w:sz w:val="18"/>
          <w:szCs w:val="20"/>
          <w:rtl/>
          <w:lang w:bidi="he"/>
        </w:rPr>
        <w:t>-</w:t>
      </w:r>
      <w:r w:rsidRPr="00D9620B">
        <w:rPr>
          <w:rFonts w:ascii="Georgia" w:hAnsi="Georgia"/>
          <w:sz w:val="18"/>
          <w:szCs w:val="20"/>
          <w:rtl/>
        </w:rPr>
        <w:t>הטל</w:t>
      </w:r>
      <w:r w:rsidRPr="00D9620B">
        <w:rPr>
          <w:rFonts w:ascii="Georgia" w:hAnsi="Georgia"/>
          <w:sz w:val="18"/>
          <w:szCs w:val="20"/>
          <w:rtl/>
          <w:lang w:bidi="he"/>
        </w:rPr>
        <w:t xml:space="preserve">, </w:t>
      </w:r>
      <w:r w:rsidRPr="00D9620B">
        <w:rPr>
          <w:rFonts w:ascii="Georgia" w:hAnsi="Georgia"/>
          <w:sz w:val="18"/>
          <w:szCs w:val="20"/>
          <w:rtl/>
        </w:rPr>
        <w:t xml:space="preserve">לעורכת הלשון </w:t>
      </w:r>
      <w:r w:rsidRPr="00D9620B">
        <w:rPr>
          <w:rFonts w:ascii="Georgia" w:hAnsi="Georgia" w:hint="cs"/>
          <w:sz w:val="18"/>
          <w:szCs w:val="20"/>
          <w:rtl/>
        </w:rPr>
        <w:t>נירית איטינגון</w:t>
      </w:r>
      <w:r w:rsidRPr="00D9620B">
        <w:rPr>
          <w:rFonts w:ascii="Georgia" w:hAnsi="Georgia"/>
          <w:sz w:val="18"/>
          <w:szCs w:val="20"/>
          <w:rtl/>
          <w:lang w:bidi="he"/>
        </w:rPr>
        <w:t xml:space="preserve"> </w:t>
      </w:r>
      <w:r w:rsidRPr="00D9620B">
        <w:rPr>
          <w:rFonts w:ascii="Georgia" w:hAnsi="Georgia"/>
          <w:sz w:val="18"/>
          <w:szCs w:val="20"/>
          <w:rtl/>
        </w:rPr>
        <w:t>ולעורך הגרפי מרדכי פרנקל</w:t>
      </w:r>
      <w:r w:rsidRPr="00D9620B">
        <w:rPr>
          <w:rFonts w:ascii="Georgia" w:hAnsi="Georgia" w:hint="cs"/>
          <w:sz w:val="18"/>
          <w:szCs w:val="20"/>
          <w:rtl/>
        </w:rPr>
        <w:t>,</w:t>
      </w:r>
      <w:r w:rsidRPr="00D9620B">
        <w:rPr>
          <w:rFonts w:ascii="Georgia" w:hAnsi="Georgia"/>
          <w:sz w:val="18"/>
          <w:szCs w:val="20"/>
          <w:rtl/>
          <w:lang w:bidi="he"/>
        </w:rPr>
        <w:t xml:space="preserve"> </w:t>
      </w:r>
      <w:r w:rsidRPr="00D9620B">
        <w:rPr>
          <w:rFonts w:ascii="Georgia" w:hAnsi="Georgia"/>
          <w:sz w:val="18"/>
          <w:szCs w:val="20"/>
          <w:rtl/>
        </w:rPr>
        <w:t xml:space="preserve">על עבודתם המסורה </w:t>
      </w:r>
      <w:r w:rsidRPr="00D9620B">
        <w:rPr>
          <w:rFonts w:ascii="Georgia" w:hAnsi="Georgia" w:hint="cs"/>
          <w:sz w:val="18"/>
          <w:szCs w:val="20"/>
          <w:rtl/>
        </w:rPr>
        <w:t>והנאמנה</w:t>
      </w:r>
      <w:r w:rsidRPr="00D9620B">
        <w:rPr>
          <w:rFonts w:ascii="Georgia" w:hAnsi="Georgia" w:hint="cs"/>
          <w:sz w:val="18"/>
          <w:szCs w:val="20"/>
          <w:rtl/>
          <w:lang w:bidi="he"/>
        </w:rPr>
        <w:t>.</w:t>
      </w:r>
    </w:p>
    <w:p w14:paraId="74503364" w14:textId="77777777" w:rsidR="00D9620B" w:rsidRPr="00D9620B" w:rsidRDefault="00D9620B" w:rsidP="00D9620B">
      <w:pPr>
        <w:spacing w:after="180" w:line="270" w:lineRule="exact"/>
        <w:jc w:val="both"/>
        <w:rPr>
          <w:rFonts w:ascii="Georgia" w:hAnsi="Georgia"/>
          <w:sz w:val="18"/>
          <w:szCs w:val="20"/>
          <w:rtl/>
          <w:lang w:bidi="he"/>
        </w:rPr>
      </w:pPr>
      <w:r w:rsidRPr="00D9620B">
        <w:rPr>
          <w:rFonts w:ascii="Georgia" w:hAnsi="Georgia" w:hint="cs"/>
          <w:sz w:val="18"/>
          <w:szCs w:val="20"/>
          <w:rtl/>
        </w:rPr>
        <w:t>אסיים את דבריי באופן שפתחתי</w:t>
      </w:r>
      <w:r w:rsidRPr="00D9620B">
        <w:rPr>
          <w:rFonts w:ascii="Georgia" w:hAnsi="Georgia" w:hint="cs"/>
          <w:sz w:val="18"/>
          <w:szCs w:val="20"/>
          <w:rtl/>
          <w:lang w:bidi="he"/>
        </w:rPr>
        <w:t xml:space="preserve">: </w:t>
      </w:r>
      <w:r w:rsidRPr="00D9620B">
        <w:rPr>
          <w:rFonts w:ascii="Georgia" w:hAnsi="Georgia" w:hint="cs"/>
          <w:sz w:val="18"/>
          <w:szCs w:val="20"/>
          <w:rtl/>
        </w:rPr>
        <w:t>אני תפילה</w:t>
      </w:r>
      <w:r w:rsidRPr="00D9620B">
        <w:rPr>
          <w:rFonts w:ascii="Georgia" w:hAnsi="Georgia" w:hint="cs"/>
          <w:sz w:val="18"/>
          <w:szCs w:val="20"/>
          <w:rtl/>
          <w:lang w:bidi="he"/>
        </w:rPr>
        <w:t xml:space="preserve"> </w:t>
      </w:r>
      <w:r w:rsidRPr="00D9620B">
        <w:rPr>
          <w:rFonts w:ascii="Georgia" w:hAnsi="Georgia" w:hint="cs"/>
          <w:sz w:val="18"/>
          <w:szCs w:val="20"/>
          <w:rtl/>
        </w:rPr>
        <w:t>לחזרתם בשלום של השבויים</w:t>
      </w:r>
      <w:r w:rsidRPr="00D9620B">
        <w:rPr>
          <w:rFonts w:ascii="Georgia" w:hAnsi="Georgia" w:hint="cs"/>
          <w:sz w:val="18"/>
          <w:szCs w:val="20"/>
          <w:rtl/>
          <w:lang w:bidi="he"/>
        </w:rPr>
        <w:t xml:space="preserve">, </w:t>
      </w:r>
      <w:r w:rsidRPr="00D9620B">
        <w:rPr>
          <w:rFonts w:ascii="Georgia" w:hAnsi="Georgia" w:hint="cs"/>
          <w:sz w:val="18"/>
          <w:szCs w:val="20"/>
          <w:rtl/>
        </w:rPr>
        <w:t>להחלמתם המהירה של כל הפצועים</w:t>
      </w:r>
      <w:r w:rsidRPr="00D9620B">
        <w:rPr>
          <w:rFonts w:ascii="Georgia" w:hAnsi="Georgia" w:hint="cs"/>
          <w:sz w:val="18"/>
          <w:szCs w:val="20"/>
          <w:rtl/>
          <w:lang w:bidi="he"/>
        </w:rPr>
        <w:t xml:space="preserve">, </w:t>
      </w:r>
      <w:r w:rsidRPr="00D9620B">
        <w:rPr>
          <w:rFonts w:ascii="Georgia" w:hAnsi="Georgia" w:hint="cs"/>
          <w:sz w:val="18"/>
          <w:szCs w:val="20"/>
          <w:rtl/>
        </w:rPr>
        <w:t>לשלמותם של כל אנשי כוחות הביטחון</w:t>
      </w:r>
      <w:r w:rsidRPr="00D9620B">
        <w:rPr>
          <w:rFonts w:ascii="Georgia" w:hAnsi="Georgia" w:hint="cs"/>
          <w:sz w:val="18"/>
          <w:szCs w:val="20"/>
          <w:rtl/>
          <w:lang w:bidi="he"/>
        </w:rPr>
        <w:t xml:space="preserve">, </w:t>
      </w:r>
      <w:r w:rsidRPr="00D9620B">
        <w:rPr>
          <w:rFonts w:ascii="Georgia" w:hAnsi="Georgia" w:hint="cs"/>
          <w:sz w:val="18"/>
          <w:szCs w:val="20"/>
          <w:rtl/>
        </w:rPr>
        <w:t>לרווחה ולבריאות</w:t>
      </w:r>
      <w:r w:rsidRPr="00D9620B">
        <w:rPr>
          <w:rFonts w:ascii="Georgia" w:hAnsi="Georgia" w:hint="cs"/>
          <w:sz w:val="18"/>
          <w:szCs w:val="20"/>
          <w:rtl/>
          <w:lang w:bidi="he"/>
        </w:rPr>
        <w:t xml:space="preserve">, </w:t>
      </w:r>
      <w:r w:rsidRPr="00D9620B">
        <w:rPr>
          <w:rFonts w:ascii="Georgia" w:hAnsi="Georgia" w:hint="cs"/>
          <w:sz w:val="18"/>
          <w:szCs w:val="20"/>
          <w:rtl/>
        </w:rPr>
        <w:t>ולסיום מהיר של המלחמה</w:t>
      </w:r>
      <w:r w:rsidRPr="00D9620B">
        <w:rPr>
          <w:rFonts w:ascii="Georgia" w:hAnsi="Georgia" w:hint="cs"/>
          <w:sz w:val="18"/>
          <w:szCs w:val="20"/>
          <w:rtl/>
          <w:lang w:bidi="he"/>
        </w:rPr>
        <w:t>.</w:t>
      </w:r>
    </w:p>
    <w:p w14:paraId="5271A57C" w14:textId="77777777" w:rsidR="00F079B8" w:rsidRPr="00D9620B" w:rsidRDefault="00F079B8" w:rsidP="00F079B8">
      <w:pPr>
        <w:spacing w:after="180" w:line="280" w:lineRule="exact"/>
        <w:jc w:val="both"/>
        <w:rPr>
          <w:rFonts w:ascii="Georgia" w:hAnsi="Georgia"/>
          <w:sz w:val="14"/>
          <w:szCs w:val="16"/>
          <w:rtl/>
          <w:lang w:bidi="he"/>
        </w:rPr>
      </w:pPr>
    </w:p>
    <w:p w14:paraId="6CE669C6" w14:textId="77777777" w:rsidR="00F079B8" w:rsidRPr="000D5C81" w:rsidRDefault="00F079B8" w:rsidP="00F079B8">
      <w:pPr>
        <w:spacing w:line="280" w:lineRule="exact"/>
        <w:jc w:val="right"/>
        <w:rPr>
          <w:sz w:val="20"/>
          <w:szCs w:val="20"/>
          <w:rtl/>
        </w:rPr>
      </w:pPr>
      <w:r w:rsidRPr="000D5C81">
        <w:rPr>
          <w:sz w:val="20"/>
          <w:szCs w:val="20"/>
          <w:rtl/>
        </w:rPr>
        <w:t xml:space="preserve">פרופ' ישראל </w:t>
      </w:r>
      <w:r w:rsidRPr="000D5C81">
        <w:rPr>
          <w:rFonts w:hint="cs"/>
          <w:sz w:val="20"/>
          <w:szCs w:val="20"/>
          <w:rtl/>
        </w:rPr>
        <w:t>(</w:t>
      </w:r>
      <w:r w:rsidRPr="000D5C81">
        <w:rPr>
          <w:sz w:val="20"/>
          <w:szCs w:val="20"/>
          <w:rtl/>
        </w:rPr>
        <w:t>איסי</w:t>
      </w:r>
      <w:r w:rsidRPr="000D5C81">
        <w:rPr>
          <w:rFonts w:hint="cs"/>
          <w:sz w:val="20"/>
          <w:szCs w:val="20"/>
          <w:rtl/>
        </w:rPr>
        <w:t>)</w:t>
      </w:r>
      <w:r w:rsidRPr="000D5C81">
        <w:rPr>
          <w:sz w:val="20"/>
          <w:szCs w:val="20"/>
          <w:rtl/>
        </w:rPr>
        <w:t xml:space="preserve"> דורון</w:t>
      </w:r>
    </w:p>
    <w:p w14:paraId="5E74C810" w14:textId="77777777" w:rsidR="00F079B8" w:rsidRDefault="00F079B8" w:rsidP="00F079B8">
      <w:pPr>
        <w:spacing w:after="120" w:line="280" w:lineRule="exact"/>
        <w:jc w:val="right"/>
        <w:rPr>
          <w:sz w:val="20"/>
          <w:szCs w:val="20"/>
          <w:rtl/>
        </w:rPr>
      </w:pPr>
      <w:r w:rsidRPr="000D5C81">
        <w:rPr>
          <w:sz w:val="20"/>
          <w:szCs w:val="20"/>
          <w:rtl/>
        </w:rPr>
        <w:t>עורך ראשי</w:t>
      </w:r>
    </w:p>
    <w:bookmarkEnd w:id="0"/>
    <w:p w14:paraId="29A9FE18" w14:textId="77777777" w:rsidR="00D9620B" w:rsidRPr="00D9620B" w:rsidRDefault="00D9620B" w:rsidP="00D9620B">
      <w:pPr>
        <w:spacing w:line="280" w:lineRule="exact"/>
        <w:rPr>
          <w:sz w:val="20"/>
          <w:szCs w:val="20"/>
          <w:rtl/>
        </w:rPr>
      </w:pPr>
      <w:r w:rsidRPr="00D9620B">
        <w:rPr>
          <w:rFonts w:hint="cs"/>
          <w:sz w:val="20"/>
          <w:szCs w:val="20"/>
          <w:rtl/>
        </w:rPr>
        <w:t>אוקטובר 2024</w:t>
      </w:r>
    </w:p>
    <w:p w14:paraId="510E8D8A" w14:textId="77777777" w:rsidR="00F079B8" w:rsidRPr="00F079B8" w:rsidRDefault="00F079B8" w:rsidP="00F079B8">
      <w:pPr>
        <w:rPr>
          <w:rtl/>
        </w:rPr>
      </w:pPr>
    </w:p>
    <w:sectPr w:rsidR="00F079B8" w:rsidRPr="00F079B8" w:rsidSect="003F6153">
      <w:headerReference w:type="even" r:id="rId7"/>
      <w:headerReference w:type="default" r:id="rId8"/>
      <w:headerReference w:type="first" r:id="rId9"/>
      <w:pgSz w:w="11906" w:h="16838" w:code="9"/>
      <w:pgMar w:top="3515" w:right="2722" w:bottom="2948" w:left="2722" w:header="2665" w:footer="2665"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3AC1" w14:textId="77777777" w:rsidR="00B6472F" w:rsidRDefault="00B6472F">
      <w:pPr>
        <w:spacing w:line="240" w:lineRule="auto"/>
      </w:pPr>
      <w:r>
        <w:separator/>
      </w:r>
    </w:p>
  </w:endnote>
  <w:endnote w:type="continuationSeparator" w:id="0">
    <w:p w14:paraId="3A9C7306" w14:textId="77777777" w:rsidR="00B6472F" w:rsidRDefault="00B64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8F95" w14:textId="77777777" w:rsidR="00B6472F" w:rsidRDefault="00B6472F" w:rsidP="00A04D35">
      <w:pPr>
        <w:spacing w:before="120" w:after="80"/>
        <w:rPr>
          <w:rFonts w:cs="FrankRuehl"/>
          <w:sz w:val="18"/>
          <w:szCs w:val="18"/>
        </w:rPr>
      </w:pPr>
      <w:r>
        <w:rPr>
          <w:rFonts w:cs="FrankRuehl" w:hint="cs"/>
          <w:sz w:val="18"/>
          <w:szCs w:val="18"/>
          <w:rtl/>
        </w:rPr>
        <w:t>_____________</w:t>
      </w:r>
    </w:p>
  </w:footnote>
  <w:footnote w:type="continuationSeparator" w:id="0">
    <w:p w14:paraId="6C27FE1B" w14:textId="77777777" w:rsidR="00B6472F" w:rsidRDefault="00B6472F">
      <w:r>
        <w:continuationSeparator/>
      </w:r>
    </w:p>
  </w:footnote>
  <w:footnote w:type="continuationNotice" w:id="1">
    <w:p w14:paraId="6C7FF3F6" w14:textId="77777777" w:rsidR="00B6472F" w:rsidRDefault="00B6472F">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CD5B" w14:textId="2C26E08E" w:rsidR="007667D8" w:rsidRPr="00A6479A" w:rsidRDefault="007667D8" w:rsidP="00DA1730">
    <w:pPr>
      <w:pStyle w:val="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EA55CA" w:rsidRPr="00EA55CA">
      <w:rPr>
        <w:rFonts w:ascii="Georgia" w:hAnsi="Georgia" w:cs="Georgia"/>
        <w:noProof/>
        <w:sz w:val="24"/>
        <w:szCs w:val="24"/>
        <w:rtl/>
      </w:rPr>
      <w:t>10</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905F54">
      <w:rPr>
        <w:rFonts w:ascii="David" w:hAnsi="David" w:cs="David" w:hint="cs"/>
        <w:b w:val="0"/>
        <w:bCs w:val="0"/>
        <w:sz w:val="18"/>
        <w:szCs w:val="18"/>
        <w:rtl/>
      </w:rPr>
      <w:t>12</w:t>
    </w:r>
    <w:r w:rsidR="00D9620B">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1866" w14:textId="03BAD03B" w:rsidR="007667D8" w:rsidRPr="00CA633F" w:rsidRDefault="006D739C" w:rsidP="00446E1E">
    <w:pPr>
      <w:pStyle w:val="1"/>
      <w:tabs>
        <w:tab w:val="center" w:pos="4536"/>
        <w:tab w:val="right" w:pos="9072"/>
      </w:tabs>
      <w:jc w:val="right"/>
      <w:rPr>
        <w:rFonts w:ascii="David" w:hAnsi="David" w:cs="David"/>
        <w:b w:val="0"/>
        <w:bCs w:val="0"/>
        <w:noProof/>
        <w:color w:val="A6A6A6"/>
        <w:sz w:val="20"/>
        <w:szCs w:val="20"/>
      </w:rPr>
    </w:pPr>
    <w:r w:rsidRPr="006D739C">
      <w:rPr>
        <w:rFonts w:ascii="David" w:hAnsi="David" w:cs="David"/>
        <w:b w:val="0"/>
        <w:bCs w:val="0"/>
        <w:noProof/>
        <w:sz w:val="18"/>
        <w:szCs w:val="18"/>
        <w:rtl/>
        <w:lang w:val="he-IL"/>
      </w:rPr>
      <w:t xml:space="preserve">דבר העורך </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EA55CA" w:rsidRPr="00EA55CA">
      <w:rPr>
        <w:rFonts w:ascii="Georgia" w:hAnsi="Georgia" w:cs="Georgia"/>
        <w:noProof/>
        <w:sz w:val="24"/>
        <w:szCs w:val="24"/>
        <w:rtl/>
      </w:rPr>
      <w:t>9</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E0B5" w14:textId="77777777" w:rsidR="00A27C04" w:rsidRPr="00CA633F" w:rsidRDefault="00A27C04"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6"/>
  </w:num>
  <w:num w:numId="4">
    <w:abstractNumId w:val="23"/>
  </w:num>
  <w:num w:numId="5">
    <w:abstractNumId w:val="8"/>
  </w:num>
  <w:num w:numId="6">
    <w:abstractNumId w:val="22"/>
  </w:num>
  <w:num w:numId="7">
    <w:abstractNumId w:val="15"/>
  </w:num>
  <w:num w:numId="8">
    <w:abstractNumId w:val="0"/>
  </w:num>
  <w:num w:numId="9">
    <w:abstractNumId w:val="7"/>
  </w:num>
  <w:num w:numId="10">
    <w:abstractNumId w:val="25"/>
  </w:num>
  <w:num w:numId="11">
    <w:abstractNumId w:val="24"/>
  </w:num>
  <w:num w:numId="12">
    <w:abstractNumId w:val="19"/>
  </w:num>
  <w:num w:numId="13">
    <w:abstractNumId w:val="11"/>
  </w:num>
  <w:num w:numId="14">
    <w:abstractNumId w:val="6"/>
  </w:num>
  <w:num w:numId="15">
    <w:abstractNumId w:val="10"/>
  </w:num>
  <w:num w:numId="16">
    <w:abstractNumId w:val="3"/>
  </w:num>
  <w:num w:numId="17">
    <w:abstractNumId w:val="27"/>
  </w:num>
  <w:num w:numId="18">
    <w:abstractNumId w:val="21"/>
  </w:num>
  <w:num w:numId="19">
    <w:abstractNumId w:val="9"/>
  </w:num>
  <w:num w:numId="20">
    <w:abstractNumId w:val="2"/>
  </w:num>
  <w:num w:numId="21">
    <w:abstractNumId w:val="1"/>
  </w:num>
  <w:num w:numId="22">
    <w:abstractNumId w:val="5"/>
  </w:num>
  <w:num w:numId="23">
    <w:abstractNumId w:val="17"/>
  </w:num>
  <w:num w:numId="24">
    <w:abstractNumId w:val="13"/>
  </w:num>
  <w:num w:numId="25">
    <w:abstractNumId w:val="16"/>
  </w:num>
  <w:num w:numId="26">
    <w:abstractNumId w:val="4"/>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11E9"/>
    <w:rsid w:val="00152DDF"/>
    <w:rsid w:val="00160BCD"/>
    <w:rsid w:val="00164AB3"/>
    <w:rsid w:val="00167C83"/>
    <w:rsid w:val="00177DA1"/>
    <w:rsid w:val="00182BC2"/>
    <w:rsid w:val="0018721E"/>
    <w:rsid w:val="00192386"/>
    <w:rsid w:val="001A0002"/>
    <w:rsid w:val="001B018D"/>
    <w:rsid w:val="001C3F08"/>
    <w:rsid w:val="001C56DC"/>
    <w:rsid w:val="001D2C96"/>
    <w:rsid w:val="001D3FFE"/>
    <w:rsid w:val="001F2763"/>
    <w:rsid w:val="001F59EA"/>
    <w:rsid w:val="001F60C4"/>
    <w:rsid w:val="002044C6"/>
    <w:rsid w:val="00204A09"/>
    <w:rsid w:val="00215E46"/>
    <w:rsid w:val="00224C6A"/>
    <w:rsid w:val="00227591"/>
    <w:rsid w:val="00233CB2"/>
    <w:rsid w:val="00234C6B"/>
    <w:rsid w:val="00243FD7"/>
    <w:rsid w:val="002519BC"/>
    <w:rsid w:val="002574BB"/>
    <w:rsid w:val="00272B00"/>
    <w:rsid w:val="00297BAD"/>
    <w:rsid w:val="002B00EC"/>
    <w:rsid w:val="002B401D"/>
    <w:rsid w:val="002C45DF"/>
    <w:rsid w:val="002C4FB7"/>
    <w:rsid w:val="002D1E69"/>
    <w:rsid w:val="002E7282"/>
    <w:rsid w:val="002F0EE3"/>
    <w:rsid w:val="002F2CC7"/>
    <w:rsid w:val="00303665"/>
    <w:rsid w:val="003151B1"/>
    <w:rsid w:val="00317DCD"/>
    <w:rsid w:val="0032119F"/>
    <w:rsid w:val="003337CA"/>
    <w:rsid w:val="00336EF9"/>
    <w:rsid w:val="00360F01"/>
    <w:rsid w:val="00374196"/>
    <w:rsid w:val="00394598"/>
    <w:rsid w:val="00395EC5"/>
    <w:rsid w:val="003A465D"/>
    <w:rsid w:val="003B537C"/>
    <w:rsid w:val="003B617A"/>
    <w:rsid w:val="003C255E"/>
    <w:rsid w:val="003C3C55"/>
    <w:rsid w:val="003C4EAD"/>
    <w:rsid w:val="003D1152"/>
    <w:rsid w:val="003D16D1"/>
    <w:rsid w:val="003D461C"/>
    <w:rsid w:val="003D4AF9"/>
    <w:rsid w:val="003F6153"/>
    <w:rsid w:val="00401641"/>
    <w:rsid w:val="0040182C"/>
    <w:rsid w:val="00405788"/>
    <w:rsid w:val="004100FE"/>
    <w:rsid w:val="00411191"/>
    <w:rsid w:val="004112B2"/>
    <w:rsid w:val="00416142"/>
    <w:rsid w:val="004172AC"/>
    <w:rsid w:val="004216E4"/>
    <w:rsid w:val="00424C06"/>
    <w:rsid w:val="00433DFB"/>
    <w:rsid w:val="00433FDE"/>
    <w:rsid w:val="00446E1E"/>
    <w:rsid w:val="00447AA7"/>
    <w:rsid w:val="004543DB"/>
    <w:rsid w:val="0045651F"/>
    <w:rsid w:val="00460742"/>
    <w:rsid w:val="004607FE"/>
    <w:rsid w:val="00463E35"/>
    <w:rsid w:val="0046547D"/>
    <w:rsid w:val="00466666"/>
    <w:rsid w:val="004675BD"/>
    <w:rsid w:val="00471658"/>
    <w:rsid w:val="004735F5"/>
    <w:rsid w:val="00480261"/>
    <w:rsid w:val="004A6AA8"/>
    <w:rsid w:val="004A71EC"/>
    <w:rsid w:val="004A7955"/>
    <w:rsid w:val="004B1A9A"/>
    <w:rsid w:val="004B1C8B"/>
    <w:rsid w:val="004C47F0"/>
    <w:rsid w:val="00512B59"/>
    <w:rsid w:val="00514F6D"/>
    <w:rsid w:val="00514FD7"/>
    <w:rsid w:val="00527001"/>
    <w:rsid w:val="005368B8"/>
    <w:rsid w:val="00537276"/>
    <w:rsid w:val="005416E9"/>
    <w:rsid w:val="00550BEE"/>
    <w:rsid w:val="00555EA0"/>
    <w:rsid w:val="005579CB"/>
    <w:rsid w:val="005619D8"/>
    <w:rsid w:val="00573FBB"/>
    <w:rsid w:val="00576127"/>
    <w:rsid w:val="00582CE8"/>
    <w:rsid w:val="00590289"/>
    <w:rsid w:val="00590AF2"/>
    <w:rsid w:val="005918B3"/>
    <w:rsid w:val="0059386B"/>
    <w:rsid w:val="005B2E85"/>
    <w:rsid w:val="005B6002"/>
    <w:rsid w:val="005C02D4"/>
    <w:rsid w:val="005C09E1"/>
    <w:rsid w:val="005C28F7"/>
    <w:rsid w:val="005C6982"/>
    <w:rsid w:val="005D5F14"/>
    <w:rsid w:val="005D66AF"/>
    <w:rsid w:val="005E570F"/>
    <w:rsid w:val="005F385C"/>
    <w:rsid w:val="005F635C"/>
    <w:rsid w:val="00602FED"/>
    <w:rsid w:val="00606992"/>
    <w:rsid w:val="006131D1"/>
    <w:rsid w:val="00614910"/>
    <w:rsid w:val="006154FA"/>
    <w:rsid w:val="0062321C"/>
    <w:rsid w:val="00625C22"/>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4E1"/>
    <w:rsid w:val="006D0F89"/>
    <w:rsid w:val="006D270A"/>
    <w:rsid w:val="006D739C"/>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2C0D"/>
    <w:rsid w:val="007747C6"/>
    <w:rsid w:val="00776EE2"/>
    <w:rsid w:val="00781208"/>
    <w:rsid w:val="007826DA"/>
    <w:rsid w:val="00782E0D"/>
    <w:rsid w:val="007924C2"/>
    <w:rsid w:val="00796021"/>
    <w:rsid w:val="007A6CDA"/>
    <w:rsid w:val="007B5724"/>
    <w:rsid w:val="007B7399"/>
    <w:rsid w:val="007C7168"/>
    <w:rsid w:val="007C726C"/>
    <w:rsid w:val="007D59DF"/>
    <w:rsid w:val="007E4FB7"/>
    <w:rsid w:val="007F29C9"/>
    <w:rsid w:val="007F47F6"/>
    <w:rsid w:val="00807C94"/>
    <w:rsid w:val="008114CB"/>
    <w:rsid w:val="00823EF6"/>
    <w:rsid w:val="008243A6"/>
    <w:rsid w:val="00827A5F"/>
    <w:rsid w:val="00831730"/>
    <w:rsid w:val="00837F2F"/>
    <w:rsid w:val="00840D01"/>
    <w:rsid w:val="0084161C"/>
    <w:rsid w:val="008668A3"/>
    <w:rsid w:val="00866BD2"/>
    <w:rsid w:val="00867031"/>
    <w:rsid w:val="00890FD7"/>
    <w:rsid w:val="008A0AD8"/>
    <w:rsid w:val="008A4FAD"/>
    <w:rsid w:val="008A725B"/>
    <w:rsid w:val="008C1E74"/>
    <w:rsid w:val="008C408E"/>
    <w:rsid w:val="008D141E"/>
    <w:rsid w:val="008D3F13"/>
    <w:rsid w:val="008D401A"/>
    <w:rsid w:val="008D56CE"/>
    <w:rsid w:val="008F7821"/>
    <w:rsid w:val="009023FC"/>
    <w:rsid w:val="009041F4"/>
    <w:rsid w:val="00904501"/>
    <w:rsid w:val="0090527F"/>
    <w:rsid w:val="00905F54"/>
    <w:rsid w:val="0090645A"/>
    <w:rsid w:val="00913099"/>
    <w:rsid w:val="00916371"/>
    <w:rsid w:val="00921795"/>
    <w:rsid w:val="009465AD"/>
    <w:rsid w:val="009522CA"/>
    <w:rsid w:val="009533A1"/>
    <w:rsid w:val="00956C10"/>
    <w:rsid w:val="00956ED3"/>
    <w:rsid w:val="009951D5"/>
    <w:rsid w:val="009A6237"/>
    <w:rsid w:val="009B0512"/>
    <w:rsid w:val="009B53E8"/>
    <w:rsid w:val="009C3656"/>
    <w:rsid w:val="009C42E2"/>
    <w:rsid w:val="009C4800"/>
    <w:rsid w:val="009C5E89"/>
    <w:rsid w:val="009D7325"/>
    <w:rsid w:val="009E30A1"/>
    <w:rsid w:val="009E3930"/>
    <w:rsid w:val="00A04D35"/>
    <w:rsid w:val="00A06C46"/>
    <w:rsid w:val="00A17DA2"/>
    <w:rsid w:val="00A20B01"/>
    <w:rsid w:val="00A27C04"/>
    <w:rsid w:val="00A36D7F"/>
    <w:rsid w:val="00A41FB6"/>
    <w:rsid w:val="00A54061"/>
    <w:rsid w:val="00A63C08"/>
    <w:rsid w:val="00A6479A"/>
    <w:rsid w:val="00A650F3"/>
    <w:rsid w:val="00A73CF4"/>
    <w:rsid w:val="00A910EE"/>
    <w:rsid w:val="00A953FC"/>
    <w:rsid w:val="00A95F73"/>
    <w:rsid w:val="00AB0E31"/>
    <w:rsid w:val="00AB0F2D"/>
    <w:rsid w:val="00AC3F0C"/>
    <w:rsid w:val="00AE03A0"/>
    <w:rsid w:val="00AE0A3D"/>
    <w:rsid w:val="00AE31E1"/>
    <w:rsid w:val="00AF39C7"/>
    <w:rsid w:val="00AF7379"/>
    <w:rsid w:val="00B045C9"/>
    <w:rsid w:val="00B12B20"/>
    <w:rsid w:val="00B23956"/>
    <w:rsid w:val="00B43975"/>
    <w:rsid w:val="00B468E5"/>
    <w:rsid w:val="00B51168"/>
    <w:rsid w:val="00B56F6D"/>
    <w:rsid w:val="00B6472F"/>
    <w:rsid w:val="00B65652"/>
    <w:rsid w:val="00B814A6"/>
    <w:rsid w:val="00B81818"/>
    <w:rsid w:val="00B86148"/>
    <w:rsid w:val="00BC1FB3"/>
    <w:rsid w:val="00BE0BCA"/>
    <w:rsid w:val="00BF5C14"/>
    <w:rsid w:val="00C10764"/>
    <w:rsid w:val="00C13406"/>
    <w:rsid w:val="00C1497E"/>
    <w:rsid w:val="00C2342E"/>
    <w:rsid w:val="00C36CE5"/>
    <w:rsid w:val="00C44CE1"/>
    <w:rsid w:val="00C456EB"/>
    <w:rsid w:val="00C517A2"/>
    <w:rsid w:val="00C65584"/>
    <w:rsid w:val="00C7501F"/>
    <w:rsid w:val="00C80617"/>
    <w:rsid w:val="00C838F3"/>
    <w:rsid w:val="00C93533"/>
    <w:rsid w:val="00CA56D2"/>
    <w:rsid w:val="00CA5B5A"/>
    <w:rsid w:val="00CA633F"/>
    <w:rsid w:val="00CA7399"/>
    <w:rsid w:val="00CA7495"/>
    <w:rsid w:val="00CD593B"/>
    <w:rsid w:val="00CF5FCA"/>
    <w:rsid w:val="00CF7A4A"/>
    <w:rsid w:val="00D0368A"/>
    <w:rsid w:val="00D07128"/>
    <w:rsid w:val="00D20154"/>
    <w:rsid w:val="00D20DE5"/>
    <w:rsid w:val="00D21D40"/>
    <w:rsid w:val="00D614D3"/>
    <w:rsid w:val="00D73C8D"/>
    <w:rsid w:val="00D92080"/>
    <w:rsid w:val="00D9338F"/>
    <w:rsid w:val="00D94E6C"/>
    <w:rsid w:val="00D9620B"/>
    <w:rsid w:val="00DA1730"/>
    <w:rsid w:val="00DA26AC"/>
    <w:rsid w:val="00DB2E2A"/>
    <w:rsid w:val="00DB2F51"/>
    <w:rsid w:val="00DB3EF0"/>
    <w:rsid w:val="00DD08CB"/>
    <w:rsid w:val="00DF1DCF"/>
    <w:rsid w:val="00DF30C9"/>
    <w:rsid w:val="00DF330D"/>
    <w:rsid w:val="00DF34C9"/>
    <w:rsid w:val="00DF4AB5"/>
    <w:rsid w:val="00E14513"/>
    <w:rsid w:val="00E1683B"/>
    <w:rsid w:val="00E2538D"/>
    <w:rsid w:val="00E262C6"/>
    <w:rsid w:val="00E404D6"/>
    <w:rsid w:val="00E464CA"/>
    <w:rsid w:val="00E61D38"/>
    <w:rsid w:val="00E63B78"/>
    <w:rsid w:val="00E94167"/>
    <w:rsid w:val="00E95DB4"/>
    <w:rsid w:val="00E97344"/>
    <w:rsid w:val="00EA55CA"/>
    <w:rsid w:val="00EB524C"/>
    <w:rsid w:val="00EB726F"/>
    <w:rsid w:val="00EC7096"/>
    <w:rsid w:val="00ED3C01"/>
    <w:rsid w:val="00ED6F02"/>
    <w:rsid w:val="00EF07B4"/>
    <w:rsid w:val="00F0418C"/>
    <w:rsid w:val="00F079B8"/>
    <w:rsid w:val="00F20863"/>
    <w:rsid w:val="00F20E96"/>
    <w:rsid w:val="00F216E0"/>
    <w:rsid w:val="00F22E88"/>
    <w:rsid w:val="00F243ED"/>
    <w:rsid w:val="00F3107D"/>
    <w:rsid w:val="00F32B2F"/>
    <w:rsid w:val="00F70364"/>
    <w:rsid w:val="00F71F5C"/>
    <w:rsid w:val="00F76E57"/>
    <w:rsid w:val="00F84B24"/>
    <w:rsid w:val="00F966A8"/>
    <w:rsid w:val="00FA0917"/>
    <w:rsid w:val="00FA3AF5"/>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52DB9"/>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link w:val="af5"/>
    <w:uiPriority w:val="34"/>
    <w:qFormat/>
    <w:pPr>
      <w:spacing w:after="200" w:line="276" w:lineRule="auto"/>
      <w:ind w:left="720"/>
    </w:pPr>
    <w:rPr>
      <w:rFonts w:ascii="Calibri" w:eastAsia="Calibri" w:hAnsi="Calibri" w:cs="Arial"/>
      <w:sz w:val="22"/>
      <w:szCs w:val="22"/>
    </w:rPr>
  </w:style>
  <w:style w:type="paragraph" w:styleId="af6">
    <w:name w:val="Title"/>
    <w:basedOn w:val="a"/>
    <w:link w:val="af7"/>
    <w:uiPriority w:val="10"/>
    <w:qFormat/>
    <w:pPr>
      <w:spacing w:line="240" w:lineRule="auto"/>
      <w:jc w:val="center"/>
    </w:pPr>
    <w:rPr>
      <w:u w:val="single"/>
    </w:rPr>
  </w:style>
  <w:style w:type="paragraph" w:styleId="af8">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semiHidden/>
    <w:unhideWhenUsed/>
    <w:pPr>
      <w:bidi w:val="0"/>
      <w:spacing w:before="100" w:beforeAutospacing="1" w:after="100" w:afterAutospacing="1" w:line="276" w:lineRule="auto"/>
      <w:jc w:val="both"/>
    </w:pPr>
    <w:rPr>
      <w:rFonts w:cs="Times New Roman"/>
    </w:rPr>
  </w:style>
  <w:style w:type="paragraph" w:customStyle="1" w:styleId="af9">
    <w:name w:val="הערת שוליים"/>
    <w:qFormat/>
    <w:pPr>
      <w:bidi/>
      <w:ind w:left="340" w:hanging="340"/>
    </w:pPr>
    <w:rPr>
      <w:rFonts w:eastAsia="Calibri"/>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a">
    <w:name w:val="Body Text Indent"/>
    <w:basedOn w:val="a"/>
    <w:semiHidden/>
    <w:pPr>
      <w:bidi w:val="0"/>
      <w:spacing w:line="280" w:lineRule="exact"/>
      <w:ind w:left="397" w:hanging="397"/>
      <w:jc w:val="both"/>
    </w:pPr>
    <w:rPr>
      <w:rFonts w:cs="Times New Roman"/>
      <w:sz w:val="22"/>
      <w:szCs w:val="22"/>
    </w:rPr>
  </w:style>
  <w:style w:type="paragraph" w:styleId="afb">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c">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d">
    <w:name w:val="No Spacing"/>
    <w:uiPriority w:val="1"/>
    <w:qFormat/>
    <w:rsid w:val="00E95DB4"/>
    <w:pPr>
      <w:bidi/>
    </w:pPr>
    <w:rPr>
      <w:rFonts w:ascii="Arial" w:eastAsia="Calibri" w:hAnsi="Arial" w:cs="Arial"/>
      <w:sz w:val="22"/>
      <w:szCs w:val="22"/>
    </w:rPr>
  </w:style>
  <w:style w:type="character" w:styleId="afe">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7">
    <w:name w:val="כותרת טקסט תו"/>
    <w:link w:val="af6"/>
    <w:uiPriority w:val="10"/>
    <w:rsid w:val="00E95DB4"/>
    <w:rPr>
      <w:rFonts w:cs="David"/>
      <w:sz w:val="24"/>
      <w:szCs w:val="24"/>
      <w:u w:val="single"/>
    </w:rPr>
  </w:style>
  <w:style w:type="table" w:styleId="aff">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f"/>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f"/>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0">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1">
    <w:name w:val="Subtitle"/>
    <w:basedOn w:val="a"/>
    <w:next w:val="a"/>
    <w:link w:val="aff2"/>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2">
    <w:name w:val="כותרת משנה תו"/>
    <w:link w:val="aff1"/>
    <w:uiPriority w:val="11"/>
    <w:rsid w:val="00C838F3"/>
    <w:rPr>
      <w:rFonts w:ascii="Calibri" w:hAnsi="Calibri" w:cs="Arial"/>
      <w:color w:val="5A5A5A"/>
      <w:spacing w:val="15"/>
      <w:sz w:val="22"/>
      <w:szCs w:val="22"/>
      <w:lang w:val="en-US" w:eastAsia="en-US"/>
    </w:rPr>
  </w:style>
  <w:style w:type="paragraph" w:styleId="aff3">
    <w:name w:val="Quote"/>
    <w:basedOn w:val="a"/>
    <w:next w:val="a"/>
    <w:link w:val="aff4"/>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4">
    <w:name w:val="ציטוט תו"/>
    <w:link w:val="aff3"/>
    <w:uiPriority w:val="29"/>
    <w:rsid w:val="00C838F3"/>
    <w:rPr>
      <w:rFonts w:ascii="Calibri" w:hAnsi="Calibri" w:cs="Arial"/>
      <w:i/>
      <w:iCs/>
      <w:color w:val="404040"/>
      <w:sz w:val="22"/>
      <w:szCs w:val="22"/>
      <w:lang w:val="en-US" w:eastAsia="en-US"/>
    </w:rPr>
  </w:style>
  <w:style w:type="paragraph" w:styleId="aff5">
    <w:name w:val="Intense Quote"/>
    <w:basedOn w:val="a"/>
    <w:next w:val="a"/>
    <w:link w:val="aff6"/>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6">
    <w:name w:val="ציטוט חזק תו"/>
    <w:link w:val="aff5"/>
    <w:uiPriority w:val="30"/>
    <w:rsid w:val="00C838F3"/>
    <w:rPr>
      <w:rFonts w:ascii="Calibri" w:hAnsi="Calibri" w:cs="Arial"/>
      <w:i/>
      <w:iCs/>
      <w:color w:val="4472C4"/>
      <w:sz w:val="22"/>
      <w:szCs w:val="22"/>
      <w:lang w:val="en-US" w:eastAsia="en-US"/>
    </w:rPr>
  </w:style>
  <w:style w:type="character" w:styleId="aff7">
    <w:name w:val="Subtle Emphasis"/>
    <w:uiPriority w:val="19"/>
    <w:qFormat/>
    <w:rsid w:val="00C838F3"/>
    <w:rPr>
      <w:i/>
      <w:iCs/>
      <w:color w:val="404040"/>
    </w:rPr>
  </w:style>
  <w:style w:type="character" w:styleId="aff8">
    <w:name w:val="Intense Emphasis"/>
    <w:uiPriority w:val="21"/>
    <w:qFormat/>
    <w:rsid w:val="00C838F3"/>
    <w:rPr>
      <w:i/>
      <w:iCs/>
      <w:color w:val="4472C4"/>
    </w:rPr>
  </w:style>
  <w:style w:type="character" w:styleId="aff9">
    <w:name w:val="Subtle Reference"/>
    <w:uiPriority w:val="31"/>
    <w:qFormat/>
    <w:rsid w:val="00C838F3"/>
    <w:rPr>
      <w:smallCaps/>
      <w:color w:val="404040"/>
    </w:rPr>
  </w:style>
  <w:style w:type="character" w:styleId="affa">
    <w:name w:val="Intense Reference"/>
    <w:uiPriority w:val="32"/>
    <w:qFormat/>
    <w:rsid w:val="00C838F3"/>
    <w:rPr>
      <w:b/>
      <w:bCs/>
      <w:smallCaps/>
      <w:color w:val="4472C4"/>
      <w:spacing w:val="5"/>
    </w:rPr>
  </w:style>
  <w:style w:type="character" w:styleId="affb">
    <w:name w:val="Book Title"/>
    <w:uiPriority w:val="33"/>
    <w:qFormat/>
    <w:rsid w:val="00C838F3"/>
    <w:rPr>
      <w:b/>
      <w:bCs/>
      <w:i/>
      <w:iCs/>
      <w:spacing w:val="5"/>
    </w:rPr>
  </w:style>
  <w:style w:type="paragraph" w:styleId="affc">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affd">
    <w:name w:val="Revision"/>
    <w:hidden/>
    <w:uiPriority w:val="99"/>
    <w:semiHidden/>
    <w:rsid w:val="00182BC2"/>
    <w:rPr>
      <w:rFonts w:cs="David"/>
      <w:sz w:val="24"/>
      <w:szCs w:val="24"/>
    </w:rPr>
  </w:style>
  <w:style w:type="character" w:customStyle="1" w:styleId="af5">
    <w:name w:val="פיסקת רשימה תו"/>
    <w:link w:val="af4"/>
    <w:uiPriority w:val="34"/>
    <w:locked/>
    <w:rsid w:val="00D9620B"/>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C46BFE-A5A1-4ED7-8662-94EDA908698A}"/>
</file>

<file path=customXml/itemProps2.xml><?xml version="1.0" encoding="utf-8"?>
<ds:datastoreItem xmlns:ds="http://schemas.openxmlformats.org/officeDocument/2006/customXml" ds:itemID="{7DA1ED81-B563-4245-98AC-68D96F267683}"/>
</file>

<file path=customXml/itemProps3.xml><?xml version="1.0" encoding="utf-8"?>
<ds:datastoreItem xmlns:ds="http://schemas.openxmlformats.org/officeDocument/2006/customXml" ds:itemID="{357FD25E-8CFC-486D-B107-3CA258C6F824}"/>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9555</Characters>
  <Application>Microsoft Office Word</Application>
  <DocSecurity>0</DocSecurity>
  <Lines>79</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דבר העורך</vt:lpstr>
      <vt:lpstr>הורים שעבדו מהבית בעת מגפת הקורונה</vt:lpstr>
    </vt:vector>
  </TitlesOfParts>
  <Company>Onit Computer Services Ltd</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דבר העורך</dc:title>
  <dc:creator>Mordechai Frankel</dc:creator>
  <cp:lastModifiedBy>קרן גולדנר</cp:lastModifiedBy>
  <cp:revision>2</cp:revision>
  <cp:lastPrinted>2024-09-23T18:59:00Z</cp:lastPrinted>
  <dcterms:created xsi:type="dcterms:W3CDTF">2024-12-15T06:15:00Z</dcterms:created>
  <dcterms:modified xsi:type="dcterms:W3CDTF">2024-12-15T06:15:00Z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