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11B10" w14:textId="54575736" w:rsidR="00314E22" w:rsidRPr="00B06145" w:rsidRDefault="00314E22" w:rsidP="00314E22">
      <w:pPr>
        <w:pStyle w:val="NAME"/>
        <w:pBdr>
          <w:bottom w:val="none" w:sz="0" w:space="0" w:color="auto"/>
        </w:pBdr>
        <w:spacing w:before="360" w:after="0" w:line="480" w:lineRule="exact"/>
        <w:rPr>
          <w:rFonts w:ascii="Tahoma" w:hAnsi="Tahoma" w:cs="Guttman Aharoni"/>
          <w:b/>
          <w:bCs/>
          <w:color w:val="2A8E8C"/>
          <w:sz w:val="32"/>
          <w:szCs w:val="32"/>
          <w:rtl/>
        </w:rPr>
      </w:pPr>
      <w:bookmarkStart w:id="0" w:name="_Hlk105520592"/>
      <w:r w:rsidRPr="00B06145">
        <w:rPr>
          <w:rFonts w:ascii="Tahoma" w:hAnsi="Tahoma" w:cs="Guttman Aharoni" w:hint="cs"/>
          <w:b/>
          <w:bCs/>
          <w:color w:val="2A8E8C"/>
          <w:sz w:val="32"/>
          <w:szCs w:val="32"/>
          <w:rtl/>
        </w:rPr>
        <w:t>סקירת ספרים חדשים</w:t>
      </w:r>
    </w:p>
    <w:p w14:paraId="136803F1" w14:textId="750E5FA5" w:rsidR="00314E22" w:rsidRPr="00B06145" w:rsidRDefault="00314E22" w:rsidP="00314E22">
      <w:pPr>
        <w:pStyle w:val="KOT5T"/>
        <w:spacing w:after="960" w:line="360" w:lineRule="exact"/>
        <w:jc w:val="right"/>
        <w:rPr>
          <w:color w:val="2A8E8C"/>
          <w:sz w:val="20"/>
          <w:szCs w:val="20"/>
          <w:rtl/>
        </w:rPr>
      </w:pPr>
      <w:bookmarkStart w:id="1" w:name="_Hlk118895191"/>
      <w:r w:rsidRPr="00B06145">
        <w:rPr>
          <w:rFonts w:hint="cs"/>
          <w:color w:val="2A8E8C"/>
          <w:sz w:val="20"/>
          <w:szCs w:val="20"/>
          <w:rtl/>
        </w:rPr>
        <w:t>עינת לביא</w:t>
      </w:r>
      <w:bookmarkEnd w:id="1"/>
      <w:r w:rsidR="00B269A4">
        <w:rPr>
          <w:rStyle w:val="a8"/>
          <w:color w:val="2A8E8C"/>
          <w:sz w:val="20"/>
          <w:szCs w:val="20"/>
          <w:rtl/>
        </w:rPr>
        <w:footnoteReference w:id="2"/>
      </w:r>
    </w:p>
    <w:bookmarkEnd w:id="0"/>
    <w:p w14:paraId="55B6BDEE" w14:textId="068A7D38" w:rsidR="00677D35" w:rsidRDefault="00677D35" w:rsidP="00A64A99">
      <w:pPr>
        <w:pStyle w:val="KOT4"/>
        <w:spacing w:after="0"/>
        <w:ind w:right="0"/>
        <w:rPr>
          <w:rFonts w:cs="Guttman Aharoni"/>
          <w:b w:val="0"/>
          <w:bCs w:val="0"/>
          <w:color w:val="2A8E8C"/>
          <w:spacing w:val="-2"/>
          <w:sz w:val="28"/>
          <w:szCs w:val="28"/>
          <w:rtl/>
        </w:rPr>
        <w:sectPr w:rsidR="00677D35" w:rsidSect="00357754">
          <w:headerReference w:type="even" r:id="rId7"/>
          <w:headerReference w:type="default" r:id="rId8"/>
          <w:headerReference w:type="first" r:id="rId9"/>
          <w:footnotePr>
            <w:numRestart w:val="eachPage"/>
          </w:footnotePr>
          <w:pgSz w:w="11906" w:h="16838" w:code="9"/>
          <w:pgMar w:top="3402" w:right="2608" w:bottom="2722" w:left="2608" w:header="2552" w:footer="2438" w:gutter="0"/>
          <w:pgNumType w:start="139"/>
          <w:cols w:space="708"/>
          <w:titlePg/>
          <w:docGrid w:linePitch="360"/>
        </w:sectPr>
      </w:pPr>
    </w:p>
    <w:p w14:paraId="4C2F7F6C" w14:textId="63BA18A4" w:rsidR="003A19DF" w:rsidRPr="003A19DF" w:rsidRDefault="003A19DF" w:rsidP="003A19DF">
      <w:pPr>
        <w:pStyle w:val="KOT5"/>
        <w:rPr>
          <w:b/>
          <w:bCs/>
          <w:color w:val="2A8E8C"/>
          <w:rtl/>
        </w:rPr>
      </w:pPr>
      <w:r w:rsidRPr="003A19DF">
        <w:rPr>
          <w:b/>
          <w:bCs/>
          <w:color w:val="2A8E8C"/>
          <w:rtl/>
        </w:rPr>
        <w:t>מרחבי ניאו</w:t>
      </w:r>
      <w:r w:rsidRPr="00721DC1">
        <w:rPr>
          <w:rFonts w:ascii="David" w:hAnsi="David" w:cs="David"/>
          <w:b/>
          <w:bCs/>
          <w:color w:val="2A8E8C"/>
          <w:rtl/>
        </w:rPr>
        <w:t>-</w:t>
      </w:r>
      <w:r w:rsidRPr="003A19DF">
        <w:rPr>
          <w:b/>
          <w:bCs/>
          <w:color w:val="2A8E8C"/>
          <w:rtl/>
        </w:rPr>
        <w:t xml:space="preserve">ליברליזציה בישראל: כלכלה פוליטית, אתניות, דת ומגדר </w:t>
      </w:r>
      <w:r>
        <w:rPr>
          <w:rFonts w:hint="cs"/>
          <w:b/>
          <w:bCs/>
          <w:color w:val="2A8E8C"/>
          <w:rtl/>
        </w:rPr>
        <w:t xml:space="preserve">/ </w:t>
      </w:r>
      <w:r w:rsidRPr="003A19DF">
        <w:rPr>
          <w:b/>
          <w:bCs/>
          <w:color w:val="2A8E8C"/>
          <w:rtl/>
        </w:rPr>
        <w:t xml:space="preserve">שרה הלמן (עורכת) </w:t>
      </w:r>
    </w:p>
    <w:p w14:paraId="55383883" w14:textId="77777777" w:rsidR="003A19DF" w:rsidRPr="003A19DF" w:rsidRDefault="003A19DF" w:rsidP="003A19DF">
      <w:pPr>
        <w:pStyle w:val="KOT6"/>
        <w:rPr>
          <w:rFonts w:cs="Guttman Aharoni"/>
          <w:b w:val="0"/>
          <w:bCs w:val="0"/>
          <w:color w:val="auto"/>
          <w:sz w:val="20"/>
          <w:szCs w:val="20"/>
          <w:rtl/>
        </w:rPr>
      </w:pPr>
      <w:r w:rsidRPr="003A19DF">
        <w:rPr>
          <w:rFonts w:cs="Guttman Aharoni"/>
          <w:b w:val="0"/>
          <w:bCs w:val="0"/>
          <w:color w:val="auto"/>
          <w:sz w:val="20"/>
          <w:szCs w:val="20"/>
          <w:rtl/>
        </w:rPr>
        <w:t xml:space="preserve">מכון </w:t>
      </w:r>
      <w:proofErr w:type="spellStart"/>
      <w:r w:rsidRPr="003A19DF">
        <w:rPr>
          <w:rFonts w:cs="Guttman Aharoni"/>
          <w:b w:val="0"/>
          <w:bCs w:val="0"/>
          <w:color w:val="auto"/>
          <w:sz w:val="20"/>
          <w:szCs w:val="20"/>
          <w:rtl/>
        </w:rPr>
        <w:t>ון</w:t>
      </w:r>
      <w:proofErr w:type="spellEnd"/>
      <w:r w:rsidRPr="003A19DF">
        <w:rPr>
          <w:rFonts w:cs="Guttman Aharoni"/>
          <w:b w:val="0"/>
          <w:bCs w:val="0"/>
          <w:color w:val="auto"/>
          <w:sz w:val="20"/>
          <w:szCs w:val="20"/>
          <w:rtl/>
        </w:rPr>
        <w:t xml:space="preserve"> ליר והקיבוץ המאוחד, 2024. 274 עמודים</w:t>
      </w:r>
    </w:p>
    <w:p w14:paraId="68DCD11B" w14:textId="77777777" w:rsidR="003A19DF" w:rsidRPr="003A19DF" w:rsidRDefault="003A19DF" w:rsidP="003A19DF">
      <w:pPr>
        <w:spacing w:after="180" w:line="280" w:lineRule="exact"/>
        <w:jc w:val="both"/>
        <w:rPr>
          <w:rFonts w:ascii="Georgia" w:hAnsi="Georgia"/>
          <w:sz w:val="18"/>
          <w:szCs w:val="20"/>
          <w:rtl/>
        </w:rPr>
      </w:pPr>
    </w:p>
    <w:p w14:paraId="7A4ED8A3"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ספר מרתק זה שערכה פרופ׳ שרה הלמן, מהסוציולוגיות הפוליטיות הבולטות בישראל, מתאר ומנתח את ההשפעות השונות של הניאו-ליברליזם על החברה הישראלית בהיבטים של הכלכלה, האתניות, הדת והמגדר. </w:t>
      </w:r>
    </w:p>
    <w:p w14:paraId="3DD9F1A2" w14:textId="77777777" w:rsidR="003A19DF" w:rsidRPr="003A19DF" w:rsidRDefault="003A19DF" w:rsidP="003A19DF">
      <w:pPr>
        <w:spacing w:after="180" w:line="280" w:lineRule="exact"/>
        <w:jc w:val="both"/>
        <w:rPr>
          <w:rFonts w:ascii="Georgia" w:hAnsi="Georgia"/>
          <w:sz w:val="18"/>
          <w:szCs w:val="20"/>
        </w:rPr>
      </w:pPr>
      <w:r w:rsidRPr="003A19DF">
        <w:rPr>
          <w:rFonts w:ascii="Georgia" w:hAnsi="Georgia"/>
          <w:sz w:val="18"/>
          <w:szCs w:val="20"/>
          <w:rtl/>
        </w:rPr>
        <w:t xml:space="preserve">הספר מאגד מאמרים שכתבו כלכלנים פוליטיים, סוציולוגים וחוקרי מדעי המדינה. כל מאמר מנתח את ההשפעה הניאו-ליברלית בישראל מנקודת מבט שונה, ושם דגש על </w:t>
      </w:r>
      <w:proofErr w:type="spellStart"/>
      <w:r w:rsidRPr="003A19DF">
        <w:rPr>
          <w:rFonts w:ascii="Georgia" w:hAnsi="Georgia"/>
          <w:sz w:val="18"/>
          <w:szCs w:val="20"/>
          <w:rtl/>
        </w:rPr>
        <w:t>הדינמיקות</w:t>
      </w:r>
      <w:proofErr w:type="spellEnd"/>
      <w:r w:rsidRPr="003A19DF">
        <w:rPr>
          <w:rFonts w:ascii="Georgia" w:hAnsi="Georgia"/>
          <w:sz w:val="18"/>
          <w:szCs w:val="20"/>
          <w:rtl/>
        </w:rPr>
        <w:t xml:space="preserve"> המורכבות המתקיימות בין המדינה, הכלכלה והחברה</w:t>
      </w:r>
      <w:r w:rsidRPr="003A19DF">
        <w:rPr>
          <w:rFonts w:ascii="Georgia" w:hAnsi="Georgia"/>
          <w:sz w:val="18"/>
          <w:szCs w:val="20"/>
        </w:rPr>
        <w:t>.</w:t>
      </w:r>
    </w:p>
    <w:p w14:paraId="6D17969C"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הספר מציג את ההיבטים השונים של ניאו-ליברליזציה בישראל ואת הדרכים שבהן קבוצות חברתיות שונות מושפעות ממנו. המאמרים בוחנים את תהליכי פירוקם של ההסדרים המוסדיים הקודמים, ואת היווצרותן של תבניות חדשות של ארגון ופעולה במגזרים שונים. </w:t>
      </w:r>
    </w:p>
    <w:p w14:paraId="3CF9D8CE" w14:textId="10F54550"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פרקי הספר דנים בפעולת הניאו-ליברליזם בצורה המבחינה בין קבוצות שונות בחברה; כל קבוצה משקפת ניסיון שונה בהתמודדות עם ניאו-ליברליזם בהתאם להיבטים של מעמד, מגדר, רקע אתני ולאומי. הפרקים מסרטטים את התהליך שבו נוצרים מרחבים שונים של </w:t>
      </w:r>
      <w:r w:rsidR="005408C1">
        <w:rPr>
          <w:rFonts w:ascii="Georgia" w:hAnsi="Georgia"/>
          <w:sz w:val="18"/>
          <w:szCs w:val="20"/>
          <w:rtl/>
        </w:rPr>
        <w:br/>
      </w:r>
      <w:r w:rsidRPr="003A19DF">
        <w:rPr>
          <w:rFonts w:ascii="Georgia" w:hAnsi="Georgia"/>
          <w:sz w:val="18"/>
          <w:szCs w:val="20"/>
          <w:rtl/>
        </w:rPr>
        <w:t xml:space="preserve">ניאו-ליברליזם, שבכל אחד מהם מציאות חברתית וכלכלית שונה ומורכבת. </w:t>
      </w:r>
    </w:p>
    <w:p w14:paraId="57FF33AC"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ספר זה הוא תוספת חשובה במיוחד לתחום הביטחון הסוציאלי בישראל. הספר כולל דיון בפתרונות חדשניים להתמודדות עם אתגרים אלה, מה שעשוי לשפר את יעילותן של המערכות החברתיות והכלכליות בישראל. </w:t>
      </w:r>
    </w:p>
    <w:p w14:paraId="2AB3DF2B" w14:textId="77777777" w:rsidR="003A19DF" w:rsidRPr="003A19DF" w:rsidRDefault="003A19DF" w:rsidP="003A19DF">
      <w:pPr>
        <w:spacing w:after="180" w:line="280" w:lineRule="exact"/>
        <w:jc w:val="both"/>
        <w:rPr>
          <w:rFonts w:ascii="Georgia" w:hAnsi="Georgia"/>
          <w:sz w:val="18"/>
          <w:szCs w:val="20"/>
          <w:rtl/>
        </w:rPr>
      </w:pPr>
    </w:p>
    <w:p w14:paraId="7D31EF4F" w14:textId="720C31B4" w:rsidR="003A19DF" w:rsidRPr="003A19DF" w:rsidRDefault="003A19DF" w:rsidP="003A19DF">
      <w:pPr>
        <w:pStyle w:val="KOT5"/>
        <w:rPr>
          <w:b/>
          <w:bCs/>
          <w:color w:val="2A8E8C"/>
          <w:rtl/>
        </w:rPr>
      </w:pPr>
      <w:r w:rsidRPr="003A19DF">
        <w:rPr>
          <w:b/>
          <w:bCs/>
          <w:color w:val="2A8E8C"/>
          <w:rtl/>
        </w:rPr>
        <w:lastRenderedPageBreak/>
        <w:t>אלם אילמות ואלימות במשפחה בישראל (כרך א)</w:t>
      </w:r>
      <w:r>
        <w:rPr>
          <w:rFonts w:hint="cs"/>
          <w:b/>
          <w:bCs/>
          <w:color w:val="2A8E8C"/>
          <w:rtl/>
        </w:rPr>
        <w:t xml:space="preserve"> / </w:t>
      </w:r>
      <w:r w:rsidRPr="003A19DF">
        <w:rPr>
          <w:b/>
          <w:bCs/>
          <w:color w:val="2A8E8C"/>
          <w:rtl/>
        </w:rPr>
        <w:t>נעמי (</w:t>
      </w:r>
      <w:proofErr w:type="spellStart"/>
      <w:r w:rsidRPr="003A19DF">
        <w:rPr>
          <w:b/>
          <w:bCs/>
          <w:color w:val="2A8E8C"/>
          <w:rtl/>
        </w:rPr>
        <w:t>גייל</w:t>
      </w:r>
      <w:proofErr w:type="spellEnd"/>
      <w:r w:rsidRPr="003A19DF">
        <w:rPr>
          <w:b/>
          <w:bCs/>
          <w:color w:val="2A8E8C"/>
          <w:rtl/>
        </w:rPr>
        <w:t xml:space="preserve">) גל </w:t>
      </w:r>
    </w:p>
    <w:p w14:paraId="7FB6AF85" w14:textId="77777777" w:rsidR="003A19DF" w:rsidRPr="003A19DF" w:rsidRDefault="003A19DF" w:rsidP="003A19DF">
      <w:pPr>
        <w:pStyle w:val="KOT6"/>
        <w:rPr>
          <w:rFonts w:cs="Guttman Aharoni"/>
          <w:b w:val="0"/>
          <w:bCs w:val="0"/>
          <w:color w:val="auto"/>
          <w:sz w:val="20"/>
          <w:szCs w:val="20"/>
          <w:rtl/>
        </w:rPr>
      </w:pPr>
      <w:r w:rsidRPr="003A19DF">
        <w:rPr>
          <w:rFonts w:cs="Guttman Aharoni"/>
          <w:b w:val="0"/>
          <w:bCs w:val="0"/>
          <w:color w:val="auto"/>
          <w:sz w:val="20"/>
          <w:szCs w:val="20"/>
          <w:rtl/>
        </w:rPr>
        <w:t>רסלינג, 2023. 520 עמודים</w:t>
      </w:r>
    </w:p>
    <w:p w14:paraId="1E786B0B" w14:textId="77777777" w:rsidR="003A19DF" w:rsidRPr="003A19DF" w:rsidRDefault="003A19DF" w:rsidP="003A19DF">
      <w:pPr>
        <w:tabs>
          <w:tab w:val="left" w:pos="2822"/>
        </w:tabs>
        <w:spacing w:after="180" w:line="280" w:lineRule="exact"/>
        <w:jc w:val="both"/>
        <w:rPr>
          <w:rFonts w:ascii="Georgia" w:hAnsi="Georgia"/>
          <w:sz w:val="18"/>
          <w:szCs w:val="20"/>
          <w:rtl/>
        </w:rPr>
      </w:pPr>
    </w:p>
    <w:p w14:paraId="0CAF43DD" w14:textId="7A655BD0" w:rsidR="003A19DF" w:rsidRPr="003A19DF" w:rsidRDefault="003A19DF" w:rsidP="003A19DF">
      <w:pPr>
        <w:tabs>
          <w:tab w:val="left" w:pos="2822"/>
        </w:tabs>
        <w:spacing w:after="180" w:line="280" w:lineRule="exact"/>
        <w:jc w:val="both"/>
        <w:rPr>
          <w:rFonts w:ascii="Georgia" w:hAnsi="Georgia"/>
          <w:sz w:val="18"/>
          <w:szCs w:val="20"/>
          <w:rtl/>
        </w:rPr>
      </w:pPr>
      <w:r w:rsidRPr="003A19DF">
        <w:rPr>
          <w:rFonts w:ascii="Georgia" w:hAnsi="Georgia"/>
          <w:sz w:val="18"/>
          <w:szCs w:val="20"/>
          <w:rtl/>
        </w:rPr>
        <w:t xml:space="preserve">ספר זה הוא המשך לעבודתה הקודמת </w:t>
      </w:r>
      <w:r w:rsidR="005408C1">
        <w:rPr>
          <w:rFonts w:ascii="Georgia" w:hAnsi="Georgia" w:hint="cs"/>
          <w:sz w:val="18"/>
          <w:szCs w:val="20"/>
          <w:rtl/>
        </w:rPr>
        <w:t xml:space="preserve">של </w:t>
      </w:r>
      <w:r w:rsidRPr="003A19DF">
        <w:rPr>
          <w:rFonts w:ascii="Georgia" w:hAnsi="Georgia"/>
          <w:sz w:val="18"/>
          <w:szCs w:val="20"/>
          <w:rtl/>
        </w:rPr>
        <w:t xml:space="preserve">ד״ר נעמי גל, אנתרופולוגית ועורכת דין המתמחה בחקר אלימות במשפחה, על אלימות גוברת נגד נשים הגובלת לעיתים ברצח. בספרה החדש מציעה המחברת מחקר מרחיב ועמוק על אלימות במשפחות בישראל. </w:t>
      </w:r>
    </w:p>
    <w:p w14:paraId="3ACB37F9" w14:textId="7A45F4D3" w:rsidR="003A19DF" w:rsidRPr="003A19DF" w:rsidRDefault="003A19DF" w:rsidP="005408C1">
      <w:pPr>
        <w:tabs>
          <w:tab w:val="left" w:pos="2822"/>
        </w:tabs>
        <w:spacing w:after="180" w:line="280" w:lineRule="exact"/>
        <w:jc w:val="both"/>
        <w:rPr>
          <w:rFonts w:ascii="Georgia" w:hAnsi="Georgia"/>
          <w:sz w:val="18"/>
          <w:szCs w:val="20"/>
          <w:rtl/>
        </w:rPr>
      </w:pPr>
      <w:r w:rsidRPr="003A19DF">
        <w:rPr>
          <w:rFonts w:ascii="Georgia" w:hAnsi="Georgia"/>
          <w:sz w:val="18"/>
          <w:szCs w:val="20"/>
          <w:rtl/>
        </w:rPr>
        <w:t xml:space="preserve">הספר כולל שלושה שערים, </w:t>
      </w:r>
      <w:r w:rsidR="005408C1">
        <w:rPr>
          <w:rFonts w:ascii="Georgia" w:hAnsi="Georgia" w:hint="cs"/>
          <w:sz w:val="18"/>
          <w:szCs w:val="20"/>
          <w:rtl/>
        </w:rPr>
        <w:t>ו</w:t>
      </w:r>
      <w:r w:rsidR="005408C1" w:rsidRPr="003A19DF">
        <w:rPr>
          <w:rFonts w:ascii="Georgia" w:hAnsi="Georgia"/>
          <w:sz w:val="18"/>
          <w:szCs w:val="20"/>
          <w:rtl/>
        </w:rPr>
        <w:t xml:space="preserve">בהם </w:t>
      </w:r>
      <w:r w:rsidRPr="003A19DF">
        <w:rPr>
          <w:rFonts w:ascii="Georgia" w:hAnsi="Georgia"/>
          <w:sz w:val="18"/>
          <w:szCs w:val="20"/>
          <w:rtl/>
        </w:rPr>
        <w:t>ניתוחי עומק של מקרי מחקר מובחנים המתארים את ההשפעות של אלימות במשפחה על נשים וילדים בישראל, תוך דיון בתהליכי הגירה ובהשפעתם על המצב.</w:t>
      </w:r>
    </w:p>
    <w:p w14:paraId="212F1843" w14:textId="2F77E29E" w:rsidR="003A19DF" w:rsidRPr="003A19DF" w:rsidRDefault="003A19DF" w:rsidP="003A19DF">
      <w:pPr>
        <w:tabs>
          <w:tab w:val="left" w:pos="2822"/>
        </w:tabs>
        <w:spacing w:after="180" w:line="280" w:lineRule="exact"/>
        <w:jc w:val="both"/>
        <w:rPr>
          <w:rFonts w:ascii="Georgia" w:hAnsi="Georgia"/>
          <w:sz w:val="18"/>
          <w:szCs w:val="20"/>
          <w:rtl/>
        </w:rPr>
      </w:pPr>
      <w:r w:rsidRPr="003A19DF">
        <w:rPr>
          <w:rFonts w:ascii="Georgia" w:hAnsi="Georgia"/>
          <w:sz w:val="18"/>
          <w:szCs w:val="20"/>
          <w:rtl/>
        </w:rPr>
        <w:t>הפרקים השונים מציגים ניתוחים של קבוצות חברתיות שונות, ומתמקדים באופן שבו נשים וילדים הם לעיתים הקורבנות העיקריים. הקבוצות המוצגות בספר זה הן החברה הערבית, משפחות חרדיות, עולים מחבר העמים ויוצאי אתיופיה. גל חוקרת את ההשפעה המובחנת של אפיונים תרבותיים וחברתיים, ואת האופן שבו אלה תורמים להתגברות האלימות. היא מתייחסת גם לתגובות</w:t>
      </w:r>
      <w:r w:rsidR="005408C1">
        <w:rPr>
          <w:rFonts w:ascii="Georgia" w:hAnsi="Georgia" w:hint="cs"/>
          <w:sz w:val="18"/>
          <w:szCs w:val="20"/>
          <w:rtl/>
        </w:rPr>
        <w:t>יהן של</w:t>
      </w:r>
      <w:r w:rsidRPr="003A19DF">
        <w:rPr>
          <w:rFonts w:ascii="Georgia" w:hAnsi="Georgia"/>
          <w:sz w:val="18"/>
          <w:szCs w:val="20"/>
          <w:rtl/>
        </w:rPr>
        <w:t xml:space="preserve"> החברה והמדינה לתופעה, כולל מחאות והפגנות. </w:t>
      </w:r>
    </w:p>
    <w:p w14:paraId="26C27CC9" w14:textId="732D42B2" w:rsidR="003A19DF" w:rsidRPr="003A19DF" w:rsidRDefault="003A19DF" w:rsidP="005408C1">
      <w:pPr>
        <w:tabs>
          <w:tab w:val="left" w:pos="2822"/>
        </w:tabs>
        <w:spacing w:after="180" w:line="280" w:lineRule="exact"/>
        <w:jc w:val="both"/>
        <w:rPr>
          <w:rFonts w:ascii="Georgia" w:hAnsi="Georgia"/>
          <w:sz w:val="18"/>
          <w:szCs w:val="20"/>
          <w:rtl/>
        </w:rPr>
      </w:pPr>
      <w:r w:rsidRPr="003A19DF">
        <w:rPr>
          <w:rFonts w:ascii="Georgia" w:hAnsi="Georgia"/>
          <w:sz w:val="18"/>
          <w:szCs w:val="20"/>
          <w:rtl/>
        </w:rPr>
        <w:t>חשיבותו של ספר זה לחוקרים ולאנשי מקצוע בתחום הביטחון סוציאלי נעוצה בכך שהוא מספק כלים אנליטיים להבנת הבסיס החברתי והתרבותי של אלימות במשפחה, ומציע דרכים לטיפול</w:t>
      </w:r>
      <w:r w:rsidR="005408C1">
        <w:rPr>
          <w:rFonts w:ascii="Georgia" w:hAnsi="Georgia" w:hint="cs"/>
          <w:sz w:val="18"/>
          <w:szCs w:val="20"/>
          <w:rtl/>
        </w:rPr>
        <w:t xml:space="preserve"> בה</w:t>
      </w:r>
      <w:r w:rsidRPr="003A19DF">
        <w:rPr>
          <w:rFonts w:ascii="Georgia" w:hAnsi="Georgia"/>
          <w:sz w:val="18"/>
          <w:szCs w:val="20"/>
          <w:rtl/>
        </w:rPr>
        <w:t xml:space="preserve"> ולמניע</w:t>
      </w:r>
      <w:r w:rsidR="005408C1">
        <w:rPr>
          <w:rFonts w:ascii="Georgia" w:hAnsi="Georgia" w:hint="cs"/>
          <w:sz w:val="18"/>
          <w:szCs w:val="20"/>
          <w:rtl/>
        </w:rPr>
        <w:t>ת</w:t>
      </w:r>
      <w:r w:rsidRPr="003A19DF">
        <w:rPr>
          <w:rFonts w:ascii="Georgia" w:hAnsi="Georgia"/>
          <w:sz w:val="18"/>
          <w:szCs w:val="20"/>
          <w:rtl/>
        </w:rPr>
        <w:t>ה. בהתבסס על המקרים והניתוח המוצעים בספר יכולים מקבלי החלטות, עובדי רווחה ומנהלי מדיניות לפתח אסטרטגיות יעילות יותר להתמודדות עם הבעיה ולצמצום התופעה בקרב כלל האוכלוסייה.</w:t>
      </w:r>
    </w:p>
    <w:p w14:paraId="0E39F893" w14:textId="77777777" w:rsidR="003A19DF" w:rsidRPr="003A19DF" w:rsidRDefault="003A19DF" w:rsidP="003A19DF">
      <w:pPr>
        <w:tabs>
          <w:tab w:val="left" w:pos="2822"/>
        </w:tabs>
        <w:spacing w:after="180" w:line="280" w:lineRule="exact"/>
        <w:jc w:val="both"/>
        <w:rPr>
          <w:rFonts w:ascii="Georgia" w:hAnsi="Georgia"/>
          <w:sz w:val="18"/>
          <w:szCs w:val="20"/>
          <w:rtl/>
        </w:rPr>
      </w:pPr>
    </w:p>
    <w:p w14:paraId="1E00F38B" w14:textId="6B1DF758" w:rsidR="003A19DF" w:rsidRPr="003A19DF" w:rsidRDefault="003A19DF" w:rsidP="003A19DF">
      <w:pPr>
        <w:pStyle w:val="KOT5"/>
        <w:rPr>
          <w:b/>
          <w:bCs/>
          <w:color w:val="2A8E8C"/>
          <w:rtl/>
        </w:rPr>
      </w:pPr>
      <w:r w:rsidRPr="003A19DF">
        <w:rPr>
          <w:b/>
          <w:bCs/>
          <w:color w:val="2A8E8C"/>
          <w:rtl/>
        </w:rPr>
        <w:t>ההשכלה הגבוהה וקבוצות מיעוט בישראל ובעולם: עיון חברתי, כלכלי, פוליטי</w:t>
      </w:r>
      <w:r>
        <w:rPr>
          <w:rFonts w:hint="cs"/>
          <w:b/>
          <w:bCs/>
          <w:color w:val="2A8E8C"/>
          <w:rtl/>
        </w:rPr>
        <w:t xml:space="preserve"> / </w:t>
      </w:r>
      <w:r w:rsidRPr="003A19DF">
        <w:rPr>
          <w:b/>
          <w:bCs/>
          <w:color w:val="2A8E8C"/>
          <w:rtl/>
        </w:rPr>
        <w:t xml:space="preserve">יונס פריד אבו </w:t>
      </w:r>
      <w:proofErr w:type="spellStart"/>
      <w:r w:rsidRPr="003A19DF">
        <w:rPr>
          <w:b/>
          <w:bCs/>
          <w:color w:val="2A8E8C"/>
          <w:rtl/>
        </w:rPr>
        <w:t>אלהיג׳א</w:t>
      </w:r>
      <w:proofErr w:type="spellEnd"/>
      <w:r w:rsidRPr="003A19DF">
        <w:rPr>
          <w:b/>
          <w:bCs/>
          <w:color w:val="2A8E8C"/>
          <w:rtl/>
        </w:rPr>
        <w:t xml:space="preserve"> </w:t>
      </w:r>
    </w:p>
    <w:p w14:paraId="258BD2A5" w14:textId="77777777" w:rsidR="003A19DF" w:rsidRPr="003A19DF" w:rsidRDefault="003A19DF" w:rsidP="003A19DF">
      <w:pPr>
        <w:pStyle w:val="KOT6"/>
        <w:rPr>
          <w:rFonts w:cs="Guttman Aharoni"/>
          <w:b w:val="0"/>
          <w:bCs w:val="0"/>
          <w:color w:val="auto"/>
          <w:sz w:val="20"/>
          <w:szCs w:val="20"/>
          <w:rtl/>
        </w:rPr>
      </w:pPr>
      <w:r w:rsidRPr="003A19DF">
        <w:rPr>
          <w:rFonts w:cs="Guttman Aharoni"/>
          <w:b w:val="0"/>
          <w:bCs w:val="0"/>
          <w:color w:val="auto"/>
          <w:sz w:val="20"/>
          <w:szCs w:val="20"/>
          <w:rtl/>
        </w:rPr>
        <w:t>רסלינג, 2022. 280 עמודים</w:t>
      </w:r>
    </w:p>
    <w:p w14:paraId="001CD1CC" w14:textId="77777777" w:rsidR="003A19DF" w:rsidRPr="003A19DF" w:rsidRDefault="003A19DF" w:rsidP="003A19DF">
      <w:pPr>
        <w:tabs>
          <w:tab w:val="left" w:pos="2822"/>
        </w:tabs>
        <w:spacing w:after="180" w:line="280" w:lineRule="exact"/>
        <w:jc w:val="both"/>
        <w:rPr>
          <w:rFonts w:ascii="Georgia" w:hAnsi="Georgia"/>
          <w:sz w:val="18"/>
          <w:szCs w:val="20"/>
          <w:rtl/>
        </w:rPr>
      </w:pPr>
    </w:p>
    <w:p w14:paraId="6CA92805" w14:textId="77777777" w:rsidR="003A19DF" w:rsidRPr="003A19DF" w:rsidRDefault="003A19DF" w:rsidP="003A19DF">
      <w:pPr>
        <w:tabs>
          <w:tab w:val="left" w:pos="2822"/>
        </w:tabs>
        <w:spacing w:after="180" w:line="280" w:lineRule="exact"/>
        <w:jc w:val="both"/>
        <w:rPr>
          <w:rFonts w:ascii="Georgia" w:hAnsi="Georgia"/>
          <w:sz w:val="18"/>
          <w:szCs w:val="20"/>
          <w:rtl/>
        </w:rPr>
      </w:pPr>
      <w:r w:rsidRPr="003A19DF">
        <w:rPr>
          <w:rFonts w:ascii="Georgia" w:hAnsi="Georgia"/>
          <w:sz w:val="18"/>
          <w:szCs w:val="20"/>
          <w:rtl/>
        </w:rPr>
        <w:t xml:space="preserve">ספרו של ד"ר יונס פריד אבו </w:t>
      </w:r>
      <w:proofErr w:type="spellStart"/>
      <w:r w:rsidRPr="003A19DF">
        <w:rPr>
          <w:rFonts w:ascii="Georgia" w:hAnsi="Georgia"/>
          <w:sz w:val="18"/>
          <w:szCs w:val="20"/>
          <w:rtl/>
        </w:rPr>
        <w:t>אלהיג'א</w:t>
      </w:r>
      <w:proofErr w:type="spellEnd"/>
      <w:r w:rsidRPr="003A19DF">
        <w:rPr>
          <w:rFonts w:ascii="Georgia" w:hAnsi="Georgia"/>
          <w:sz w:val="18"/>
          <w:szCs w:val="20"/>
          <w:rtl/>
        </w:rPr>
        <w:t xml:space="preserve"> מתמקד באתגרים של ההשכלה הגבוהה עבור קבוצות מיעוט בישראל ובעולם. הספר בוחן את הצורך במוסדות חינוך מיוחדים לקבוצות אלה, בייחוד בקרב המיעוט הערבי בישראל. ספר זה הוא המשך למאמריו של אבו </w:t>
      </w:r>
      <w:proofErr w:type="spellStart"/>
      <w:r w:rsidRPr="003A19DF">
        <w:rPr>
          <w:rFonts w:ascii="Georgia" w:hAnsi="Georgia"/>
          <w:sz w:val="18"/>
          <w:szCs w:val="20"/>
          <w:rtl/>
        </w:rPr>
        <w:t>אלהיג׳א</w:t>
      </w:r>
      <w:proofErr w:type="spellEnd"/>
      <w:r w:rsidRPr="003A19DF">
        <w:rPr>
          <w:rFonts w:ascii="Georgia" w:hAnsi="Georgia"/>
          <w:sz w:val="18"/>
          <w:szCs w:val="20"/>
          <w:rtl/>
        </w:rPr>
        <w:t xml:space="preserve"> שפורסמו בערבית, באנגלית ובעברית, ועוסקים בהיבטים שונים של השכלה גבוהה וקבוצות מיעוט.</w:t>
      </w:r>
    </w:p>
    <w:p w14:paraId="30712867" w14:textId="2E944F28" w:rsidR="003A19DF" w:rsidRPr="003A19DF" w:rsidRDefault="003A19DF" w:rsidP="003A19DF">
      <w:pPr>
        <w:tabs>
          <w:tab w:val="left" w:pos="2822"/>
        </w:tabs>
        <w:spacing w:after="180" w:line="280" w:lineRule="exact"/>
        <w:jc w:val="both"/>
        <w:rPr>
          <w:rFonts w:ascii="Georgia" w:hAnsi="Georgia"/>
          <w:sz w:val="18"/>
          <w:szCs w:val="20"/>
          <w:rtl/>
        </w:rPr>
      </w:pPr>
      <w:r w:rsidRPr="003A19DF">
        <w:rPr>
          <w:rFonts w:ascii="Georgia" w:hAnsi="Georgia"/>
          <w:sz w:val="18"/>
          <w:szCs w:val="20"/>
          <w:rtl/>
        </w:rPr>
        <w:t>הספר, הבנוי מש</w:t>
      </w:r>
      <w:r w:rsidR="00670FB0">
        <w:rPr>
          <w:rFonts w:ascii="Georgia" w:hAnsi="Georgia" w:hint="cs"/>
          <w:sz w:val="18"/>
          <w:szCs w:val="20"/>
          <w:rtl/>
        </w:rPr>
        <w:t>י</w:t>
      </w:r>
      <w:r w:rsidRPr="003A19DF">
        <w:rPr>
          <w:rFonts w:ascii="Georgia" w:hAnsi="Georgia"/>
          <w:sz w:val="18"/>
          <w:szCs w:val="20"/>
          <w:rtl/>
        </w:rPr>
        <w:t xml:space="preserve">שה פרקים מובחנים, דן בהשכלה הגבוהה מנקודת מבט פילוסופית-חינוכית וביקורתית, ומתייחס למודלים פוסט-קולוניאליסטיים ורב-תרבותיים בחינוך. </w:t>
      </w:r>
    </w:p>
    <w:p w14:paraId="0027BE87" w14:textId="52582966" w:rsidR="003A19DF" w:rsidRPr="003A19DF" w:rsidRDefault="003A19DF" w:rsidP="00670FB0">
      <w:pPr>
        <w:spacing w:after="180" w:line="280" w:lineRule="exact"/>
        <w:jc w:val="both"/>
        <w:rPr>
          <w:rFonts w:ascii="Georgia" w:hAnsi="Georgia"/>
          <w:sz w:val="18"/>
          <w:szCs w:val="20"/>
          <w:rtl/>
        </w:rPr>
      </w:pPr>
      <w:r w:rsidRPr="003A19DF">
        <w:rPr>
          <w:rFonts w:ascii="Georgia" w:hAnsi="Georgia"/>
          <w:sz w:val="18"/>
          <w:szCs w:val="20"/>
          <w:rtl/>
        </w:rPr>
        <w:lastRenderedPageBreak/>
        <w:t xml:space="preserve">המחבר מזהה ומנתח את הסוגיות העומדות בליבו של דיון על השכלה גבוהה עבור מיעוטים, כולל התקשורת עם מציאות חברתית ותרבותית מורכבת וההתמודדות עם הצדקה למוסדות חינוך ספציפיים – למשל המאבק להקמת אוניברסיטה ערבית בישראל. אבו </w:t>
      </w:r>
      <w:proofErr w:type="spellStart"/>
      <w:r w:rsidRPr="003A19DF">
        <w:rPr>
          <w:rFonts w:ascii="Georgia" w:hAnsi="Georgia"/>
          <w:sz w:val="18"/>
          <w:szCs w:val="20"/>
          <w:rtl/>
        </w:rPr>
        <w:t>אלהיג׳א</w:t>
      </w:r>
      <w:proofErr w:type="spellEnd"/>
      <w:r w:rsidRPr="003A19DF">
        <w:rPr>
          <w:rFonts w:ascii="Georgia" w:hAnsi="Georgia"/>
          <w:sz w:val="18"/>
          <w:szCs w:val="20"/>
          <w:rtl/>
        </w:rPr>
        <w:t xml:space="preserve"> מתאר את המאבקים והדילמות הכרוכים ביצירת מוסדות חינוך המותאמים לצרכים של קבוצות מובחנות, בהתחשב בקשיים תרבותיים וחברתיים. הוא חוקר את ההשפעות הפוטנציאליות של מוסדות אלה, כולל הסיכוי לקידום השוויון ולמיתון המתחים בחברה – או </w:t>
      </w:r>
      <w:proofErr w:type="spellStart"/>
      <w:r w:rsidRPr="003A19DF">
        <w:rPr>
          <w:rFonts w:ascii="Georgia" w:hAnsi="Georgia"/>
          <w:sz w:val="18"/>
          <w:szCs w:val="20"/>
          <w:rtl/>
        </w:rPr>
        <w:t>להחרפתם</w:t>
      </w:r>
      <w:proofErr w:type="spellEnd"/>
      <w:r w:rsidRPr="003A19DF">
        <w:rPr>
          <w:rFonts w:ascii="Georgia" w:hAnsi="Georgia"/>
          <w:sz w:val="18"/>
          <w:szCs w:val="20"/>
          <w:rtl/>
        </w:rPr>
        <w:t xml:space="preserve">. אבו </w:t>
      </w:r>
      <w:proofErr w:type="spellStart"/>
      <w:r w:rsidRPr="003A19DF">
        <w:rPr>
          <w:rFonts w:ascii="Georgia" w:hAnsi="Georgia"/>
          <w:sz w:val="18"/>
          <w:szCs w:val="20"/>
          <w:rtl/>
        </w:rPr>
        <w:t>אלהיג'א</w:t>
      </w:r>
      <w:proofErr w:type="spellEnd"/>
      <w:r w:rsidRPr="003A19DF">
        <w:rPr>
          <w:rFonts w:ascii="Georgia" w:hAnsi="Georgia"/>
          <w:sz w:val="18"/>
          <w:szCs w:val="20"/>
          <w:rtl/>
        </w:rPr>
        <w:t xml:space="preserve"> מציע בחינה ביקורתית של מודלים חינוכיים שונים, ודן בחלופות חינוכיות בעלות פוטנציאל לשינוי חברתי ותרבותי. </w:t>
      </w:r>
    </w:p>
    <w:p w14:paraId="0FC502FC" w14:textId="1B3917C8"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ספר חשוב זה תורם להבנת דילמות מרכזיות בהשכלה הגבוהה ובהשפעתה על קבוצות מיעוט בעולם. הוא חושף את הדרכים שבהן ההשכלה יכולה להוות גשר לקידום חברתי וכלכלי, ואת התרומה הפוטנציאלית של חינוך רב-תרבותי וכוללני ליציבות חברתית ולהרמוניה. בהקשר הישראלי יש בספר תרומה ניכרת להבנת מערכת ההשכלה הגבוהה, במיוחד בהקשר של קבוצות מיעוט. הוא מרחיב את הדיון על אתגרים חינוכיים וחברתיים</w:t>
      </w:r>
      <w:r w:rsidR="00474EAC">
        <w:rPr>
          <w:rFonts w:ascii="Georgia" w:hAnsi="Georgia" w:hint="cs"/>
          <w:sz w:val="18"/>
          <w:szCs w:val="20"/>
          <w:rtl/>
        </w:rPr>
        <w:t>,</w:t>
      </w:r>
      <w:r w:rsidRPr="003A19DF">
        <w:rPr>
          <w:rFonts w:ascii="Georgia" w:hAnsi="Georgia"/>
          <w:sz w:val="18"/>
          <w:szCs w:val="20"/>
          <w:rtl/>
        </w:rPr>
        <w:t xml:space="preserve"> ומציע מודלים לשילוב </w:t>
      </w:r>
      <w:r w:rsidR="00A77D7A">
        <w:rPr>
          <w:rFonts w:ascii="Georgia" w:hAnsi="Georgia"/>
          <w:sz w:val="18"/>
          <w:szCs w:val="20"/>
        </w:rPr>
        <w:br/>
      </w:r>
      <w:r w:rsidRPr="003A19DF">
        <w:rPr>
          <w:rFonts w:ascii="Georgia" w:hAnsi="Georgia"/>
          <w:sz w:val="18"/>
          <w:szCs w:val="20"/>
          <w:rtl/>
        </w:rPr>
        <w:t xml:space="preserve">רב-תרבותי יעיל יותר באקדמיה הישראלית. </w:t>
      </w:r>
    </w:p>
    <w:p w14:paraId="14102B08" w14:textId="77777777" w:rsidR="003A19DF" w:rsidRPr="003A19DF" w:rsidRDefault="003A19DF" w:rsidP="003A19DF">
      <w:pPr>
        <w:spacing w:after="180" w:line="280" w:lineRule="exact"/>
        <w:jc w:val="both"/>
        <w:rPr>
          <w:rFonts w:ascii="Georgia" w:hAnsi="Georgia"/>
          <w:sz w:val="18"/>
          <w:szCs w:val="20"/>
          <w:rtl/>
        </w:rPr>
      </w:pPr>
    </w:p>
    <w:p w14:paraId="485C9089" w14:textId="02635BB9" w:rsidR="003A19DF" w:rsidRPr="003A19DF" w:rsidRDefault="003A19DF" w:rsidP="003A19DF">
      <w:pPr>
        <w:pStyle w:val="KOT5"/>
        <w:rPr>
          <w:b/>
          <w:bCs/>
          <w:color w:val="2A8E8C"/>
          <w:rtl/>
        </w:rPr>
      </w:pPr>
      <w:r w:rsidRPr="003A19DF">
        <w:rPr>
          <w:b/>
          <w:bCs/>
          <w:color w:val="2A8E8C"/>
          <w:spacing w:val="2"/>
          <w:rtl/>
        </w:rPr>
        <w:t>תנופה ותורפה: קריאות חברתיות בדוקטרינה הצבאית של ישראל</w:t>
      </w:r>
      <w:r w:rsidRPr="003A19DF">
        <w:rPr>
          <w:rFonts w:hint="cs"/>
          <w:b/>
          <w:bCs/>
          <w:color w:val="2A8E8C"/>
          <w:spacing w:val="2"/>
          <w:rtl/>
        </w:rPr>
        <w:t xml:space="preserve"> / </w:t>
      </w:r>
      <w:r w:rsidRPr="003A19DF">
        <w:rPr>
          <w:b/>
          <w:bCs/>
          <w:color w:val="2A8E8C"/>
          <w:rtl/>
        </w:rPr>
        <w:t>עפרה בן ישי, יגיל לוי, רינת משה (עורכים)</w:t>
      </w:r>
    </w:p>
    <w:p w14:paraId="2221A10D" w14:textId="77777777" w:rsidR="003A19DF" w:rsidRPr="003A19DF" w:rsidRDefault="003A19DF" w:rsidP="003A19DF">
      <w:pPr>
        <w:pStyle w:val="KOT6"/>
        <w:rPr>
          <w:rFonts w:cs="Guttman Aharoni"/>
          <w:b w:val="0"/>
          <w:bCs w:val="0"/>
          <w:color w:val="auto"/>
          <w:sz w:val="20"/>
          <w:szCs w:val="20"/>
          <w:rtl/>
        </w:rPr>
      </w:pPr>
      <w:r w:rsidRPr="003A19DF">
        <w:rPr>
          <w:rFonts w:cs="Guttman Aharoni"/>
          <w:b w:val="0"/>
          <w:bCs w:val="0"/>
          <w:color w:val="auto"/>
          <w:sz w:val="20"/>
          <w:szCs w:val="20"/>
          <w:rtl/>
        </w:rPr>
        <w:t>פרדס הוצאה לאור, 2024. 322 עמודים</w:t>
      </w:r>
    </w:p>
    <w:p w14:paraId="7F2C3BEC" w14:textId="77777777" w:rsidR="003A19DF" w:rsidRPr="003A19DF" w:rsidRDefault="003A19DF" w:rsidP="003A19DF">
      <w:pPr>
        <w:tabs>
          <w:tab w:val="left" w:pos="2822"/>
        </w:tabs>
        <w:spacing w:after="180" w:line="280" w:lineRule="exact"/>
        <w:jc w:val="both"/>
        <w:rPr>
          <w:rFonts w:ascii="Georgia" w:hAnsi="Georgia"/>
          <w:sz w:val="18"/>
          <w:szCs w:val="20"/>
          <w:rtl/>
        </w:rPr>
      </w:pPr>
    </w:p>
    <w:p w14:paraId="5F03C285" w14:textId="3AA4C88D" w:rsidR="003A19DF" w:rsidRPr="003A19DF" w:rsidRDefault="003A19DF" w:rsidP="00474EAC">
      <w:pPr>
        <w:tabs>
          <w:tab w:val="left" w:pos="2822"/>
        </w:tabs>
        <w:spacing w:after="180" w:line="280" w:lineRule="exact"/>
        <w:jc w:val="both"/>
        <w:rPr>
          <w:rFonts w:ascii="Georgia" w:hAnsi="Georgia"/>
          <w:sz w:val="18"/>
          <w:szCs w:val="20"/>
          <w:rtl/>
        </w:rPr>
      </w:pPr>
      <w:r w:rsidRPr="003A19DF">
        <w:rPr>
          <w:rFonts w:ascii="Georgia" w:hAnsi="Georgia"/>
          <w:sz w:val="18"/>
          <w:szCs w:val="20"/>
          <w:rtl/>
        </w:rPr>
        <w:t>הספר בוחן את הקשר בין דוקטרינה צבאית לבין הממדים החברתיים והאתיים בישראל. העורכים, מומחים מובילים בתחו</w:t>
      </w:r>
      <w:r w:rsidR="00474EAC">
        <w:rPr>
          <w:rFonts w:ascii="Georgia" w:hAnsi="Georgia" w:hint="cs"/>
          <w:sz w:val="18"/>
          <w:szCs w:val="20"/>
          <w:rtl/>
        </w:rPr>
        <w:t>מי</w:t>
      </w:r>
      <w:r w:rsidRPr="003A19DF">
        <w:rPr>
          <w:rFonts w:ascii="Georgia" w:hAnsi="Georgia"/>
          <w:sz w:val="18"/>
          <w:szCs w:val="20"/>
          <w:rtl/>
        </w:rPr>
        <w:t xml:space="preserve"> הצבא והחברה, מנתחים את השפעתן של תוכניות צבאיות על החברה הישראלית.</w:t>
      </w:r>
    </w:p>
    <w:p w14:paraId="2E4A56D6" w14:textId="1EEEA01A" w:rsidR="003A19DF" w:rsidRPr="003A19DF" w:rsidRDefault="003A19DF" w:rsidP="006C3588">
      <w:pPr>
        <w:spacing w:after="180" w:line="280" w:lineRule="exact"/>
        <w:jc w:val="both"/>
        <w:rPr>
          <w:rFonts w:ascii="Georgia" w:hAnsi="Georgia"/>
          <w:sz w:val="18"/>
          <w:szCs w:val="20"/>
          <w:rtl/>
        </w:rPr>
      </w:pPr>
      <w:r w:rsidRPr="003A19DF">
        <w:rPr>
          <w:rFonts w:ascii="Georgia" w:hAnsi="Georgia"/>
          <w:sz w:val="18"/>
          <w:szCs w:val="20"/>
          <w:rtl/>
        </w:rPr>
        <w:t xml:space="preserve">השער הראשון כולל מבוא שכתבו שלושת העורכים, ופרק נוסף המסביר את תחום העיסוק של הספר – בין דוקטרינה צבאית למחקר חברתי. בשלושת השערים הבאים נכללים עשרה מאמרים שכתבו חוקרים בישראל. </w:t>
      </w:r>
    </w:p>
    <w:p w14:paraId="74F22682"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פרקיו השונים של הספר דנים בדרכים המגוונות (ולפעמים גם הנעלמות מהעין) שבהן הדוקטרינה הצבאית, הנראית לעיתים מבודדת מהממד הציבורי והחברתי, משפיעה לעומק על החברה הישראלית. מאמרי האסופה חוקרים את הדוקטרינה הצבאית כטקסט חברתי ופוליטי, ונוגעים בתהליכים מרכזיים ביחסי צבא-חברה ובאינטראקציה בין הדרג המדיני לדרג הצבאי. הספר חוקר גם את השפעותיה של התוכנית הרב-שנתית "תנופה", שהובילה מאז שנות ה-90 שינויים </w:t>
      </w:r>
      <w:proofErr w:type="spellStart"/>
      <w:r w:rsidRPr="003A19DF">
        <w:rPr>
          <w:rFonts w:ascii="Georgia" w:hAnsi="Georgia"/>
          <w:sz w:val="18"/>
          <w:szCs w:val="20"/>
          <w:rtl/>
        </w:rPr>
        <w:t>דוקטרינריים</w:t>
      </w:r>
      <w:proofErr w:type="spellEnd"/>
      <w:r w:rsidRPr="003A19DF">
        <w:rPr>
          <w:rFonts w:ascii="Georgia" w:hAnsi="Georgia"/>
          <w:sz w:val="18"/>
          <w:szCs w:val="20"/>
          <w:rtl/>
        </w:rPr>
        <w:t xml:space="preserve"> בצבא</w:t>
      </w:r>
      <w:r w:rsidRPr="003A19DF">
        <w:rPr>
          <w:rFonts w:ascii="Georgia" w:hAnsi="Georgia"/>
          <w:sz w:val="18"/>
          <w:szCs w:val="20"/>
        </w:rPr>
        <w:t>.</w:t>
      </w:r>
    </w:p>
    <w:p w14:paraId="08BC301B" w14:textId="77777777" w:rsid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הספר מרכזי להבנת האינטראקציות בין הממד הצבאי לחברתי, וחשיבותו ברורה במיוחד בתקופת חירום ומלחמה כמו זו שישראל חווה כיום. המחברים מציעים תובנות בדבר הדרך </w:t>
      </w:r>
      <w:r w:rsidRPr="003A19DF">
        <w:rPr>
          <w:rFonts w:ascii="Georgia" w:hAnsi="Georgia"/>
          <w:sz w:val="18"/>
          <w:szCs w:val="20"/>
          <w:rtl/>
        </w:rPr>
        <w:lastRenderedPageBreak/>
        <w:t>לשמר את האתוס הדמוקרטי ולהבטיח שהצבא הוא שישרת את החברה, ולא להפך. בעידן שבו קשיים ביטחוניים ואזרחיים משפיעים זה על זה, הספר מבהיר כיצד ניתן לעצב פוליטיקה צבאית המתחשבת גם ברווחת האזרחים ובערכי הדמוקרטיה.</w:t>
      </w:r>
    </w:p>
    <w:p w14:paraId="04FBBBA2" w14:textId="77777777" w:rsidR="009E33F5" w:rsidRPr="003A19DF" w:rsidRDefault="009E33F5" w:rsidP="009E33F5">
      <w:pPr>
        <w:spacing w:after="180" w:line="280" w:lineRule="exact"/>
        <w:jc w:val="both"/>
        <w:rPr>
          <w:rFonts w:ascii="Georgia" w:hAnsi="Georgia"/>
          <w:sz w:val="18"/>
          <w:szCs w:val="20"/>
          <w:rtl/>
        </w:rPr>
      </w:pPr>
    </w:p>
    <w:p w14:paraId="09FD7B12" w14:textId="2B559F4E" w:rsidR="003A19DF" w:rsidRPr="003A19DF" w:rsidRDefault="003A19DF" w:rsidP="003A19DF">
      <w:pPr>
        <w:pStyle w:val="KOT4"/>
        <w:bidi w:val="0"/>
        <w:spacing w:after="60"/>
        <w:ind w:right="0"/>
        <w:rPr>
          <w:b w:val="0"/>
          <w:bCs w:val="0"/>
          <w:color w:val="2A8E8C"/>
          <w:sz w:val="24"/>
          <w:szCs w:val="24"/>
        </w:rPr>
      </w:pPr>
      <w:r w:rsidRPr="003A19DF">
        <w:rPr>
          <w:b w:val="0"/>
          <w:bCs w:val="0"/>
          <w:color w:val="2A8E8C"/>
          <w:sz w:val="24"/>
          <w:szCs w:val="24"/>
        </w:rPr>
        <w:t>Street-Level Bureaucracy in Weak State Institutions</w:t>
      </w:r>
      <w:r>
        <w:rPr>
          <w:b w:val="0"/>
          <w:bCs w:val="0"/>
          <w:color w:val="2A8E8C"/>
          <w:sz w:val="24"/>
          <w:szCs w:val="24"/>
        </w:rPr>
        <w:t xml:space="preserve"> / </w:t>
      </w:r>
      <w:r>
        <w:rPr>
          <w:b w:val="0"/>
          <w:bCs w:val="0"/>
          <w:color w:val="2A8E8C"/>
          <w:sz w:val="24"/>
          <w:szCs w:val="24"/>
        </w:rPr>
        <w:br/>
      </w:r>
      <w:r w:rsidRPr="003A19DF">
        <w:rPr>
          <w:b w:val="0"/>
          <w:bCs w:val="0"/>
          <w:color w:val="2A8E8C"/>
          <w:sz w:val="24"/>
          <w:szCs w:val="24"/>
        </w:rPr>
        <w:t>Rik Peeters, Gabriela Lotta, Fernando Nieto-Morales (Eds.)</w:t>
      </w:r>
    </w:p>
    <w:p w14:paraId="5C67201A" w14:textId="77777777" w:rsidR="003A19DF" w:rsidRPr="003A19DF" w:rsidRDefault="003A19DF" w:rsidP="003A19DF">
      <w:pPr>
        <w:pStyle w:val="Bauther"/>
        <w:keepNext/>
        <w:bidi w:val="0"/>
        <w:spacing w:before="0" w:after="0" w:line="240" w:lineRule="atLeast"/>
        <w:jc w:val="left"/>
        <w:rPr>
          <w:rFonts w:ascii="Tahoma" w:hAnsi="Tahoma" w:cs="Tahoma"/>
          <w:sz w:val="20"/>
          <w:szCs w:val="20"/>
        </w:rPr>
      </w:pPr>
      <w:r w:rsidRPr="003A19DF">
        <w:rPr>
          <w:rFonts w:ascii="Tahoma" w:hAnsi="Tahoma" w:cs="Tahoma"/>
          <w:sz w:val="20"/>
          <w:szCs w:val="20"/>
        </w:rPr>
        <w:t>Policy press, 2024. 264 pages</w:t>
      </w:r>
    </w:p>
    <w:p w14:paraId="7B4778FB" w14:textId="77777777" w:rsidR="003A19DF" w:rsidRPr="003A19DF" w:rsidRDefault="003A19DF" w:rsidP="003A19DF">
      <w:pPr>
        <w:spacing w:after="180" w:line="280" w:lineRule="exact"/>
        <w:jc w:val="both"/>
        <w:rPr>
          <w:rFonts w:ascii="Georgia" w:hAnsi="Georgia"/>
          <w:sz w:val="18"/>
          <w:szCs w:val="20"/>
          <w:rtl/>
        </w:rPr>
      </w:pPr>
    </w:p>
    <w:p w14:paraId="7FF938D4"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ספר חדש וחשוב זה שערכו שלושה מומחים מובילים בתחום המינהל הציבורי בעולם מבקש לחקור את פעולתם של ביורוקרטים ברמת הרחוב במדינות שמוסדותיהן חלשים. </w:t>
      </w:r>
    </w:p>
    <w:p w14:paraId="170622C4"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הספר מחולק לפרקים שכתבו מומחים שונים, וכל אחד מהם מתמקד בניתוח מקרה של מדינה או אזור מסוימים. שילוב הפרקים מציע מגוון נקודות מבט על האתגרים והפתרונות בניהול מוסדות ציבור חלשים.</w:t>
      </w:r>
    </w:p>
    <w:p w14:paraId="61707585" w14:textId="77777777" w:rsidR="003A19DF" w:rsidRPr="003A19DF" w:rsidRDefault="003A19DF" w:rsidP="003A19DF">
      <w:pPr>
        <w:tabs>
          <w:tab w:val="left" w:pos="2822"/>
        </w:tabs>
        <w:spacing w:after="180" w:line="280" w:lineRule="exact"/>
        <w:jc w:val="both"/>
        <w:rPr>
          <w:rFonts w:ascii="Georgia" w:hAnsi="Georgia"/>
          <w:sz w:val="18"/>
          <w:szCs w:val="20"/>
          <w:rtl/>
        </w:rPr>
      </w:pPr>
      <w:r w:rsidRPr="003A19DF">
        <w:rPr>
          <w:rFonts w:ascii="Georgia" w:hAnsi="Georgia"/>
          <w:sz w:val="18"/>
          <w:szCs w:val="20"/>
          <w:rtl/>
        </w:rPr>
        <w:t>הספר מתחיל בהקדמה ובהגדרה הבעיה, תוך ניתוח הקשיים המיוחדים בניהול ביורוקרטי במדינות שמוסדותיהן חלשים. לאחר מכן מוצג דיון באינטראקציה בין ביורוקרטים ברמת הרחוב לבין הקהלים השונים שהם משרתים, ובהשפעת המוסדות החלשים על יכולתם לתת שירות. בהמשך פרקי הספר פורטים מקרי מבחן מרחבי העולם, ומביאים דוגמאות מרתקות מאפריקה, מאמריקה הלטינית ומאסיה, שבהן ביורוקרטים ברמת הרחוב נאלצים להתמודד עם אתגרים ייחודיים דוגמת מחסור בתקציבים, עומס ביורוקרטיה והיעדר תמיכה מוסדית. זאת ועוד, הפרקים השונים מציגים את הדרכים שבהן ביורוקרטים ברמת הרחוב מוצאים דרכים יצירתיות לפעול במצבים שבהם המערכת אינה תומכת בהם כראוי, כולל שימוש יעיל יותר במשאבים מוגבלים, ויצירת רשתות תמיכה עם גורמים אחרים בחברה.</w:t>
      </w:r>
    </w:p>
    <w:p w14:paraId="325951A0"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אסופת מאמרים זו, על נקודות המבט השונות שהיא מציעה, חשובה במיוחד לתחום הביטחון הסוציאלי בישראל העכשווית, משום שהיא מציגה תובנות חיוניות בדבר תפקודם של מוסדות ציבור בסביבות לא יציבות, ובמציאות שבה משאבים מוגבלים. נקודות מבט אלה עשויות לאפשר לחוקרים ולאנשי מקצוע מקומיים להבין טוב יותר את הדינמיקה של השירותים החברתיים בישראל, כדי להרחיב את ההבנה התאורטית ולשפר את התמיכה המוצעת לאזרחים. </w:t>
      </w:r>
    </w:p>
    <w:p w14:paraId="279D2697" w14:textId="77777777" w:rsidR="003A19DF" w:rsidRPr="003A19DF" w:rsidRDefault="003A19DF" w:rsidP="003A19DF">
      <w:pPr>
        <w:spacing w:after="180" w:line="280" w:lineRule="exact"/>
        <w:jc w:val="both"/>
        <w:rPr>
          <w:rFonts w:ascii="Georgia" w:hAnsi="Georgia"/>
          <w:sz w:val="18"/>
          <w:szCs w:val="20"/>
          <w:rtl/>
        </w:rPr>
      </w:pPr>
    </w:p>
    <w:p w14:paraId="33BA504C" w14:textId="776ADC98" w:rsidR="003A19DF" w:rsidRPr="003A19DF" w:rsidRDefault="003A19DF" w:rsidP="003A19DF">
      <w:pPr>
        <w:pStyle w:val="KOT4"/>
        <w:bidi w:val="0"/>
        <w:spacing w:after="60"/>
        <w:ind w:right="0"/>
        <w:rPr>
          <w:b w:val="0"/>
          <w:bCs w:val="0"/>
          <w:color w:val="2A8E8C"/>
          <w:sz w:val="24"/>
          <w:szCs w:val="24"/>
          <w:rtl/>
        </w:rPr>
      </w:pPr>
      <w:proofErr w:type="spellStart"/>
      <w:r w:rsidRPr="003A19DF">
        <w:rPr>
          <w:b w:val="0"/>
          <w:bCs w:val="0"/>
          <w:color w:val="2A8E8C"/>
          <w:sz w:val="24"/>
          <w:szCs w:val="24"/>
        </w:rPr>
        <w:lastRenderedPageBreak/>
        <w:t>Analysing</w:t>
      </w:r>
      <w:proofErr w:type="spellEnd"/>
      <w:r w:rsidRPr="003A19DF">
        <w:rPr>
          <w:b w:val="0"/>
          <w:bCs w:val="0"/>
          <w:color w:val="2A8E8C"/>
          <w:sz w:val="24"/>
          <w:szCs w:val="24"/>
        </w:rPr>
        <w:t xml:space="preserve"> the History of British Social Welfare: Compassion, Coercion and Beyond</w:t>
      </w:r>
      <w:r>
        <w:rPr>
          <w:b w:val="0"/>
          <w:bCs w:val="0"/>
          <w:color w:val="2A8E8C"/>
          <w:sz w:val="24"/>
          <w:szCs w:val="24"/>
        </w:rPr>
        <w:t xml:space="preserve"> / </w:t>
      </w:r>
      <w:r w:rsidRPr="003A19DF">
        <w:rPr>
          <w:b w:val="0"/>
          <w:bCs w:val="0"/>
          <w:color w:val="2A8E8C"/>
          <w:sz w:val="24"/>
          <w:szCs w:val="24"/>
        </w:rPr>
        <w:t xml:space="preserve">Jonathan Parker </w:t>
      </w:r>
    </w:p>
    <w:p w14:paraId="0DA7310E" w14:textId="77777777" w:rsidR="003A19DF" w:rsidRPr="003A19DF" w:rsidRDefault="003A19DF" w:rsidP="003A19DF">
      <w:pPr>
        <w:pStyle w:val="Bauther"/>
        <w:keepNext/>
        <w:bidi w:val="0"/>
        <w:spacing w:before="0" w:after="0" w:line="240" w:lineRule="atLeast"/>
        <w:jc w:val="left"/>
        <w:rPr>
          <w:rFonts w:ascii="Tahoma" w:hAnsi="Tahoma" w:cs="Tahoma"/>
          <w:sz w:val="20"/>
          <w:szCs w:val="20"/>
        </w:rPr>
      </w:pPr>
      <w:r w:rsidRPr="003A19DF">
        <w:rPr>
          <w:rFonts w:ascii="Tahoma" w:hAnsi="Tahoma" w:cs="Tahoma"/>
          <w:sz w:val="20"/>
          <w:szCs w:val="20"/>
        </w:rPr>
        <w:t>Policy press, 2024. 248 pages</w:t>
      </w:r>
    </w:p>
    <w:p w14:paraId="62119776" w14:textId="77777777" w:rsidR="003A19DF" w:rsidRPr="003A19DF" w:rsidRDefault="003A19DF" w:rsidP="003A19DF">
      <w:pPr>
        <w:keepNext/>
        <w:keepLines/>
        <w:spacing w:after="180" w:line="280" w:lineRule="exact"/>
        <w:jc w:val="both"/>
        <w:rPr>
          <w:rFonts w:ascii="Georgia" w:hAnsi="Georgia"/>
          <w:sz w:val="18"/>
          <w:szCs w:val="20"/>
          <w:rtl/>
        </w:rPr>
      </w:pPr>
    </w:p>
    <w:p w14:paraId="57EC7E9B"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 xml:space="preserve">הספר מציע סקירה רחבה של ההיסטוריה של הרווחה החברתית בבריטניה. המחבר, ג׳ונתן פרקר, הוא פרופסור לעבודה סוציאלית ומומחה לתולדות הרווחה החברתית, וכתב ספרים רבים בנושאים אלה. </w:t>
      </w:r>
    </w:p>
    <w:p w14:paraId="26C1DA00" w14:textId="77777777" w:rsidR="003A19DF" w:rsidRPr="003A19DF" w:rsidRDefault="003A19DF" w:rsidP="003A19DF">
      <w:pPr>
        <w:spacing w:after="180" w:line="280" w:lineRule="exact"/>
        <w:jc w:val="both"/>
        <w:rPr>
          <w:rFonts w:ascii="Georgia" w:hAnsi="Georgia"/>
          <w:sz w:val="18"/>
          <w:szCs w:val="20"/>
          <w:rtl/>
        </w:rPr>
      </w:pPr>
      <w:r w:rsidRPr="003A19DF">
        <w:rPr>
          <w:rFonts w:ascii="Georgia" w:hAnsi="Georgia"/>
          <w:sz w:val="18"/>
          <w:szCs w:val="20"/>
          <w:rtl/>
        </w:rPr>
        <w:t>כל אחד מפרקי הספר מתמקד בתקופה או בנושא מסוים בהיסטוריה של הרווחה החברתית בבריטניה, החל מהתקופה הוויקטוריאנית וכלה בעידן המודרני.</w:t>
      </w:r>
    </w:p>
    <w:p w14:paraId="75D4F5BB" w14:textId="0762D191" w:rsidR="003A19DF" w:rsidRPr="003A19DF" w:rsidRDefault="003A19DF" w:rsidP="003F6624">
      <w:pPr>
        <w:spacing w:after="180" w:line="280" w:lineRule="exact"/>
        <w:jc w:val="both"/>
        <w:rPr>
          <w:rFonts w:ascii="Georgia" w:hAnsi="Georgia"/>
          <w:sz w:val="18"/>
          <w:szCs w:val="20"/>
        </w:rPr>
      </w:pPr>
      <w:r w:rsidRPr="003A19DF">
        <w:rPr>
          <w:rFonts w:ascii="Georgia" w:hAnsi="Georgia"/>
          <w:sz w:val="18"/>
          <w:szCs w:val="20"/>
          <w:rtl/>
        </w:rPr>
        <w:t xml:space="preserve">המחבר מתאר את ההתפתחות ההיסטורית של מערכות הרווחה בבריטניה, ומשלב בתיאוריו ניתוחים אקדמיים ודוגמאות </w:t>
      </w:r>
      <w:proofErr w:type="spellStart"/>
      <w:r w:rsidRPr="003A19DF">
        <w:rPr>
          <w:rFonts w:ascii="Georgia" w:hAnsi="Georgia"/>
          <w:sz w:val="18"/>
          <w:szCs w:val="20"/>
          <w:rtl/>
        </w:rPr>
        <w:t>מחיי</w:t>
      </w:r>
      <w:proofErr w:type="spellEnd"/>
      <w:r w:rsidRPr="003A19DF">
        <w:rPr>
          <w:rFonts w:ascii="Georgia" w:hAnsi="Georgia"/>
          <w:sz w:val="18"/>
          <w:szCs w:val="20"/>
          <w:rtl/>
        </w:rPr>
        <w:t xml:space="preserve"> היום-יום. הספר מתחיל בתקופה הוויקטוריאנית, שבה תפיסות הרווחה התבססו על עקרונות של חמלה ופילנתרופיה, אך גם על שליטה חברתית וכפייה, וממשיך ומתקדם אל העידן המודרני, אז החלה המדינה למלא תפקיד מרכזי יותר בהספקת השירותים החברתיים, ועשתה זאת </w:t>
      </w:r>
      <w:r w:rsidR="003F6624" w:rsidRPr="003A19DF">
        <w:rPr>
          <w:rFonts w:ascii="Georgia" w:hAnsi="Georgia"/>
          <w:sz w:val="18"/>
          <w:szCs w:val="20"/>
          <w:rtl/>
        </w:rPr>
        <w:t>במהלך המאה ה-20</w:t>
      </w:r>
      <w:r w:rsidR="003F6624">
        <w:rPr>
          <w:rFonts w:ascii="Georgia" w:hAnsi="Georgia" w:hint="cs"/>
          <w:sz w:val="18"/>
          <w:szCs w:val="20"/>
          <w:rtl/>
        </w:rPr>
        <w:t xml:space="preserve"> </w:t>
      </w:r>
      <w:r w:rsidRPr="003A19DF">
        <w:rPr>
          <w:rFonts w:ascii="Georgia" w:hAnsi="Georgia"/>
          <w:sz w:val="18"/>
          <w:szCs w:val="20"/>
          <w:rtl/>
        </w:rPr>
        <w:t>באמצעות חקיקת חוקי רווחה רבים ומתוך השפעות ניאו-ליברליות. פרקר עוסק באופן שבו חוקים אלה שינו את המערכת – מכלכלה של חמלה אישית למערכת של תמיכה חברתית מוסדית, אך גם מותח ביקורת על השליטה והפיקוח שהמערכת מטילה על הפרטים-האזרחים. עוד חוקר הספר את השפעת המדיניות החברתית על קבוצות שונות בחברה, ובהן נשים, ילדים ומבוגרים, ואת האופן שבו תפיסות שונות של רווחה הושפעו מאידאולוגיות פוליטיות וכלכליות</w:t>
      </w:r>
      <w:r w:rsidRPr="003A19DF">
        <w:rPr>
          <w:rFonts w:ascii="Georgia" w:hAnsi="Georgia"/>
          <w:sz w:val="18"/>
          <w:szCs w:val="20"/>
        </w:rPr>
        <w:t>.</w:t>
      </w:r>
      <w:r w:rsidRPr="003A19DF">
        <w:rPr>
          <w:rFonts w:ascii="Georgia" w:hAnsi="Georgia"/>
          <w:sz w:val="18"/>
          <w:szCs w:val="20"/>
          <w:rtl/>
        </w:rPr>
        <w:t xml:space="preserve"> הספר מספק נקודת מבט מעמיקה ומורכבת על </w:t>
      </w:r>
      <w:proofErr w:type="spellStart"/>
      <w:r w:rsidRPr="003A19DF">
        <w:rPr>
          <w:rFonts w:ascii="Georgia" w:hAnsi="Georgia"/>
          <w:sz w:val="18"/>
          <w:szCs w:val="20"/>
          <w:rtl/>
        </w:rPr>
        <w:t>הדינמיקות</w:t>
      </w:r>
      <w:proofErr w:type="spellEnd"/>
      <w:r w:rsidRPr="003A19DF">
        <w:rPr>
          <w:rFonts w:ascii="Georgia" w:hAnsi="Georgia"/>
          <w:sz w:val="18"/>
          <w:szCs w:val="20"/>
          <w:rtl/>
        </w:rPr>
        <w:t xml:space="preserve"> השונות שעיצבו ומעצבות את מדיניות הרווחה הבריטית. הוא מתייחס לשאלות של אתיקה, פוליטיקה וכלכלה, ומציע דרכים להבנה טובה יותר של המציאות המורכבת שמערכת הרווחה פועלת בה. היבטים רבים הנידונים בהקשר הבריטי רלוונטיים גם להתפתחות מערכות הרווחה החברתית בהקשר הישראלי המקומי.</w:t>
      </w:r>
    </w:p>
    <w:p w14:paraId="75165F1B" w14:textId="77777777" w:rsidR="003A19DF" w:rsidRPr="003A19DF" w:rsidRDefault="003A19DF" w:rsidP="003A19DF">
      <w:pPr>
        <w:spacing w:after="180" w:line="280" w:lineRule="exact"/>
        <w:jc w:val="both"/>
        <w:rPr>
          <w:rFonts w:ascii="Georgia" w:hAnsi="Georgia"/>
          <w:sz w:val="18"/>
          <w:szCs w:val="20"/>
          <w:rtl/>
        </w:rPr>
      </w:pPr>
    </w:p>
    <w:sectPr w:rsidR="003A19DF" w:rsidRPr="003A19DF" w:rsidSect="004460CF">
      <w:footnotePr>
        <w:numRestart w:val="eachPage"/>
      </w:footnotePr>
      <w:type w:val="continuous"/>
      <w:pgSz w:w="11906" w:h="16838" w:code="9"/>
      <w:pgMar w:top="3402" w:right="2608" w:bottom="2722" w:left="2608" w:header="2552" w:footer="2438" w:gutter="0"/>
      <w:pgNumType w:start="1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0264" w14:textId="77777777" w:rsidR="00215F81" w:rsidRDefault="00215F81">
      <w:pPr>
        <w:spacing w:line="240" w:lineRule="auto"/>
      </w:pPr>
      <w:r>
        <w:separator/>
      </w:r>
    </w:p>
  </w:endnote>
  <w:endnote w:type="continuationSeparator" w:id="0">
    <w:p w14:paraId="5CFB9FB5" w14:textId="77777777" w:rsidR="00215F81" w:rsidRDefault="00215F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Aharoni">
    <w:panose1 w:val="02010401010101010101"/>
    <w:charset w:val="B1"/>
    <w:family w:val="auto"/>
    <w:pitch w:val="variable"/>
    <w:sig w:usb0="00000801" w:usb1="40000000" w:usb2="00000000" w:usb3="00000000" w:csb0="00000020" w:csb1="00000000"/>
  </w:font>
  <w:font w:name="Guttman Hodes">
    <w:altName w:val="Arial"/>
    <w:charset w:val="B1"/>
    <w:family w:val="auto"/>
    <w:pitch w:val="variable"/>
    <w:sig w:usb0="00000801" w:usb1="40000000" w:usb2="00000000" w:usb3="00000000" w:csb0="00000020" w:csb1="00000000"/>
  </w:font>
  <w:font w:name="Code">
    <w:altName w:val="Calibri"/>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E315" w14:textId="77777777" w:rsidR="00215F81" w:rsidRDefault="00215F81" w:rsidP="00A04D35">
      <w:pPr>
        <w:spacing w:before="120" w:after="80"/>
        <w:rPr>
          <w:rFonts w:cs="FrankRuehl"/>
          <w:sz w:val="18"/>
          <w:szCs w:val="18"/>
        </w:rPr>
      </w:pPr>
      <w:r>
        <w:rPr>
          <w:rFonts w:cs="FrankRuehl" w:hint="cs"/>
          <w:sz w:val="18"/>
          <w:szCs w:val="18"/>
          <w:rtl/>
        </w:rPr>
        <w:t>_____________</w:t>
      </w:r>
    </w:p>
  </w:footnote>
  <w:footnote w:type="continuationSeparator" w:id="0">
    <w:p w14:paraId="4A18797E" w14:textId="77777777" w:rsidR="00215F81" w:rsidRDefault="00215F81">
      <w:r>
        <w:continuationSeparator/>
      </w:r>
    </w:p>
  </w:footnote>
  <w:footnote w:type="continuationNotice" w:id="1">
    <w:p w14:paraId="2FD9D5A4" w14:textId="77777777" w:rsidR="00215F81" w:rsidRDefault="00215F81">
      <w:pPr>
        <w:rPr>
          <w:rtl/>
        </w:rPr>
      </w:pPr>
    </w:p>
  </w:footnote>
  <w:footnote w:id="2">
    <w:p w14:paraId="39CD7951" w14:textId="4FDC1D69" w:rsidR="00B269A4" w:rsidRPr="00B269A4" w:rsidRDefault="00B269A4" w:rsidP="00B269A4">
      <w:pPr>
        <w:pStyle w:val="a9"/>
        <w:keepLines/>
        <w:spacing w:line="200" w:lineRule="exact"/>
        <w:ind w:left="397" w:hanging="397"/>
        <w:jc w:val="both"/>
        <w:rPr>
          <w:rStyle w:val="a8"/>
          <w:rFonts w:ascii="David" w:hAnsi="David" w:cs="David"/>
          <w:sz w:val="16"/>
          <w:szCs w:val="16"/>
          <w:vertAlign w:val="baseline"/>
        </w:rPr>
      </w:pPr>
      <w:r w:rsidRPr="00B269A4">
        <w:rPr>
          <w:rStyle w:val="a8"/>
          <w:rFonts w:ascii="David" w:hAnsi="David" w:cs="David"/>
          <w:sz w:val="16"/>
          <w:szCs w:val="16"/>
          <w:vertAlign w:val="baseline"/>
        </w:rPr>
        <w:footnoteRef/>
      </w:r>
      <w:r w:rsidRPr="00B269A4">
        <w:rPr>
          <w:rStyle w:val="a8"/>
          <w:rFonts w:ascii="David" w:hAnsi="David" w:cs="David"/>
          <w:sz w:val="16"/>
          <w:szCs w:val="16"/>
          <w:vertAlign w:val="baseline"/>
          <w:rtl/>
        </w:rPr>
        <w:t xml:space="preserve"> </w:t>
      </w:r>
      <w:r w:rsidRPr="00B269A4">
        <w:rPr>
          <w:rStyle w:val="a8"/>
          <w:rFonts w:ascii="David" w:hAnsi="David" w:cs="David"/>
          <w:sz w:val="16"/>
          <w:szCs w:val="16"/>
          <w:vertAlign w:val="baseline"/>
          <w:rtl/>
        </w:rPr>
        <w:tab/>
        <w:t>דוקטור, החוג  לשירותי אנוש, הפקולטה למדעי הרווחה והבריאות, אוניברסיטת חיפה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CEF3" w14:textId="25F8E19E" w:rsidR="005F7A51" w:rsidRPr="005D0D7F" w:rsidRDefault="005F28EC" w:rsidP="005D0D7F">
    <w:pPr>
      <w:pStyle w:val="1"/>
      <w:tabs>
        <w:tab w:val="center" w:pos="4536"/>
        <w:tab w:val="right" w:pos="9072"/>
      </w:tabs>
      <w:rPr>
        <w:rFonts w:ascii="Georgia" w:hAnsi="Georgia" w:cs="Georgia"/>
        <w:noProof/>
        <w:sz w:val="24"/>
        <w:szCs w:val="24"/>
      </w:rPr>
    </w:pP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EE208A" w:rsidRPr="00EE208A">
      <w:rPr>
        <w:rFonts w:ascii="Georgia" w:hAnsi="Georgia" w:cs="Georgia"/>
        <w:noProof/>
        <w:sz w:val="24"/>
        <w:szCs w:val="24"/>
        <w:rtl/>
      </w:rPr>
      <w:t>154</w:t>
    </w:r>
    <w:r w:rsidRPr="00344989">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Pr>
        <w:rFonts w:ascii="David" w:hAnsi="David" w:cs="David" w:hint="cs"/>
        <w:b w:val="0"/>
        <w:bCs w:val="0"/>
        <w:sz w:val="18"/>
        <w:szCs w:val="18"/>
        <w:rtl/>
      </w:rPr>
      <w:t>12</w:t>
    </w:r>
    <w:r w:rsidR="003A19DF">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193A" w14:textId="25DE8E52" w:rsidR="005F7A51" w:rsidRDefault="005F28EC" w:rsidP="005D0D7F">
    <w:pPr>
      <w:pStyle w:val="1"/>
      <w:tabs>
        <w:tab w:val="center" w:pos="4536"/>
        <w:tab w:val="right" w:pos="9072"/>
      </w:tabs>
      <w:jc w:val="right"/>
    </w:pPr>
    <w:r w:rsidRPr="001B663D">
      <w:rPr>
        <w:rFonts w:ascii="David" w:hAnsi="David" w:cs="David"/>
        <w:b w:val="0"/>
        <w:bCs w:val="0"/>
        <w:noProof/>
        <w:sz w:val="18"/>
        <w:szCs w:val="18"/>
        <w:rtl/>
      </w:rPr>
      <w:t>סקירת ספרים חדשים</w:t>
    </w:r>
    <w:r w:rsidRPr="001403E5">
      <w:rPr>
        <w:rFonts w:ascii="David" w:hAnsi="David" w:cs="David"/>
        <w:b w:val="0"/>
        <w:bCs w:val="0"/>
        <w:noProof/>
        <w:sz w:val="18"/>
        <w:szCs w:val="18"/>
        <w:rtl/>
      </w:rPr>
      <w:t xml:space="preserve">  |  </w:t>
    </w:r>
    <w:r w:rsidRPr="00344989">
      <w:rPr>
        <w:rFonts w:ascii="Georgia" w:hAnsi="Georgia" w:cs="Georgia"/>
        <w:noProof/>
        <w:sz w:val="24"/>
        <w:szCs w:val="24"/>
      </w:rPr>
      <w:fldChar w:fldCharType="begin"/>
    </w:r>
    <w:r w:rsidRPr="00344989">
      <w:rPr>
        <w:rFonts w:ascii="Georgia" w:hAnsi="Georgia" w:cs="Georgia"/>
        <w:noProof/>
        <w:sz w:val="24"/>
        <w:szCs w:val="24"/>
      </w:rPr>
      <w:instrText xml:space="preserve"> PAGE   \* MERGEFORMAT </w:instrText>
    </w:r>
    <w:r w:rsidRPr="00344989">
      <w:rPr>
        <w:rFonts w:ascii="Georgia" w:hAnsi="Georgia" w:cs="Georgia"/>
        <w:noProof/>
        <w:sz w:val="24"/>
        <w:szCs w:val="24"/>
      </w:rPr>
      <w:fldChar w:fldCharType="separate"/>
    </w:r>
    <w:r w:rsidR="00EE208A" w:rsidRPr="00EE208A">
      <w:rPr>
        <w:rFonts w:ascii="Georgia" w:hAnsi="Georgia" w:cs="Georgia"/>
        <w:noProof/>
        <w:sz w:val="24"/>
        <w:szCs w:val="24"/>
        <w:rtl/>
      </w:rPr>
      <w:t>153</w:t>
    </w:r>
    <w:r w:rsidRPr="00344989">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6242" w14:textId="77777777" w:rsidR="005F28EC" w:rsidRPr="00CA633F" w:rsidRDefault="005F28EC" w:rsidP="00426E92">
    <w:pPr>
      <w:pStyle w:val="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E41F0"/>
    <w:multiLevelType w:val="multilevel"/>
    <w:tmpl w:val="AF62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807C6"/>
    <w:multiLevelType w:val="multilevel"/>
    <w:tmpl w:val="B5EE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5B63D7"/>
    <w:multiLevelType w:val="multilevel"/>
    <w:tmpl w:val="0FAC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24"/>
  </w:num>
  <w:num w:numId="4">
    <w:abstractNumId w:val="20"/>
  </w:num>
  <w:num w:numId="5">
    <w:abstractNumId w:val="7"/>
  </w:num>
  <w:num w:numId="6">
    <w:abstractNumId w:val="18"/>
  </w:num>
  <w:num w:numId="7">
    <w:abstractNumId w:val="13"/>
  </w:num>
  <w:num w:numId="8">
    <w:abstractNumId w:val="0"/>
  </w:num>
  <w:num w:numId="9">
    <w:abstractNumId w:val="6"/>
  </w:num>
  <w:num w:numId="10">
    <w:abstractNumId w:val="23"/>
  </w:num>
  <w:num w:numId="11">
    <w:abstractNumId w:val="21"/>
  </w:num>
  <w:num w:numId="12">
    <w:abstractNumId w:val="16"/>
  </w:num>
  <w:num w:numId="13">
    <w:abstractNumId w:val="11"/>
  </w:num>
  <w:num w:numId="14">
    <w:abstractNumId w:val="5"/>
  </w:num>
  <w:num w:numId="15">
    <w:abstractNumId w:val="10"/>
  </w:num>
  <w:num w:numId="16">
    <w:abstractNumId w:val="3"/>
  </w:num>
  <w:num w:numId="17">
    <w:abstractNumId w:val="25"/>
  </w:num>
  <w:num w:numId="18">
    <w:abstractNumId w:val="17"/>
  </w:num>
  <w:num w:numId="19">
    <w:abstractNumId w:val="8"/>
  </w:num>
  <w:num w:numId="20">
    <w:abstractNumId w:val="2"/>
  </w:num>
  <w:num w:numId="21">
    <w:abstractNumId w:val="1"/>
  </w:num>
  <w:num w:numId="22">
    <w:abstractNumId w:val="4"/>
  </w:num>
  <w:num w:numId="23">
    <w:abstractNumId w:val="14"/>
  </w:num>
  <w:num w:numId="24">
    <w:abstractNumId w:val="9"/>
  </w:num>
  <w:num w:numId="25">
    <w:abstractNumId w:val="22"/>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noPunctuationKerning/>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53F6"/>
    <w:rsid w:val="000113FB"/>
    <w:rsid w:val="0002727F"/>
    <w:rsid w:val="000313D9"/>
    <w:rsid w:val="00036E97"/>
    <w:rsid w:val="0004050C"/>
    <w:rsid w:val="0004104C"/>
    <w:rsid w:val="000552ED"/>
    <w:rsid w:val="00055381"/>
    <w:rsid w:val="00087316"/>
    <w:rsid w:val="00094CC3"/>
    <w:rsid w:val="000A3731"/>
    <w:rsid w:val="000A7604"/>
    <w:rsid w:val="000C13C4"/>
    <w:rsid w:val="000C236E"/>
    <w:rsid w:val="000C32F6"/>
    <w:rsid w:val="000C4352"/>
    <w:rsid w:val="000C7415"/>
    <w:rsid w:val="000D10A7"/>
    <w:rsid w:val="000D7955"/>
    <w:rsid w:val="000E04D0"/>
    <w:rsid w:val="000E38FA"/>
    <w:rsid w:val="00102024"/>
    <w:rsid w:val="00114B39"/>
    <w:rsid w:val="0011727E"/>
    <w:rsid w:val="001309F9"/>
    <w:rsid w:val="00135C37"/>
    <w:rsid w:val="00143FED"/>
    <w:rsid w:val="00157782"/>
    <w:rsid w:val="00160BCD"/>
    <w:rsid w:val="00164AB3"/>
    <w:rsid w:val="00165C15"/>
    <w:rsid w:val="00170E1D"/>
    <w:rsid w:val="00172CFD"/>
    <w:rsid w:val="001742E8"/>
    <w:rsid w:val="00176F2B"/>
    <w:rsid w:val="0018721E"/>
    <w:rsid w:val="00192673"/>
    <w:rsid w:val="001A0002"/>
    <w:rsid w:val="001B663D"/>
    <w:rsid w:val="001D2C96"/>
    <w:rsid w:val="001D2FDC"/>
    <w:rsid w:val="001D3641"/>
    <w:rsid w:val="001D6E7E"/>
    <w:rsid w:val="001F4A87"/>
    <w:rsid w:val="002044C6"/>
    <w:rsid w:val="00212324"/>
    <w:rsid w:val="00215F81"/>
    <w:rsid w:val="0021688A"/>
    <w:rsid w:val="00217A08"/>
    <w:rsid w:val="00224C6A"/>
    <w:rsid w:val="00227591"/>
    <w:rsid w:val="00234C6B"/>
    <w:rsid w:val="00242CC5"/>
    <w:rsid w:val="002519BC"/>
    <w:rsid w:val="00261F65"/>
    <w:rsid w:val="00264BEC"/>
    <w:rsid w:val="00271365"/>
    <w:rsid w:val="00272B00"/>
    <w:rsid w:val="002A2B0C"/>
    <w:rsid w:val="002B2D62"/>
    <w:rsid w:val="002B3E4A"/>
    <w:rsid w:val="002C45DF"/>
    <w:rsid w:val="002C57B8"/>
    <w:rsid w:val="002E3F25"/>
    <w:rsid w:val="002F0EE3"/>
    <w:rsid w:val="002F0F46"/>
    <w:rsid w:val="002F0FCF"/>
    <w:rsid w:val="002F1C77"/>
    <w:rsid w:val="00301CF9"/>
    <w:rsid w:val="003119FD"/>
    <w:rsid w:val="00314E22"/>
    <w:rsid w:val="003151B1"/>
    <w:rsid w:val="00317DCD"/>
    <w:rsid w:val="003334F0"/>
    <w:rsid w:val="00337A25"/>
    <w:rsid w:val="003446BB"/>
    <w:rsid w:val="00344989"/>
    <w:rsid w:val="0035035B"/>
    <w:rsid w:val="00357754"/>
    <w:rsid w:val="00360F01"/>
    <w:rsid w:val="003623F4"/>
    <w:rsid w:val="00373A28"/>
    <w:rsid w:val="00374196"/>
    <w:rsid w:val="0038402D"/>
    <w:rsid w:val="00385A0B"/>
    <w:rsid w:val="00396914"/>
    <w:rsid w:val="003A0A27"/>
    <w:rsid w:val="003A1411"/>
    <w:rsid w:val="003A19DF"/>
    <w:rsid w:val="003B04E0"/>
    <w:rsid w:val="003B537C"/>
    <w:rsid w:val="003D1152"/>
    <w:rsid w:val="003D4AF9"/>
    <w:rsid w:val="003F0A7C"/>
    <w:rsid w:val="003F3EC1"/>
    <w:rsid w:val="003F6624"/>
    <w:rsid w:val="004023DD"/>
    <w:rsid w:val="004032F7"/>
    <w:rsid w:val="00405788"/>
    <w:rsid w:val="00407761"/>
    <w:rsid w:val="004112B2"/>
    <w:rsid w:val="004115F5"/>
    <w:rsid w:val="00416142"/>
    <w:rsid w:val="00424C06"/>
    <w:rsid w:val="00426E92"/>
    <w:rsid w:val="00427E02"/>
    <w:rsid w:val="00435A1C"/>
    <w:rsid w:val="0043724D"/>
    <w:rsid w:val="00442C96"/>
    <w:rsid w:val="004460CF"/>
    <w:rsid w:val="00446E1E"/>
    <w:rsid w:val="004543DB"/>
    <w:rsid w:val="00463B6C"/>
    <w:rsid w:val="00466666"/>
    <w:rsid w:val="00470C5C"/>
    <w:rsid w:val="00471658"/>
    <w:rsid w:val="00474EAC"/>
    <w:rsid w:val="00482D5A"/>
    <w:rsid w:val="0048342B"/>
    <w:rsid w:val="0048495E"/>
    <w:rsid w:val="00484F63"/>
    <w:rsid w:val="004A6F8B"/>
    <w:rsid w:val="004A71EC"/>
    <w:rsid w:val="004B1C7A"/>
    <w:rsid w:val="004C37C6"/>
    <w:rsid w:val="004C401D"/>
    <w:rsid w:val="004D192D"/>
    <w:rsid w:val="004D548D"/>
    <w:rsid w:val="004F395E"/>
    <w:rsid w:val="004F5D98"/>
    <w:rsid w:val="00504B29"/>
    <w:rsid w:val="00506D56"/>
    <w:rsid w:val="00512B59"/>
    <w:rsid w:val="00512E1E"/>
    <w:rsid w:val="0051407A"/>
    <w:rsid w:val="0051775C"/>
    <w:rsid w:val="005211F2"/>
    <w:rsid w:val="00521930"/>
    <w:rsid w:val="00525113"/>
    <w:rsid w:val="00527001"/>
    <w:rsid w:val="005305F7"/>
    <w:rsid w:val="005368B8"/>
    <w:rsid w:val="0053690F"/>
    <w:rsid w:val="005408C1"/>
    <w:rsid w:val="005416E9"/>
    <w:rsid w:val="00554368"/>
    <w:rsid w:val="005550EA"/>
    <w:rsid w:val="005619D8"/>
    <w:rsid w:val="0057021D"/>
    <w:rsid w:val="005715CB"/>
    <w:rsid w:val="0058087D"/>
    <w:rsid w:val="00584764"/>
    <w:rsid w:val="005936BB"/>
    <w:rsid w:val="0059386B"/>
    <w:rsid w:val="00594BEC"/>
    <w:rsid w:val="0059668B"/>
    <w:rsid w:val="00596917"/>
    <w:rsid w:val="005A4E4A"/>
    <w:rsid w:val="005B49B8"/>
    <w:rsid w:val="005C251C"/>
    <w:rsid w:val="005C3FA8"/>
    <w:rsid w:val="005C7E29"/>
    <w:rsid w:val="005D0D7F"/>
    <w:rsid w:val="005D3663"/>
    <w:rsid w:val="005D4458"/>
    <w:rsid w:val="005D7004"/>
    <w:rsid w:val="005D7151"/>
    <w:rsid w:val="005E183C"/>
    <w:rsid w:val="005F28EC"/>
    <w:rsid w:val="005F608C"/>
    <w:rsid w:val="005F635C"/>
    <w:rsid w:val="005F7159"/>
    <w:rsid w:val="005F7A51"/>
    <w:rsid w:val="00610B49"/>
    <w:rsid w:val="006154FA"/>
    <w:rsid w:val="0061579C"/>
    <w:rsid w:val="0062321C"/>
    <w:rsid w:val="00630A93"/>
    <w:rsid w:val="006358E3"/>
    <w:rsid w:val="00637FB9"/>
    <w:rsid w:val="0065160D"/>
    <w:rsid w:val="00652D7C"/>
    <w:rsid w:val="00657997"/>
    <w:rsid w:val="006605E6"/>
    <w:rsid w:val="00667945"/>
    <w:rsid w:val="00670FB0"/>
    <w:rsid w:val="00677D35"/>
    <w:rsid w:val="0068148C"/>
    <w:rsid w:val="006824DB"/>
    <w:rsid w:val="00683B19"/>
    <w:rsid w:val="00687CEA"/>
    <w:rsid w:val="006A07E8"/>
    <w:rsid w:val="006A0E9A"/>
    <w:rsid w:val="006B1072"/>
    <w:rsid w:val="006B543C"/>
    <w:rsid w:val="006C3588"/>
    <w:rsid w:val="006C61A3"/>
    <w:rsid w:val="006E0F39"/>
    <w:rsid w:val="006E425D"/>
    <w:rsid w:val="006E6FF0"/>
    <w:rsid w:val="006F3886"/>
    <w:rsid w:val="006F5773"/>
    <w:rsid w:val="00702D1B"/>
    <w:rsid w:val="00705477"/>
    <w:rsid w:val="007178F3"/>
    <w:rsid w:val="00720415"/>
    <w:rsid w:val="007214A0"/>
    <w:rsid w:val="00721DC1"/>
    <w:rsid w:val="007240DD"/>
    <w:rsid w:val="00725FD5"/>
    <w:rsid w:val="00731A18"/>
    <w:rsid w:val="00733272"/>
    <w:rsid w:val="00735EB6"/>
    <w:rsid w:val="007377A3"/>
    <w:rsid w:val="007405C7"/>
    <w:rsid w:val="007506C0"/>
    <w:rsid w:val="0075346D"/>
    <w:rsid w:val="00754C25"/>
    <w:rsid w:val="007667D8"/>
    <w:rsid w:val="007742CB"/>
    <w:rsid w:val="00776EE2"/>
    <w:rsid w:val="0078189B"/>
    <w:rsid w:val="00784B28"/>
    <w:rsid w:val="00787937"/>
    <w:rsid w:val="00796021"/>
    <w:rsid w:val="00796933"/>
    <w:rsid w:val="007A583E"/>
    <w:rsid w:val="007A6CDA"/>
    <w:rsid w:val="007B1BF0"/>
    <w:rsid w:val="007B7399"/>
    <w:rsid w:val="007C266F"/>
    <w:rsid w:val="007C6203"/>
    <w:rsid w:val="007C7168"/>
    <w:rsid w:val="007C726C"/>
    <w:rsid w:val="007D3C93"/>
    <w:rsid w:val="007D571C"/>
    <w:rsid w:val="007D6BDA"/>
    <w:rsid w:val="007E6EFF"/>
    <w:rsid w:val="007F1459"/>
    <w:rsid w:val="007F29C9"/>
    <w:rsid w:val="00802D5D"/>
    <w:rsid w:val="008046BD"/>
    <w:rsid w:val="008118B6"/>
    <w:rsid w:val="00815147"/>
    <w:rsid w:val="0082607A"/>
    <w:rsid w:val="00826D45"/>
    <w:rsid w:val="00826FF6"/>
    <w:rsid w:val="00830DEF"/>
    <w:rsid w:val="00837ECA"/>
    <w:rsid w:val="00837F2F"/>
    <w:rsid w:val="00840D01"/>
    <w:rsid w:val="0084161C"/>
    <w:rsid w:val="00851BDA"/>
    <w:rsid w:val="0085752E"/>
    <w:rsid w:val="00866649"/>
    <w:rsid w:val="00877883"/>
    <w:rsid w:val="00881FB9"/>
    <w:rsid w:val="00892A98"/>
    <w:rsid w:val="008979C9"/>
    <w:rsid w:val="008C0830"/>
    <w:rsid w:val="008C5CF4"/>
    <w:rsid w:val="008E3225"/>
    <w:rsid w:val="008E3AB0"/>
    <w:rsid w:val="008E7C7C"/>
    <w:rsid w:val="008F0FDD"/>
    <w:rsid w:val="008F3BF4"/>
    <w:rsid w:val="008F3F1F"/>
    <w:rsid w:val="008F5AA2"/>
    <w:rsid w:val="008F61E9"/>
    <w:rsid w:val="008F7821"/>
    <w:rsid w:val="009023FC"/>
    <w:rsid w:val="009041F4"/>
    <w:rsid w:val="00907078"/>
    <w:rsid w:val="00910E15"/>
    <w:rsid w:val="00913099"/>
    <w:rsid w:val="00922E3D"/>
    <w:rsid w:val="00925668"/>
    <w:rsid w:val="00940C99"/>
    <w:rsid w:val="00941E15"/>
    <w:rsid w:val="00941F73"/>
    <w:rsid w:val="009456CE"/>
    <w:rsid w:val="009522CA"/>
    <w:rsid w:val="00961388"/>
    <w:rsid w:val="00980980"/>
    <w:rsid w:val="0098175F"/>
    <w:rsid w:val="009873F5"/>
    <w:rsid w:val="00995324"/>
    <w:rsid w:val="00996E4C"/>
    <w:rsid w:val="009B0859"/>
    <w:rsid w:val="009B400A"/>
    <w:rsid w:val="009B53E8"/>
    <w:rsid w:val="009C5E89"/>
    <w:rsid w:val="009D7325"/>
    <w:rsid w:val="009E1AC8"/>
    <w:rsid w:val="009E33F5"/>
    <w:rsid w:val="009E4BBC"/>
    <w:rsid w:val="00A0248E"/>
    <w:rsid w:val="00A04D35"/>
    <w:rsid w:val="00A06109"/>
    <w:rsid w:val="00A15A33"/>
    <w:rsid w:val="00A17156"/>
    <w:rsid w:val="00A23653"/>
    <w:rsid w:val="00A27C04"/>
    <w:rsid w:val="00A31F18"/>
    <w:rsid w:val="00A34A5C"/>
    <w:rsid w:val="00A35FB3"/>
    <w:rsid w:val="00A36D7F"/>
    <w:rsid w:val="00A41266"/>
    <w:rsid w:val="00A41FB6"/>
    <w:rsid w:val="00A50FBE"/>
    <w:rsid w:val="00A54674"/>
    <w:rsid w:val="00A61580"/>
    <w:rsid w:val="00A64A99"/>
    <w:rsid w:val="00A7049B"/>
    <w:rsid w:val="00A77D7A"/>
    <w:rsid w:val="00A8097E"/>
    <w:rsid w:val="00A84CB3"/>
    <w:rsid w:val="00A86C45"/>
    <w:rsid w:val="00A910EE"/>
    <w:rsid w:val="00A91BB1"/>
    <w:rsid w:val="00A94B56"/>
    <w:rsid w:val="00A95308"/>
    <w:rsid w:val="00A953FC"/>
    <w:rsid w:val="00A95F73"/>
    <w:rsid w:val="00AA3D8D"/>
    <w:rsid w:val="00AA4109"/>
    <w:rsid w:val="00AB1253"/>
    <w:rsid w:val="00AB78B4"/>
    <w:rsid w:val="00AC326E"/>
    <w:rsid w:val="00AC3C6D"/>
    <w:rsid w:val="00AC5C15"/>
    <w:rsid w:val="00AD38FA"/>
    <w:rsid w:val="00AE03A0"/>
    <w:rsid w:val="00AE0A3D"/>
    <w:rsid w:val="00AE31E1"/>
    <w:rsid w:val="00AE70FD"/>
    <w:rsid w:val="00AF2301"/>
    <w:rsid w:val="00AF7379"/>
    <w:rsid w:val="00B02F69"/>
    <w:rsid w:val="00B045C9"/>
    <w:rsid w:val="00B06145"/>
    <w:rsid w:val="00B11E66"/>
    <w:rsid w:val="00B152E6"/>
    <w:rsid w:val="00B23956"/>
    <w:rsid w:val="00B269A4"/>
    <w:rsid w:val="00B33307"/>
    <w:rsid w:val="00B35D0C"/>
    <w:rsid w:val="00B375E7"/>
    <w:rsid w:val="00B405E1"/>
    <w:rsid w:val="00B468E5"/>
    <w:rsid w:val="00B509C1"/>
    <w:rsid w:val="00B53BCA"/>
    <w:rsid w:val="00B5760B"/>
    <w:rsid w:val="00B60A6C"/>
    <w:rsid w:val="00B62119"/>
    <w:rsid w:val="00B86C71"/>
    <w:rsid w:val="00B93411"/>
    <w:rsid w:val="00B96E08"/>
    <w:rsid w:val="00B96FFC"/>
    <w:rsid w:val="00BA21AF"/>
    <w:rsid w:val="00BA29F5"/>
    <w:rsid w:val="00BB0C17"/>
    <w:rsid w:val="00BC0FE8"/>
    <w:rsid w:val="00BE2559"/>
    <w:rsid w:val="00BE7538"/>
    <w:rsid w:val="00BF32DB"/>
    <w:rsid w:val="00BF50E7"/>
    <w:rsid w:val="00BF5302"/>
    <w:rsid w:val="00C121C8"/>
    <w:rsid w:val="00C12622"/>
    <w:rsid w:val="00C21B66"/>
    <w:rsid w:val="00C31AA7"/>
    <w:rsid w:val="00C33805"/>
    <w:rsid w:val="00C36492"/>
    <w:rsid w:val="00C36CE5"/>
    <w:rsid w:val="00C44CE1"/>
    <w:rsid w:val="00C51195"/>
    <w:rsid w:val="00C541C3"/>
    <w:rsid w:val="00C57135"/>
    <w:rsid w:val="00C57CB9"/>
    <w:rsid w:val="00C70D04"/>
    <w:rsid w:val="00C744D1"/>
    <w:rsid w:val="00C75652"/>
    <w:rsid w:val="00C93533"/>
    <w:rsid w:val="00CA10A8"/>
    <w:rsid w:val="00CA3EF1"/>
    <w:rsid w:val="00CA5B5A"/>
    <w:rsid w:val="00CA6981"/>
    <w:rsid w:val="00CA7399"/>
    <w:rsid w:val="00CA7495"/>
    <w:rsid w:val="00CB48B4"/>
    <w:rsid w:val="00CC73E6"/>
    <w:rsid w:val="00CD2DFC"/>
    <w:rsid w:val="00CD7139"/>
    <w:rsid w:val="00CE35CE"/>
    <w:rsid w:val="00CE732A"/>
    <w:rsid w:val="00CE7E78"/>
    <w:rsid w:val="00CF46AA"/>
    <w:rsid w:val="00CF5FCA"/>
    <w:rsid w:val="00CF7A4A"/>
    <w:rsid w:val="00D1211A"/>
    <w:rsid w:val="00D12F44"/>
    <w:rsid w:val="00D1759C"/>
    <w:rsid w:val="00D20DE5"/>
    <w:rsid w:val="00D21D40"/>
    <w:rsid w:val="00D31A54"/>
    <w:rsid w:val="00D60CEB"/>
    <w:rsid w:val="00D65998"/>
    <w:rsid w:val="00D92080"/>
    <w:rsid w:val="00D9338F"/>
    <w:rsid w:val="00D939F2"/>
    <w:rsid w:val="00D94E6C"/>
    <w:rsid w:val="00D94EE0"/>
    <w:rsid w:val="00D97001"/>
    <w:rsid w:val="00DA482C"/>
    <w:rsid w:val="00DB0203"/>
    <w:rsid w:val="00DB36BD"/>
    <w:rsid w:val="00DB6FA8"/>
    <w:rsid w:val="00DC0593"/>
    <w:rsid w:val="00DC7E68"/>
    <w:rsid w:val="00DF30C9"/>
    <w:rsid w:val="00DF330D"/>
    <w:rsid w:val="00E055BD"/>
    <w:rsid w:val="00E21B0C"/>
    <w:rsid w:val="00E264B7"/>
    <w:rsid w:val="00E347DC"/>
    <w:rsid w:val="00E35A41"/>
    <w:rsid w:val="00E40534"/>
    <w:rsid w:val="00E41C53"/>
    <w:rsid w:val="00E4703D"/>
    <w:rsid w:val="00E47A33"/>
    <w:rsid w:val="00E510A1"/>
    <w:rsid w:val="00E519FB"/>
    <w:rsid w:val="00E574E8"/>
    <w:rsid w:val="00E61D38"/>
    <w:rsid w:val="00E6797F"/>
    <w:rsid w:val="00E75196"/>
    <w:rsid w:val="00E7703B"/>
    <w:rsid w:val="00E86DC5"/>
    <w:rsid w:val="00E905F1"/>
    <w:rsid w:val="00E94167"/>
    <w:rsid w:val="00E95DB4"/>
    <w:rsid w:val="00EB244B"/>
    <w:rsid w:val="00EC656B"/>
    <w:rsid w:val="00EC6F48"/>
    <w:rsid w:val="00ED2622"/>
    <w:rsid w:val="00ED2E52"/>
    <w:rsid w:val="00ED3C01"/>
    <w:rsid w:val="00ED6F02"/>
    <w:rsid w:val="00EE208A"/>
    <w:rsid w:val="00EE27C7"/>
    <w:rsid w:val="00EE63D4"/>
    <w:rsid w:val="00EF07B4"/>
    <w:rsid w:val="00EF2087"/>
    <w:rsid w:val="00F00AE2"/>
    <w:rsid w:val="00F0418C"/>
    <w:rsid w:val="00F077DB"/>
    <w:rsid w:val="00F20863"/>
    <w:rsid w:val="00F20E96"/>
    <w:rsid w:val="00F216E0"/>
    <w:rsid w:val="00F243ED"/>
    <w:rsid w:val="00F30EC2"/>
    <w:rsid w:val="00F3107D"/>
    <w:rsid w:val="00F32B2F"/>
    <w:rsid w:val="00F341CC"/>
    <w:rsid w:val="00F40469"/>
    <w:rsid w:val="00F6761F"/>
    <w:rsid w:val="00F70364"/>
    <w:rsid w:val="00F842C3"/>
    <w:rsid w:val="00F96B88"/>
    <w:rsid w:val="00F97D85"/>
    <w:rsid w:val="00F97F9E"/>
    <w:rsid w:val="00FB16BF"/>
    <w:rsid w:val="00FB4B8A"/>
    <w:rsid w:val="00FB58B5"/>
    <w:rsid w:val="00FB73A9"/>
    <w:rsid w:val="00FC336F"/>
    <w:rsid w:val="00FD1A0B"/>
    <w:rsid w:val="00FD304C"/>
    <w:rsid w:val="00FE0965"/>
    <w:rsid w:val="00FE7079"/>
    <w:rsid w:val="00FF01B3"/>
    <w:rsid w:val="00FF08A2"/>
    <w:rsid w:val="00FF4C66"/>
    <w:rsid w:val="00FF5A40"/>
    <w:rsid w:val="00FF67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9DE77F"/>
  <w15:docId w15:val="{3E8E4ED2-B0E3-4D98-857C-A12FD84D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qFormat/>
    <w:pPr>
      <w:keepNext/>
      <w:spacing w:line="360" w:lineRule="auto"/>
      <w:outlineLvl w:val="3"/>
    </w:pPr>
    <w:rPr>
      <w:rFonts w:ascii="Arial" w:hAnsi="Arial"/>
      <w:b/>
      <w:bCs/>
    </w:rPr>
  </w:style>
  <w:style w:type="paragraph" w:styleId="5">
    <w:name w:val="heading 5"/>
    <w:basedOn w:val="a"/>
    <w:next w:val="a"/>
    <w:qFormat/>
    <w:pPr>
      <w:keepNext/>
      <w:spacing w:after="120" w:line="280" w:lineRule="exact"/>
      <w:outlineLvl w:val="4"/>
    </w:pPr>
    <w:rPr>
      <w:b/>
      <w:bCs/>
      <w:sz w:val="22"/>
    </w:rPr>
  </w:style>
  <w:style w:type="paragraph" w:styleId="6">
    <w:name w:val="heading 6"/>
    <w:basedOn w:val="a"/>
    <w:next w:val="a"/>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30">
    <w:name w:val="כותרת 3 תו"/>
    <w:link w:val="3"/>
    <w:uiPriority w:val="9"/>
    <w:rsid w:val="00E95DB4"/>
    <w:rPr>
      <w:rFonts w:cs="FrankRuehl"/>
      <w:b/>
      <w:bCs/>
    </w:rPr>
  </w:style>
  <w:style w:type="character" w:customStyle="1" w:styleId="90">
    <w:name w:val="כותרת 9 תו"/>
    <w:link w:val="9"/>
    <w:uiPriority w:val="9"/>
    <w:rsid w:val="00471658"/>
    <w:rPr>
      <w:rFonts w:cs="FrankRuehl"/>
      <w:b/>
      <w:bCs/>
      <w:sz w:val="26"/>
      <w:szCs w:val="26"/>
    </w:rPr>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7E6EFF"/>
    <w:pPr>
      <w:spacing w:after="0"/>
      <w:ind w:right="0"/>
    </w:pPr>
    <w:rPr>
      <w:rFonts w:cs="Guttman Aharoni"/>
      <w:b w:val="0"/>
      <w:bCs w:val="0"/>
      <w:color w:val="0070C0"/>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character" w:customStyle="1" w:styleId="a4">
    <w:name w:val="כותרת עליונה תו"/>
    <w:link w:val="a3"/>
    <w:uiPriority w:val="99"/>
    <w:rsid w:val="00E95DB4"/>
    <w:rPr>
      <w:rFonts w:cs="David"/>
      <w:sz w:val="24"/>
      <w:szCs w:val="24"/>
    </w:rPr>
  </w:style>
  <w:style w:type="paragraph" w:styleId="a5">
    <w:name w:val="footer"/>
    <w:basedOn w:val="a"/>
    <w:link w:val="a6"/>
    <w:uiPriority w:val="99"/>
    <w:pPr>
      <w:tabs>
        <w:tab w:val="center" w:pos="4153"/>
        <w:tab w:val="right" w:pos="8306"/>
      </w:tabs>
    </w:pPr>
  </w:style>
  <w:style w:type="character" w:customStyle="1" w:styleId="a6">
    <w:name w:val="כותרת תחתונה תו"/>
    <w:link w:val="a5"/>
    <w:uiPriority w:val="99"/>
    <w:rsid w:val="00E95DB4"/>
    <w:rPr>
      <w:rFonts w:cs="David"/>
      <w:sz w:val="24"/>
      <w:szCs w:val="24"/>
    </w:r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uiPriority w:val="99"/>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qFormat/>
    <w:pPr>
      <w:spacing w:line="240" w:lineRule="auto"/>
    </w:pPr>
    <w:rPr>
      <w:rFonts w:cs="Times New Roman"/>
      <w:sz w:val="20"/>
      <w:szCs w:val="20"/>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paragraph" w:styleId="ab">
    <w:name w:val="Balloon Text"/>
    <w:basedOn w:val="a"/>
    <w:link w:val="ac"/>
    <w:uiPriority w:val="99"/>
    <w:semiHidden/>
    <w:pPr>
      <w:spacing w:line="240" w:lineRule="auto"/>
    </w:pPr>
    <w:rPr>
      <w:rFonts w:ascii="Tahoma" w:hAnsi="Tahoma" w:cs="Tahoma"/>
      <w:sz w:val="16"/>
      <w:szCs w:val="16"/>
    </w:rPr>
  </w:style>
  <w:style w:type="character" w:customStyle="1" w:styleId="ac">
    <w:name w:val="טקסט בלונים תו"/>
    <w:link w:val="ab"/>
    <w:uiPriority w:val="99"/>
    <w:semiHidden/>
    <w:rsid w:val="00E95DB4"/>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af0">
    <w:name w:val="טקסט הערה תו"/>
    <w:link w:val="ae"/>
    <w:uiPriority w:val="99"/>
    <w:rsid w:val="00E95DB4"/>
  </w:style>
  <w:style w:type="character" w:customStyle="1" w:styleId="af">
    <w:name w:val="נושא הערה תו"/>
    <w:link w:val="ad"/>
    <w:uiPriority w:val="99"/>
    <w:semiHidden/>
    <w:rsid w:val="00E95DB4"/>
    <w:rPr>
      <w:b/>
      <w:bCs/>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22"/>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character" w:customStyle="1" w:styleId="af6">
    <w:name w:val="כותרת טקסט תו"/>
    <w:link w:val="af5"/>
    <w:uiPriority w:val="10"/>
    <w:rsid w:val="00E95DB4"/>
    <w:rPr>
      <w:rFonts w:cs="David"/>
      <w:sz w:val="24"/>
      <w:szCs w:val="24"/>
      <w:u w:val="single"/>
    </w:rPr>
  </w:style>
  <w:style w:type="paragraph" w:styleId="af7">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semiHidden/>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semiHidden/>
    <w:pPr>
      <w:bidi w:val="0"/>
      <w:spacing w:line="280" w:lineRule="exact"/>
      <w:ind w:left="397" w:hanging="397"/>
      <w:jc w:val="both"/>
    </w:pPr>
    <w:rPr>
      <w:rFonts w:cs="Times New Roman"/>
      <w:sz w:val="22"/>
      <w:szCs w:val="22"/>
    </w:rPr>
  </w:style>
  <w:style w:type="paragraph" w:styleId="afa">
    <w:name w:val="endnote text"/>
    <w:basedOn w:val="a"/>
    <w:semiHidden/>
    <w:unhideWhenUsed/>
    <w:pPr>
      <w:bidi w:val="0"/>
      <w:spacing w:line="240" w:lineRule="auto"/>
    </w:pPr>
    <w:rPr>
      <w:rFonts w:ascii="Calibri" w:eastAsia="Calibri" w:hAnsi="Calibri" w:cs="Arial"/>
      <w:sz w:val="20"/>
      <w:szCs w:val="20"/>
      <w:lang w:val="en-GB"/>
    </w:rPr>
  </w:style>
  <w:style w:type="character" w:styleId="afb">
    <w:name w:val="annotation reference"/>
    <w:uiPriority w:val="99"/>
    <w:semiHidden/>
    <w:unhideWhenUsed/>
    <w:rsid w:val="00E95DB4"/>
    <w:rPr>
      <w:sz w:val="16"/>
      <w:szCs w:val="16"/>
    </w:rPr>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afc">
    <w:name w:val="No Spacing"/>
    <w:uiPriority w:val="1"/>
    <w:qFormat/>
    <w:rsid w:val="00E95DB4"/>
    <w:pPr>
      <w:bidi/>
    </w:pPr>
    <w:rPr>
      <w:rFonts w:ascii="Arial" w:eastAsia="Calibri" w:hAnsi="Arial" w:cs="Arial"/>
      <w:sz w:val="22"/>
      <w:szCs w:val="22"/>
    </w:rPr>
  </w:style>
  <w:style w:type="character" w:styleId="afd">
    <w:name w:val="Emphasis"/>
    <w:uiPriority w:val="20"/>
    <w:qFormat/>
    <w:rsid w:val="00E95DB4"/>
    <w:rPr>
      <w:i/>
      <w:iCs/>
    </w:rPr>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e">
    <w:name w:val="Table Grid"/>
    <w:basedOn w:val="a1"/>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7E6EFF"/>
    <w:pPr>
      <w:outlineLvl w:val="3"/>
    </w:pPr>
    <w:rPr>
      <w:rFonts w:ascii="Times New Roman" w:hAnsi="Times New Roman" w:cs="Times New Roman"/>
      <w:b/>
      <w:bCs/>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E6797F"/>
    <w:pPr>
      <w:spacing w:before="120" w:after="120" w:line="280" w:lineRule="exact"/>
    </w:pPr>
    <w:rPr>
      <w:color w:val="0B5294"/>
      <w:sz w:val="20"/>
      <w:szCs w:val="20"/>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FootnoteTextChar1">
    <w:name w:val="Footnote Text Char1"/>
    <w:aliases w:val="תו Char"/>
    <w:uiPriority w:val="99"/>
    <w:semiHidden/>
    <w:locked/>
    <w:rsid w:val="00F30EC2"/>
    <w:rPr>
      <w:rFonts w:ascii="Times New Roman" w:eastAsia="Calibri" w:hAnsi="Times New Roman" w:cs="David"/>
      <w:sz w:val="20"/>
      <w:szCs w:val="20"/>
    </w:rPr>
  </w:style>
  <w:style w:type="paragraph" w:styleId="22">
    <w:name w:val="Body Text 2"/>
    <w:basedOn w:val="a"/>
    <w:link w:val="23"/>
    <w:uiPriority w:val="99"/>
    <w:unhideWhenUsed/>
    <w:rsid w:val="00A50FBE"/>
    <w:pPr>
      <w:spacing w:after="120" w:line="300" w:lineRule="exact"/>
      <w:jc w:val="both"/>
    </w:pPr>
    <w:rPr>
      <w:rFonts w:cs="Times New Roman"/>
      <w:sz w:val="22"/>
      <w:szCs w:val="22"/>
    </w:rPr>
  </w:style>
  <w:style w:type="character" w:customStyle="1" w:styleId="23">
    <w:name w:val="גוף טקסט 2 תו"/>
    <w:link w:val="22"/>
    <w:uiPriority w:val="99"/>
    <w:rsid w:val="00A50FBE"/>
    <w:rPr>
      <w:rFonts w:ascii="Times New Roman" w:hAnsi="Times New Roman" w:cs="Times New Roman"/>
      <w:sz w:val="22"/>
      <w:szCs w:val="22"/>
    </w:rPr>
  </w:style>
  <w:style w:type="paragraph" w:styleId="24">
    <w:name w:val="Body Text Indent 2"/>
    <w:basedOn w:val="a"/>
    <w:link w:val="25"/>
    <w:uiPriority w:val="99"/>
    <w:unhideWhenUsed/>
    <w:rsid w:val="008C0830"/>
    <w:pPr>
      <w:spacing w:after="120" w:line="300" w:lineRule="exact"/>
      <w:ind w:left="567"/>
      <w:jc w:val="both"/>
    </w:pPr>
    <w:rPr>
      <w:rFonts w:cs="Times New Roman"/>
      <w:sz w:val="22"/>
      <w:szCs w:val="22"/>
    </w:rPr>
  </w:style>
  <w:style w:type="character" w:customStyle="1" w:styleId="25">
    <w:name w:val="כניסה בגוף טקסט 2 תו"/>
    <w:link w:val="24"/>
    <w:uiPriority w:val="99"/>
    <w:rsid w:val="008C0830"/>
    <w:rPr>
      <w:sz w:val="22"/>
      <w:szCs w:val="22"/>
    </w:rPr>
  </w:style>
  <w:style w:type="paragraph" w:customStyle="1" w:styleId="Default0">
    <w:name w:val="Default"/>
    <w:rsid w:val="007506C0"/>
    <w:pPr>
      <w:autoSpaceDE w:val="0"/>
      <w:autoSpaceDN w:val="0"/>
      <w:adjustRightInd w:val="0"/>
    </w:pPr>
    <w:rPr>
      <w:rFonts w:ascii="Code" w:eastAsia="Calibri" w:hAnsi="Code" w:cs="Code"/>
      <w:color w:val="000000"/>
      <w:sz w:val="24"/>
      <w:szCs w:val="24"/>
      <w:lang w:val="en-GB"/>
    </w:rPr>
  </w:style>
  <w:style w:type="paragraph" w:customStyle="1" w:styleId="m5913543275134307516xm-6574082299105977569xmsonormal">
    <w:name w:val="m_5913543275134307516x_m_-6574082299105977569x_msonormal"/>
    <w:basedOn w:val="a"/>
    <w:rsid w:val="00787937"/>
    <w:pPr>
      <w:bidi w:val="0"/>
      <w:spacing w:before="100" w:beforeAutospacing="1" w:after="100" w:afterAutospacing="1" w:line="240" w:lineRule="auto"/>
    </w:pPr>
    <w:rPr>
      <w:rFonts w:cs="Times New Roman"/>
      <w:lang w:val="en-GB" w:eastAsia="en-GB"/>
    </w:rPr>
  </w:style>
  <w:style w:type="paragraph" w:styleId="aff">
    <w:name w:val="Revision"/>
    <w:hidden/>
    <w:uiPriority w:val="99"/>
    <w:semiHidden/>
    <w:rsid w:val="00DB36BD"/>
    <w:rPr>
      <w:rFonts w:cs="David"/>
      <w:sz w:val="24"/>
      <w:szCs w:val="24"/>
    </w:rPr>
  </w:style>
  <w:style w:type="character" w:customStyle="1" w:styleId="UnresolvedMention1">
    <w:name w:val="Unresolved Mention1"/>
    <w:uiPriority w:val="99"/>
    <w:semiHidden/>
    <w:unhideWhenUsed/>
    <w:rsid w:val="00B06145"/>
    <w:rPr>
      <w:color w:val="605E5C"/>
      <w:shd w:val="clear" w:color="auto" w:fill="E1DFDD"/>
    </w:rPr>
  </w:style>
  <w:style w:type="character" w:customStyle="1" w:styleId="UnresolvedMention2">
    <w:name w:val="Unresolved Mention2"/>
    <w:basedOn w:val="a0"/>
    <w:uiPriority w:val="99"/>
    <w:semiHidden/>
    <w:unhideWhenUsed/>
    <w:rsid w:val="00CA10A8"/>
    <w:rPr>
      <w:color w:val="605E5C"/>
      <w:shd w:val="clear" w:color="auto" w:fill="E1DFDD"/>
    </w:rPr>
  </w:style>
  <w:style w:type="paragraph" w:customStyle="1" w:styleId="Bib">
    <w:name w:val="Bib"/>
    <w:basedOn w:val="a"/>
    <w:link w:val="Bib0"/>
    <w:uiPriority w:val="99"/>
    <w:qFormat/>
    <w:rsid w:val="00AA3D8D"/>
    <w:pPr>
      <w:keepLines/>
      <w:bidi w:val="0"/>
      <w:spacing w:line="480" w:lineRule="auto"/>
      <w:ind w:left="567" w:hanging="567"/>
    </w:pPr>
    <w:rPr>
      <w:rFonts w:ascii="Garamond" w:eastAsiaTheme="minorHAnsi" w:hAnsi="Garamond" w:cstheme="majorBidi"/>
    </w:rPr>
  </w:style>
  <w:style w:type="character" w:customStyle="1" w:styleId="Bib0">
    <w:name w:val="Bib תו"/>
    <w:basedOn w:val="a0"/>
    <w:link w:val="Bib"/>
    <w:uiPriority w:val="99"/>
    <w:rsid w:val="00AA3D8D"/>
    <w:rPr>
      <w:rFonts w:ascii="Garamond" w:eastAsiaTheme="minorHAnsi" w:hAnsi="Garamond" w:cstheme="majorBidi"/>
      <w:sz w:val="24"/>
      <w:szCs w:val="24"/>
    </w:rPr>
  </w:style>
  <w:style w:type="character" w:customStyle="1" w:styleId="UnresolvedMention3">
    <w:name w:val="Unresolved Mention3"/>
    <w:basedOn w:val="a0"/>
    <w:uiPriority w:val="99"/>
    <w:semiHidden/>
    <w:unhideWhenUsed/>
    <w:rsid w:val="005F28EC"/>
    <w:rPr>
      <w:color w:val="605E5C"/>
      <w:shd w:val="clear" w:color="auto" w:fill="E1DFDD"/>
    </w:rPr>
  </w:style>
  <w:style w:type="paragraph" w:customStyle="1" w:styleId="13">
    <w:name w:val="סוציו1"/>
    <w:next w:val="a"/>
    <w:link w:val="14"/>
    <w:qFormat/>
    <w:rsid w:val="00A64A99"/>
    <w:pPr>
      <w:keepNext/>
      <w:keepLines/>
      <w:widowControl w:val="0"/>
      <w:tabs>
        <w:tab w:val="right" w:pos="8306"/>
      </w:tabs>
      <w:bidi/>
      <w:spacing w:before="480" w:after="240" w:line="480" w:lineRule="auto"/>
      <w:jc w:val="both"/>
      <w:outlineLvl w:val="0"/>
    </w:pPr>
    <w:rPr>
      <w:rFonts w:eastAsiaTheme="minorHAnsi" w:cs="David"/>
      <w:b/>
      <w:bCs/>
      <w:snapToGrid w:val="0"/>
      <w:spacing w:val="-4"/>
      <w:sz w:val="28"/>
      <w:szCs w:val="32"/>
      <w:lang w:eastAsia="he-IL"/>
    </w:rPr>
  </w:style>
  <w:style w:type="character" w:customStyle="1" w:styleId="14">
    <w:name w:val="סוציו1 תו"/>
    <w:basedOn w:val="a0"/>
    <w:link w:val="13"/>
    <w:rsid w:val="00A64A99"/>
    <w:rPr>
      <w:rFonts w:eastAsiaTheme="minorHAnsi" w:cs="David"/>
      <w:b/>
      <w:bCs/>
      <w:snapToGrid w:val="0"/>
      <w:spacing w:val="-4"/>
      <w:sz w:val="28"/>
      <w:szCs w:val="32"/>
      <w:lang w:eastAsia="he-IL"/>
    </w:rPr>
  </w:style>
  <w:style w:type="paragraph" w:customStyle="1" w:styleId="c-breadcrumbsitem">
    <w:name w:val="c-breadcrumbs__item"/>
    <w:basedOn w:val="a"/>
    <w:rsid w:val="00A64A99"/>
    <w:pPr>
      <w:bidi w:val="0"/>
      <w:spacing w:before="100" w:beforeAutospacing="1" w:after="100" w:afterAutospacing="1" w:line="240" w:lineRule="auto"/>
    </w:pPr>
    <w:rPr>
      <w:rFonts w:cs="Times New Roman"/>
    </w:rPr>
  </w:style>
  <w:style w:type="paragraph" w:customStyle="1" w:styleId="dx-doi">
    <w:name w:val="dx-doi"/>
    <w:basedOn w:val="a"/>
    <w:rsid w:val="00A64A99"/>
    <w:pPr>
      <w:bidi w:val="0"/>
      <w:spacing w:before="100" w:beforeAutospacing="1" w:after="100" w:afterAutospacing="1" w:line="240" w:lineRule="auto"/>
    </w:pPr>
    <w:rPr>
      <w:rFonts w:cs="Times New Roman"/>
    </w:rPr>
  </w:style>
  <w:style w:type="character" w:customStyle="1" w:styleId="UnresolvedMention4">
    <w:name w:val="Unresolved Mention4"/>
    <w:basedOn w:val="a0"/>
    <w:uiPriority w:val="99"/>
    <w:semiHidden/>
    <w:unhideWhenUsed/>
    <w:rsid w:val="00C511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14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5AE542-7653-4600-8732-6AC1BB6BE4FE}"/>
</file>

<file path=customXml/itemProps2.xml><?xml version="1.0" encoding="utf-8"?>
<ds:datastoreItem xmlns:ds="http://schemas.openxmlformats.org/officeDocument/2006/customXml" ds:itemID="{FD9C537C-8A04-4931-AB35-1EA9E203E113}"/>
</file>

<file path=customXml/itemProps3.xml><?xml version="1.0" encoding="utf-8"?>
<ds:datastoreItem xmlns:ds="http://schemas.openxmlformats.org/officeDocument/2006/customXml" ds:itemID="{9CF86AFB-62D5-46FA-8A15-107708975389}"/>
</file>

<file path=docProps/app.xml><?xml version="1.0" encoding="utf-8"?>
<Properties xmlns="http://schemas.openxmlformats.org/officeDocument/2006/extended-properties" xmlns:vt="http://schemas.openxmlformats.org/officeDocument/2006/docPropsVTypes">
  <Template>Normal</Template>
  <TotalTime>1</TotalTime>
  <Pages>5</Pages>
  <Words>1377</Words>
  <Characters>6889</Characters>
  <Application>Microsoft Office Word</Application>
  <DocSecurity>0</DocSecurity>
  <Lines>57</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סקירת ספרים חדשים</vt:lpstr>
      <vt:lpstr>סקירת ספרים חדשים</vt:lpstr>
    </vt:vector>
  </TitlesOfParts>
  <Company>Onit Computer Services Ltd</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סקירת ספרים חדשים</dc:title>
  <dc:creator>Mordechai Frankel</dc:creator>
  <cp:lastModifiedBy>קרן גולדנר</cp:lastModifiedBy>
  <cp:revision>2</cp:revision>
  <cp:lastPrinted>2023-12-04T20:20:00Z</cp:lastPrinted>
  <dcterms:created xsi:type="dcterms:W3CDTF">2024-12-15T06:15:00Z</dcterms:created>
  <dcterms:modified xsi:type="dcterms:W3CDTF">2024-12-15T06:15:00Z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